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963930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61595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80645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ind w:left="880" w:right="320" w:hanging="790"/>
        <w:spacing w:after="0" w:line="287" w:lineRule="auto"/>
        <w:tabs>
          <w:tab w:leader="none" w:pos="88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880" w:right="320" w:hanging="790"/>
        <w:spacing w:after="0" w:line="283" w:lineRule="auto"/>
        <w:tabs>
          <w:tab w:leader="none" w:pos="88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40" w:orient="portrait"/>
          <w:cols w:equalWidth="0" w:num="1">
            <w:col w:w="10540"/>
          </w:cols>
          <w:pgMar w:left="660" w:top="1440" w:right="700" w:bottom="1440" w:gutter="0" w:footer="0" w:header="0"/>
        </w:sectPr>
      </w:pP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sectPr>
          <w:pgSz w:w="11900" w:h="16840" w:orient="portrait"/>
          <w:cols w:equalWidth="0" w:num="2">
            <w:col w:w="5920" w:space="720"/>
            <w:col w:w="3900"/>
          </w:cols>
          <w:pgMar w:left="660" w:top="1440" w:right="70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55245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70"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27-3380000</w:t>
            </w:r>
          </w:p>
        </w:tc>
      </w:tr>
      <w:tr>
        <w:trPr>
          <w:trHeight w:val="156"/>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4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800" w:type="dxa"/>
            <w:vAlign w:val="bottom"/>
          </w:tcPr>
          <w:p>
            <w:pPr>
              <w:spacing w:after="0"/>
              <w:rPr>
                <w:sz w:val="21"/>
                <w:szCs w:val="21"/>
                <w:color w:val="auto"/>
              </w:rPr>
            </w:pPr>
          </w:p>
        </w:tc>
      </w:tr>
      <w:tr>
        <w:trPr>
          <w:trHeight w:val="181"/>
        </w:trPr>
        <w:tc>
          <w:tcPr>
            <w:tcW w:w="4200" w:type="dxa"/>
            <w:vAlign w:val="bottom"/>
          </w:tcPr>
          <w:p>
            <w:pPr>
              <w:jc w:val="center"/>
              <w:ind w:right="1728"/>
              <w:spacing w:after="0" w:line="181" w:lineRule="exact"/>
              <w:rPr>
                <w:sz w:val="20"/>
                <w:szCs w:val="20"/>
                <w:color w:val="auto"/>
              </w:rPr>
            </w:pPr>
            <w:r>
              <w:rPr>
                <w:rFonts w:ascii="Times New Roman" w:cs="Times New Roman" w:eastAsia="Times New Roman" w:hAnsi="Times New Roman"/>
                <w:sz w:val="16"/>
                <w:szCs w:val="16"/>
                <w:b w:val="1"/>
                <w:bCs w:val="1"/>
                <w:color w:val="auto"/>
                <w:w w:val="98"/>
              </w:rPr>
              <w:t>Dallas, TX</w:t>
            </w:r>
          </w:p>
        </w:tc>
        <w:tc>
          <w:tcPr>
            <w:tcW w:w="2800" w:type="dxa"/>
            <w:vAlign w:val="bottom"/>
          </w:tcPr>
          <w:p>
            <w:pPr>
              <w:jc w:val="right"/>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75201</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(469) 621-3001</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101600</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10540"/>
          </w:cols>
          <w:pgMar w:left="660" w:top="1440" w:right="700" w:bottom="1440" w:gutter="0" w:footer="0" w:header="0"/>
          <w:type w:val="continuous"/>
        </w:sectPr>
      </w:pPr>
    </w:p>
    <w:p>
      <w:pPr>
        <w:spacing w:after="0" w:line="15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5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Trading Symbol(s)</w:t>
      </w:r>
    </w:p>
    <w:p>
      <w:pPr>
        <w:spacing w:after="0" w:line="5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TSLX</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5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The New York Stock Exchange</w:t>
      </w:r>
    </w:p>
    <w:p>
      <w:pPr>
        <w:spacing w:after="0" w:line="69" w:lineRule="exact"/>
        <w:rPr>
          <w:sz w:val="24"/>
          <w:szCs w:val="24"/>
          <w:color w:val="auto"/>
        </w:rPr>
      </w:pPr>
    </w:p>
    <w:p>
      <w:pPr>
        <w:sectPr>
          <w:pgSz w:w="11900" w:h="16840" w:orient="portrait"/>
          <w:cols w:equalWidth="0" w:num="3">
            <w:col w:w="4040" w:space="720"/>
            <w:col w:w="2100" w:space="720"/>
            <w:col w:w="2960"/>
          </w:cols>
          <w:pgMar w:left="660" w:top="1440" w:right="700" w:bottom="1440" w:gutter="0" w:footer="0" w:header="0"/>
          <w:type w:val="continuous"/>
        </w:sect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3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9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8" w:lineRule="exact"/>
        <w:rPr>
          <w:sz w:val="24"/>
          <w:szCs w:val="24"/>
          <w:color w:val="auto"/>
        </w:r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ind w:right="3540"/>
        <w:spacing w:after="0" w:line="20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the registrant’s common stock, $.01 par value per share, outstanding at November 4, 2025 was 94,493,925.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785495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7"/>
          </w:tcPr>
          <w:p>
            <w:pPr>
              <w:jc w:val="center"/>
              <w:ind w:right="37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NO.</w:t>
            </w:r>
          </w:p>
        </w:tc>
        <w:tc>
          <w:tcPr>
            <w:tcW w:w="0" w:type="dxa"/>
            <w:vAlign w:val="bottom"/>
          </w:tcPr>
          <w:p>
            <w:pPr>
              <w:spacing w:after="0"/>
              <w:rPr>
                <w:sz w:val="1"/>
                <w:szCs w:val="1"/>
                <w:color w:val="auto"/>
              </w:rPr>
            </w:pP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PART I.</w:t>
            </w:r>
          </w:p>
        </w:tc>
        <w:tc>
          <w:tcPr>
            <w:tcW w:w="196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FINANCIAL INFORMATION</w:t>
              </w:r>
            </w:hyperlink>
          </w:p>
        </w:tc>
        <w:tc>
          <w:tcPr>
            <w:tcW w:w="6600" w:type="dxa"/>
            <w:vAlign w:val="bottom"/>
            <w:gridSpan w:val="11"/>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30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Financial Statements</w:t>
              </w:r>
            </w:hyperlink>
          </w:p>
        </w:tc>
        <w:tc>
          <w:tcPr>
            <w:tcW w:w="7260" w:type="dxa"/>
            <w:vAlign w:val="bottom"/>
            <w:gridSpan w:val="14"/>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Consolidated Balance Sheets as of September 30, 2025 (Unaudited) and December 31, 2024</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Operations for the three and nine months ended September 30, 2025 and 2024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64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6"/>
                <w:szCs w:val="16"/>
                <w:color w:val="0000FF"/>
                <w:w w:val="97"/>
              </w:rPr>
            </w:pPr>
            <w:hyperlink w:anchor="page6">
              <w:r>
                <w:rPr>
                  <w:rFonts w:ascii="Times New Roman" w:cs="Times New Roman" w:eastAsia="Times New Roman" w:hAnsi="Times New Roman"/>
                  <w:sz w:val="16"/>
                  <w:szCs w:val="16"/>
                  <w:color w:val="0000FF"/>
                  <w:w w:val="97"/>
                </w:rPr>
                <w:t>Consolidated Schedules of Investments as of September 30, 2025 (Unaudited) and December 31, 2024</w:t>
              </w:r>
            </w:hyperlink>
          </w:p>
        </w:tc>
        <w:tc>
          <w:tcPr>
            <w:tcW w:w="1000" w:type="dxa"/>
            <w:vAlign w:val="bottom"/>
            <w:tcBorders>
              <w:top w:val="single" w:sz="8" w:color="0000EE"/>
            </w:tcBorders>
            <w:gridSpan w:val="2"/>
          </w:tcPr>
          <w:p>
            <w:pPr>
              <w:spacing w:after="0"/>
              <w:rPr>
                <w:sz w:val="23"/>
                <w:szCs w:val="23"/>
                <w:color w:val="auto"/>
              </w:rPr>
            </w:pPr>
          </w:p>
        </w:tc>
        <w:tc>
          <w:tcPr>
            <w:tcW w:w="1160" w:type="dxa"/>
            <w:vAlign w:val="bottom"/>
            <w:gridSpan w:val="2"/>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Consolidated Statements of Changes in Net Assets for the three and nine months ended September 30, 2025 and 2024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684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6"/>
                <w:szCs w:val="16"/>
                <w:color w:val="0000FF"/>
                <w:w w:val="96"/>
              </w:rPr>
            </w:pPr>
            <w:hyperlink w:anchor="page27">
              <w:r>
                <w:rPr>
                  <w:rFonts w:ascii="Times New Roman" w:cs="Times New Roman" w:eastAsia="Times New Roman" w:hAnsi="Times New Roman"/>
                  <w:sz w:val="16"/>
                  <w:szCs w:val="16"/>
                  <w:color w:val="0000FF"/>
                  <w:w w:val="96"/>
                </w:rPr>
                <w:t>Consolidated Statements of Cash Flows for the nine months ended September 30, 2025 and 2024 (Unaudited)</w:t>
              </w:r>
            </w:hyperlink>
          </w:p>
        </w:tc>
        <w:tc>
          <w:tcPr>
            <w:tcW w:w="1280" w:type="dxa"/>
            <w:vAlign w:val="bottom"/>
            <w:tcBorders>
              <w:top w:val="single" w:sz="8" w:color="0000EE"/>
            </w:tcBorders>
            <w:gridSpan w:val="2"/>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Notes to Consolidated Financial Statements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00" w:type="dxa"/>
            <w:vAlign w:val="bottom"/>
            <w:tcBorders>
              <w:bottom w:val="single" w:sz="8" w:color="0000EE"/>
            </w:tcBorders>
            <w:gridSpan w:val="13"/>
          </w:tcPr>
          <w:p>
            <w:pPr>
              <w:spacing w:after="0"/>
              <w:rPr>
                <w:rFonts w:ascii="Times New Roman" w:cs="Times New Roman" w:eastAsia="Times New Roman" w:hAnsi="Times New Roman"/>
                <w:sz w:val="16"/>
                <w:szCs w:val="16"/>
                <w:color w:val="0000FF"/>
                <w:w w:val="97"/>
              </w:rPr>
            </w:pPr>
            <w:hyperlink w:anchor="page53">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2960" w:type="dxa"/>
            <w:vAlign w:val="bottom"/>
            <w:gridSpan w:val="6"/>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78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w:anchor="page75">
              <w:r>
                <w:rPr>
                  <w:rFonts w:ascii="Times New Roman" w:cs="Times New Roman" w:eastAsia="Times New Roman" w:hAnsi="Times New Roman"/>
                  <w:sz w:val="16"/>
                  <w:szCs w:val="16"/>
                  <w:color w:val="0000FF"/>
                  <w:w w:val="97"/>
                </w:rPr>
                <w:t>Quantitative and Qualitative Disclosures About Market Risk</w:t>
              </w:r>
            </w:hyperlink>
          </w:p>
        </w:tc>
        <w:tc>
          <w:tcPr>
            <w:tcW w:w="4780" w:type="dxa"/>
            <w:vAlign w:val="bottom"/>
            <w:gridSpan w:val="7"/>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5"/>
              </w:rPr>
            </w:pPr>
            <w:hyperlink w:anchor="page76">
              <w:r>
                <w:rPr>
                  <w:rFonts w:ascii="Times New Roman" w:cs="Times New Roman" w:eastAsia="Times New Roman" w:hAnsi="Times New Roman"/>
                  <w:sz w:val="16"/>
                  <w:szCs w:val="16"/>
                  <w:color w:val="0000FF"/>
                  <w:w w:val="95"/>
                </w:rPr>
                <w:t>Controls and Procedures</w:t>
              </w:r>
            </w:hyperlink>
          </w:p>
        </w:tc>
        <w:tc>
          <w:tcPr>
            <w:tcW w:w="7040" w:type="dxa"/>
            <w:vAlign w:val="bottom"/>
            <w:gridSpan w:val="13"/>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PART II.</w:t>
            </w:r>
          </w:p>
        </w:tc>
        <w:tc>
          <w:tcPr>
            <w:tcW w:w="16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5"/>
              </w:rPr>
            </w:pPr>
            <w:hyperlink w:anchor="page77">
              <w:r>
                <w:rPr>
                  <w:rFonts w:ascii="Times New Roman" w:cs="Times New Roman" w:eastAsia="Times New Roman" w:hAnsi="Times New Roman"/>
                  <w:sz w:val="16"/>
                  <w:szCs w:val="16"/>
                  <w:color w:val="0000FF"/>
                  <w:w w:val="95"/>
                </w:rPr>
                <w:t>OTHER INFORMATION</w:t>
              </w:r>
            </w:hyperlink>
          </w:p>
        </w:tc>
        <w:tc>
          <w:tcPr>
            <w:tcW w:w="6920" w:type="dxa"/>
            <w:vAlign w:val="bottom"/>
            <w:gridSpan w:val="12"/>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Legal Proceedings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40" w:type="dxa"/>
            <w:vAlign w:val="bottom"/>
            <w:tcBorders>
              <w:top w:val="single" w:sz="8" w:color="0000EE"/>
            </w:tcBorders>
            <w:gridSpan w:val="4"/>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Risk Factors</w:t>
              </w:r>
            </w:hyperlink>
          </w:p>
        </w:tc>
        <w:tc>
          <w:tcPr>
            <w:tcW w:w="7420" w:type="dxa"/>
            <w:vAlign w:val="bottom"/>
            <w:gridSpan w:val="15"/>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76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Unregistered Sales of Equity Securities and Use of Proceeds</w:t>
              </w:r>
            </w:hyperlink>
          </w:p>
        </w:tc>
        <w:tc>
          <w:tcPr>
            <w:tcW w:w="4800" w:type="dxa"/>
            <w:vAlign w:val="bottom"/>
            <w:gridSpan w:val="8"/>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68"/>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3.</w:t>
            </w:r>
          </w:p>
        </w:tc>
        <w:tc>
          <w:tcPr>
            <w:tcW w:w="200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Defaults Upon Senior Securities</w:t>
              </w:r>
            </w:hyperlink>
          </w:p>
        </w:tc>
        <w:tc>
          <w:tcPr>
            <w:tcW w:w="6560" w:type="dxa"/>
            <w:vAlign w:val="bottom"/>
            <w:gridSpan w:val="10"/>
            <w:vMerge w:val="restart"/>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50"/>
        </w:trPr>
        <w:tc>
          <w:tcPr>
            <w:tcW w:w="9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80" w:type="dxa"/>
            <w:vAlign w:val="bottom"/>
            <w:gridSpan w:val="6"/>
          </w:tcPr>
          <w:p>
            <w:pPr>
              <w:spacing w:after="0"/>
              <w:rPr>
                <w:sz w:val="4"/>
                <w:szCs w:val="4"/>
                <w:color w:val="auto"/>
              </w:rPr>
            </w:pPr>
          </w:p>
        </w:tc>
        <w:tc>
          <w:tcPr>
            <w:tcW w:w="6560" w:type="dxa"/>
            <w:vAlign w:val="bottom"/>
            <w:gridSpan w:val="10"/>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5"/>
              </w:rPr>
            </w:pPr>
            <w:hyperlink w:anchor="page77">
              <w:r>
                <w:rPr>
                  <w:rFonts w:ascii="Times New Roman" w:cs="Times New Roman" w:eastAsia="Times New Roman" w:hAnsi="Times New Roman"/>
                  <w:sz w:val="16"/>
                  <w:szCs w:val="16"/>
                  <w:color w:val="0000FF"/>
                  <w:w w:val="95"/>
                </w:rPr>
                <w:t>Mine Safety Disclosures</w:t>
              </w:r>
            </w:hyperlink>
          </w:p>
        </w:tc>
        <w:tc>
          <w:tcPr>
            <w:tcW w:w="7040" w:type="dxa"/>
            <w:vAlign w:val="bottom"/>
            <w:gridSpan w:val="13"/>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560" w:type="dxa"/>
            <w:vAlign w:val="bottom"/>
            <w:gridSpan w:val="19"/>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Other Information</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20" w:type="dxa"/>
            <w:vAlign w:val="bottom"/>
            <w:tcBorders>
              <w:top w:val="single" w:sz="8" w:color="0000EE"/>
            </w:tcBorders>
            <w:gridSpan w:val="3"/>
          </w:tcPr>
          <w:p>
            <w:pPr>
              <w:spacing w:after="0"/>
              <w:rPr>
                <w:rFonts w:ascii="Times New Roman" w:cs="Times New Roman" w:eastAsia="Times New Roman" w:hAnsi="Times New Roman"/>
                <w:sz w:val="16"/>
                <w:szCs w:val="16"/>
                <w:color w:val="0000FF"/>
              </w:rPr>
            </w:pPr>
            <w:hyperlink w:anchor="page78">
              <w:r>
                <w:rPr>
                  <w:rFonts w:ascii="Times New Roman" w:cs="Times New Roman" w:eastAsia="Times New Roman" w:hAnsi="Times New Roman"/>
                  <w:sz w:val="16"/>
                  <w:szCs w:val="16"/>
                  <w:color w:val="0000FF"/>
                </w:rPr>
                <w:t>Exhibits</w:t>
              </w:r>
            </w:hyperlink>
          </w:p>
        </w:tc>
        <w:tc>
          <w:tcPr>
            <w:tcW w:w="7440" w:type="dxa"/>
            <w:vAlign w:val="bottom"/>
            <w:gridSpan w:val="16"/>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Borders>
              <w:bottom w:val="single" w:sz="8" w:color="0000EE"/>
            </w:tcBorders>
          </w:tcPr>
          <w:p>
            <w:pPr>
              <w:spacing w:after="0"/>
              <w:rPr>
                <w:rFonts w:ascii="Times New Roman" w:cs="Times New Roman" w:eastAsia="Times New Roman" w:hAnsi="Times New Roman"/>
                <w:sz w:val="16"/>
                <w:szCs w:val="16"/>
                <w:color w:val="0000FF"/>
                <w:w w:val="94"/>
              </w:rPr>
            </w:pPr>
            <w:hyperlink w:anchor="page79">
              <w:r>
                <w:rPr>
                  <w:rFonts w:ascii="Times New Roman" w:cs="Times New Roman" w:eastAsia="Times New Roman" w:hAnsi="Times New Roman"/>
                  <w:sz w:val="16"/>
                  <w:szCs w:val="16"/>
                  <w:color w:val="0000FF"/>
                  <w:w w:val="94"/>
                </w:rPr>
                <w:t>SIGNATURES</w:t>
              </w:r>
            </w:hyperlink>
          </w:p>
        </w:tc>
        <w:tc>
          <w:tcPr>
            <w:tcW w:w="8560" w:type="dxa"/>
            <w:vAlign w:val="bottom"/>
            <w:gridSpan w:val="19"/>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74"/>
        </w:trPr>
        <w:tc>
          <w:tcPr>
            <w:tcW w:w="980" w:type="dxa"/>
            <w:vAlign w:val="bottom"/>
          </w:tcPr>
          <w:p>
            <w:pPr>
              <w:spacing w:after="0"/>
              <w:rPr>
                <w:sz w:val="24"/>
                <w:szCs w:val="24"/>
                <w:color w:val="auto"/>
              </w:rPr>
            </w:pPr>
          </w:p>
        </w:tc>
        <w:tc>
          <w:tcPr>
            <w:tcW w:w="5600" w:type="dxa"/>
            <w:vAlign w:val="bottom"/>
            <w:gridSpan w:val="13"/>
          </w:tcPr>
          <w:p>
            <w:pPr>
              <w:jc w:val="right"/>
              <w:ind w:right="1194"/>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9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5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(the "Company", "we", "us", or "our") has filed with the Securities and Exchange Commission (the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•an economic downturn, which could impair our portfolio companies’ abilities to continue to operate, and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w:t>
      </w:r>
    </w:p>
    <w:p>
      <w:pPr>
        <w:spacing w:after="0" w:line="59"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 including the effects of trade policies and government regulation; and</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report, in our Annual Report on Form 10-K for the year ended December 31, 2024, filed with the SEC on February 13, 2025, and elsewhere in our filings with the SEC.</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of $3,246,833 and $3,450,644,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3,309,972</w:t>
            </w:r>
          </w:p>
        </w:tc>
        <w:tc>
          <w:tcPr>
            <w:tcW w:w="1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3,453,317</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Controlled, affiliated investments (amortized cost of $97,139 and $88,509, respectively)</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66,339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65,095</w:t>
            </w: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investments at fair value (amortized cost of $3,343,972 and $3,539,153, respectively)</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3,376,311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3,518,412</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of $20,137 and $22,362, respectively)</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83,159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27,328</w:t>
            </w: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31,193</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30,518</w:t>
            </w: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18,598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3,509,261</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80" w:type="dxa"/>
            <w:vAlign w:val="bottom"/>
            <w:shd w:val="clear" w:color="auto" w:fill="CFF0FC"/>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684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(net of deferred financing costs of $26,167 and $23,837,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1,834,285</w:t>
            </w:r>
          </w:p>
        </w:tc>
        <w:tc>
          <w:tcPr>
            <w:tcW w:w="1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1,901,142</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12,797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12,953</w:t>
            </w: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10,527</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12,013</w:t>
            </w: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payables to affiliate</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3,635</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27,190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39,882</w:t>
            </w: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1,889,554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1,974,696</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6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Preferred stock, $0.01 par value; 100,000,000 shares authorized; no shares</w:t>
            </w: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issued and outstanding</w:t>
            </w:r>
          </w:p>
        </w:tc>
        <w:tc>
          <w:tcPr>
            <w:tcW w:w="26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0" w:type="dxa"/>
            <w:vAlign w:val="bottom"/>
          </w:tcPr>
          <w:p>
            <w:pPr>
              <w:spacing w:after="0"/>
              <w:rPr>
                <w:sz w:val="12"/>
                <w:szCs w:val="12"/>
                <w:color w:val="auto"/>
              </w:rPr>
            </w:pPr>
          </w:p>
        </w:tc>
        <w:tc>
          <w:tcPr>
            <w:tcW w:w="68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stock, $0.01 par value; 400,000,000 shares authorized, 95,158,175</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and 94,325,686 shares issued, respectively; and 94,493,925 and 93,661,436</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shares outstanding, respectively</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shd w:val="clear" w:color="auto" w:fill="CFF0FC"/>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1,537,514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1,519,337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Treasury stock at cost; 664,250 and 664,250 shares held, respectively</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(10,459)</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(10,459)</w:t>
            </w: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Distributable earnings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91,700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97,708</w:t>
            </w: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1,619,707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1,607,529</w:t>
            </w:r>
          </w:p>
        </w:tc>
        <w:tc>
          <w:tcPr>
            <w:tcW w:w="80" w:type="dxa"/>
            <w:vAlign w:val="bottom"/>
            <w:shd w:val="clear" w:color="auto" w:fill="CFF0FC"/>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3,509,261</w:t>
            </w:r>
          </w:p>
        </w:tc>
        <w:tc>
          <w:tcPr>
            <w:tcW w:w="160" w:type="dxa"/>
            <w:vAlign w:val="bottom"/>
          </w:tcPr>
          <w:p>
            <w:pPr>
              <w:spacing w:after="0"/>
              <w:rPr>
                <w:sz w:val="13"/>
                <w:szCs w:val="13"/>
                <w:color w:val="auto"/>
              </w:rPr>
            </w:pPr>
          </w:p>
        </w:tc>
        <w:tc>
          <w:tcPr>
            <w:tcW w:w="380" w:type="dxa"/>
            <w:vAlign w:val="bottom"/>
            <w:gridSpan w:val="2"/>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40" w:type="dxa"/>
            <w:vAlign w:val="bottom"/>
            <w:tcBorders>
              <w:bottom w:val="single" w:sz="8" w:color="CFF0FC"/>
            </w:tcBorders>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17.14</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17.16</w:t>
            </w:r>
          </w:p>
        </w:tc>
        <w:tc>
          <w:tcPr>
            <w:tcW w:w="80" w:type="dxa"/>
            <w:vAlign w:val="bottom"/>
            <w:tcBorders>
              <w:bottom w:val="single" w:sz="8" w:color="CFF0FC"/>
            </w:tcBorders>
            <w:shd w:val="clear" w:color="auto" w:fill="CFF0FC"/>
          </w:tcPr>
          <w:p>
            <w:pPr>
              <w:spacing w:after="0"/>
              <w:rPr>
                <w:sz w:val="14"/>
                <w:szCs w:val="14"/>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6"/>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3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92,221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103,363</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295,098</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308,478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18,026</w:t>
            </w:r>
          </w:p>
        </w:tc>
        <w:tc>
          <w:tcPr>
            <w:tcW w:w="6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23,761</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Dividend income</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9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7,397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18,465</w:t>
            </w:r>
          </w:p>
        </w:tc>
        <w:tc>
          <w:tcPr>
            <w:tcW w:w="6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13,737</w:t>
            </w:r>
          </w:p>
        </w:tc>
        <w:tc>
          <w:tcPr>
            <w:tcW w:w="0" w:type="dxa"/>
            <w:vAlign w:val="bottom"/>
          </w:tcPr>
          <w:p>
            <w:pPr>
              <w:spacing w:after="0"/>
              <w:rPr>
                <w:sz w:val="1"/>
                <w:szCs w:val="1"/>
                <w:color w:val="auto"/>
              </w:rPr>
            </w:pPr>
          </w:p>
        </w:tc>
      </w:tr>
      <w:tr>
        <w:trPr>
          <w:trHeight w:val="48"/>
        </w:trPr>
        <w:tc>
          <w:tcPr>
            <w:tcW w:w="49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106,769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333,152</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2,672</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7,649</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109,444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340,808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358,822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Interest</w:t>
            </w:r>
          </w:p>
        </w:tc>
        <w:tc>
          <w:tcPr>
            <w:tcW w:w="3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31,385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38,492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98,003</w:t>
            </w: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Management fees</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13,081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13,029</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39,082</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38,390</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3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10,527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11,175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33,132</w:t>
            </w:r>
          </w:p>
        </w:tc>
        <w:tc>
          <w:tcPr>
            <w:tcW w:w="6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33,517</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3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(1,054)</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(2,245)</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(3,303)</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(4,424)</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Directors’ fees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57,674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63,929</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178,284</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194,640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32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(284)</w:t>
            </w:r>
          </w:p>
        </w:tc>
        <w:tc>
          <w:tcPr>
            <w:tcW w:w="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(990)</w:t>
            </w:r>
          </w:p>
        </w:tc>
        <w:tc>
          <w:tcPr>
            <w:tcW w:w="6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(1,024)</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57,390</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63,599</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177,294</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193,616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3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52,054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55,624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163,514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4,016</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2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50,680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54,926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159,498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162,432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9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6"/>
        </w:trPr>
        <w:tc>
          <w:tcPr>
            <w:tcW w:w="4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3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(3,887)</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(2,502)</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60,466</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(19,669)</w:t>
            </w: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32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(3,019)</w:t>
            </w:r>
          </w:p>
        </w:tc>
        <w:tc>
          <w:tcPr>
            <w:tcW w:w="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(7,385)</w:t>
            </w:r>
          </w:p>
        </w:tc>
        <w:tc>
          <w:tcPr>
            <w:tcW w:w="6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(2,399)</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(10,305)</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(36,052)</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(7,220)</w:t>
            </w: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 provision</w:t>
            </w: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(1,456)</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3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(5,545)</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(14,282)</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17,634</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(30,744)</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Realized gains (losses):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(34,919)</w:t>
            </w:r>
          </w:p>
        </w:tc>
        <w:tc>
          <w:tcPr>
            <w:tcW w:w="6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32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(366)</w:t>
            </w:r>
          </w:p>
        </w:tc>
        <w:tc>
          <w:tcPr>
            <w:tcW w:w="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(719)</w:t>
            </w:r>
          </w:p>
        </w:tc>
        <w:tc>
          <w:tcPr>
            <w:tcW w:w="6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Income tax provision</w:t>
            </w:r>
          </w:p>
        </w:tc>
        <w:tc>
          <w:tcPr>
            <w:tcW w:w="3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(937)</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(937)</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32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(36,575)</w:t>
            </w:r>
          </w:p>
        </w:tc>
        <w:tc>
          <w:tcPr>
            <w:tcW w:w="6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32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(6,080)</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(14,271)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(18,941)</w:t>
            </w:r>
          </w:p>
        </w:tc>
        <w:tc>
          <w:tcPr>
            <w:tcW w:w="6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(26,857)</w:t>
            </w:r>
          </w:p>
        </w:tc>
        <w:tc>
          <w:tcPr>
            <w:tcW w:w="0" w:type="dxa"/>
            <w:vAlign w:val="bottom"/>
          </w:tcPr>
          <w:p>
            <w:pPr>
              <w:spacing w:after="0"/>
              <w:rPr>
                <w:sz w:val="1"/>
                <w:szCs w:val="1"/>
                <w:color w:val="auto"/>
              </w:rPr>
            </w:pPr>
          </w:p>
        </w:tc>
      </w:tr>
      <w:tr>
        <w:trPr>
          <w:trHeight w:val="156"/>
        </w:trPr>
        <w:tc>
          <w:tcPr>
            <w:tcW w:w="4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320" w:type="dxa"/>
            <w:vAlign w:val="bottom"/>
          </w:tcPr>
          <w:p>
            <w:pPr>
              <w:jc w:val="right"/>
              <w:ind w:right="20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44,600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40,655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140,557</w:t>
            </w:r>
          </w:p>
        </w:tc>
        <w:tc>
          <w:tcPr>
            <w:tcW w:w="100" w:type="dxa"/>
            <w:vAlign w:val="bottom"/>
          </w:tcPr>
          <w:p>
            <w:pPr>
              <w:spacing w:after="0"/>
              <w:rPr>
                <w:sz w:val="13"/>
                <w:szCs w:val="13"/>
                <w:color w:val="auto"/>
              </w:rPr>
            </w:pPr>
          </w:p>
        </w:tc>
        <w:tc>
          <w:tcPr>
            <w:tcW w:w="6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Earnings per common share—basic and diluted</w:t>
            </w:r>
          </w:p>
        </w:tc>
        <w:tc>
          <w:tcPr>
            <w:tcW w:w="320" w:type="dxa"/>
            <w:vAlign w:val="bottom"/>
            <w:tcBorders>
              <w:top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0.47</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0.44</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ind w:right="3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94,245,993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93,024,154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93,964,387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91,602,160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September 30, 2025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408305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4"/>
        </w:trPr>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Reference</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1080" w:type="dxa"/>
            <w:vAlign w:val="bottom"/>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Rate and</w:t>
            </w:r>
          </w:p>
        </w:tc>
        <w:tc>
          <w:tcPr>
            <w:tcW w:w="1280" w:type="dxa"/>
            <w:vAlign w:val="bottom"/>
          </w:tcPr>
          <w:p>
            <w:pPr>
              <w:spacing w:after="0"/>
              <w:rPr>
                <w:sz w:val="11"/>
                <w:szCs w:val="11"/>
                <w:color w:val="auto"/>
              </w:rPr>
            </w:pPr>
          </w:p>
        </w:tc>
        <w:tc>
          <w:tcPr>
            <w:tcW w:w="1200" w:type="dxa"/>
            <w:vAlign w:val="bottom"/>
          </w:tcPr>
          <w:p>
            <w:pPr>
              <w:jc w:val="right"/>
              <w:ind w:right="421"/>
              <w:spacing w:after="0" w:line="134"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360" w:type="dxa"/>
            <w:vAlign w:val="bottom"/>
          </w:tcPr>
          <w:p>
            <w:pPr>
              <w:spacing w:after="0"/>
              <w:rPr>
                <w:sz w:val="11"/>
                <w:szCs w:val="11"/>
                <w:color w:val="auto"/>
              </w:rPr>
            </w:pPr>
          </w:p>
        </w:tc>
        <w:tc>
          <w:tcPr>
            <w:tcW w:w="10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0" w:type="dxa"/>
            <w:vAlign w:val="bottom"/>
          </w:tcPr>
          <w:p>
            <w:pPr>
              <w:spacing w:after="0"/>
              <w:rPr>
                <w:sz w:val="1"/>
                <w:szCs w:val="1"/>
                <w:color w:val="auto"/>
              </w:rPr>
            </w:pPr>
          </w:p>
        </w:tc>
      </w:tr>
      <w:tr>
        <w:trPr>
          <w:trHeight w:val="154"/>
        </w:trPr>
        <w:tc>
          <w:tcPr>
            <w:tcW w:w="1600" w:type="dxa"/>
            <w:vAlign w:val="bottom"/>
          </w:tcPr>
          <w:p>
            <w:pPr>
              <w:spacing w:after="0" w:line="154" w:lineRule="exact"/>
              <w:rPr>
                <w:sz w:val="20"/>
                <w:szCs w:val="20"/>
                <w:color w:val="auto"/>
              </w:rPr>
            </w:pP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216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8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Spread</w:t>
            </w:r>
          </w:p>
        </w:tc>
        <w:tc>
          <w:tcPr>
            <w:tcW w:w="12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1200" w:type="dxa"/>
            <w:vAlign w:val="bottom"/>
          </w:tcPr>
          <w:p>
            <w:pPr>
              <w:jc w:val="right"/>
              <w:ind w:right="461"/>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1360" w:type="dxa"/>
            <w:vAlign w:val="bottom"/>
          </w:tcPr>
          <w:p>
            <w:pPr>
              <w:jc w:val="right"/>
              <w:ind w:right="320"/>
              <w:spacing w:after="0" w:line="154" w:lineRule="exact"/>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6"/>
                <w:szCs w:val="16"/>
                <w:b w:val="1"/>
                <w:bCs w:val="1"/>
                <w:color w:val="auto"/>
                <w:vertAlign w:val="superscript"/>
              </w:rPr>
              <w:t>(8)</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of Net Assets</w:t>
            </w:r>
          </w:p>
        </w:tc>
        <w:tc>
          <w:tcPr>
            <w:tcW w:w="0" w:type="dxa"/>
            <w:vAlign w:val="bottom"/>
          </w:tcPr>
          <w:p>
            <w:pPr>
              <w:spacing w:after="0"/>
              <w:rPr>
                <w:sz w:val="1"/>
                <w:szCs w:val="1"/>
                <w:color w:val="auto"/>
              </w:rPr>
            </w:pPr>
          </w:p>
        </w:tc>
      </w:tr>
      <w:tr>
        <w:trPr>
          <w:trHeight w:val="159"/>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6"/>
                <w:szCs w:val="16"/>
                <w:color w:val="auto"/>
                <w:vertAlign w:val="superscript"/>
              </w:rPr>
              <w:t>(3)</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($38,536 par, due 11/2029)</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11/7/2023</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11.32%</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37,971</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38,536</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17,425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11/7/2023</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8.94%</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18,445</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20,474</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11/2029)</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(EUR 17,425)</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($3,621 par, due</w:t>
            </w:r>
          </w:p>
        </w:tc>
        <w:tc>
          <w:tcPr>
            <w:tcW w:w="8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11/7/2023</w:t>
            </w:r>
          </w:p>
        </w:tc>
        <w:tc>
          <w:tcPr>
            <w:tcW w:w="10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+ 7.00%</w:t>
            </w:r>
          </w:p>
        </w:tc>
        <w:tc>
          <w:tcPr>
            <w:tcW w:w="128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11.19%</w:t>
            </w:r>
          </w:p>
        </w:tc>
        <w:tc>
          <w:tcPr>
            <w:tcW w:w="1200" w:type="dxa"/>
            <w:vAlign w:val="bottom"/>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3,542</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3,621</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11/2029)</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Azurite Intermediate Holdings,</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($42,750 par, due 3/2031)</w:t>
            </w:r>
          </w:p>
        </w:tc>
        <w:tc>
          <w:tcPr>
            <w:tcW w:w="860" w:type="dxa"/>
            <w:vAlign w:val="bottom"/>
            <w:shd w:val="clear" w:color="auto" w:fill="CFF0FC"/>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3/19/2024</w:t>
            </w:r>
          </w:p>
        </w:tc>
        <w:tc>
          <w:tcPr>
            <w:tcW w:w="1080" w:type="dxa"/>
            <w:vAlign w:val="bottom"/>
            <w:shd w:val="clear" w:color="auto" w:fill="CFF0FC"/>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SOFR + 6.00%</w:t>
            </w:r>
          </w:p>
        </w:tc>
        <w:tc>
          <w:tcPr>
            <w:tcW w:w="1280" w:type="dxa"/>
            <w:vAlign w:val="bottom"/>
            <w:shd w:val="clear" w:color="auto" w:fill="CFF0FC"/>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10.16%</w:t>
            </w:r>
          </w:p>
        </w:tc>
        <w:tc>
          <w:tcPr>
            <w:tcW w:w="1200" w:type="dxa"/>
            <w:vAlign w:val="bottom"/>
            <w:shd w:val="clear" w:color="auto" w:fill="CFF0FC"/>
          </w:tcPr>
          <w:p>
            <w:pPr>
              <w:jc w:val="right"/>
              <w:ind w:right="281"/>
              <w:spacing w:after="0" w:line="121" w:lineRule="exact"/>
              <w:rPr>
                <w:sz w:val="20"/>
                <w:szCs w:val="20"/>
                <w:color w:val="auto"/>
              </w:rPr>
            </w:pPr>
            <w:r>
              <w:rPr>
                <w:rFonts w:ascii="Times New Roman" w:cs="Times New Roman" w:eastAsia="Times New Roman" w:hAnsi="Times New Roman"/>
                <w:sz w:val="12"/>
                <w:szCs w:val="12"/>
                <w:color w:val="auto"/>
              </w:rPr>
              <w:t>42,110</w:t>
            </w:r>
          </w:p>
        </w:tc>
        <w:tc>
          <w:tcPr>
            <w:tcW w:w="1360" w:type="dxa"/>
            <w:vAlign w:val="bottom"/>
            <w:shd w:val="clear" w:color="auto" w:fill="CFF0FC"/>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43,225</w:t>
            </w:r>
          </w:p>
        </w:tc>
        <w:tc>
          <w:tcPr>
            <w:tcW w:w="10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Inc. </w:t>
            </w:r>
            <w:r>
              <w:rPr>
                <w:rFonts w:ascii="Times New Roman" w:cs="Times New Roman" w:eastAsia="Times New Roman" w:hAnsi="Times New Roman"/>
                <w:sz w:val="16"/>
                <w:szCs w:val="16"/>
                <w:color w:val="auto"/>
                <w:vertAlign w:val="superscript"/>
              </w:rPr>
              <w:t>(3)</w:t>
            </w:r>
          </w:p>
        </w:tc>
        <w:tc>
          <w:tcPr>
            <w:tcW w:w="2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BCTO Ignition Purchaser, Inc.</w:t>
            </w:r>
          </w:p>
        </w:tc>
        <w:tc>
          <w:tcPr>
            <w:tcW w:w="216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holdco loan ($52,838 par, due</w:t>
            </w:r>
          </w:p>
        </w:tc>
        <w:tc>
          <w:tcPr>
            <w:tcW w:w="860" w:type="dxa"/>
            <w:vAlign w:val="bottom"/>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4/18/2023</w:t>
            </w:r>
          </w:p>
        </w:tc>
        <w:tc>
          <w:tcPr>
            <w:tcW w:w="1080" w:type="dxa"/>
            <w:vAlign w:val="bottom"/>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SOFR + 7.50%</w:t>
            </w:r>
          </w:p>
        </w:tc>
        <w:tc>
          <w:tcPr>
            <w:tcW w:w="1280" w:type="dxa"/>
            <w:vAlign w:val="bottom"/>
          </w:tcPr>
          <w:p>
            <w:pPr>
              <w:jc w:val="right"/>
              <w:ind w:right="200"/>
              <w:spacing w:after="0" w:line="108" w:lineRule="exact"/>
              <w:rPr>
                <w:sz w:val="20"/>
                <w:szCs w:val="20"/>
                <w:color w:val="auto"/>
              </w:rPr>
            </w:pPr>
            <w:r>
              <w:rPr>
                <w:rFonts w:ascii="Times New Roman" w:cs="Times New Roman" w:eastAsia="Times New Roman" w:hAnsi="Times New Roman"/>
                <w:sz w:val="12"/>
                <w:szCs w:val="12"/>
                <w:color w:val="auto"/>
              </w:rPr>
              <w:t>11.83% PIK</w:t>
            </w:r>
          </w:p>
        </w:tc>
        <w:tc>
          <w:tcPr>
            <w:tcW w:w="1200" w:type="dxa"/>
            <w:vAlign w:val="bottom"/>
          </w:tcPr>
          <w:p>
            <w:pPr>
              <w:jc w:val="right"/>
              <w:ind w:right="281"/>
              <w:spacing w:after="0" w:line="108" w:lineRule="exact"/>
              <w:rPr>
                <w:sz w:val="20"/>
                <w:szCs w:val="20"/>
                <w:color w:val="auto"/>
              </w:rPr>
            </w:pPr>
            <w:r>
              <w:rPr>
                <w:rFonts w:ascii="Times New Roman" w:cs="Times New Roman" w:eastAsia="Times New Roman" w:hAnsi="Times New Roman"/>
                <w:sz w:val="12"/>
                <w:szCs w:val="12"/>
                <w:color w:val="auto"/>
              </w:rPr>
              <w:t>51,889</w:t>
            </w:r>
          </w:p>
        </w:tc>
        <w:tc>
          <w:tcPr>
            <w:tcW w:w="1360" w:type="dxa"/>
            <w:vAlign w:val="bottom"/>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53,763</w:t>
            </w:r>
          </w:p>
        </w:tc>
        <w:tc>
          <w:tcPr>
            <w:tcW w:w="10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10/2030)</w:t>
            </w:r>
          </w:p>
        </w:tc>
        <w:tc>
          <w:tcPr>
            <w:tcW w:w="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0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Crewline Buyer, Inc.</w:t>
            </w:r>
            <w:r>
              <w:rPr>
                <w:rFonts w:ascii="Times New Roman" w:cs="Times New Roman" w:eastAsia="Times New Roman" w:hAnsi="Times New Roman"/>
                <w:sz w:val="16"/>
                <w:szCs w:val="16"/>
                <w:color w:val="auto"/>
                <w:vertAlign w:val="superscript"/>
              </w:rPr>
              <w:t>(3)</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($58,384 par, due 11/2030)</w:t>
            </w:r>
          </w:p>
        </w:tc>
        <w:tc>
          <w:tcPr>
            <w:tcW w:w="8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11/8/2023</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+ 6.75%</w:t>
            </w: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10.91%</w:t>
            </w: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57,095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58,866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6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6"/>
                <w:szCs w:val="16"/>
                <w:color w:val="auto"/>
                <w:vertAlign w:val="superscript"/>
              </w:rPr>
              <w:t>(3)(4)(9)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($947 par, due 4/2031)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4/4/2024</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+ 4.35%</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8.35%</w:t>
            </w:r>
          </w:p>
        </w:tc>
        <w:tc>
          <w:tcPr>
            <w:tcW w:w="1200" w:type="dxa"/>
            <w:vAlign w:val="bottom"/>
          </w:tcPr>
          <w:p>
            <w:pPr>
              <w:jc w:val="right"/>
              <w:ind w:right="261"/>
              <w:spacing w:after="0"/>
              <w:rPr>
                <w:sz w:val="20"/>
                <w:szCs w:val="20"/>
                <w:color w:val="auto"/>
              </w:rPr>
            </w:pPr>
            <w:r>
              <w:rPr>
                <w:rFonts w:ascii="Times New Roman" w:cs="Times New Roman" w:eastAsia="Times New Roman" w:hAnsi="Times New Roman"/>
                <w:sz w:val="12"/>
                <w:szCs w:val="12"/>
                <w:color w:val="auto"/>
              </w:rPr>
              <w:t>935</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941</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2"/>
                <w:szCs w:val="12"/>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($2,257 par, due 4/2031)</w:t>
            </w:r>
          </w:p>
        </w:tc>
        <w:tc>
          <w:tcPr>
            <w:tcW w:w="8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4/29/2024</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2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9.41% (incl. 2.25%</w:t>
            </w: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2,243</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2,286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($1,848 par, due 4/2031)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4/29/2024</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9.16%</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1,841</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1,871</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10,462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4/29/2024</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+ 5.50%</w:t>
            </w:r>
          </w:p>
        </w:tc>
        <w:tc>
          <w:tcPr>
            <w:tcW w:w="128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9.47% (incl. 2.50%</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13,008</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14,296</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4/2031)</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(GBP 10,619)</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ExtraHop Networks, Inc. </w:t>
            </w:r>
            <w:r>
              <w:rPr>
                <w:rFonts w:ascii="Times New Roman" w:cs="Times New Roman" w:eastAsia="Times New Roman" w:hAnsi="Times New Roman"/>
                <w:sz w:val="16"/>
                <w:szCs w:val="16"/>
                <w:color w:val="auto"/>
                <w:vertAlign w:val="superscript"/>
              </w:rPr>
              <w:t>(3)(5)</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($76,496 par, due 7/2027)</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7/22/2021</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+ 6.60%</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10.76%</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75,964</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76,690</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ForeScout Technologies, Inc. </w:t>
            </w:r>
            <w:r>
              <w:rPr>
                <w:rFonts w:ascii="Times New Roman" w:cs="Times New Roman" w:eastAsia="Times New Roman" w:hAnsi="Times New Roman"/>
                <w:sz w:val="16"/>
                <w:szCs w:val="16"/>
                <w:color w:val="auto"/>
                <w:vertAlign w:val="superscript"/>
              </w:rPr>
              <w:t>(3)</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($5,555 par, due 5/2031)</w:t>
            </w:r>
          </w:p>
        </w:tc>
        <w:tc>
          <w:tcPr>
            <w:tcW w:w="8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5/24/2024</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9.20%</w:t>
            </w: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5,504</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5,555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6"/>
                <w:szCs w:val="16"/>
                <w:color w:val="auto"/>
                <w:vertAlign w:val="superscript"/>
              </w:rPr>
              <w:t>(3)</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($63,606 par, due 5/2030)</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5/3/2023</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+ 5.75%</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9.75%</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62,194</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64,242</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($6,635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5/3/2023</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+ 5.75%</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9.75%</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6,454</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6,736</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5/2030)</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Lynx BidCo </w:t>
            </w:r>
            <w:r>
              <w:rPr>
                <w:rFonts w:ascii="Times New Roman" w:cs="Times New Roman" w:eastAsia="Times New Roman" w:hAnsi="Times New Roman"/>
                <w:sz w:val="16"/>
                <w:szCs w:val="16"/>
                <w:color w:val="auto"/>
                <w:vertAlign w:val="superscript"/>
              </w:rPr>
              <w:t>(3)(4)</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($1,500 par, due 7/2031)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7/5/2024</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+ 6.50%</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10.50%</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1,385</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1,461</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23,603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7/5/2024</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8.50%</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26,934</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27,543</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7/2031)</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(EUR 23,441)</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Mitnick Corporate Purchaser,</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($323 par, due 5/2029)</w:t>
            </w:r>
          </w:p>
        </w:tc>
        <w:tc>
          <w:tcPr>
            <w:tcW w:w="86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5/2/2022</w:t>
            </w:r>
          </w:p>
        </w:tc>
        <w:tc>
          <w:tcPr>
            <w:tcW w:w="1080" w:type="dxa"/>
            <w:vAlign w:val="bottom"/>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SOFR + 4.85%</w:t>
            </w:r>
          </w:p>
        </w:tc>
        <w:tc>
          <w:tcPr>
            <w:tcW w:w="128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9.16%</w:t>
            </w:r>
          </w:p>
        </w:tc>
        <w:tc>
          <w:tcPr>
            <w:tcW w:w="1200" w:type="dxa"/>
            <w:vAlign w:val="bottom"/>
          </w:tcPr>
          <w:p>
            <w:pPr>
              <w:jc w:val="right"/>
              <w:ind w:right="261"/>
              <w:spacing w:after="0" w:line="121" w:lineRule="exact"/>
              <w:rPr>
                <w:sz w:val="20"/>
                <w:szCs w:val="20"/>
                <w:color w:val="auto"/>
              </w:rPr>
            </w:pPr>
            <w:r>
              <w:rPr>
                <w:rFonts w:ascii="Times New Roman" w:cs="Times New Roman" w:eastAsia="Times New Roman" w:hAnsi="Times New Roman"/>
                <w:sz w:val="12"/>
                <w:szCs w:val="12"/>
                <w:color w:val="auto"/>
              </w:rPr>
              <w:t>323</w:t>
            </w:r>
          </w:p>
        </w:tc>
        <w:tc>
          <w:tcPr>
            <w:tcW w:w="136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233</w:t>
            </w:r>
          </w:p>
        </w:tc>
        <w:tc>
          <w:tcPr>
            <w:tcW w:w="10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Inc.</w:t>
            </w:r>
            <w:r>
              <w:rPr>
                <w:rFonts w:ascii="Times New Roman" w:cs="Times New Roman" w:eastAsia="Times New Roman" w:hAnsi="Times New Roman"/>
                <w:sz w:val="8"/>
                <w:szCs w:val="8"/>
                <w:color w:val="auto"/>
              </w:rPr>
              <w:t xml:space="preserve"> (3)(9)</w:t>
            </w: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5"/>
                <w:szCs w:val="15"/>
                <w:color w:val="auto"/>
                <w:vertAlign w:val="superscript"/>
              </w:rPr>
              <w:t>(3)(4)</w:t>
            </w: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910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10/27/2023</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8.97%</w:t>
            </w:r>
          </w:p>
        </w:tc>
        <w:tc>
          <w:tcPr>
            <w:tcW w:w="1200" w:type="dxa"/>
            <w:vAlign w:val="bottom"/>
            <w:shd w:val="clear" w:color="auto" w:fill="CFF0FC"/>
          </w:tcPr>
          <w:p>
            <w:pPr>
              <w:jc w:val="right"/>
              <w:ind w:right="261"/>
              <w:spacing w:after="0" w:line="133" w:lineRule="exact"/>
              <w:rPr>
                <w:sz w:val="20"/>
                <w:szCs w:val="20"/>
                <w:color w:val="auto"/>
              </w:rPr>
            </w:pPr>
            <w:r>
              <w:rPr>
                <w:rFonts w:ascii="Times New Roman" w:cs="Times New Roman" w:eastAsia="Times New Roman" w:hAnsi="Times New Roman"/>
                <w:sz w:val="12"/>
                <w:szCs w:val="12"/>
                <w:color w:val="auto"/>
              </w:rPr>
              <w:t>969</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1,083</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(EUR 921)</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910 par, due</w:t>
            </w:r>
          </w:p>
        </w:tc>
        <w:tc>
          <w:tcPr>
            <w:tcW w:w="8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12/19/2024</w:t>
            </w:r>
          </w:p>
        </w:tc>
        <w:tc>
          <w:tcPr>
            <w:tcW w:w="10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+ 6.25%</w:t>
            </w:r>
          </w:p>
        </w:tc>
        <w:tc>
          <w:tcPr>
            <w:tcW w:w="128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8.22%</w:t>
            </w:r>
          </w:p>
        </w:tc>
        <w:tc>
          <w:tcPr>
            <w:tcW w:w="1200" w:type="dxa"/>
            <w:vAlign w:val="bottom"/>
          </w:tcPr>
          <w:p>
            <w:pPr>
              <w:jc w:val="right"/>
              <w:ind w:right="261"/>
              <w:spacing w:after="0" w:line="133" w:lineRule="exact"/>
              <w:rPr>
                <w:sz w:val="20"/>
                <w:szCs w:val="20"/>
                <w:color w:val="auto"/>
              </w:rPr>
            </w:pPr>
            <w:r>
              <w:rPr>
                <w:rFonts w:ascii="Times New Roman" w:cs="Times New Roman" w:eastAsia="Times New Roman" w:hAnsi="Times New Roman"/>
                <w:sz w:val="12"/>
                <w:szCs w:val="12"/>
                <w:color w:val="auto"/>
              </w:rPr>
              <w:t>925</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1,080</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919)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USA DeBusk, LLC </w:t>
            </w:r>
            <w:r>
              <w:rPr>
                <w:rFonts w:ascii="Times New Roman" w:cs="Times New Roman" w:eastAsia="Times New Roman" w:hAnsi="Times New Roman"/>
                <w:sz w:val="16"/>
                <w:szCs w:val="16"/>
                <w:color w:val="auto"/>
                <w:vertAlign w:val="superscript"/>
              </w:rPr>
              <w:t>(3)</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($6,969 par, due 4/2031)</w:t>
            </w:r>
          </w:p>
        </w:tc>
        <w:tc>
          <w:tcPr>
            <w:tcW w:w="8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4/30/2024</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9.45%</w:t>
            </w: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6,868</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7,014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($534 par, due</w:t>
            </w:r>
          </w:p>
        </w:tc>
        <w:tc>
          <w:tcPr>
            <w:tcW w:w="8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4/30/2024</w:t>
            </w:r>
          </w:p>
        </w:tc>
        <w:tc>
          <w:tcPr>
            <w:tcW w:w="10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+ 5.25%</w:t>
            </w:r>
          </w:p>
        </w:tc>
        <w:tc>
          <w:tcPr>
            <w:tcW w:w="128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9.41%</w:t>
            </w:r>
          </w:p>
        </w:tc>
        <w:tc>
          <w:tcPr>
            <w:tcW w:w="1200" w:type="dxa"/>
            <w:vAlign w:val="bottom"/>
          </w:tcPr>
          <w:p>
            <w:pPr>
              <w:jc w:val="right"/>
              <w:ind w:right="261"/>
              <w:spacing w:after="0" w:line="133" w:lineRule="exact"/>
              <w:rPr>
                <w:sz w:val="20"/>
                <w:szCs w:val="20"/>
                <w:color w:val="auto"/>
              </w:rPr>
            </w:pPr>
            <w:r>
              <w:rPr>
                <w:rFonts w:ascii="Times New Roman" w:cs="Times New Roman" w:eastAsia="Times New Roman" w:hAnsi="Times New Roman"/>
                <w:sz w:val="12"/>
                <w:szCs w:val="12"/>
                <w:color w:val="auto"/>
              </w:rPr>
              <w:t>521</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541</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4/2030)</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6"/>
                <w:szCs w:val="16"/>
                <w:color w:val="auto"/>
                <w:vertAlign w:val="superscript"/>
              </w:rPr>
              <w:t>(3)</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($5,988 par, due 9/2029)</w:t>
            </w:r>
          </w:p>
        </w:tc>
        <w:tc>
          <w:tcPr>
            <w:tcW w:w="8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7/7/2023</w:t>
            </w:r>
          </w:p>
        </w:tc>
        <w:tc>
          <w:tcPr>
            <w:tcW w:w="108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+ 6.00%</w:t>
            </w:r>
          </w:p>
        </w:tc>
        <w:tc>
          <w:tcPr>
            <w:tcW w:w="128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10.07%</w:t>
            </w: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5,889</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6,073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423,009</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436,130</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Chemicals</w:t>
            </w:r>
          </w:p>
        </w:tc>
        <w:tc>
          <w:tcPr>
            <w:tcW w:w="2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5"/>
                <w:szCs w:val="15"/>
                <w:color w:val="auto"/>
                <w:vertAlign w:val="superscript"/>
              </w:rPr>
              <w:t>(3)(4)</w:t>
            </w: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11,549 par, due</w:t>
            </w:r>
          </w:p>
        </w:tc>
        <w:tc>
          <w:tcPr>
            <w:tcW w:w="8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8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9.03%</w:t>
            </w:r>
          </w:p>
        </w:tc>
        <w:tc>
          <w:tcPr>
            <w:tcW w:w="1200" w:type="dxa"/>
            <w:vAlign w:val="bottom"/>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11,598</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13,817</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11,759)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19,592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+ 7.00%</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10.97%</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23,117</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26,705</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(GBP 19,836)</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(NOK 7,427 par, due</w:t>
            </w:r>
          </w:p>
        </w:tc>
        <w:tc>
          <w:tcPr>
            <w:tcW w:w="8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8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N + 7.00%</w:t>
            </w:r>
          </w:p>
        </w:tc>
        <w:tc>
          <w:tcPr>
            <w:tcW w:w="128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11.33%</w:t>
            </w:r>
          </w:p>
        </w:tc>
        <w:tc>
          <w:tcPr>
            <w:tcW w:w="1200" w:type="dxa"/>
            <w:vAlign w:val="bottom"/>
          </w:tcPr>
          <w:p>
            <w:pPr>
              <w:jc w:val="right"/>
              <w:ind w:right="261"/>
              <w:spacing w:after="0" w:line="133" w:lineRule="exact"/>
              <w:rPr>
                <w:sz w:val="20"/>
                <w:szCs w:val="20"/>
                <w:color w:val="auto"/>
              </w:rPr>
            </w:pPr>
            <w:r>
              <w:rPr>
                <w:rFonts w:ascii="Times New Roman" w:cs="Times New Roman" w:eastAsia="Times New Roman" w:hAnsi="Times New Roman"/>
                <w:sz w:val="12"/>
                <w:szCs w:val="12"/>
                <w:color w:val="auto"/>
              </w:rPr>
              <w:t>711</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754</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(NOK 7,520)</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(GBP 499 par,</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+ 7.00%</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10.97%</w:t>
            </w:r>
          </w:p>
        </w:tc>
        <w:tc>
          <w:tcPr>
            <w:tcW w:w="1200" w:type="dxa"/>
            <w:vAlign w:val="bottom"/>
            <w:shd w:val="clear" w:color="auto" w:fill="CFF0FC"/>
          </w:tcPr>
          <w:p>
            <w:pPr>
              <w:jc w:val="right"/>
              <w:ind w:right="261"/>
              <w:spacing w:after="0" w:line="133" w:lineRule="exact"/>
              <w:rPr>
                <w:sz w:val="20"/>
                <w:szCs w:val="20"/>
                <w:color w:val="auto"/>
              </w:rPr>
            </w:pPr>
            <w:r>
              <w:rPr>
                <w:rFonts w:ascii="Times New Roman" w:cs="Times New Roman" w:eastAsia="Times New Roman" w:hAnsi="Times New Roman"/>
                <w:sz w:val="12"/>
                <w:szCs w:val="12"/>
                <w:color w:val="auto"/>
              </w:rPr>
              <w:t>610</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680</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due 9/2028)</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(GBP 505)</w:t>
            </w: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36,036</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41,956</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Aurelia Netherlands MidCo 2</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(EUR 32,904 par, due</w:t>
            </w:r>
          </w:p>
        </w:tc>
        <w:tc>
          <w:tcPr>
            <w:tcW w:w="86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5/22/2024</w:t>
            </w:r>
          </w:p>
        </w:tc>
        <w:tc>
          <w:tcPr>
            <w:tcW w:w="1080" w:type="dxa"/>
            <w:vAlign w:val="bottom"/>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E + 4.75%</w:t>
            </w:r>
          </w:p>
        </w:tc>
        <w:tc>
          <w:tcPr>
            <w:tcW w:w="128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6.78%</w:t>
            </w:r>
          </w:p>
        </w:tc>
        <w:tc>
          <w:tcPr>
            <w:tcW w:w="1200" w:type="dxa"/>
            <w:vAlign w:val="bottom"/>
          </w:tcPr>
          <w:p>
            <w:pPr>
              <w:jc w:val="right"/>
              <w:ind w:right="281"/>
              <w:spacing w:after="0" w:line="121" w:lineRule="exact"/>
              <w:rPr>
                <w:sz w:val="20"/>
                <w:szCs w:val="20"/>
                <w:color w:val="auto"/>
              </w:rPr>
            </w:pPr>
            <w:r>
              <w:rPr>
                <w:rFonts w:ascii="Times New Roman" w:cs="Times New Roman" w:eastAsia="Times New Roman" w:hAnsi="Times New Roman"/>
                <w:sz w:val="12"/>
                <w:szCs w:val="12"/>
                <w:color w:val="auto"/>
              </w:rPr>
              <w:t>34,983</w:t>
            </w:r>
          </w:p>
        </w:tc>
        <w:tc>
          <w:tcPr>
            <w:tcW w:w="136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38,662</w:t>
            </w:r>
          </w:p>
        </w:tc>
        <w:tc>
          <w:tcPr>
            <w:tcW w:w="10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B.V.</w:t>
            </w:r>
            <w:r>
              <w:rPr>
                <w:rFonts w:ascii="Times New Roman" w:cs="Times New Roman" w:eastAsia="Times New Roman" w:hAnsi="Times New Roman"/>
                <w:sz w:val="8"/>
                <w:szCs w:val="8"/>
                <w:color w:val="auto"/>
              </w:rPr>
              <w:t xml:space="preserve"> (3)(4)</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5/2031)</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32,904)</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X Holdings Inc. </w:t>
            </w:r>
            <w:r>
              <w:rPr>
                <w:rFonts w:ascii="Times New Roman" w:cs="Times New Roman" w:eastAsia="Times New Roman" w:hAnsi="Times New Roman"/>
                <w:sz w:val="12"/>
                <w:szCs w:val="12"/>
                <w:color w:val="auto"/>
                <w:vertAlign w:val="superscript"/>
              </w:rPr>
              <w:t>(9)</w:t>
            </w:r>
          </w:p>
        </w:tc>
        <w:tc>
          <w:tcPr>
            <w:tcW w:w="21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($9,362 par, due 10/2029)</w:t>
            </w:r>
          </w:p>
        </w:tc>
        <w:tc>
          <w:tcPr>
            <w:tcW w:w="86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2/5/2025</w:t>
            </w:r>
          </w:p>
        </w:tc>
        <w:tc>
          <w:tcPr>
            <w:tcW w:w="1080" w:type="dxa"/>
            <w:vAlign w:val="bottom"/>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2"/>
                <w:szCs w:val="12"/>
                <w:color w:val="auto"/>
              </w:rPr>
              <w:t>SOFR + 6.65%</w:t>
            </w:r>
          </w:p>
        </w:tc>
        <w:tc>
          <w:tcPr>
            <w:tcW w:w="128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10.96%</w:t>
            </w:r>
          </w:p>
        </w:tc>
        <w:tc>
          <w:tcPr>
            <w:tcW w:w="1200" w:type="dxa"/>
            <w:vAlign w:val="bottom"/>
            <w:shd w:val="clear" w:color="auto" w:fill="CFF0FC"/>
          </w:tcPr>
          <w:p>
            <w:pPr>
              <w:jc w:val="right"/>
              <w:ind w:right="281"/>
              <w:spacing w:after="0" w:line="108" w:lineRule="exact"/>
              <w:rPr>
                <w:sz w:val="20"/>
                <w:szCs w:val="20"/>
                <w:color w:val="auto"/>
              </w:rPr>
            </w:pPr>
            <w:r>
              <w:rPr>
                <w:rFonts w:ascii="Times New Roman" w:cs="Times New Roman" w:eastAsia="Times New Roman" w:hAnsi="Times New Roman"/>
                <w:sz w:val="12"/>
                <w:szCs w:val="12"/>
                <w:color w:val="auto"/>
              </w:rPr>
              <w:t>9,108</w:t>
            </w:r>
          </w:p>
        </w:tc>
        <w:tc>
          <w:tcPr>
            <w:tcW w:w="136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9,176</w:t>
            </w:r>
          </w:p>
        </w:tc>
        <w:tc>
          <w:tcPr>
            <w:tcW w:w="10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00" w:type="dxa"/>
            <w:vAlign w:val="bottom"/>
            <w:tcBorders>
              <w:bottom w:val="single" w:sz="8" w:color="CFF0FC"/>
            </w:tcBorders>
            <w:shd w:val="clear" w:color="auto" w:fill="CFF0FC"/>
          </w:tcPr>
          <w:p>
            <w:pPr>
              <w:spacing w:after="0"/>
              <w:rPr>
                <w:sz w:val="10"/>
                <w:szCs w:val="10"/>
                <w:color w:val="auto"/>
              </w:rPr>
            </w:pPr>
          </w:p>
        </w:tc>
        <w:tc>
          <w:tcPr>
            <w:tcW w:w="2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(3)</w:t>
            </w:r>
          </w:p>
        </w:tc>
        <w:tc>
          <w:tcPr>
            <w:tcW w:w="86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1200" w:type="dxa"/>
            <w:vAlign w:val="bottom"/>
            <w:tcBorders>
              <w:bottom w:val="single" w:sz="8" w:color="CFF0FC"/>
            </w:tcBorders>
            <w:shd w:val="clear" w:color="auto" w:fill="CFF0FC"/>
          </w:tcPr>
          <w:p>
            <w:pPr>
              <w:spacing w:after="0"/>
              <w:rPr>
                <w:sz w:val="10"/>
                <w:szCs w:val="10"/>
                <w:color w:val="auto"/>
              </w:rPr>
            </w:pPr>
          </w:p>
        </w:tc>
        <w:tc>
          <w:tcPr>
            <w:tcW w:w="1360" w:type="dxa"/>
            <w:vAlign w:val="bottom"/>
            <w:tcBorders>
              <w:bottom w:val="single" w:sz="8" w:color="CFF0FC"/>
            </w:tcBorders>
            <w:shd w:val="clear" w:color="auto" w:fill="CFF0FC"/>
          </w:tcPr>
          <w:p>
            <w:pPr>
              <w:spacing w:after="0"/>
              <w:rPr>
                <w:sz w:val="10"/>
                <w:szCs w:val="10"/>
                <w:color w:val="auto"/>
              </w:rPr>
            </w:pPr>
          </w:p>
        </w:tc>
        <w:tc>
          <w:tcPr>
            <w:tcW w:w="102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($988 par, due 10/2029)</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4/28/2025</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9.50%</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9.50%</w:t>
            </w:r>
          </w:p>
        </w:tc>
        <w:tc>
          <w:tcPr>
            <w:tcW w:w="1200" w:type="dxa"/>
            <w:vAlign w:val="bottom"/>
          </w:tcPr>
          <w:p>
            <w:pPr>
              <w:jc w:val="right"/>
              <w:ind w:right="261"/>
              <w:spacing w:after="0"/>
              <w:rPr>
                <w:sz w:val="20"/>
                <w:szCs w:val="20"/>
                <w:color w:val="auto"/>
              </w:rPr>
            </w:pPr>
            <w:r>
              <w:rPr>
                <w:rFonts w:ascii="Times New Roman" w:cs="Times New Roman" w:eastAsia="Times New Roman" w:hAnsi="Times New Roman"/>
                <w:sz w:val="12"/>
                <w:szCs w:val="12"/>
                <w:color w:val="auto"/>
              </w:rPr>
              <w:t>970</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991</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45,061</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48,829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5"/>
                <w:szCs w:val="15"/>
                <w:color w:val="auto"/>
                <w:vertAlign w:val="superscript"/>
              </w:rPr>
              <w:t>(3)(14)</w:t>
            </w: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Second-lien loan ($40,084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10/22/2021</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P + 9.88%</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17.13%</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39,489</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401</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(3)</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($56,216 par, due 12/2027)</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12/22/2021</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+ 6.35%</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10.55%</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55,722</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55,232</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($2,635 par, due</w:t>
            </w:r>
          </w:p>
        </w:tc>
        <w:tc>
          <w:tcPr>
            <w:tcW w:w="8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08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+ 6.35%</w:t>
            </w:r>
          </w:p>
        </w:tc>
        <w:tc>
          <w:tcPr>
            <w:tcW w:w="128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10.55%</w:t>
            </w:r>
          </w:p>
        </w:tc>
        <w:tc>
          <w:tcPr>
            <w:tcW w:w="1200" w:type="dxa"/>
            <w:vAlign w:val="bottom"/>
            <w:shd w:val="clear" w:color="auto" w:fill="CFF0FC"/>
          </w:tcPr>
          <w:p>
            <w:pPr>
              <w:jc w:val="right"/>
              <w:ind w:right="281"/>
              <w:spacing w:after="0" w:line="133" w:lineRule="exact"/>
              <w:rPr>
                <w:sz w:val="20"/>
                <w:szCs w:val="20"/>
                <w:color w:val="auto"/>
              </w:rPr>
            </w:pPr>
            <w:r>
              <w:rPr>
                <w:rFonts w:ascii="Times New Roman" w:cs="Times New Roman" w:eastAsia="Times New Roman" w:hAnsi="Times New Roman"/>
                <w:sz w:val="12"/>
                <w:szCs w:val="12"/>
                <w:color w:val="auto"/>
              </w:rPr>
              <w:t>2,570</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2,481</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12/2027)</w:t>
            </w:r>
          </w:p>
        </w:tc>
        <w:tc>
          <w:tcPr>
            <w:tcW w:w="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6"/>
                <w:szCs w:val="16"/>
                <w:color w:val="auto"/>
                <w:vertAlign w:val="superscript"/>
              </w:rPr>
              <w:t>(3)(4)</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($30,625 par, due 11/2030)</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11/2/2023</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+ 6.25%</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10.43%</w:t>
            </w: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2"/>
                <w:szCs w:val="12"/>
                <w:color w:val="auto"/>
              </w:rPr>
              <w:t>29,909</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31,238</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 xml:space="preserve">Severin Acquisition, LLC </w:t>
      </w:r>
      <w:r>
        <w:rPr>
          <w:rFonts w:ascii="Times New Roman" w:cs="Times New Roman" w:eastAsia="Times New Roman" w:hAnsi="Times New Roman"/>
          <w:sz w:val="16"/>
          <w:szCs w:val="16"/>
          <w:color w:val="auto"/>
          <w:vertAlign w:val="superscript"/>
        </w:rPr>
        <w:t>(3)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Electronics</w:t>
      </w:r>
    </w:p>
    <w:p>
      <w:pPr>
        <w:spacing w:after="0" w:line="219" w:lineRule="auto"/>
        <w:rPr>
          <w:sz w:val="20"/>
          <w:szCs w:val="20"/>
          <w:color w:val="auto"/>
        </w:rPr>
      </w:pPr>
      <w:r>
        <w:rPr>
          <w:rFonts w:ascii="Times New Roman" w:cs="Times New Roman" w:eastAsia="Times New Roman" w:hAnsi="Times New Roman"/>
          <w:sz w:val="12"/>
          <w:szCs w:val="12"/>
          <w:color w:val="auto"/>
        </w:rPr>
        <w:t>Sapphire Software Buyer, Inc.</w:t>
      </w:r>
    </w:p>
    <w:p>
      <w:pPr>
        <w:spacing w:after="0"/>
        <w:rPr>
          <w:sz w:val="20"/>
          <w:szCs w:val="20"/>
          <w:color w:val="auto"/>
        </w:rPr>
      </w:pPr>
      <w:r>
        <w:rPr>
          <w:rFonts w:ascii="Times New Roman" w:cs="Times New Roman" w:eastAsia="Times New Roman" w:hAnsi="Times New Roman"/>
          <w:sz w:val="8"/>
          <w:szCs w:val="8"/>
          <w:color w:val="auto"/>
        </w:rPr>
        <w:t>(3)</w:t>
      </w:r>
    </w:p>
    <w:p>
      <w:pPr>
        <w:spacing w:after="0" w:line="40" w:lineRule="exact"/>
        <w:rPr>
          <w:sz w:val="20"/>
          <w:szCs w:val="20"/>
          <w:color w:val="auto"/>
        </w:rPr>
      </w:pPr>
    </w:p>
    <w:p>
      <w:pPr>
        <w:ind w:right="480"/>
        <w:spacing w:after="0" w:line="318" w:lineRule="auto"/>
        <w:rPr>
          <w:sz w:val="20"/>
          <w:szCs w:val="20"/>
          <w:color w:val="auto"/>
        </w:rPr>
      </w:pPr>
      <w:r>
        <w:rPr>
          <w:rFonts w:ascii="Times New Roman" w:cs="Times New Roman" w:eastAsia="Times New Roman" w:hAnsi="Times New Roman"/>
          <w:sz w:val="11"/>
          <w:szCs w:val="11"/>
          <w:b w:val="1"/>
          <w:bCs w:val="1"/>
          <w:color w:val="auto"/>
        </w:rPr>
        <w:t xml:space="preserve">Financial Services </w:t>
      </w: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5"/>
          <w:szCs w:val="15"/>
          <w:color w:val="auto"/>
          <w:vertAlign w:val="superscript"/>
        </w:rPr>
        <w:t>(3)(4)</w:t>
      </w:r>
    </w:p>
    <w:p>
      <w:pPr>
        <w:spacing w:after="0" w:line="234" w:lineRule="auto"/>
        <w:rPr>
          <w:sz w:val="20"/>
          <w:szCs w:val="20"/>
          <w:color w:val="auto"/>
        </w:rPr>
      </w:pPr>
      <w:r>
        <w:rPr>
          <w:rFonts w:ascii="Times New Roman" w:cs="Times New Roman" w:eastAsia="Times New Roman" w:hAnsi="Times New Roman"/>
          <w:sz w:val="12"/>
          <w:szCs w:val="12"/>
          <w:color w:val="auto"/>
        </w:rPr>
        <w:t xml:space="preserve">Arlberg Bidco LLC </w:t>
      </w:r>
      <w:r>
        <w:rPr>
          <w:rFonts w:ascii="Times New Roman" w:cs="Times New Roman" w:eastAsia="Times New Roman" w:hAnsi="Times New Roman"/>
          <w:sz w:val="16"/>
          <w:szCs w:val="16"/>
          <w:color w:val="auto"/>
          <w:vertAlign w:val="superscript"/>
        </w:rPr>
        <w:t>(3)(4)(5)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GreenShoot BidCo B.V </w:t>
      </w:r>
      <w:r>
        <w:rPr>
          <w:rFonts w:ascii="Times New Roman" w:cs="Times New Roman" w:eastAsia="Times New Roman" w:hAnsi="Times New Roman"/>
          <w:sz w:val="16"/>
          <w:szCs w:val="16"/>
          <w:color w:val="auto"/>
          <w:vertAlign w:val="superscript"/>
        </w:rPr>
        <w:t>(3)(4)</w:t>
      </w:r>
    </w:p>
    <w:p>
      <w:pPr>
        <w:spacing w:after="0" w:line="96"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11"/>
          <w:szCs w:val="11"/>
          <w:color w:val="auto"/>
        </w:rPr>
        <w:t xml:space="preserve">Ibis Intermediate Co. </w:t>
      </w:r>
      <w:r>
        <w:rPr>
          <w:rFonts w:ascii="Times New Roman" w:cs="Times New Roman" w:eastAsia="Times New Roman" w:hAnsi="Times New Roman"/>
          <w:sz w:val="15"/>
          <w:szCs w:val="15"/>
          <w:color w:val="auto"/>
          <w:vertAlign w:val="superscript"/>
        </w:rPr>
        <w:t>(3)(5)</w:t>
      </w:r>
      <w:r>
        <w:rPr>
          <w:rFonts w:ascii="Times New Roman" w:cs="Times New Roman" w:eastAsia="Times New Roman" w:hAnsi="Times New Roman"/>
          <w:sz w:val="11"/>
          <w:szCs w:val="11"/>
          <w:color w:val="auto"/>
        </w:rPr>
        <w:t xml:space="preserve"> Ibis US Blocker Co.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1"/>
          <w:szCs w:val="11"/>
          <w:color w:val="auto"/>
        </w:rPr>
        <w:t xml:space="preserve"> Passport Labs,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Payroc Buyer, LLC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(3)(5)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Volante Technologies,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Healthcare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BCTO Ace Purchaser, Inc. </w:t>
      </w:r>
      <w:r>
        <w:rPr>
          <w:rFonts w:ascii="Times New Roman" w:cs="Times New Roman" w:eastAsia="Times New Roman" w:hAnsi="Times New Roman"/>
          <w:sz w:val="16"/>
          <w:szCs w:val="16"/>
          <w:color w:val="auto"/>
          <w:vertAlign w:val="superscript"/>
        </w:rPr>
        <w:t>(3)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Edge Bidco B.V. </w:t>
      </w:r>
      <w:r>
        <w:rPr>
          <w:rFonts w:ascii="Times New Roman" w:cs="Times New Roman" w:eastAsia="Times New Roman" w:hAnsi="Times New Roman"/>
          <w:sz w:val="16"/>
          <w:szCs w:val="16"/>
          <w:color w:val="auto"/>
          <w:vertAlign w:val="superscript"/>
        </w:rPr>
        <w:t>(3)(4)(5)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6"/>
          <w:szCs w:val="16"/>
          <w:color w:val="auto"/>
          <w:vertAlign w:val="superscript"/>
        </w:rPr>
        <w:t>(3)</w:t>
      </w:r>
    </w:p>
    <w:p>
      <w:pPr>
        <w:spacing w:after="0" w:line="248"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1"/>
          <w:szCs w:val="11"/>
          <w:color w:val="auto"/>
        </w:rPr>
        <w:t xml:space="preserve">HMP Omnimedia, LLC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1"/>
          <w:szCs w:val="11"/>
          <w:color w:val="auto"/>
        </w:rPr>
        <w:t xml:space="preserve"> Ingenovis Health Finance, LLC</w:t>
      </w:r>
    </w:p>
    <w:p>
      <w:pPr>
        <w:spacing w:after="0"/>
        <w:rPr>
          <w:sz w:val="20"/>
          <w:szCs w:val="20"/>
          <w:color w:val="auto"/>
        </w:rPr>
      </w:pPr>
      <w:r>
        <w:rPr>
          <w:rFonts w:ascii="Times New Roman" w:cs="Times New Roman" w:eastAsia="Times New Roman" w:hAnsi="Times New Roman"/>
          <w:sz w:val="8"/>
          <w:szCs w:val="8"/>
          <w:color w:val="auto"/>
        </w:rPr>
        <w:t>(3)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(3)(5)</w:t>
      </w:r>
    </w:p>
    <w:p>
      <w:pPr>
        <w:spacing w:after="0" w:line="208" w:lineRule="auto"/>
        <w:rPr>
          <w:sz w:val="20"/>
          <w:szCs w:val="20"/>
          <w:color w:val="auto"/>
        </w:rPr>
      </w:pPr>
      <w:r>
        <w:rPr>
          <w:rFonts w:ascii="Times New Roman" w:cs="Times New Roman" w:eastAsia="Times New Roman" w:hAnsi="Times New Roman"/>
          <w:sz w:val="12"/>
          <w:szCs w:val="12"/>
          <w:color w:val="auto"/>
        </w:rPr>
        <w:t xml:space="preserve">Symplr Software Inc. </w:t>
      </w:r>
      <w:r>
        <w:rPr>
          <w:rFonts w:ascii="Times New Roman" w:cs="Times New Roman" w:eastAsia="Times New Roman" w:hAnsi="Times New Roman"/>
          <w:sz w:val="16"/>
          <w:szCs w:val="16"/>
          <w:color w:val="auto"/>
          <w:vertAlign w:val="superscript"/>
        </w:rPr>
        <w:t>(3)(9)</w:t>
      </w:r>
    </w:p>
    <w:p>
      <w:pPr>
        <w:spacing w:after="0" w:line="181" w:lineRule="auto"/>
        <w:rPr>
          <w:sz w:val="20"/>
          <w:szCs w:val="20"/>
          <w:color w:val="auto"/>
        </w:rPr>
      </w:pPr>
      <w:r>
        <w:rPr>
          <w:rFonts w:ascii="Times New Roman" w:cs="Times New Roman" w:eastAsia="Times New Roman" w:hAnsi="Times New Roman"/>
          <w:sz w:val="12"/>
          <w:szCs w:val="12"/>
          <w:color w:val="auto"/>
        </w:rPr>
        <w:t>Velocity Clinical Research,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w:t>
      </w:r>
    </w:p>
    <w:p>
      <w:pPr>
        <w:spacing w:after="0" w:line="200" w:lineRule="exact"/>
        <w:rPr>
          <w:sz w:val="20"/>
          <w:szCs w:val="20"/>
          <w:color w:val="auto"/>
        </w:rPr>
      </w:pPr>
    </w:p>
    <w:p>
      <w:pPr>
        <w:spacing w:after="0" w:line="27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2"/>
          <w:szCs w:val="12"/>
          <w:b w:val="1"/>
          <w:bCs w:val="1"/>
          <w:color w:val="auto"/>
        </w:rPr>
        <w:t xml:space="preserve">Hotel, Gaming and Leisure </w:t>
      </w:r>
      <w:r>
        <w:rPr>
          <w:rFonts w:ascii="Times New Roman" w:cs="Times New Roman" w:eastAsia="Times New Roman" w:hAnsi="Times New Roman"/>
          <w:sz w:val="12"/>
          <w:szCs w:val="12"/>
          <w:color w:val="auto"/>
        </w:rPr>
        <w:t xml:space="preserve">ASG II, LLC </w:t>
      </w:r>
      <w:r>
        <w:rPr>
          <w:rFonts w:ascii="Times New Roman" w:cs="Times New Roman" w:eastAsia="Times New Roman" w:hAnsi="Times New Roman"/>
          <w:sz w:val="16"/>
          <w:szCs w:val="16"/>
          <w:color w:val="auto"/>
          <w:vertAlign w:val="superscript"/>
        </w:rPr>
        <w:t>(3)(5)</w:t>
      </w:r>
      <w:r>
        <w:rPr>
          <w:rFonts w:ascii="Times New Roman" w:cs="Times New Roman" w:eastAsia="Times New Roman" w:hAnsi="Times New Roman"/>
          <w:sz w:val="12"/>
          <w:szCs w:val="12"/>
          <w:color w:val="auto"/>
        </w:rPr>
        <w:t xml:space="preserve"> AVSC Holding Corp.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2"/>
          <w:szCs w:val="12"/>
          <w:color w:val="auto"/>
        </w:rPr>
        <w:t xml:space="preserve"> Equinox Holdings, Inc.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(3)(6)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Sport Alliance GmbH </w:t>
      </w:r>
      <w:r>
        <w:rPr>
          <w:rFonts w:ascii="Times New Roman" w:cs="Times New Roman" w:eastAsia="Times New Roman" w:hAnsi="Times New Roman"/>
          <w:sz w:val="16"/>
          <w:szCs w:val="16"/>
          <w:color w:val="auto"/>
          <w:vertAlign w:val="superscript"/>
        </w:rPr>
        <w:t>(3)(4)</w:t>
      </w:r>
    </w:p>
    <w:p>
      <w:pPr>
        <w:spacing w:after="0" w:line="200" w:lineRule="exact"/>
        <w:rPr>
          <w:sz w:val="20"/>
          <w:szCs w:val="20"/>
          <w:color w:val="auto"/>
        </w:rPr>
      </w:pPr>
    </w:p>
    <w:p>
      <w:pPr>
        <w:spacing w:after="0" w:line="34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2"/>
          <w:szCs w:val="12"/>
          <w:b w:val="1"/>
          <w:bCs w:val="1"/>
          <w:color w:val="auto"/>
        </w:rPr>
        <w:t>Human Resource Support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(3)(4)(5)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($15,723 par, due 10/2031)</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9.16% (incl. 2.25%</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15,704</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15,672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143,394</w:t>
            </w:r>
          </w:p>
        </w:tc>
        <w:tc>
          <w:tcPr>
            <w:tcW w:w="154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105,024</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($27,030 par, due 9/2031)</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9/30/2024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8.87%</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26,768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26,955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38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727 par, due 5/2030)</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5/30/2023</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+ 5.75%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7.75%</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762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860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732)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($5,000 par, due 2/2031)</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9.98%</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4,900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4,963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5,107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5/28/2024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+ 5.75%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7.78%</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5,426</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5,936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5/2030)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5,052)</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($1,174 par, due 5/2027)</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5/28/2021</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+ 4.65%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8.85%</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1,151</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1,188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($20,238 par, due 5/2028)</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5/28/2021</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+ 9.50%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13.70% PIK</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20,093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20,390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Convertible Promissory Note A</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8.00%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1,086</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1,175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($1,086 par, due 8/2026)</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Promissory Note ($6,000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9/30/2025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5.50% PIK</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6,000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5,085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9/2030)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($55,102 par, due 4/2027)</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4/30/2021</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+ 6.35%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10.66%</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54,592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55,102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($899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P + 5.25%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12.50%</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883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899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5/2027)</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($3,473 par, due 9/2028)</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9/29/2023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16.50% PIK</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3,454</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3,603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98,347</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99,201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277"/>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($69,995 par, due 11/2029)</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11/23/2020</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10.70%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69,498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71,046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Second-lien loan ($7,381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1/23/2023</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+ 10.70%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15.02% PIK</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7,289</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7,492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1/2030)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5,918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2/24/2023</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+ 6.50%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8.50%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6,218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7,074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2/2029)</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6,021)</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($25,771 par, due 11/2030)</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9.50%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25,401</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25,525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($1,867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9.50%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1,822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11/2030)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($19,773 par, due 7/2032)</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7/31/2025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+ 5.25%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9.41%</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19,332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19,548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($32,500 par,</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5/13/2025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10.20%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31,300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31,850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due 5/2030)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($17,995 par, due 3/2029)</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3/24/2023</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+ 6.25%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10.41%</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17,636</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18,182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($636 par, due 12/2027)</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+ 4.60%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8.91%</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543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571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($62,028 par, due 9/2031)</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11.50%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60,800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60,632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($528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9/9/2025</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11.50%</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466</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457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9/2031)</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240,305</w:t>
            </w:r>
          </w:p>
        </w:tc>
        <w:tc>
          <w:tcPr>
            <w:tcW w:w="154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244,217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($65,000 par, due 5/2028)</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5/25/2022</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+ 6.40%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10.71%</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64,183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64,025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($44,941 par, due 12/2031)</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9.16%</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44,040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44,568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19"/>
        </w:trPr>
        <w:tc>
          <w:tcPr>
            <w:tcW w:w="21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First-lien loan ($50,158 par, due 3/2029)</w:t>
            </w:r>
          </w:p>
        </w:tc>
        <w:tc>
          <w:tcPr>
            <w:tcW w:w="800" w:type="dxa"/>
            <w:vAlign w:val="bottom"/>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rPr>
              <w:t>3/8/2024</w:t>
            </w:r>
          </w:p>
        </w:tc>
        <w:tc>
          <w:tcPr>
            <w:tcW w:w="1060" w:type="dxa"/>
            <w:vAlign w:val="bottom"/>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rPr>
              <w:t>SOFR + 8.25%</w:t>
            </w:r>
          </w:p>
        </w:tc>
        <w:tc>
          <w:tcPr>
            <w:tcW w:w="1480" w:type="dxa"/>
            <w:vAlign w:val="bottom"/>
          </w:tcPr>
          <w:p>
            <w:pPr>
              <w:jc w:val="right"/>
              <w:ind w:right="360"/>
              <w:spacing w:after="0" w:line="119" w:lineRule="exact"/>
              <w:rPr>
                <w:sz w:val="20"/>
                <w:szCs w:val="20"/>
                <w:color w:val="auto"/>
              </w:rPr>
            </w:pPr>
            <w:r>
              <w:rPr>
                <w:rFonts w:ascii="Times New Roman" w:cs="Times New Roman" w:eastAsia="Times New Roman" w:hAnsi="Times New Roman"/>
                <w:sz w:val="12"/>
                <w:szCs w:val="12"/>
                <w:color w:val="auto"/>
              </w:rPr>
              <w:t>12.25% (incl. 4.13%</w:t>
            </w:r>
          </w:p>
        </w:tc>
        <w:tc>
          <w:tcPr>
            <w:tcW w:w="1140" w:type="dxa"/>
            <w:vAlign w:val="bottom"/>
          </w:tcPr>
          <w:p>
            <w:pPr>
              <w:jc w:val="right"/>
              <w:ind w:right="380"/>
              <w:spacing w:after="0" w:line="119" w:lineRule="exact"/>
              <w:rPr>
                <w:sz w:val="20"/>
                <w:szCs w:val="20"/>
                <w:color w:val="auto"/>
              </w:rPr>
            </w:pPr>
            <w:r>
              <w:rPr>
                <w:rFonts w:ascii="Times New Roman" w:cs="Times New Roman" w:eastAsia="Times New Roman" w:hAnsi="Times New Roman"/>
                <w:sz w:val="12"/>
                <w:szCs w:val="12"/>
                <w:color w:val="auto"/>
              </w:rPr>
              <w:t>50,565</w:t>
            </w:r>
          </w:p>
        </w:tc>
        <w:tc>
          <w:tcPr>
            <w:tcW w:w="1540" w:type="dxa"/>
            <w:vAlign w:val="bottom"/>
          </w:tcPr>
          <w:p>
            <w:pPr>
              <w:jc w:val="right"/>
              <w:ind w:right="380"/>
              <w:spacing w:after="0" w:line="119" w:lineRule="exact"/>
              <w:rPr>
                <w:sz w:val="20"/>
                <w:szCs w:val="20"/>
                <w:color w:val="auto"/>
              </w:rPr>
            </w:pPr>
            <w:r>
              <w:rPr>
                <w:rFonts w:ascii="Times New Roman" w:cs="Times New Roman" w:eastAsia="Times New Roman" w:hAnsi="Times New Roman"/>
                <w:sz w:val="12"/>
                <w:szCs w:val="12"/>
                <w:color w:val="auto"/>
              </w:rPr>
              <w:t>52,437</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8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Second-lien loan ($2,639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3/13/2024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16.00% PIK</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2,602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2,771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6/2027)</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($30,261 par, due 6/2026)</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12/21/2018</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+ 9.65%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13.65%</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28,594</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26,100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($46,602 par,</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12/21/2018</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+ 9.65%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13.83%</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46,602</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40,112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due 6/2026)</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37,013 par, due</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4/10/2024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+ 7.75%</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9.66% (incl. 4.13%</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41,813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43,190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4/2030)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tcPr>
          <w:p>
            <w:pPr>
              <w:spacing w:after="0"/>
              <w:rPr>
                <w:sz w:val="12"/>
                <w:szCs w:val="12"/>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36,758)</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(EUR 208 par,</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4/10/2024</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+ 7.25%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9.25%</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211</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256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due 4/2030)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218)</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278,610</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273,459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($45,113 par, due 5/2027)</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5/5/2021</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+ 7.15%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11.47%</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44,804</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45,226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-5441315</wp:posOffset>
            </wp:positionV>
            <wp:extent cx="6707505" cy="182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-5166995</wp:posOffset>
            </wp:positionV>
            <wp:extent cx="6707505"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-4915535</wp:posOffset>
            </wp:positionV>
            <wp:extent cx="6707505"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-4641215</wp:posOffset>
            </wp:positionV>
            <wp:extent cx="6707505"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-4366895</wp:posOffset>
            </wp:positionV>
            <wp:extent cx="6707505"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-4184015</wp:posOffset>
            </wp:positionV>
            <wp:extent cx="6707505" cy="182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-3818255</wp:posOffset>
            </wp:positionV>
            <wp:extent cx="6707505"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-3543935</wp:posOffset>
            </wp:positionV>
            <wp:extent cx="670750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-3360420</wp:posOffset>
            </wp:positionV>
            <wp:extent cx="670750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-3177540</wp:posOffset>
            </wp:positionV>
            <wp:extent cx="6707505" cy="182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-2811780</wp:posOffset>
            </wp:positionV>
            <wp:extent cx="670750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-2537460</wp:posOffset>
            </wp:positionV>
            <wp:extent cx="6707505"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-2263140</wp:posOffset>
            </wp:positionV>
            <wp:extent cx="6707505"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-2080260</wp:posOffset>
            </wp:positionV>
            <wp:extent cx="6707505" cy="16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-1737360</wp:posOffset>
            </wp:positionV>
            <wp:extent cx="6707505"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-1554480</wp:posOffset>
            </wp:positionV>
            <wp:extent cx="6707505"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-1371600</wp:posOffset>
            </wp:positionV>
            <wp:extent cx="6707505" cy="182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-1005205</wp:posOffset>
            </wp:positionV>
            <wp:extent cx="6707505"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-730885</wp:posOffset>
            </wp:positionV>
            <wp:extent cx="6707505" cy="182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-365125</wp:posOffset>
            </wp:positionV>
            <wp:extent cx="6707505"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-90805</wp:posOffset>
            </wp:positionV>
            <wp:extent cx="6707505"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ind w:left="35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411480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540" w:space="120"/>
            <w:col w:w="8920"/>
          </w:cols>
          <w:pgMar w:left="660" w:top="1327" w:right="66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($44,569 par, due 11/2028)</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11/7/2022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+ 4.75%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9.07%</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43,859</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44,681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Elysian Finco Ltd. </w:t>
            </w:r>
            <w:r>
              <w:rPr>
                <w:rFonts w:ascii="Times New Roman" w:cs="Times New Roman" w:eastAsia="Times New Roman" w:hAnsi="Times New Roman"/>
                <w:sz w:val="16"/>
                <w:szCs w:val="16"/>
                <w:color w:val="auto"/>
                <w:vertAlign w:val="superscript"/>
              </w:rPr>
              <w:t>(3)(4)(5)</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($21,745 par, due 1/2028)</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1/31/2021</w:t>
            </w:r>
          </w:p>
        </w:tc>
        <w:tc>
          <w:tcPr>
            <w:tcW w:w="11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+ 5.15%</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9.15%</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21,526</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21,745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(GBP 730 par,</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1/31/2021</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+ 4.00%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7.97%</w:t>
            </w:r>
          </w:p>
        </w:tc>
        <w:tc>
          <w:tcPr>
            <w:tcW w:w="112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914</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950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due 1/2028)</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(GBP 706)</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Employment Hero Holdings Pty</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(AUD 60,000 par, due</w:t>
            </w:r>
          </w:p>
        </w:tc>
        <w:tc>
          <w:tcPr>
            <w:tcW w:w="76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12/6/2021</w:t>
            </w:r>
          </w:p>
        </w:tc>
        <w:tc>
          <w:tcPr>
            <w:tcW w:w="1100" w:type="dxa"/>
            <w:vAlign w:val="bottom"/>
            <w:shd w:val="clear" w:color="auto" w:fill="CFF0FC"/>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B + 6.25%</w:t>
            </w:r>
          </w:p>
        </w:tc>
        <w:tc>
          <w:tcPr>
            <w:tcW w:w="1480" w:type="dxa"/>
            <w:vAlign w:val="bottom"/>
            <w:shd w:val="clear" w:color="auto" w:fill="CFF0FC"/>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9.90%</w:t>
            </w:r>
          </w:p>
        </w:tc>
        <w:tc>
          <w:tcPr>
            <w:tcW w:w="112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41,513</w:t>
            </w:r>
          </w:p>
        </w:tc>
        <w:tc>
          <w:tcPr>
            <w:tcW w:w="15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39,869</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Ltd.</w:t>
            </w:r>
            <w:r>
              <w:rPr>
                <w:rFonts w:ascii="Times New Roman" w:cs="Times New Roman" w:eastAsia="Times New Roman" w:hAnsi="Times New Roman"/>
                <w:sz w:val="8"/>
                <w:szCs w:val="8"/>
                <w:color w:val="auto"/>
              </w:rPr>
              <w:t xml:space="preserve"> (3)(4)</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12/2026)</w:t>
            </w:r>
          </w:p>
        </w:tc>
        <w:tc>
          <w:tcPr>
            <w:tcW w:w="7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(AUD 60,158)</w:t>
            </w:r>
          </w:p>
        </w:tc>
        <w:tc>
          <w:tcPr>
            <w:tcW w:w="7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6"/>
                <w:szCs w:val="16"/>
                <w:color w:val="auto"/>
                <w:vertAlign w:val="superscript"/>
              </w:rPr>
              <w:t>(3)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($53,166 par, due 5/2029)</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5/3/2023</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11.06%</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52,111</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53,698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($5,165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5/3/2023</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+ 6.75%</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10.99%</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5,045</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5,234</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5/2029)</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($31,931 par, due 12/2026)</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12/15/2023</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+ 6.10%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10.10%</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31,599</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32,011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6"/>
                <w:szCs w:val="16"/>
                <w:color w:val="auto"/>
                <w:vertAlign w:val="superscript"/>
              </w:rPr>
              <w:t>(3)(5)</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($69,916 par, due 5/2027)</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5/3/2019</w:t>
            </w:r>
          </w:p>
        </w:tc>
        <w:tc>
          <w:tcPr>
            <w:tcW w:w="11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+ 5.85%</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9.85%</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69,729</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70,091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311,100</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313,505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6"/>
                <w:szCs w:val="16"/>
                <w:color w:val="auto"/>
                <w:vertAlign w:val="superscript"/>
              </w:rPr>
              <w:t>(3)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($36,744 par, due 7/2030)</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6/30/2023</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9.00%</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36,050</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36,836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Bayshore Intermediate #2, L.P.</w:t>
            </w:r>
          </w:p>
        </w:tc>
        <w:tc>
          <w:tcPr>
            <w:tcW w:w="22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($41,873 par, due 10/2028)</w:t>
            </w:r>
          </w:p>
        </w:tc>
        <w:tc>
          <w:tcPr>
            <w:tcW w:w="76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10/1/2021</w:t>
            </w:r>
          </w:p>
        </w:tc>
        <w:tc>
          <w:tcPr>
            <w:tcW w:w="1100" w:type="dxa"/>
            <w:vAlign w:val="bottom"/>
            <w:shd w:val="clear" w:color="auto" w:fill="CFF0FC"/>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9.50% (incl. 3.00%</w:t>
            </w:r>
          </w:p>
        </w:tc>
        <w:tc>
          <w:tcPr>
            <w:tcW w:w="112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41,532</w:t>
            </w:r>
          </w:p>
        </w:tc>
        <w:tc>
          <w:tcPr>
            <w:tcW w:w="1560" w:type="dxa"/>
            <w:vAlign w:val="bottom"/>
            <w:shd w:val="clear" w:color="auto" w:fill="CFF0FC"/>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41,873</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2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480" w:type="dxa"/>
            <w:vAlign w:val="bottom"/>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00" w:type="dxa"/>
            <w:vAlign w:val="bottom"/>
            <w:shd w:val="clear" w:color="auto" w:fill="CFF0FC"/>
          </w:tcPr>
          <w:p>
            <w:pPr>
              <w:spacing w:after="0"/>
              <w:rPr>
                <w:sz w:val="6"/>
                <w:szCs w:val="6"/>
                <w:color w:val="auto"/>
              </w:rPr>
            </w:pPr>
          </w:p>
        </w:tc>
        <w:tc>
          <w:tcPr>
            <w:tcW w:w="22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1480" w:type="dxa"/>
            <w:vAlign w:val="bottom"/>
            <w:vMerge w:val="continue"/>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56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($902 par, due</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9.00%</w:t>
            </w:r>
          </w:p>
        </w:tc>
        <w:tc>
          <w:tcPr>
            <w:tcW w:w="112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883</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902</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10/2027)</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Big Wombat Holdings, Inc.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($30,544 par, due 4/2031)</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4/16/2025</w:t>
            </w:r>
          </w:p>
        </w:tc>
        <w:tc>
          <w:tcPr>
            <w:tcW w:w="11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11.00%</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29,922</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30,132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6"/>
                <w:szCs w:val="16"/>
                <w:color w:val="auto"/>
                <w:vertAlign w:val="superscript"/>
              </w:rPr>
              <w:t>(3)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($42,651 par, due 2/2030)</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2/27/2023</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+ 5.25%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9.56%</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41,907</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43,269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EDB Parent, LLC </w:t>
            </w:r>
            <w:r>
              <w:rPr>
                <w:rFonts w:ascii="Times New Roman" w:cs="Times New Roman" w:eastAsia="Times New Roman" w:hAnsi="Times New Roman"/>
                <w:sz w:val="16"/>
                <w:szCs w:val="16"/>
                <w:color w:val="auto"/>
                <w:vertAlign w:val="superscript"/>
              </w:rPr>
              <w:t>(3)(5)</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($74,771 par, due 7/2028)</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7/7/2022</w:t>
            </w:r>
          </w:p>
        </w:tc>
        <w:tc>
          <w:tcPr>
            <w:tcW w:w="11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11.31%</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73,872</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74,771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Flight Intermediate HoldCo,</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($40,000 par, due 4/2030)</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10/3/2024</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11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38,976</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39,900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2"/>
                <w:szCs w:val="12"/>
                <w:color w:val="auto"/>
              </w:rPr>
              <w:t>Inc.</w:t>
            </w:r>
          </w:p>
        </w:tc>
        <w:tc>
          <w:tcPr>
            <w:tcW w:w="2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5"/>
                <w:szCs w:val="15"/>
                <w:color w:val="auto"/>
                <w:vertAlign w:val="superscript"/>
              </w:rPr>
              <w:t>(3)(4)</w:t>
            </w: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(SEK 211,306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2/20/2024</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STIBOR + 6.50%</w:t>
            </w:r>
          </w:p>
        </w:tc>
        <w:tc>
          <w:tcPr>
            <w:tcW w:w="14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8.58% (incl. 3.50%</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20,961</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22,788</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2/2031)</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(SEK 214,325)</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2,537 par, due</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2/20/2024</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8.56% (incl. 3.50%</w:t>
            </w:r>
          </w:p>
        </w:tc>
        <w:tc>
          <w:tcPr>
            <w:tcW w:w="11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2,715</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3,011</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2/2031)</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tcPr>
          <w:p>
            <w:pPr>
              <w:spacing w:after="0"/>
              <w:rPr>
                <w:sz w:val="13"/>
                <w:szCs w:val="13"/>
                <w:color w:val="auto"/>
              </w:rPr>
            </w:pP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2,562)</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Khoros, LLC</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($11,682 par, due 5/2030)</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5/23/2025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10.00%</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11,682</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11,711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5"/>
                <w:szCs w:val="15"/>
                <w:color w:val="auto"/>
                <w:vertAlign w:val="superscript"/>
              </w:rPr>
              <w:t>(3)</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($20,427 par, due 12/2031)</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12/18/2024</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+ 6.00%</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10.03% (incl. 3.25%</w:t>
            </w:r>
          </w:p>
        </w:tc>
        <w:tc>
          <w:tcPr>
            <w:tcW w:w="11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20,028</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20,596</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4,727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12/18/2024</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+ 6.00%</w:t>
            </w:r>
          </w:p>
        </w:tc>
        <w:tc>
          <w:tcPr>
            <w:tcW w:w="14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8.02% (incl. 3.25%</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4,875</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5,596</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12/2031)</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(EUR 4,763)</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LeanTaaS Holdings, Inc.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($62,479 par, due 7/2028)</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7/12/2022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+ 7.75%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11.75%</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61,849</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62,479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Merit Software Finance</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($61,071 par, due 6/2029)</w:t>
            </w:r>
          </w:p>
        </w:tc>
        <w:tc>
          <w:tcPr>
            <w:tcW w:w="76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6/20/2024</w:t>
            </w:r>
          </w:p>
        </w:tc>
        <w:tc>
          <w:tcPr>
            <w:tcW w:w="1100" w:type="dxa"/>
            <w:vAlign w:val="bottom"/>
            <w:shd w:val="clear" w:color="auto" w:fill="CFF0FC"/>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SOFR + 7.50%</w:t>
            </w:r>
          </w:p>
        </w:tc>
        <w:tc>
          <w:tcPr>
            <w:tcW w:w="1480" w:type="dxa"/>
            <w:vAlign w:val="bottom"/>
            <w:shd w:val="clear" w:color="auto" w:fill="CFF0FC"/>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11.69%</w:t>
            </w:r>
          </w:p>
        </w:tc>
        <w:tc>
          <w:tcPr>
            <w:tcW w:w="112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59,811</w:t>
            </w:r>
          </w:p>
        </w:tc>
        <w:tc>
          <w:tcPr>
            <w:tcW w:w="15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60,746</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Holdings, LLC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RainFocus, LLC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($62,653 par, due 4/2031)</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4/25/2025</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+ 6.38%</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10.25%</w:t>
            </w: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62,096</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62,496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SMA Technologies Holdings,</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($55,579 par, due 10/2028)</w:t>
            </w:r>
          </w:p>
        </w:tc>
        <w:tc>
          <w:tcPr>
            <w:tcW w:w="76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10/31/2022</w:t>
            </w:r>
          </w:p>
        </w:tc>
        <w:tc>
          <w:tcPr>
            <w:tcW w:w="1100" w:type="dxa"/>
            <w:vAlign w:val="bottom"/>
            <w:shd w:val="clear" w:color="auto" w:fill="CFF0FC"/>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SOFR + 6.50%</w:t>
            </w:r>
          </w:p>
        </w:tc>
        <w:tc>
          <w:tcPr>
            <w:tcW w:w="1480" w:type="dxa"/>
            <w:vAlign w:val="bottom"/>
            <w:shd w:val="clear" w:color="auto" w:fill="CFF0FC"/>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10.70%</w:t>
            </w:r>
          </w:p>
        </w:tc>
        <w:tc>
          <w:tcPr>
            <w:tcW w:w="112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54,347</w:t>
            </w:r>
          </w:p>
        </w:tc>
        <w:tc>
          <w:tcPr>
            <w:tcW w:w="15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56,003</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LLC</w:t>
            </w:r>
            <w:r>
              <w:rPr>
                <w:rFonts w:ascii="Times New Roman" w:cs="Times New Roman" w:eastAsia="Times New Roman" w:hAnsi="Times New Roman"/>
                <w:sz w:val="8"/>
                <w:szCs w:val="8"/>
                <w:color w:val="auto"/>
              </w:rPr>
              <w:t xml:space="preserve"> (3)(5)</w:t>
            </w:r>
          </w:p>
        </w:tc>
        <w:tc>
          <w:tcPr>
            <w:tcW w:w="2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561,506</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573,109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Manufacturing</w:t>
            </w:r>
          </w:p>
        </w:tc>
        <w:tc>
          <w:tcPr>
            <w:tcW w:w="2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ASP Unifrax Holdings, Inc. </w:t>
            </w:r>
            <w:r>
              <w:rPr>
                <w:rFonts w:ascii="Times New Roman" w:cs="Times New Roman" w:eastAsia="Times New Roman" w:hAnsi="Times New Roman"/>
                <w:sz w:val="12"/>
                <w:szCs w:val="12"/>
                <w:color w:val="auto"/>
                <w:vertAlign w:val="superscript"/>
              </w:rPr>
              <w:t>(9)</w:t>
            </w:r>
          </w:p>
        </w:tc>
        <w:tc>
          <w:tcPr>
            <w:tcW w:w="22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($3,575 par, due 9/2029)</w:t>
            </w:r>
          </w:p>
        </w:tc>
        <w:tc>
          <w:tcPr>
            <w:tcW w:w="76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9/30/2024</w:t>
            </w:r>
          </w:p>
        </w:tc>
        <w:tc>
          <w:tcPr>
            <w:tcW w:w="1100" w:type="dxa"/>
            <w:vAlign w:val="bottom"/>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SOFR + 7.75%</w:t>
            </w:r>
          </w:p>
        </w:tc>
        <w:tc>
          <w:tcPr>
            <w:tcW w:w="148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11.75% (incl. 4.75%</w:t>
            </w:r>
          </w:p>
        </w:tc>
        <w:tc>
          <w:tcPr>
            <w:tcW w:w="112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3,511</w:t>
            </w:r>
          </w:p>
        </w:tc>
        <w:tc>
          <w:tcPr>
            <w:tcW w:w="156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3,289</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8"/>
                <w:szCs w:val="8"/>
                <w:color w:val="auto"/>
              </w:rPr>
              <w:t>(3)</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8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00" w:type="dxa"/>
            <w:vAlign w:val="bottom"/>
          </w:tcPr>
          <w:p>
            <w:pPr>
              <w:spacing w:after="0"/>
              <w:rPr>
                <w:sz w:val="6"/>
                <w:szCs w:val="6"/>
                <w:color w:val="auto"/>
              </w:rPr>
            </w:pPr>
          </w:p>
        </w:tc>
        <w:tc>
          <w:tcPr>
            <w:tcW w:w="2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Second-lien note ($2,018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8/31/2023</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7.10%</w:t>
            </w:r>
          </w:p>
        </w:tc>
        <w:tc>
          <w:tcPr>
            <w:tcW w:w="14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7.10% (incl. 1.25%</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1,588</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795</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9/2029)</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Heritage Environmental</w:t>
            </w:r>
          </w:p>
        </w:tc>
        <w:tc>
          <w:tcPr>
            <w:tcW w:w="22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($12,191 par, due 1/2031)</w:t>
            </w:r>
          </w:p>
        </w:tc>
        <w:tc>
          <w:tcPr>
            <w:tcW w:w="76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1/31/2024</w:t>
            </w:r>
          </w:p>
        </w:tc>
        <w:tc>
          <w:tcPr>
            <w:tcW w:w="1100" w:type="dxa"/>
            <w:vAlign w:val="bottom"/>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SOFR + 5.25%</w:t>
            </w:r>
          </w:p>
        </w:tc>
        <w:tc>
          <w:tcPr>
            <w:tcW w:w="1480" w:type="dxa"/>
            <w:vAlign w:val="bottom"/>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9.56%</w:t>
            </w:r>
          </w:p>
        </w:tc>
        <w:tc>
          <w:tcPr>
            <w:tcW w:w="112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12,138</w:t>
            </w:r>
          </w:p>
        </w:tc>
        <w:tc>
          <w:tcPr>
            <w:tcW w:w="15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12,296</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Services, Inc. </w:t>
            </w:r>
            <w:r>
              <w:rPr>
                <w:rFonts w:ascii="Times New Roman" w:cs="Times New Roman" w:eastAsia="Times New Roman" w:hAnsi="Times New Roman"/>
                <w:sz w:val="16"/>
                <w:szCs w:val="16"/>
                <w:color w:val="auto"/>
                <w:vertAlign w:val="superscript"/>
              </w:rPr>
              <w:t>(3)</w:t>
            </w: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12"/>
                <w:szCs w:val="12"/>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($2,945 par, due 1/2031)</w:t>
            </w: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9/27/2024</w:t>
            </w:r>
          </w:p>
        </w:tc>
        <w:tc>
          <w:tcPr>
            <w:tcW w:w="11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9.07%</w:t>
            </w:r>
          </w:p>
        </w:tc>
        <w:tc>
          <w:tcPr>
            <w:tcW w:w="11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2,925</w:t>
            </w: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2,935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Skylark UK DebtCo Limited </w:t>
            </w:r>
            <w:r>
              <w:rPr>
                <w:rFonts w:ascii="Times New Roman" w:cs="Times New Roman" w:eastAsia="Times New Roman" w:hAnsi="Times New Roman"/>
                <w:sz w:val="12"/>
                <w:szCs w:val="12"/>
                <w:color w:val="auto"/>
                <w:vertAlign w:val="superscript"/>
              </w:rPr>
              <w:t>(3)</w:t>
            </w:r>
          </w:p>
        </w:tc>
        <w:tc>
          <w:tcPr>
            <w:tcW w:w="22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($16,340 par, due 9/2030)</w:t>
            </w:r>
          </w:p>
        </w:tc>
        <w:tc>
          <w:tcPr>
            <w:tcW w:w="76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9/7/2023</w:t>
            </w:r>
          </w:p>
        </w:tc>
        <w:tc>
          <w:tcPr>
            <w:tcW w:w="1100" w:type="dxa"/>
            <w:vAlign w:val="bottom"/>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SOFR + 5.66%</w:t>
            </w:r>
          </w:p>
        </w:tc>
        <w:tc>
          <w:tcPr>
            <w:tcW w:w="1480" w:type="dxa"/>
            <w:vAlign w:val="bottom"/>
          </w:tcPr>
          <w:p>
            <w:pPr>
              <w:jc w:val="right"/>
              <w:ind w:right="260"/>
              <w:spacing w:after="0" w:line="108" w:lineRule="exact"/>
              <w:rPr>
                <w:sz w:val="20"/>
                <w:szCs w:val="20"/>
                <w:color w:val="auto"/>
              </w:rPr>
            </w:pPr>
            <w:r>
              <w:rPr>
                <w:rFonts w:ascii="Times New Roman" w:cs="Times New Roman" w:eastAsia="Times New Roman" w:hAnsi="Times New Roman"/>
                <w:sz w:val="12"/>
                <w:szCs w:val="12"/>
                <w:color w:val="auto"/>
              </w:rPr>
              <w:t>9.66%</w:t>
            </w:r>
          </w:p>
        </w:tc>
        <w:tc>
          <w:tcPr>
            <w:tcW w:w="112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15,991</w:t>
            </w:r>
          </w:p>
        </w:tc>
        <w:tc>
          <w:tcPr>
            <w:tcW w:w="156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16,503</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2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6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4,851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9/7/2023</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+ 5.66%</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7.66%</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5,084</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5,757</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9/2030)</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(EUR 4,900)</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22,186 par, due</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9/7/2023</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+ 5.66%</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9.63%</w:t>
            </w:r>
          </w:p>
        </w:tc>
        <w:tc>
          <w:tcPr>
            <w:tcW w:w="11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27,110</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30,167</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9/2030)</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(GBP 22,408)</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643 par, due 9/2030)</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2/20/2025</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+ 5.00%</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8.97%</w:t>
            </w:r>
          </w:p>
        </w:tc>
        <w:tc>
          <w:tcPr>
            <w:tcW w:w="112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798</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876</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(GBP 650)</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Varinem German BidCo</w:t>
            </w:r>
          </w:p>
        </w:tc>
        <w:tc>
          <w:tcPr>
            <w:tcW w:w="22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(EUR 12,696 par, due</w:t>
            </w:r>
          </w:p>
        </w:tc>
        <w:tc>
          <w:tcPr>
            <w:tcW w:w="76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7/11/2024</w:t>
            </w:r>
          </w:p>
        </w:tc>
        <w:tc>
          <w:tcPr>
            <w:tcW w:w="1100" w:type="dxa"/>
            <w:vAlign w:val="bottom"/>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E + 5.50%</w:t>
            </w:r>
          </w:p>
        </w:tc>
        <w:tc>
          <w:tcPr>
            <w:tcW w:w="1480" w:type="dxa"/>
            <w:vAlign w:val="bottom"/>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7.57%</w:t>
            </w:r>
          </w:p>
        </w:tc>
        <w:tc>
          <w:tcPr>
            <w:tcW w:w="112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13,695</w:t>
            </w:r>
          </w:p>
        </w:tc>
        <w:tc>
          <w:tcPr>
            <w:tcW w:w="15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15,104</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GMBH</w:t>
            </w:r>
            <w:r>
              <w:rPr>
                <w:rFonts w:ascii="Times New Roman" w:cs="Times New Roman" w:eastAsia="Times New Roman" w:hAnsi="Times New Roman"/>
                <w:sz w:val="8"/>
                <w:szCs w:val="8"/>
                <w:color w:val="auto"/>
              </w:rPr>
              <w:t xml:space="preserve"> (3)(4)</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7/2031)</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12,855)</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4,392 par, due</w:t>
            </w:r>
          </w:p>
        </w:tc>
        <w:tc>
          <w:tcPr>
            <w:tcW w:w="7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7/11/2024</w:t>
            </w:r>
          </w:p>
        </w:tc>
        <w:tc>
          <w:tcPr>
            <w:tcW w:w="11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+ 4.75%</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6.82%</w:t>
            </w:r>
          </w:p>
        </w:tc>
        <w:tc>
          <w:tcPr>
            <w:tcW w:w="11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4,680</w:t>
            </w:r>
          </w:p>
        </w:tc>
        <w:tc>
          <w:tcPr>
            <w:tcW w:w="15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5,136</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7/2031)</w:t>
            </w:r>
          </w:p>
        </w:tc>
        <w:tc>
          <w:tcPr>
            <w:tcW w:w="7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(EUR 4,371)</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87,520</w:t>
            </w:r>
          </w:p>
        </w:tc>
        <w:tc>
          <w:tcPr>
            <w:tcW w:w="1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92,858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Office Products</w:t>
            </w:r>
          </w:p>
        </w:tc>
        <w:tc>
          <w:tcPr>
            <w:tcW w:w="2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5"/>
                <w:szCs w:val="15"/>
                <w:color w:val="auto"/>
                <w:vertAlign w:val="superscript"/>
              </w:rPr>
              <w:t>(3)(5)</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ABL FILO term loan ($10,309 par, due</w:t>
            </w:r>
          </w:p>
        </w:tc>
        <w:tc>
          <w:tcPr>
            <w:tcW w:w="7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4/25/2022</w:t>
            </w:r>
          </w:p>
        </w:tc>
        <w:tc>
          <w:tcPr>
            <w:tcW w:w="11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+ 6.50%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10.78%</w:t>
            </w:r>
          </w:p>
        </w:tc>
        <w:tc>
          <w:tcPr>
            <w:tcW w:w="11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10,203</w:t>
            </w:r>
          </w:p>
        </w:tc>
        <w:tc>
          <w:tcPr>
            <w:tcW w:w="15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10,309</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4/2027)</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w:t>
            </w:r>
          </w:p>
        </w:tc>
        <w:tc>
          <w:tcPr>
            <w:tcW w:w="2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Fuels</w:t>
            </w:r>
          </w:p>
        </w:tc>
        <w:tc>
          <w:tcPr>
            <w:tcW w:w="2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6"/>
                <w:szCs w:val="16"/>
                <w:color w:val="auto"/>
                <w:vertAlign w:val="superscript"/>
              </w:rPr>
              <w:t>(3)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($27,317 par, due 2/2027)</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2/21/2023</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+ 7.10%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11.26%</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27,128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27,522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($54,834 par, due 12/2029)</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12/20/2024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11.00%</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53,775</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55,322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80,903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82,844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5"/>
                <w:szCs w:val="15"/>
                <w:color w:val="auto"/>
                <w:vertAlign w:val="superscript"/>
              </w:rPr>
              <w:t>(3)(4)</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note (EUR 13,408 par, due</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3/24/2025</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9.25% (incl. 5.75%</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14,215</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15,636</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3/2032)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tcPr>
          <w:p>
            <w:pPr>
              <w:spacing w:after="0"/>
              <w:rPr>
                <w:sz w:val="13"/>
                <w:szCs w:val="13"/>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13,307)</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Kahua, Inc.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($25,000 par, due 8/2030)</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8/22/2025</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10.12%</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24,656</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24,625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Omnigo Software, LLC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($39,225 par, due 3/2027)</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3/31/2021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9.66%</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39,108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39,225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5"/>
                <w:szCs w:val="15"/>
                <w:color w:val="auto"/>
                <w:vertAlign w:val="superscript"/>
              </w:rPr>
              <w:t>(3)(4)</w:t>
            </w: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2,511 par, due</w:t>
            </w:r>
          </w:p>
        </w:tc>
        <w:tc>
          <w:tcPr>
            <w:tcW w:w="78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4/4/2024</w:t>
            </w:r>
          </w:p>
        </w:tc>
        <w:tc>
          <w:tcPr>
            <w:tcW w:w="10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7.75%</w:t>
            </w:r>
          </w:p>
        </w:tc>
        <w:tc>
          <w:tcPr>
            <w:tcW w:w="11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2,679</w:t>
            </w:r>
          </w:p>
        </w:tc>
        <w:tc>
          <w:tcPr>
            <w:tcW w:w="15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2,968</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4/2031)</w:t>
            </w: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(EUR 2,526)</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5"/>
                <w:szCs w:val="15"/>
                <w:color w:val="auto"/>
                <w:vertAlign w:val="superscript"/>
              </w:rPr>
              <w:t>(3)(4)</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note (EUR 6,368 par, due</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10/29/2024</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+ 5.00%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7.00%</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6,709</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7,598</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10/2031)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6,467)</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note ($14,085 par, due 10/2031)</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10/29/2024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9.00%</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13,846</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14,225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101,213</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104,277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Apellis Pharmaceuticals, Inc. </w:t>
            </w:r>
            <w:r>
              <w:rPr>
                <w:rFonts w:ascii="Times New Roman" w:cs="Times New Roman" w:eastAsia="Times New Roman" w:hAnsi="Times New Roman"/>
                <w:sz w:val="12"/>
                <w:szCs w:val="12"/>
                <w:color w:val="auto"/>
                <w:vertAlign w:val="superscript"/>
              </w:rPr>
              <w:t>(3)</w:t>
            </w:r>
          </w:p>
        </w:tc>
        <w:tc>
          <w:tcPr>
            <w:tcW w:w="22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($19,737 par, due 5/2030)</w:t>
            </w:r>
          </w:p>
        </w:tc>
        <w:tc>
          <w:tcPr>
            <w:tcW w:w="780" w:type="dxa"/>
            <w:vAlign w:val="bottom"/>
          </w:tcPr>
          <w:p>
            <w:pPr>
              <w:jc w:val="right"/>
              <w:ind w:right="60"/>
              <w:spacing w:after="0" w:line="108" w:lineRule="exact"/>
              <w:rPr>
                <w:sz w:val="20"/>
                <w:szCs w:val="20"/>
                <w:color w:val="auto"/>
              </w:rPr>
            </w:pPr>
            <w:r>
              <w:rPr>
                <w:rFonts w:ascii="Times New Roman" w:cs="Times New Roman" w:eastAsia="Times New Roman" w:hAnsi="Times New Roman"/>
                <w:sz w:val="12"/>
                <w:szCs w:val="12"/>
                <w:color w:val="auto"/>
              </w:rPr>
              <w:t>5/13/2024</w:t>
            </w:r>
          </w:p>
        </w:tc>
        <w:tc>
          <w:tcPr>
            <w:tcW w:w="1080" w:type="dxa"/>
            <w:vAlign w:val="bottom"/>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SOFR + 5.75%</w:t>
            </w:r>
          </w:p>
        </w:tc>
        <w:tc>
          <w:tcPr>
            <w:tcW w:w="1480" w:type="dxa"/>
            <w:vAlign w:val="bottom"/>
          </w:tcPr>
          <w:p>
            <w:pPr>
              <w:jc w:val="right"/>
              <w:ind w:right="260"/>
              <w:spacing w:after="0" w:line="108" w:lineRule="exact"/>
              <w:rPr>
                <w:sz w:val="20"/>
                <w:szCs w:val="20"/>
                <w:color w:val="auto"/>
              </w:rPr>
            </w:pPr>
            <w:r>
              <w:rPr>
                <w:rFonts w:ascii="Times New Roman" w:cs="Times New Roman" w:eastAsia="Times New Roman" w:hAnsi="Times New Roman"/>
                <w:sz w:val="12"/>
                <w:szCs w:val="12"/>
                <w:color w:val="auto"/>
              </w:rPr>
              <w:t>9.75%</w:t>
            </w:r>
          </w:p>
        </w:tc>
        <w:tc>
          <w:tcPr>
            <w:tcW w:w="114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19,737</w:t>
            </w:r>
          </w:p>
        </w:tc>
        <w:tc>
          <w:tcPr>
            <w:tcW w:w="154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19,836</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(4)</w:t>
            </w:r>
          </w:p>
        </w:tc>
        <w:tc>
          <w:tcPr>
            <w:tcW w:w="2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15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158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Arrowhead Pharmaceuticals,</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($28,438 par, due 8/2031)</w:t>
            </w:r>
          </w:p>
        </w:tc>
        <w:tc>
          <w:tcPr>
            <w:tcW w:w="78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8/7/2024</w:t>
            </w:r>
          </w:p>
        </w:tc>
        <w:tc>
          <w:tcPr>
            <w:tcW w:w="10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15.00%</w:t>
            </w:r>
          </w:p>
        </w:tc>
        <w:tc>
          <w:tcPr>
            <w:tcW w:w="1480" w:type="dxa"/>
            <w:vAlign w:val="bottom"/>
            <w:shd w:val="clear" w:color="auto" w:fill="CFF0FC"/>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15.00%</w:t>
            </w:r>
          </w:p>
        </w:tc>
        <w:tc>
          <w:tcPr>
            <w:tcW w:w="114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28,226</w:t>
            </w:r>
          </w:p>
        </w:tc>
        <w:tc>
          <w:tcPr>
            <w:tcW w:w="154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33,557</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Inc. </w:t>
            </w:r>
            <w:r>
              <w:rPr>
                <w:rFonts w:ascii="Times New Roman" w:cs="Times New Roman" w:eastAsia="Times New Roman" w:hAnsi="Times New Roman"/>
                <w:sz w:val="16"/>
                <w:szCs w:val="16"/>
                <w:color w:val="auto"/>
                <w:vertAlign w:val="superscript"/>
              </w:rPr>
              <w:t>(4)</w:t>
            </w:r>
          </w:p>
        </w:tc>
        <w:tc>
          <w:tcPr>
            <w:tcW w:w="2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(3)(4)</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(EUR 17,985 par, due</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9.25%</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18,449</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20,974</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12/2030)</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(EUR 17,850)</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9,953 par, due</w:t>
            </w:r>
          </w:p>
        </w:tc>
        <w:tc>
          <w:tcPr>
            <w:tcW w:w="78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+ 7.25%</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11.22%</w:t>
            </w:r>
          </w:p>
        </w:tc>
        <w:tc>
          <w:tcPr>
            <w:tcW w:w="11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12,399</w:t>
            </w:r>
          </w:p>
        </w:tc>
        <w:tc>
          <w:tcPr>
            <w:tcW w:w="15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13,332</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12/2030)</w:t>
            </w: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(GBP 9,903)</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78,811</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87,699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2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5"/>
                <w:szCs w:val="15"/>
                <w:color w:val="auto"/>
                <w:vertAlign w:val="superscript"/>
              </w:rPr>
              <w:t>(3)(4)(5)</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698 par, due 8/2030)</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8/9/2024</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+ 5.75%</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9.72% (incl. 2.50%</w:t>
            </w:r>
          </w:p>
        </w:tc>
        <w:tc>
          <w:tcPr>
            <w:tcW w:w="114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870</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943</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tcPr>
          <w:p>
            <w:pPr>
              <w:spacing w:after="0"/>
              <w:rPr>
                <w:sz w:val="13"/>
                <w:szCs w:val="13"/>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(GBP 701)</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Retail and Consumer</w:t>
            </w:r>
          </w:p>
        </w:tc>
        <w:tc>
          <w:tcPr>
            <w:tcW w:w="2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Products</w:t>
            </w:r>
          </w:p>
        </w:tc>
        <w:tc>
          <w:tcPr>
            <w:tcW w:w="2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Acosta </w:t>
            </w:r>
            <w:r>
              <w:rPr>
                <w:rFonts w:ascii="Times New Roman" w:cs="Times New Roman" w:eastAsia="Times New Roman" w:hAnsi="Times New Roman"/>
                <w:sz w:val="16"/>
                <w:szCs w:val="16"/>
                <w:color w:val="auto"/>
                <w:vertAlign w:val="superscript"/>
              </w:rPr>
              <w:t>(3)(9)</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($13,925 par, due 8/2031)</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8/20/2024</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+ 5.60%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9.60%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13,658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13,821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American Achievement, Corp.</w:t>
            </w:r>
          </w:p>
        </w:tc>
        <w:tc>
          <w:tcPr>
            <w:tcW w:w="22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First-lien loan ($26,716 par, due 9/2026)</w:t>
            </w:r>
          </w:p>
        </w:tc>
        <w:tc>
          <w:tcPr>
            <w:tcW w:w="780" w:type="dxa"/>
            <w:vAlign w:val="bottom"/>
            <w:shd w:val="clear" w:color="auto" w:fill="CFF0FC"/>
          </w:tcPr>
          <w:p>
            <w:pPr>
              <w:jc w:val="right"/>
              <w:ind w:right="60"/>
              <w:spacing w:after="0" w:line="108" w:lineRule="exact"/>
              <w:rPr>
                <w:sz w:val="20"/>
                <w:szCs w:val="20"/>
                <w:color w:val="auto"/>
              </w:rPr>
            </w:pPr>
            <w:r>
              <w:rPr>
                <w:rFonts w:ascii="Times New Roman" w:cs="Times New Roman" w:eastAsia="Times New Roman" w:hAnsi="Times New Roman"/>
                <w:sz w:val="12"/>
                <w:szCs w:val="12"/>
                <w:color w:val="auto"/>
              </w:rPr>
              <w:t>9/30/2015</w:t>
            </w:r>
          </w:p>
        </w:tc>
        <w:tc>
          <w:tcPr>
            <w:tcW w:w="1080" w:type="dxa"/>
            <w:vAlign w:val="bottom"/>
            <w:shd w:val="clear" w:color="auto" w:fill="CFF0FC"/>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SOFR + 7.35%</w:t>
            </w:r>
          </w:p>
        </w:tc>
        <w:tc>
          <w:tcPr>
            <w:tcW w:w="148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11.63% (incl.</w:t>
            </w:r>
          </w:p>
        </w:tc>
        <w:tc>
          <w:tcPr>
            <w:tcW w:w="1140" w:type="dxa"/>
            <w:vAlign w:val="bottom"/>
            <w:shd w:val="clear" w:color="auto" w:fill="CFF0FC"/>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25,898</w:t>
            </w:r>
          </w:p>
        </w:tc>
        <w:tc>
          <w:tcPr>
            <w:tcW w:w="1540" w:type="dxa"/>
            <w:vAlign w:val="bottom"/>
            <w:shd w:val="clear" w:color="auto" w:fill="CFF0FC"/>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19,703</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(3)(14)</w:t>
            </w:r>
          </w:p>
        </w:tc>
        <w:tc>
          <w:tcPr>
            <w:tcW w:w="2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80" w:type="dxa"/>
            <w:vAlign w:val="bottom"/>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11.13% PIK)</w:t>
            </w:r>
          </w:p>
        </w:tc>
        <w:tc>
          <w:tcPr>
            <w:tcW w:w="11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80" w:type="dxa"/>
            <w:vAlign w:val="bottom"/>
            <w:shd w:val="clear" w:color="auto" w:fill="CFF0FC"/>
          </w:tcPr>
          <w:p>
            <w:pPr>
              <w:spacing w:after="0"/>
              <w:rPr>
                <w:sz w:val="6"/>
                <w:szCs w:val="6"/>
                <w:color w:val="auto"/>
              </w:rPr>
            </w:pPr>
          </w:p>
        </w:tc>
        <w:tc>
          <w:tcPr>
            <w:tcW w:w="22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480" w:type="dxa"/>
            <w:vAlign w:val="bottom"/>
            <w:vMerge w:val="continue"/>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154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($1,331 par, due 9/2026)</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6/10/2021</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+ 15.10%</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19.38% (incl.</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1,331</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18.88% PIK)</w:t>
            </w: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Subordinated note ($4,740 par, due</w:t>
            </w:r>
          </w:p>
        </w:tc>
        <w:tc>
          <w:tcPr>
            <w:tcW w:w="78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3/16/2021</w:t>
            </w:r>
          </w:p>
        </w:tc>
        <w:tc>
          <w:tcPr>
            <w:tcW w:w="10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+ 1.15%</w:t>
            </w:r>
          </w:p>
        </w:tc>
        <w:tc>
          <w:tcPr>
            <w:tcW w:w="1480" w:type="dxa"/>
            <w:vAlign w:val="bottom"/>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5.44%</w:t>
            </w:r>
          </w:p>
        </w:tc>
        <w:tc>
          <w:tcPr>
            <w:tcW w:w="114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545</w:t>
            </w:r>
          </w:p>
        </w:tc>
        <w:tc>
          <w:tcPr>
            <w:tcW w:w="15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9/2026)</w:t>
            </w: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5"/>
                <w:szCs w:val="15"/>
                <w:color w:val="auto"/>
                <w:vertAlign w:val="superscript"/>
              </w:rPr>
              <w:t>(3)(15)</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ABL FILO term loan ($5,910 par, due</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9/2/2022</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+ 9.90%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14.06%</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5,843</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4,935</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8/2027)</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Roll Up DIP term loan ($24,502 par)</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4/24/2023</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+ 7.90%</w:t>
            </w:r>
          </w:p>
        </w:tc>
        <w:tc>
          <w:tcPr>
            <w:tcW w:w="14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12.06% PIK</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24,502</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20,459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Super-Priority DIP term loan</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4/24/2023</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+ 7.90%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12.06%</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3,575</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2,985</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($3,575 par)</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Belk, Inc.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($47,500 par, due 7/2029)</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7/22/2024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11.20%</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46,848</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47,619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Blazing Star Parent, LLC </w:t>
            </w:r>
            <w:r>
              <w:rPr>
                <w:rFonts w:ascii="Times New Roman" w:cs="Times New Roman" w:eastAsia="Times New Roman" w:hAnsi="Times New Roman"/>
                <w:sz w:val="16"/>
                <w:szCs w:val="16"/>
                <w:color w:val="auto"/>
                <w:vertAlign w:val="superscript"/>
              </w:rPr>
              <w:t>(3)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($70,000 par, due 8/2030)</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8/28/2025</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11.20%</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68,965</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69,125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Cordance Operations, LLC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($63,878 par, due 7/2028)</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7/25/2022</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+ 8.65%</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12.85%</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63,082</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64,382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(3)(5)</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($54,204 par, due 12/2026)</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12/20/2021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+ 6.85%</w:t>
            </w: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11.01%</w:t>
            </w: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53,878</w:t>
            </w: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53,797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6"/>
                <w:szCs w:val="16"/>
                <w:color w:val="auto"/>
                <w:vertAlign w:val="superscript"/>
              </w:rPr>
              <w:t>(3)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($20,335 par, due 2/2031)</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2/1/2024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9.81%</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20,096</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20,386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revolving loan ($656 par, due</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2/1/2024</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9.81%</w:t>
            </w:r>
          </w:p>
        </w:tc>
        <w:tc>
          <w:tcPr>
            <w:tcW w:w="114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637</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660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2/2031)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Rapid Data GmbH</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(EUR 7,546 par, due</w:t>
            </w:r>
          </w:p>
        </w:tc>
        <w:tc>
          <w:tcPr>
            <w:tcW w:w="78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7/11/2023</w:t>
            </w:r>
          </w:p>
        </w:tc>
        <w:tc>
          <w:tcPr>
            <w:tcW w:w="1080" w:type="dxa"/>
            <w:vAlign w:val="bottom"/>
            <w:shd w:val="clear" w:color="auto" w:fill="CFF0FC"/>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E + 6.50%</w:t>
            </w:r>
          </w:p>
        </w:tc>
        <w:tc>
          <w:tcPr>
            <w:tcW w:w="1480" w:type="dxa"/>
            <w:vAlign w:val="bottom"/>
            <w:shd w:val="clear" w:color="auto" w:fill="CFF0FC"/>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8.50%</w:t>
            </w:r>
          </w:p>
        </w:tc>
        <w:tc>
          <w:tcPr>
            <w:tcW w:w="114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8,103</w:t>
            </w:r>
          </w:p>
        </w:tc>
        <w:tc>
          <w:tcPr>
            <w:tcW w:w="154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8,893</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Unternehmensberatung </w:t>
            </w:r>
            <w:r>
              <w:rPr>
                <w:rFonts w:ascii="Times New Roman" w:cs="Times New Roman" w:eastAsia="Times New Roman" w:hAnsi="Times New Roman"/>
                <w:sz w:val="16"/>
                <w:szCs w:val="16"/>
                <w:color w:val="auto"/>
                <w:vertAlign w:val="superscript"/>
              </w:rPr>
              <w:t>(3)(4)</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7/2029)</w:t>
            </w:r>
          </w:p>
        </w:tc>
        <w:tc>
          <w:tcPr>
            <w:tcW w:w="7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(EUR 7,568)</w:t>
            </w:r>
          </w:p>
        </w:tc>
        <w:tc>
          <w:tcPr>
            <w:tcW w:w="7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8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Tango Management Consulting,</w:t>
            </w:r>
          </w:p>
        </w:tc>
        <w:tc>
          <w:tcPr>
            <w:tcW w:w="22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First-lien loan ($49,169 par, due 6/2031)</w:t>
            </w:r>
          </w:p>
        </w:tc>
        <w:tc>
          <w:tcPr>
            <w:tcW w:w="78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6/25/2025</w:t>
            </w:r>
          </w:p>
        </w:tc>
        <w:tc>
          <w:tcPr>
            <w:tcW w:w="1080" w:type="dxa"/>
            <w:vAlign w:val="bottom"/>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SOFR + 6.50%</w:t>
            </w:r>
          </w:p>
        </w:tc>
        <w:tc>
          <w:tcPr>
            <w:tcW w:w="1480" w:type="dxa"/>
            <w:vAlign w:val="bottom"/>
          </w:tcPr>
          <w:p>
            <w:pPr>
              <w:jc w:val="right"/>
              <w:ind w:right="260"/>
              <w:spacing w:after="0" w:line="121" w:lineRule="exact"/>
              <w:rPr>
                <w:sz w:val="20"/>
                <w:szCs w:val="20"/>
                <w:color w:val="auto"/>
              </w:rPr>
            </w:pPr>
            <w:r>
              <w:rPr>
                <w:rFonts w:ascii="Times New Roman" w:cs="Times New Roman" w:eastAsia="Times New Roman" w:hAnsi="Times New Roman"/>
                <w:sz w:val="12"/>
                <w:szCs w:val="12"/>
                <w:color w:val="auto"/>
              </w:rPr>
              <w:t>10.50%</w:t>
            </w:r>
          </w:p>
        </w:tc>
        <w:tc>
          <w:tcPr>
            <w:tcW w:w="114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48,090</w:t>
            </w:r>
          </w:p>
        </w:tc>
        <w:tc>
          <w:tcPr>
            <w:tcW w:w="154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48,169</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LLC</w:t>
            </w:r>
            <w:r>
              <w:rPr>
                <w:rFonts w:ascii="Times New Roman" w:cs="Times New Roman" w:eastAsia="Times New Roman" w:hAnsi="Times New Roman"/>
                <w:sz w:val="8"/>
                <w:szCs w:val="8"/>
                <w:color w:val="auto"/>
              </w:rPr>
              <w:t xml:space="preserve"> (3)(5)</w:t>
            </w: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385,051</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375,093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Transportation</w:t>
            </w:r>
          </w:p>
        </w:tc>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6"/>
                <w:szCs w:val="16"/>
                <w:color w:val="auto"/>
                <w:vertAlign w:val="superscript"/>
              </w:rPr>
              <w:t>(3)(4)</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First-lien loan ($5,000 par, due 3/2028)</w:t>
            </w:r>
          </w:p>
        </w:tc>
        <w:tc>
          <w:tcPr>
            <w:tcW w:w="7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3/26/2024</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9.78%</w:t>
            </w:r>
          </w:p>
        </w:tc>
        <w:tc>
          <w:tcPr>
            <w:tcW w:w="11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4,959</w:t>
            </w: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5,025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15"/>
                <w:szCs w:val="15"/>
                <w:color w:val="auto"/>
                <w:vertAlign w:val="superscript"/>
              </w:rPr>
              <w:t>(3)(4)</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($41,074 par, due 8/2029)</w:t>
            </w:r>
          </w:p>
        </w:tc>
        <w:tc>
          <w:tcPr>
            <w:tcW w:w="78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8/11/2023</w:t>
            </w:r>
          </w:p>
        </w:tc>
        <w:tc>
          <w:tcPr>
            <w:tcW w:w="10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+ 8.25%</w:t>
            </w:r>
          </w:p>
        </w:tc>
        <w:tc>
          <w:tcPr>
            <w:tcW w:w="14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12.25% (incl. 4.25%</w:t>
            </w:r>
          </w:p>
        </w:tc>
        <w:tc>
          <w:tcPr>
            <w:tcW w:w="11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40,370</w:t>
            </w:r>
          </w:p>
        </w:tc>
        <w:tc>
          <w:tcPr>
            <w:tcW w:w="154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41,382</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First-lien loan (GBP 1,095 par, due</w:t>
            </w:r>
          </w:p>
        </w:tc>
        <w:tc>
          <w:tcPr>
            <w:tcW w:w="78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8/11/2023</w:t>
            </w:r>
          </w:p>
        </w:tc>
        <w:tc>
          <w:tcPr>
            <w:tcW w:w="10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 + 8.25%</w:t>
            </w:r>
          </w:p>
        </w:tc>
        <w:tc>
          <w:tcPr>
            <w:tcW w:w="14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12.22% (incl. 4.25%</w:t>
            </w:r>
          </w:p>
        </w:tc>
        <w:tc>
          <w:tcPr>
            <w:tcW w:w="11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1,363</w:t>
            </w:r>
          </w:p>
        </w:tc>
        <w:tc>
          <w:tcPr>
            <w:tcW w:w="154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1,485</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8/2029)</w:t>
            </w:r>
          </w:p>
        </w:tc>
        <w:tc>
          <w:tcPr>
            <w:tcW w:w="7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(GBP 1,103)</w:t>
            </w:r>
          </w:p>
        </w:tc>
        <w:tc>
          <w:tcPr>
            <w:tcW w:w="7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1" w:right="66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revolving loan ($1,667 par, due</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8/11/2023</w:t>
            </w: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SOFR + 7.50%</w:t>
            </w: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11.50%</w:t>
            </w: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1,613</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1,692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8/2029)</w:t>
            </w: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Project44, Inc. </w:t>
            </w:r>
            <w:r>
              <w:rPr>
                <w:rFonts w:ascii="Times New Roman" w:cs="Times New Roman" w:eastAsia="Times New Roman" w:hAnsi="Times New Roman"/>
                <w:sz w:val="16"/>
                <w:szCs w:val="16"/>
                <w:color w:val="auto"/>
                <w:vertAlign w:val="superscript"/>
              </w:rPr>
              <w:t>(3)(5)</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First-lien loan ($54,618 par, due 11/2027)</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11/12/2021</w:t>
            </w:r>
          </w:p>
        </w:tc>
        <w:tc>
          <w:tcPr>
            <w:tcW w:w="124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SOFR + 6.35%</w:t>
            </w:r>
          </w:p>
        </w:tc>
        <w:tc>
          <w:tcPr>
            <w:tcW w:w="124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10.51%</w:t>
            </w: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54,007</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54,482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Rail Acquisitions LLC</w:t>
            </w:r>
          </w:p>
        </w:tc>
        <w:tc>
          <w:tcPr>
            <w:tcW w:w="21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First-lien loan ($25,281 par, due 1/2030)</w:t>
            </w:r>
          </w:p>
        </w:tc>
        <w:tc>
          <w:tcPr>
            <w:tcW w:w="820" w:type="dxa"/>
            <w:vAlign w:val="bottom"/>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1/27/2025</w:t>
            </w:r>
          </w:p>
        </w:tc>
        <w:tc>
          <w:tcPr>
            <w:tcW w:w="1240" w:type="dxa"/>
            <w:vAlign w:val="bottom"/>
          </w:tcPr>
          <w:p>
            <w:pPr>
              <w:jc w:val="right"/>
              <w:ind w:right="280"/>
              <w:spacing w:after="0" w:line="108" w:lineRule="exact"/>
              <w:rPr>
                <w:sz w:val="20"/>
                <w:szCs w:val="20"/>
                <w:color w:val="auto"/>
              </w:rPr>
            </w:pPr>
            <w:r>
              <w:rPr>
                <w:rFonts w:ascii="Times New Roman" w:cs="Times New Roman" w:eastAsia="Times New Roman" w:hAnsi="Times New Roman"/>
                <w:sz w:val="12"/>
                <w:szCs w:val="12"/>
                <w:color w:val="auto"/>
              </w:rPr>
              <w:t>SOFR + 6.00%</w:t>
            </w:r>
          </w:p>
        </w:tc>
        <w:tc>
          <w:tcPr>
            <w:tcW w:w="1240" w:type="dxa"/>
            <w:vAlign w:val="bottom"/>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10.31%</w:t>
            </w:r>
          </w:p>
        </w:tc>
        <w:tc>
          <w:tcPr>
            <w:tcW w:w="118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24,786</w:t>
            </w:r>
          </w:p>
        </w:tc>
        <w:tc>
          <w:tcPr>
            <w:tcW w:w="152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25,009</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8"/>
                <w:szCs w:val="8"/>
                <w:color w:val="auto"/>
              </w:rPr>
              <w:t>(3)</w:t>
            </w: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218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2"/>
                <w:szCs w:val="12"/>
                <w:color w:val="auto"/>
              </w:rPr>
              <w:t>Second-lien note ($20,696 par, due</w:t>
            </w:r>
          </w:p>
        </w:tc>
        <w:tc>
          <w:tcPr>
            <w:tcW w:w="8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1/27/2025</w:t>
            </w:r>
          </w:p>
        </w:tc>
        <w:tc>
          <w:tcPr>
            <w:tcW w:w="1240" w:type="dxa"/>
            <w:vAlign w:val="bottom"/>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13.75%</w:t>
            </w:r>
          </w:p>
        </w:tc>
        <w:tc>
          <w:tcPr>
            <w:tcW w:w="1240" w:type="dxa"/>
            <w:vAlign w:val="bottom"/>
            <w:shd w:val="clear" w:color="auto" w:fill="CFF0FC"/>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13.75% PIK</w:t>
            </w:r>
          </w:p>
        </w:tc>
        <w:tc>
          <w:tcPr>
            <w:tcW w:w="118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17,459</w:t>
            </w:r>
          </w:p>
        </w:tc>
        <w:tc>
          <w:tcPr>
            <w:tcW w:w="15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18,321</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1/2031)</w:t>
            </w: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5"/>
                <w:szCs w:val="15"/>
                <w:color w:val="auto"/>
                <w:vertAlign w:val="superscript"/>
              </w:rPr>
              <w:t>(3)(4)(5)</w:t>
            </w:r>
          </w:p>
        </w:tc>
        <w:tc>
          <w:tcPr>
            <w:tcW w:w="218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First-lien loan (EUR 31,875 par, due</w:t>
            </w:r>
          </w:p>
        </w:tc>
        <w:tc>
          <w:tcPr>
            <w:tcW w:w="8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9/30/2024</w:t>
            </w:r>
          </w:p>
        </w:tc>
        <w:tc>
          <w:tcPr>
            <w:tcW w:w="1240" w:type="dxa"/>
            <w:vAlign w:val="bottom"/>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E + 6.00%</w:t>
            </w:r>
          </w:p>
        </w:tc>
        <w:tc>
          <w:tcPr>
            <w:tcW w:w="1240" w:type="dxa"/>
            <w:vAlign w:val="bottom"/>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8.12%</w:t>
            </w:r>
          </w:p>
        </w:tc>
        <w:tc>
          <w:tcPr>
            <w:tcW w:w="118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34,727</w:t>
            </w:r>
          </w:p>
        </w:tc>
        <w:tc>
          <w:tcPr>
            <w:tcW w:w="15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37,453</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9/2030)</w:t>
            </w: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 31,875)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179,284</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184,849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3,087,991</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3,101,257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and Other Investments</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Class A Preferred Units (2,117,264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11/7/2023</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2,117</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1,779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5"/>
                <w:szCs w:val="15"/>
                <w:color w:val="auto"/>
                <w:vertAlign w:val="superscript"/>
              </w:rPr>
              <w:t>(4)(10)</w:t>
            </w:r>
          </w:p>
        </w:tc>
        <w:tc>
          <w:tcPr>
            <w:tcW w:w="218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2"/>
                <w:szCs w:val="12"/>
                <w:color w:val="auto"/>
              </w:rPr>
              <w:t>Common Shares (126,968 shares)</w:t>
            </w:r>
          </w:p>
        </w:tc>
        <w:tc>
          <w:tcPr>
            <w:tcW w:w="8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12/3/2021</w:t>
            </w:r>
          </w:p>
        </w:tc>
        <w:tc>
          <w:tcPr>
            <w:tcW w:w="1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3,909</w:t>
            </w:r>
          </w:p>
        </w:tc>
        <w:tc>
          <w:tcPr>
            <w:tcW w:w="15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675</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(CAD 940)</w:t>
            </w:r>
          </w:p>
        </w:tc>
        <w:tc>
          <w:tcPr>
            <w:tcW w:w="7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Insight Hideaway Aggregator,</w:t>
            </w:r>
          </w:p>
        </w:tc>
        <w:tc>
          <w:tcPr>
            <w:tcW w:w="2180" w:type="dxa"/>
            <w:vAlign w:val="bottom"/>
          </w:tcPr>
          <w:p>
            <w:pPr>
              <w:ind w:left="40"/>
              <w:spacing w:after="0" w:line="121" w:lineRule="exact"/>
              <w:rPr>
                <w:sz w:val="20"/>
                <w:szCs w:val="20"/>
                <w:color w:val="auto"/>
              </w:rPr>
            </w:pPr>
            <w:r>
              <w:rPr>
                <w:rFonts w:ascii="Times New Roman" w:cs="Times New Roman" w:eastAsia="Times New Roman" w:hAnsi="Times New Roman"/>
                <w:sz w:val="12"/>
                <w:szCs w:val="12"/>
                <w:color w:val="auto"/>
              </w:rPr>
              <w:t>Partnership Interest (329,861 units)</w:t>
            </w:r>
          </w:p>
        </w:tc>
        <w:tc>
          <w:tcPr>
            <w:tcW w:w="82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3/19/2024</w:t>
            </w: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3,299</w:t>
            </w:r>
          </w:p>
        </w:tc>
        <w:tc>
          <w:tcPr>
            <w:tcW w:w="152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3,835</w:t>
            </w:r>
          </w:p>
        </w:tc>
        <w:tc>
          <w:tcPr>
            <w:tcW w:w="7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L.P.</w:t>
            </w:r>
            <w:r>
              <w:rPr>
                <w:rFonts w:ascii="Times New Roman" w:cs="Times New Roman" w:eastAsia="Times New Roman" w:hAnsi="Times New Roman"/>
                <w:sz w:val="8"/>
                <w:szCs w:val="8"/>
                <w:color w:val="auto"/>
              </w:rPr>
              <w:t xml:space="preserve"> (11)</w:t>
            </w:r>
          </w:p>
        </w:tc>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Mitnick TA Aggregator,</w:t>
            </w:r>
          </w:p>
        </w:tc>
        <w:tc>
          <w:tcPr>
            <w:tcW w:w="2180" w:type="dxa"/>
            <w:vAlign w:val="bottom"/>
            <w:shd w:val="clear" w:color="auto" w:fill="CFF0FC"/>
          </w:tcPr>
          <w:p>
            <w:pPr>
              <w:ind w:left="40"/>
              <w:spacing w:after="0" w:line="121" w:lineRule="exact"/>
              <w:rPr>
                <w:sz w:val="20"/>
                <w:szCs w:val="20"/>
                <w:color w:val="auto"/>
              </w:rPr>
            </w:pPr>
            <w:r>
              <w:rPr>
                <w:rFonts w:ascii="Times New Roman" w:cs="Times New Roman" w:eastAsia="Times New Roman" w:hAnsi="Times New Roman"/>
                <w:sz w:val="12"/>
                <w:szCs w:val="12"/>
                <w:color w:val="auto"/>
              </w:rPr>
              <w:t>Membership Interest (0.43% ownership)</w:t>
            </w:r>
          </w:p>
        </w:tc>
        <w:tc>
          <w:tcPr>
            <w:tcW w:w="820" w:type="dxa"/>
            <w:vAlign w:val="bottom"/>
            <w:shd w:val="clear" w:color="auto" w:fill="CFF0FC"/>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5/2/2022</w:t>
            </w:r>
          </w:p>
        </w:tc>
        <w:tc>
          <w:tcPr>
            <w:tcW w:w="124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5,249</w:t>
            </w:r>
          </w:p>
        </w:tc>
        <w:tc>
          <w:tcPr>
            <w:tcW w:w="152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3,176</w:t>
            </w:r>
          </w:p>
        </w:tc>
        <w:tc>
          <w:tcPr>
            <w:tcW w:w="7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L.P.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Partnership (2,527,719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11/8/2023</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2,533</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2,330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Sprinklr, Inc. </w:t>
            </w:r>
            <w:r>
              <w:rPr>
                <w:rFonts w:ascii="Times New Roman" w:cs="Times New Roman" w:eastAsia="Times New Roman" w:hAnsi="Times New Roman"/>
                <w:sz w:val="16"/>
                <w:szCs w:val="16"/>
                <w:color w:val="auto"/>
                <w:vertAlign w:val="superscript"/>
              </w:rPr>
              <w:t>(10)(11)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Common Shares (283,499 shares)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6/24/2021</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2,445</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2,188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Class A Units (423,729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7/7/2023</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424</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661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19,976</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14,644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Class A Units (1,250,000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11/19/2021</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1,250</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1,578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5"/>
                <w:szCs w:val="15"/>
                <w:color w:val="auto"/>
                <w:vertAlign w:val="superscript"/>
              </w:rPr>
              <w:t>(11)</w:t>
            </w:r>
          </w:p>
        </w:tc>
        <w:tc>
          <w:tcPr>
            <w:tcW w:w="218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Series C Preferred Shares</w:t>
            </w:r>
          </w:p>
        </w:tc>
        <w:tc>
          <w:tcPr>
            <w:tcW w:w="8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4/8/2021</w:t>
            </w: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1,816</w:t>
            </w:r>
          </w:p>
        </w:tc>
        <w:tc>
          <w:tcPr>
            <w:tcW w:w="15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386</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(1,816,295 shares)</w:t>
            </w: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218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2"/>
                <w:szCs w:val="12"/>
                <w:color w:val="auto"/>
              </w:rPr>
              <w:t>Series D Preferred Shares</w:t>
            </w:r>
          </w:p>
        </w:tc>
        <w:tc>
          <w:tcPr>
            <w:tcW w:w="8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4/8/2021</w:t>
            </w:r>
          </w:p>
        </w:tc>
        <w:tc>
          <w:tcPr>
            <w:tcW w:w="1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2,925</w:t>
            </w:r>
          </w:p>
        </w:tc>
        <w:tc>
          <w:tcPr>
            <w:tcW w:w="15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410</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(1,598,874 shares)</w:t>
            </w:r>
          </w:p>
        </w:tc>
        <w:tc>
          <w:tcPr>
            <w:tcW w:w="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Series D Warrants (106,592 warrants)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4/8/2021</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5,991</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2,374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Astra 2L Holdings II LLC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Membership Interest (10.17% ownership)</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1/13/2022</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3,255</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Class B Units (5,522,526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12/22/2021</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5,522</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1,602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8,777</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1,602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Partnership Units (121,329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11/27/2023</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4,091</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4,705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Newport Parent Holdings,</w:t>
            </w:r>
          </w:p>
        </w:tc>
        <w:tc>
          <w:tcPr>
            <w:tcW w:w="2180" w:type="dxa"/>
            <w:vAlign w:val="bottom"/>
          </w:tcPr>
          <w:p>
            <w:pPr>
              <w:ind w:left="40"/>
              <w:spacing w:after="0" w:line="121" w:lineRule="exact"/>
              <w:rPr>
                <w:sz w:val="20"/>
                <w:szCs w:val="20"/>
                <w:color w:val="auto"/>
              </w:rPr>
            </w:pPr>
            <w:r>
              <w:rPr>
                <w:rFonts w:ascii="Times New Roman" w:cs="Times New Roman" w:eastAsia="Times New Roman" w:hAnsi="Times New Roman"/>
                <w:sz w:val="12"/>
                <w:szCs w:val="12"/>
                <w:color w:val="auto"/>
              </w:rPr>
              <w:t>Class A-2 Units (131,569 units)</w:t>
            </w:r>
          </w:p>
        </w:tc>
        <w:tc>
          <w:tcPr>
            <w:tcW w:w="820" w:type="dxa"/>
            <w:vAlign w:val="bottom"/>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12/10/2020</w:t>
            </w: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4,177</w:t>
            </w:r>
          </w:p>
        </w:tc>
        <w:tc>
          <w:tcPr>
            <w:tcW w:w="152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10,307</w:t>
            </w:r>
          </w:p>
        </w:tc>
        <w:tc>
          <w:tcPr>
            <w:tcW w:w="7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2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L.P.</w:t>
            </w:r>
            <w:r>
              <w:rPr>
                <w:rFonts w:ascii="Times New Roman" w:cs="Times New Roman" w:eastAsia="Times New Roman" w:hAnsi="Times New Roman"/>
                <w:sz w:val="8"/>
                <w:szCs w:val="8"/>
                <w:color w:val="auto"/>
              </w:rPr>
              <w:t xml:space="preserve"> (11)</w:t>
            </w:r>
          </w:p>
        </w:tc>
        <w:tc>
          <w:tcPr>
            <w:tcW w:w="2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Oxford Square Capital Corp. </w:t>
            </w:r>
            <w:r>
              <w:rPr>
                <w:rFonts w:ascii="Times New Roman" w:cs="Times New Roman" w:eastAsia="Times New Roman" w:hAnsi="Times New Roman"/>
                <w:sz w:val="12"/>
                <w:szCs w:val="12"/>
                <w:color w:val="auto"/>
                <w:vertAlign w:val="superscript"/>
              </w:rPr>
              <w:t>(4)</w:t>
            </w:r>
          </w:p>
        </w:tc>
        <w:tc>
          <w:tcPr>
            <w:tcW w:w="218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2"/>
                <w:szCs w:val="12"/>
                <w:color w:val="auto"/>
              </w:rPr>
              <w:t>Common Shares (1,620 shares)</w:t>
            </w:r>
          </w:p>
        </w:tc>
        <w:tc>
          <w:tcPr>
            <w:tcW w:w="82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8/5/2015</w:t>
            </w:r>
          </w:p>
        </w:tc>
        <w:tc>
          <w:tcPr>
            <w:tcW w:w="12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6</w:t>
            </w:r>
          </w:p>
        </w:tc>
        <w:tc>
          <w:tcPr>
            <w:tcW w:w="152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3</w:t>
            </w: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(10)</w:t>
            </w:r>
          </w:p>
        </w:tc>
        <w:tc>
          <w:tcPr>
            <w:tcW w:w="218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5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Passport Labs, Inc.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Warrants (17,534 warrants)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4/28/2021</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192</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(13)</w:t>
            </w:r>
          </w:p>
        </w:tc>
        <w:tc>
          <w:tcPr>
            <w:tcW w:w="21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Class A Units (600,000 units) </w:t>
            </w:r>
            <w:r>
              <w:rPr>
                <w:rFonts w:ascii="Times New Roman" w:cs="Times New Roman" w:eastAsia="Times New Roman" w:hAnsi="Times New Roman"/>
                <w:sz w:val="16"/>
                <w:szCs w:val="16"/>
                <w:color w:val="auto"/>
                <w:vertAlign w:val="superscript"/>
              </w:rPr>
              <w:t>(11)</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5/14/2021</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600</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723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80" w:type="dxa"/>
            <w:vAlign w:val="bottom"/>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Class AA Units (19,093 units) </w:t>
            </w:r>
            <w:r>
              <w:rPr>
                <w:rFonts w:ascii="Times New Roman" w:cs="Times New Roman" w:eastAsia="Times New Roman" w:hAnsi="Times New Roman"/>
                <w:sz w:val="16"/>
                <w:szCs w:val="16"/>
                <w:color w:val="auto"/>
                <w:vertAlign w:val="superscript"/>
              </w:rPr>
              <w:t>(12)</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11/1/2024</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20.00%</w:t>
            </w: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20.00%</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38</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9,104</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15,776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Caris Life Sciences, Inc. </w:t>
            </w:r>
            <w:r>
              <w:rPr>
                <w:rFonts w:ascii="Times New Roman" w:cs="Times New Roman" w:eastAsia="Times New Roman" w:hAnsi="Times New Roman"/>
                <w:sz w:val="12"/>
                <w:szCs w:val="12"/>
                <w:color w:val="auto"/>
                <w:vertAlign w:val="superscript"/>
              </w:rPr>
              <w:t>(10)(11)</w:t>
            </w:r>
          </w:p>
        </w:tc>
        <w:tc>
          <w:tcPr>
            <w:tcW w:w="218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2"/>
                <w:szCs w:val="12"/>
                <w:color w:val="auto"/>
              </w:rPr>
              <w:t>Common Shares (1,210,369 shares)</w:t>
            </w:r>
          </w:p>
        </w:tc>
        <w:tc>
          <w:tcPr>
            <w:tcW w:w="82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6/20/2025</w:t>
            </w:r>
          </w:p>
        </w:tc>
        <w:tc>
          <w:tcPr>
            <w:tcW w:w="12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13,991</w:t>
            </w:r>
          </w:p>
        </w:tc>
        <w:tc>
          <w:tcPr>
            <w:tcW w:w="152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36,613</w:t>
            </w: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(12)</w:t>
            </w:r>
          </w:p>
        </w:tc>
        <w:tc>
          <w:tcPr>
            <w:tcW w:w="218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5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Khoros, LLC </w:t>
            </w:r>
            <w:r>
              <w:rPr>
                <w:rFonts w:ascii="Times New Roman" w:cs="Times New Roman" w:eastAsia="Times New Roman" w:hAnsi="Times New Roman"/>
                <w:sz w:val="16"/>
                <w:szCs w:val="16"/>
                <w:color w:val="auto"/>
                <w:vertAlign w:val="superscript"/>
              </w:rPr>
              <w:t>(12)</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Earnout Interests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5/23/2025</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7,533</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7,533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Merative Topco L.P.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Class A-1 Units (989,691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6/30/2022</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9,897</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11,654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Ordinary Shares (13,176 shares)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3/24/2023</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2,033</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2,135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33,454</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57,935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(6)(11)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Class A Units (33,790,171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12/21/2018</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21,842</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84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Class C-1 Units (8,800,000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12/21/2018</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100</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21,942</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127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Human Resource Support</w:t>
            </w:r>
          </w:p>
        </w:tc>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Services</w:t>
            </w:r>
          </w:p>
        </w:tc>
        <w:tc>
          <w:tcPr>
            <w:tcW w:w="2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(4)(11)(13)</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Class A-1 Units (3,780,000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5/5/2021</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3,780</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4,054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(11)</w:t>
            </w:r>
          </w:p>
        </w:tc>
        <w:tc>
          <w:tcPr>
            <w:tcW w:w="2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Class A-1 Units (2,393,509 units)</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11/7/2022</w:t>
            </w: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2,394</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5,086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DaySmart Holdings, LLC </w:t>
            </w:r>
            <w:r>
              <w:rPr>
                <w:rFonts w:ascii="Times New Roman" w:cs="Times New Roman" w:eastAsia="Times New Roman" w:hAnsi="Times New Roman"/>
                <w:sz w:val="16"/>
                <w:szCs w:val="16"/>
                <w:color w:val="auto"/>
                <w:vertAlign w:val="superscript"/>
              </w:rPr>
              <w:t>(11)</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Class A Units (166,811 units)</w:t>
            </w:r>
          </w:p>
        </w:tc>
        <w:tc>
          <w:tcPr>
            <w:tcW w:w="8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12/18/2020</w:t>
            </w: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1,347</w:t>
            </w:r>
          </w:p>
        </w:tc>
        <w:tc>
          <w:tcPr>
            <w:tcW w:w="15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2,259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9" w:right="66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8"/>
        </w:trPr>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Employment Hero Holdings</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E Preferred Shares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3/1/2022</w:t>
            </w: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2,134</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3,832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Pty Ltd.</w:t>
            </w:r>
            <w:r>
              <w:rPr>
                <w:rFonts w:ascii="Times New Roman" w:cs="Times New Roman" w:eastAsia="Times New Roman" w:hAnsi="Times New Roman"/>
                <w:sz w:val="8"/>
                <w:szCs w:val="8"/>
                <w:color w:val="auto"/>
              </w:rPr>
              <w:t xml:space="preserve"> (4)(11)</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(113,250 shares)</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(AUD 5,783)</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9,655</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15,231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Bayshore Intermediate #2, L.P.</w:t>
            </w:r>
          </w:p>
        </w:tc>
        <w:tc>
          <w:tcPr>
            <w:tcW w:w="21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Co-Invest Common Units</w:t>
            </w:r>
          </w:p>
        </w:tc>
        <w:tc>
          <w:tcPr>
            <w:tcW w:w="84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10/1/2021</w:t>
            </w:r>
          </w:p>
        </w:tc>
        <w:tc>
          <w:tcPr>
            <w:tcW w:w="13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8,837</w:t>
            </w:r>
          </w:p>
        </w:tc>
        <w:tc>
          <w:tcPr>
            <w:tcW w:w="150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12,372</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(11)(13)</w:t>
            </w:r>
          </w:p>
        </w:tc>
        <w:tc>
          <w:tcPr>
            <w:tcW w:w="216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(8,837,008 units)</w:t>
            </w:r>
          </w:p>
        </w:tc>
        <w:tc>
          <w:tcPr>
            <w:tcW w:w="8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60" w:type="dxa"/>
            <w:vAlign w:val="bottom"/>
            <w:shd w:val="clear" w:color="auto" w:fill="CFF0FC"/>
          </w:tcPr>
          <w:p>
            <w:pPr>
              <w:spacing w:after="0"/>
              <w:rPr>
                <w:sz w:val="6"/>
                <w:szCs w:val="6"/>
                <w:color w:val="auto"/>
              </w:rPr>
            </w:pPr>
          </w:p>
        </w:tc>
        <w:tc>
          <w:tcPr>
            <w:tcW w:w="2160" w:type="dxa"/>
            <w:vAlign w:val="bottom"/>
            <w:vMerge w:val="continue"/>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50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Co-Invest 2 Common Units</w:t>
            </w:r>
          </w:p>
        </w:tc>
        <w:tc>
          <w:tcPr>
            <w:tcW w:w="8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3,494</w:t>
            </w:r>
          </w:p>
        </w:tc>
        <w:tc>
          <w:tcPr>
            <w:tcW w:w="1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4,891</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(3,493,701 units)</w:t>
            </w: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w w:val="99"/>
              </w:rPr>
              <w:t xml:space="preserve">Bigtincan Holdings L.P. </w:t>
            </w:r>
            <w:r>
              <w:rPr>
                <w:rFonts w:ascii="Times New Roman" w:cs="Times New Roman" w:eastAsia="Times New Roman" w:hAnsi="Times New Roman"/>
                <w:sz w:val="16"/>
                <w:szCs w:val="16"/>
                <w:color w:val="auto"/>
                <w:w w:val="99"/>
                <w:vertAlign w:val="superscript"/>
              </w:rPr>
              <w:t>(11)(12)</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(2,333,333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4/16/2025</w:t>
            </w: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2,450</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2,450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5"/>
                <w:szCs w:val="15"/>
                <w:color w:val="auto"/>
                <w:vertAlign w:val="superscript"/>
              </w:rPr>
              <w:t>(11)</w:t>
            </w: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F Preferred Shares</w:t>
            </w:r>
          </w:p>
        </w:tc>
        <w:tc>
          <w:tcPr>
            <w:tcW w:w="8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8/2/2019</w:t>
            </w: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1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554</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(199,054 shares)</w:t>
            </w: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5"/>
                <w:szCs w:val="15"/>
                <w:color w:val="auto"/>
                <w:vertAlign w:val="superscript"/>
              </w:rPr>
              <w:t>(11)</w:t>
            </w: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C-1 Preferred Shares</w:t>
            </w:r>
          </w:p>
        </w:tc>
        <w:tc>
          <w:tcPr>
            <w:tcW w:w="8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3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3,000</w:t>
            </w:r>
          </w:p>
        </w:tc>
        <w:tc>
          <w:tcPr>
            <w:tcW w:w="150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2,400</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(418,527 shares)</w:t>
            </w:r>
          </w:p>
        </w:tc>
        <w:tc>
          <w:tcPr>
            <w:tcW w:w="8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C-2 Preferred Shares</w:t>
            </w:r>
          </w:p>
        </w:tc>
        <w:tc>
          <w:tcPr>
            <w:tcW w:w="8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11/18/2022</w:t>
            </w: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198</w:t>
            </w:r>
          </w:p>
        </w:tc>
        <w:tc>
          <w:tcPr>
            <w:tcW w:w="1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316</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(27,588 shares)</w:t>
            </w: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SMA Technologies Holdings,</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Class A Units (1,584 units)</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11/21/2022</w:t>
            </w:r>
          </w:p>
        </w:tc>
        <w:tc>
          <w:tcPr>
            <w:tcW w:w="13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1,584</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2,752</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LLC</w:t>
            </w:r>
            <w:r>
              <w:rPr>
                <w:rFonts w:ascii="Times New Roman" w:cs="Times New Roman" w:eastAsia="Times New Roman" w:hAnsi="Times New Roman"/>
                <w:sz w:val="8"/>
                <w:szCs w:val="8"/>
                <w:color w:val="auto"/>
              </w:rPr>
              <w:t xml:space="preserve"> (11)(12)</w:t>
            </w:r>
          </w:p>
        </w:tc>
        <w:tc>
          <w:tcPr>
            <w:tcW w:w="2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B Units (1,124,813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11/21/2022</w:t>
            </w: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68</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119</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20,431</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25,854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Marketing Services</w:t>
            </w:r>
          </w:p>
        </w:tc>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15"/>
                <w:szCs w:val="15"/>
                <w:color w:val="auto"/>
                <w:vertAlign w:val="superscript"/>
              </w:rPr>
              <w:t>(11)</w:t>
            </w:r>
          </w:p>
        </w:tc>
        <w:tc>
          <w:tcPr>
            <w:tcW w:w="21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A Preferred Shares</w:t>
            </w:r>
          </w:p>
        </w:tc>
        <w:tc>
          <w:tcPr>
            <w:tcW w:w="8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5/31/2018</w:t>
            </w:r>
          </w:p>
        </w:tc>
        <w:tc>
          <w:tcPr>
            <w:tcW w:w="13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3,840</w:t>
            </w:r>
          </w:p>
        </w:tc>
        <w:tc>
          <w:tcPr>
            <w:tcW w:w="150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9,600</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(3,840,000 shares)</w:t>
            </w:r>
          </w:p>
        </w:tc>
        <w:tc>
          <w:tcPr>
            <w:tcW w:w="8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Oil, Gas and Consumable</w:t>
            </w:r>
          </w:p>
        </w:tc>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Fuels</w:t>
            </w:r>
          </w:p>
        </w:tc>
        <w:tc>
          <w:tcPr>
            <w:tcW w:w="2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Murchison Oil and Gas, LLC</w:t>
            </w:r>
          </w:p>
        </w:tc>
        <w:tc>
          <w:tcPr>
            <w:tcW w:w="21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Preferred Units (13,355 units)</w:t>
            </w:r>
          </w:p>
        </w:tc>
        <w:tc>
          <w:tcPr>
            <w:tcW w:w="84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6/30/2022</w:t>
            </w:r>
          </w:p>
        </w:tc>
        <w:tc>
          <w:tcPr>
            <w:tcW w:w="13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(11)(13)</w:t>
            </w:r>
          </w:p>
        </w:tc>
        <w:tc>
          <w:tcPr>
            <w:tcW w:w="21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36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(11)(13)</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Partnership Interest (1.89% ownership)</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8/25/2022</w:t>
            </w: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8,865</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9,574</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8,865</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9,574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TherapeuticsMD, Inc. </w:t>
            </w:r>
            <w:r>
              <w:rPr>
                <w:rFonts w:ascii="Times New Roman" w:cs="Times New Roman" w:eastAsia="Times New Roman" w:hAnsi="Times New Roman"/>
                <w:sz w:val="16"/>
                <w:szCs w:val="16"/>
                <w:color w:val="auto"/>
                <w:vertAlign w:val="superscript"/>
              </w:rPr>
              <w:t>(4)(11)</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Warrants (14,256 warrants)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8/5/2020</w:t>
            </w: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1,029</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Elysium BidCo Limited </w:t>
            </w:r>
            <w:r>
              <w:rPr>
                <w:rFonts w:ascii="Times New Roman" w:cs="Times New Roman" w:eastAsia="Times New Roman" w:hAnsi="Times New Roman"/>
                <w:sz w:val="12"/>
                <w:szCs w:val="12"/>
                <w:color w:val="auto"/>
                <w:vertAlign w:val="superscript"/>
              </w:rPr>
              <w:t>(4)(11)</w:t>
            </w:r>
          </w:p>
        </w:tc>
        <w:tc>
          <w:tcPr>
            <w:tcW w:w="216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Convertible Preference Shares</w:t>
            </w:r>
          </w:p>
        </w:tc>
        <w:tc>
          <w:tcPr>
            <w:tcW w:w="84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12/11/2024</w:t>
            </w: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6,341</w:t>
            </w:r>
          </w:p>
        </w:tc>
        <w:tc>
          <w:tcPr>
            <w:tcW w:w="150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7,403</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(12)</w:t>
            </w:r>
          </w:p>
        </w:tc>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(4,976,563 Shares)</w:t>
            </w:r>
          </w:p>
        </w:tc>
        <w:tc>
          <w:tcPr>
            <w:tcW w:w="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(GBP 5,499)</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7,370</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7,403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Retail and Consumer</w:t>
            </w:r>
          </w:p>
        </w:tc>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Products</w:t>
            </w:r>
          </w:p>
        </w:tc>
        <w:tc>
          <w:tcPr>
            <w:tcW w:w="2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American Achievement, Corp.</w:t>
            </w:r>
          </w:p>
        </w:tc>
        <w:tc>
          <w:tcPr>
            <w:tcW w:w="216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Class A Units (687 units)</w:t>
            </w:r>
          </w:p>
        </w:tc>
        <w:tc>
          <w:tcPr>
            <w:tcW w:w="84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3/16/2021</w:t>
            </w:r>
          </w:p>
        </w:tc>
        <w:tc>
          <w:tcPr>
            <w:tcW w:w="13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50</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(11)</w:t>
            </w:r>
          </w:p>
        </w:tc>
        <w:tc>
          <w:tcPr>
            <w:tcW w:w="21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36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Copper Bidco, LLC </w:t>
            </w:r>
            <w:r>
              <w:rPr>
                <w:rFonts w:ascii="Times New Roman" w:cs="Times New Roman" w:eastAsia="Times New Roman" w:hAnsi="Times New Roman"/>
                <w:sz w:val="16"/>
                <w:szCs w:val="16"/>
                <w:color w:val="auto"/>
                <w:vertAlign w:val="superscript"/>
              </w:rPr>
              <w:t>(9)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Trust Certificates (996,958 Certificates)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1/30/2021</w:t>
            </w: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1,262</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12,412</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(11)(13)</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(1,176,494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12/20/2021</w:t>
            </w: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3,000</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413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4,262</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12,875</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Transportation</w:t>
            </w: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RailTrac Holdings Inc. </w:t>
            </w:r>
            <w:r>
              <w:rPr>
                <w:rFonts w:ascii="Times New Roman" w:cs="Times New Roman" w:eastAsia="Times New Roman" w:hAnsi="Times New Roman"/>
                <w:sz w:val="16"/>
                <w:szCs w:val="16"/>
                <w:color w:val="auto"/>
                <w:vertAlign w:val="superscript"/>
              </w:rPr>
              <w:t>(11)(12)</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Warrants (3,059 warrants)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1/27/2025</w:t>
            </w: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2,717</w:t>
            </w:r>
          </w:p>
        </w:tc>
        <w:tc>
          <w:tcPr>
            <w:tcW w:w="1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2,717</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Equity Investments</w:t>
            </w: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156,384</w:t>
            </w:r>
          </w:p>
        </w:tc>
        <w:tc>
          <w:tcPr>
            <w:tcW w:w="150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175,712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2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Apidos CLO, Series 2015-23A</w:t>
            </w:r>
          </w:p>
        </w:tc>
        <w:tc>
          <w:tcPr>
            <w:tcW w:w="216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Structured Credit ($4,000 par, due</w:t>
            </w:r>
          </w:p>
        </w:tc>
        <w:tc>
          <w:tcPr>
            <w:tcW w:w="84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9/3/2025</w:t>
            </w:r>
          </w:p>
        </w:tc>
        <w:tc>
          <w:tcPr>
            <w:tcW w:w="1360" w:type="dxa"/>
            <w:vAlign w:val="bottom"/>
          </w:tcPr>
          <w:p>
            <w:pPr>
              <w:jc w:val="right"/>
              <w:ind w:right="440"/>
              <w:spacing w:after="0" w:line="108" w:lineRule="exact"/>
              <w:rPr>
                <w:sz w:val="20"/>
                <w:szCs w:val="20"/>
                <w:color w:val="auto"/>
              </w:rPr>
            </w:pPr>
            <w:r>
              <w:rPr>
                <w:rFonts w:ascii="Times New Roman" w:cs="Times New Roman" w:eastAsia="Times New Roman" w:hAnsi="Times New Roman"/>
                <w:sz w:val="12"/>
                <w:szCs w:val="12"/>
                <w:color w:val="auto"/>
              </w:rPr>
              <w:t>SOFR + 5.20%</w:t>
            </w:r>
          </w:p>
        </w:tc>
        <w:tc>
          <w:tcPr>
            <w:tcW w:w="1240" w:type="dxa"/>
            <w:vAlign w:val="bottom"/>
          </w:tcPr>
          <w:p>
            <w:pPr>
              <w:jc w:val="right"/>
              <w:ind w:right="280"/>
              <w:spacing w:after="0" w:line="108" w:lineRule="exact"/>
              <w:rPr>
                <w:sz w:val="20"/>
                <w:szCs w:val="20"/>
                <w:color w:val="auto"/>
              </w:rPr>
            </w:pPr>
            <w:r>
              <w:rPr>
                <w:rFonts w:ascii="Times New Roman" w:cs="Times New Roman" w:eastAsia="Times New Roman" w:hAnsi="Times New Roman"/>
                <w:sz w:val="12"/>
                <w:szCs w:val="12"/>
                <w:color w:val="auto"/>
              </w:rPr>
              <w:t>9.52%</w:t>
            </w:r>
          </w:p>
        </w:tc>
        <w:tc>
          <w:tcPr>
            <w:tcW w:w="1160" w:type="dxa"/>
            <w:vAlign w:val="bottom"/>
          </w:tcPr>
          <w:p>
            <w:pPr>
              <w:jc w:val="right"/>
              <w:ind w:right="380"/>
              <w:spacing w:after="0" w:line="108" w:lineRule="exact"/>
              <w:rPr>
                <w:sz w:val="20"/>
                <w:szCs w:val="20"/>
                <w:color w:val="auto"/>
              </w:rPr>
            </w:pPr>
            <w:r>
              <w:rPr>
                <w:rFonts w:ascii="Times New Roman" w:cs="Times New Roman" w:eastAsia="Times New Roman" w:hAnsi="Times New Roman"/>
                <w:sz w:val="12"/>
                <w:szCs w:val="12"/>
                <w:color w:val="auto"/>
              </w:rPr>
              <w:t>4,017</w:t>
            </w:r>
          </w:p>
        </w:tc>
        <w:tc>
          <w:tcPr>
            <w:tcW w:w="1500" w:type="dxa"/>
            <w:vAlign w:val="bottom"/>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4,000</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(3)(4)(9)</w:t>
            </w:r>
          </w:p>
        </w:tc>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4/2033)</w:t>
            </w:r>
          </w:p>
        </w:tc>
        <w:tc>
          <w:tcPr>
            <w:tcW w:w="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Ares CLO Ltd, Series 2022-</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($2,500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8/7/2025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+ 6.00%</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10.28%</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2,525</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2,527</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63A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10/2038)</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Ares CLO Ltd, Series 2022-</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($2,000 par, due</w:t>
            </w:r>
          </w:p>
        </w:tc>
        <w:tc>
          <w:tcPr>
            <w:tcW w:w="8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9/4/2025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+ 6.50%</w:t>
            </w:r>
          </w:p>
        </w:tc>
        <w:tc>
          <w:tcPr>
            <w:tcW w:w="1240" w:type="dxa"/>
            <w:vAlign w:val="bottom"/>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10.82%</w:t>
            </w:r>
          </w:p>
        </w:tc>
        <w:tc>
          <w:tcPr>
            <w:tcW w:w="11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2,044</w:t>
            </w:r>
          </w:p>
        </w:tc>
        <w:tc>
          <w:tcPr>
            <w:tcW w:w="150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2,039</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64A</w:t>
            </w:r>
            <w:r>
              <w:rPr>
                <w:rFonts w:ascii="Times New Roman" w:cs="Times New Roman" w:eastAsia="Times New Roman" w:hAnsi="Times New Roman"/>
                <w:sz w:val="8"/>
                <w:szCs w:val="8"/>
                <w:color w:val="auto"/>
              </w:rPr>
              <w:t xml:space="preserve"> (3)(4)(9)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10/2039)</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Ares CLO Ltd, Series 2024-</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($3,500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8/7/2025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+ 6.00%</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10.32%</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3,547</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3,536</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72A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7/2036)</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Benefit Street Partners CLO</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($1,725 par, due</w:t>
            </w:r>
          </w:p>
        </w:tc>
        <w:tc>
          <w:tcPr>
            <w:tcW w:w="8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7/16/2025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+ 4.50%</w:t>
            </w:r>
          </w:p>
        </w:tc>
        <w:tc>
          <w:tcPr>
            <w:tcW w:w="1240" w:type="dxa"/>
            <w:vAlign w:val="bottom"/>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8.76%</w:t>
            </w:r>
          </w:p>
        </w:tc>
        <w:tc>
          <w:tcPr>
            <w:tcW w:w="11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1,725</w:t>
            </w:r>
          </w:p>
        </w:tc>
        <w:tc>
          <w:tcPr>
            <w:tcW w:w="150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1,724</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2"/>
                <w:szCs w:val="12"/>
                <w:color w:val="auto"/>
              </w:rPr>
              <w:t xml:space="preserve">Ltd, Series 2025-39A </w:t>
            </w:r>
            <w:r>
              <w:rPr>
                <w:rFonts w:ascii="Times New Roman" w:cs="Times New Roman" w:eastAsia="Times New Roman" w:hAnsi="Times New Roman"/>
                <w:sz w:val="16"/>
                <w:szCs w:val="16"/>
                <w:color w:val="auto"/>
                <w:vertAlign w:val="superscript"/>
              </w:rPr>
              <w:t>(3)(4)(9)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4/2038)</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Birch Grove CLO Ltd, Series</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($1,250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9/2/2025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+ 6.65%</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10.98%</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1,269</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1,255</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2025-14A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7/2037)</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Canyon CLO Ltd, Series 2025-</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($1,125 par, due</w:t>
            </w:r>
          </w:p>
        </w:tc>
        <w:tc>
          <w:tcPr>
            <w:tcW w:w="8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7/28/2025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+ 4.75%</w:t>
            </w:r>
          </w:p>
        </w:tc>
        <w:tc>
          <w:tcPr>
            <w:tcW w:w="1240" w:type="dxa"/>
            <w:vAlign w:val="bottom"/>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9.04%</w:t>
            </w:r>
          </w:p>
        </w:tc>
        <w:tc>
          <w:tcPr>
            <w:tcW w:w="11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1,118</w:t>
            </w:r>
          </w:p>
        </w:tc>
        <w:tc>
          <w:tcPr>
            <w:tcW w:w="150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1,119</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8"/>
                <w:szCs w:val="8"/>
                <w:color w:val="auto"/>
              </w:rPr>
              <w:t xml:space="preserve"> (3)(4)(9)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4/2038)</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Carlyle US CLO Ltd, Series</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($2,500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9/3/2025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+ 7.56%</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11.89%</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2,548</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2,536</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2017-2A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7/2037)</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Carlyle US CLO Ltd, Series</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($3,225 par, due</w:t>
            </w:r>
          </w:p>
        </w:tc>
        <w:tc>
          <w:tcPr>
            <w:tcW w:w="8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8/7/2025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+ 7.30%</w:t>
            </w:r>
          </w:p>
        </w:tc>
        <w:tc>
          <w:tcPr>
            <w:tcW w:w="1240" w:type="dxa"/>
            <w:vAlign w:val="bottom"/>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11.62%</w:t>
            </w:r>
          </w:p>
        </w:tc>
        <w:tc>
          <w:tcPr>
            <w:tcW w:w="11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3,324</w:t>
            </w:r>
          </w:p>
        </w:tc>
        <w:tc>
          <w:tcPr>
            <w:tcW w:w="150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3,314</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2021-1A</w:t>
            </w:r>
            <w:r>
              <w:rPr>
                <w:rFonts w:ascii="Times New Roman" w:cs="Times New Roman" w:eastAsia="Times New Roman" w:hAnsi="Times New Roman"/>
                <w:sz w:val="8"/>
                <w:szCs w:val="8"/>
                <w:color w:val="auto"/>
              </w:rPr>
              <w:t xml:space="preserve"> (3)(4)(9)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1/2040)</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CarVal CLO Ltd, Series 2021-</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($2,000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9/9/2025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+ 7.01%</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11.33%</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2,014</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2,011</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10/2034)</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CarVal CLO Ltd, Series 2023-</w:t>
            </w:r>
          </w:p>
        </w:tc>
        <w:tc>
          <w:tcPr>
            <w:tcW w:w="21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($3,000 par, due</w:t>
            </w:r>
          </w:p>
        </w:tc>
        <w:tc>
          <w:tcPr>
            <w:tcW w:w="8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8/13/2025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+ 6.35%</w:t>
            </w:r>
          </w:p>
        </w:tc>
        <w:tc>
          <w:tcPr>
            <w:tcW w:w="1240" w:type="dxa"/>
            <w:vAlign w:val="bottom"/>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10.68%</w:t>
            </w:r>
          </w:p>
        </w:tc>
        <w:tc>
          <w:tcPr>
            <w:tcW w:w="1160" w:type="dxa"/>
            <w:vAlign w:val="bottom"/>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3,031</w:t>
            </w:r>
          </w:p>
        </w:tc>
        <w:tc>
          <w:tcPr>
            <w:tcW w:w="1500" w:type="dxa"/>
            <w:vAlign w:val="bottom"/>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2,987</w:t>
            </w: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8"/>
                <w:szCs w:val="8"/>
                <w:color w:val="auto"/>
              </w:rPr>
              <w:t xml:space="preserve"> (3)(4)(9)</w:t>
            </w:r>
          </w:p>
        </w:tc>
        <w:tc>
          <w:tcPr>
            <w:tcW w:w="2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7/2037)</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CIFC Funding Ltd, Series</w:t>
            </w:r>
          </w:p>
        </w:tc>
        <w:tc>
          <w:tcPr>
            <w:tcW w:w="21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($4,000 par, due</w:t>
            </w:r>
          </w:p>
        </w:tc>
        <w:tc>
          <w:tcPr>
            <w:tcW w:w="8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7/29/2025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+ 4.90%</w:t>
            </w:r>
          </w:p>
        </w:tc>
        <w:tc>
          <w:tcPr>
            <w:tcW w:w="1240" w:type="dxa"/>
            <w:vAlign w:val="bottom"/>
            <w:shd w:val="clear" w:color="auto" w:fill="CFF0FC"/>
          </w:tcPr>
          <w:p>
            <w:pPr>
              <w:jc w:val="right"/>
              <w:ind w:right="280"/>
              <w:spacing w:after="0" w:line="121" w:lineRule="exact"/>
              <w:rPr>
                <w:sz w:val="20"/>
                <w:szCs w:val="20"/>
                <w:color w:val="auto"/>
              </w:rPr>
            </w:pPr>
            <w:r>
              <w:rPr>
                <w:rFonts w:ascii="Times New Roman" w:cs="Times New Roman" w:eastAsia="Times New Roman" w:hAnsi="Times New Roman"/>
                <w:sz w:val="12"/>
                <w:szCs w:val="12"/>
                <w:color w:val="auto"/>
              </w:rPr>
              <w:t>9.22%</w:t>
            </w:r>
          </w:p>
        </w:tc>
        <w:tc>
          <w:tcPr>
            <w:tcW w:w="1160" w:type="dxa"/>
            <w:vAlign w:val="bottom"/>
            <w:shd w:val="clear" w:color="auto" w:fill="CFF0FC"/>
          </w:tcPr>
          <w:p>
            <w:pPr>
              <w:jc w:val="right"/>
              <w:ind w:right="380"/>
              <w:spacing w:after="0" w:line="121" w:lineRule="exact"/>
              <w:rPr>
                <w:sz w:val="20"/>
                <w:szCs w:val="20"/>
                <w:color w:val="auto"/>
              </w:rPr>
            </w:pPr>
            <w:r>
              <w:rPr>
                <w:rFonts w:ascii="Times New Roman" w:cs="Times New Roman" w:eastAsia="Times New Roman" w:hAnsi="Times New Roman"/>
                <w:sz w:val="12"/>
                <w:szCs w:val="12"/>
                <w:color w:val="auto"/>
              </w:rPr>
              <w:t>4,027</w:t>
            </w:r>
          </w:p>
        </w:tc>
        <w:tc>
          <w:tcPr>
            <w:tcW w:w="1500" w:type="dxa"/>
            <w:vAlign w:val="bottom"/>
            <w:shd w:val="clear" w:color="auto" w:fill="CFF0FC"/>
          </w:tcPr>
          <w:p>
            <w:pPr>
              <w:jc w:val="right"/>
              <w:ind w:right="360"/>
              <w:spacing w:after="0" w:line="121" w:lineRule="exact"/>
              <w:rPr>
                <w:sz w:val="20"/>
                <w:szCs w:val="20"/>
                <w:color w:val="auto"/>
              </w:rPr>
            </w:pPr>
            <w:r>
              <w:rPr>
                <w:rFonts w:ascii="Times New Roman" w:cs="Times New Roman" w:eastAsia="Times New Roman" w:hAnsi="Times New Roman"/>
                <w:sz w:val="12"/>
                <w:szCs w:val="12"/>
                <w:color w:val="auto"/>
              </w:rPr>
              <w:t>4,021</w:t>
            </w:r>
          </w:p>
        </w:tc>
        <w:tc>
          <w:tcPr>
            <w:tcW w:w="72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2020-4A</w:t>
            </w:r>
            <w:r>
              <w:rPr>
                <w:rFonts w:ascii="Times New Roman" w:cs="Times New Roman" w:eastAsia="Times New Roman" w:hAnsi="Times New Roman"/>
                <w:sz w:val="8"/>
                <w:szCs w:val="8"/>
                <w:color w:val="auto"/>
              </w:rPr>
              <w:t xml:space="preserve"> (3)(4)(9)</w:t>
            </w: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1/2040)</w:t>
            </w:r>
          </w:p>
        </w:tc>
        <w:tc>
          <w:tcPr>
            <w:tcW w:w="8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3" w:right="66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CIFC Funding Ltd, Series</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($1,000 par, due</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7/17/2025</w:t>
            </w:r>
          </w:p>
        </w:tc>
        <w:tc>
          <w:tcPr>
            <w:tcW w:w="1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SOFR + 6.46%</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10.78%</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2021-2A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4/2034)</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CIFC Funding Ltd, Series</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($2,800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9/8/2025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+ 4.90%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9.13%</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2,810</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2,809</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2021-7A</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1/2035)</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CIFC Funding Ltd, Series</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($3,000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8/27/2025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+ 5.25%</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9.53%</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3,009</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3,016</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2022-4A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7/2035)</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Diameter Capital CLO Ltd,</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($3,500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9/2/2025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+ 4.70%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9.02%</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3,531</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3,503</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2025-9A </w:t>
            </w:r>
            <w:r>
              <w:rPr>
                <w:rFonts w:ascii="Times New Roman" w:cs="Times New Roman" w:eastAsia="Times New Roman" w:hAnsi="Times New Roman"/>
                <w:sz w:val="16"/>
                <w:szCs w:val="16"/>
                <w:color w:val="auto"/>
                <w:vertAlign w:val="superscript"/>
              </w:rPr>
              <w:t>(3)(4)(9)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Goldentree Loan Management</w:t>
            </w:r>
          </w:p>
        </w:tc>
        <w:tc>
          <w:tcPr>
            <w:tcW w:w="20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Structured Credit ($5,000 par, due</w:t>
            </w:r>
          </w:p>
        </w:tc>
        <w:tc>
          <w:tcPr>
            <w:tcW w:w="9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9/16/2025</w:t>
            </w:r>
          </w:p>
        </w:tc>
        <w:tc>
          <w:tcPr>
            <w:tcW w:w="136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SOFR + 4.50%</w:t>
            </w:r>
          </w:p>
        </w:tc>
        <w:tc>
          <w:tcPr>
            <w:tcW w:w="102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8.83%</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4,973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4,956</w:t>
            </w:r>
          </w:p>
        </w:tc>
        <w:tc>
          <w:tcPr>
            <w:tcW w:w="116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19"/>
        </w:trPr>
        <w:tc>
          <w:tcPr>
            <w:tcW w:w="158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US CLO Ltd, Series 2022-16A</w:t>
            </w:r>
          </w:p>
        </w:tc>
        <w:tc>
          <w:tcPr>
            <w:tcW w:w="2060" w:type="dxa"/>
            <w:vAlign w:val="bottom"/>
          </w:tcPr>
          <w:p>
            <w:pPr>
              <w:ind w:left="60"/>
              <w:spacing w:after="0" w:line="119" w:lineRule="exact"/>
              <w:rPr>
                <w:sz w:val="20"/>
                <w:szCs w:val="20"/>
                <w:color w:val="auto"/>
              </w:rPr>
            </w:pPr>
            <w:r>
              <w:rPr>
                <w:rFonts w:ascii="Times New Roman" w:cs="Times New Roman" w:eastAsia="Times New Roman" w:hAnsi="Times New Roman"/>
                <w:sz w:val="12"/>
                <w:szCs w:val="12"/>
                <w:color w:val="auto"/>
              </w:rPr>
              <w:t>1/2038)</w:t>
            </w: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5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(3)(4)(9)</w:t>
            </w:r>
          </w:p>
        </w:tc>
        <w:tc>
          <w:tcPr>
            <w:tcW w:w="2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Goldentree Loan Management</w:t>
            </w:r>
          </w:p>
        </w:tc>
        <w:tc>
          <w:tcPr>
            <w:tcW w:w="20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Structured Credit ($3,000 par, due</w:t>
            </w:r>
          </w:p>
        </w:tc>
        <w:tc>
          <w:tcPr>
            <w:tcW w:w="9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7/16/2025</w:t>
            </w:r>
          </w:p>
        </w:tc>
        <w:tc>
          <w:tcPr>
            <w:tcW w:w="1360" w:type="dxa"/>
            <w:vAlign w:val="bottom"/>
            <w:shd w:val="clear" w:color="auto" w:fill="CFF0FC"/>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SOFR + 5.40%</w:t>
            </w:r>
          </w:p>
        </w:tc>
        <w:tc>
          <w:tcPr>
            <w:tcW w:w="102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9.73%</w:t>
            </w: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3,022</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3,036</w:t>
            </w:r>
          </w:p>
        </w:tc>
        <w:tc>
          <w:tcPr>
            <w:tcW w:w="11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2"/>
                <w:szCs w:val="12"/>
                <w:color w:val="auto"/>
              </w:rPr>
              <w:t>US CLO Ltd, Series 2023-17A</w:t>
            </w:r>
          </w:p>
        </w:tc>
        <w:tc>
          <w:tcPr>
            <w:tcW w:w="2060" w:type="dxa"/>
            <w:vAlign w:val="bottom"/>
            <w:shd w:val="clear" w:color="auto" w:fill="CFF0FC"/>
          </w:tcPr>
          <w:p>
            <w:pPr>
              <w:ind w:left="60"/>
              <w:spacing w:after="0" w:line="119" w:lineRule="exact"/>
              <w:rPr>
                <w:sz w:val="20"/>
                <w:szCs w:val="20"/>
                <w:color w:val="auto"/>
              </w:rPr>
            </w:pPr>
            <w:r>
              <w:rPr>
                <w:rFonts w:ascii="Times New Roman" w:cs="Times New Roman" w:eastAsia="Times New Roman" w:hAnsi="Times New Roman"/>
                <w:sz w:val="12"/>
                <w:szCs w:val="12"/>
                <w:color w:val="auto"/>
              </w:rPr>
              <w:t>1/2039)</w:t>
            </w:r>
          </w:p>
        </w:tc>
        <w:tc>
          <w:tcPr>
            <w:tcW w:w="9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(3)(4)(9)</w:t>
            </w:r>
          </w:p>
        </w:tc>
        <w:tc>
          <w:tcPr>
            <w:tcW w:w="20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1360" w:type="dxa"/>
            <w:vAlign w:val="bottom"/>
            <w:tcBorders>
              <w:bottom w:val="single" w:sz="8" w:color="CFF0FC"/>
            </w:tcBorders>
            <w:shd w:val="clear" w:color="auto" w:fill="CFF0FC"/>
          </w:tcPr>
          <w:p>
            <w:pPr>
              <w:spacing w:after="0"/>
              <w:rPr>
                <w:sz w:val="10"/>
                <w:szCs w:val="10"/>
                <w:color w:val="auto"/>
              </w:rPr>
            </w:pPr>
          </w:p>
        </w:tc>
        <w:tc>
          <w:tcPr>
            <w:tcW w:w="102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Lake George Park CLO Ltd,</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($4,500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8/27/2025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+ 4.60%</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8.89%</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4,500</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4,507</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2025-1A </w:t>
            </w:r>
            <w:r>
              <w:rPr>
                <w:rFonts w:ascii="Times New Roman" w:cs="Times New Roman" w:eastAsia="Times New Roman" w:hAnsi="Times New Roman"/>
                <w:sz w:val="16"/>
                <w:szCs w:val="16"/>
                <w:color w:val="auto"/>
                <w:vertAlign w:val="superscript"/>
              </w:rPr>
              <w:t>(3)(4)(9)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4/2038)</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Madison Park Funding Ltd,</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($4,400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8/19/2025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+ 5.00%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9.32%</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4,408</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4,405</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2025-65A </w:t>
            </w:r>
            <w:r>
              <w:rPr>
                <w:rFonts w:ascii="Times New Roman" w:cs="Times New Roman" w:eastAsia="Times New Roman" w:hAnsi="Times New Roman"/>
                <w:sz w:val="16"/>
                <w:szCs w:val="16"/>
                <w:color w:val="auto"/>
                <w:vertAlign w:val="superscript"/>
              </w:rPr>
              <w:t>(3)(4)(9)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Madison Park Funding Ltd,</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($4,500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8/18/2025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+ 5.25%</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9.37%</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4,552</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4,544</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2025-72A </w:t>
            </w:r>
            <w:r>
              <w:rPr>
                <w:rFonts w:ascii="Times New Roman" w:cs="Times New Roman" w:eastAsia="Times New Roman" w:hAnsi="Times New Roman"/>
                <w:sz w:val="16"/>
                <w:szCs w:val="16"/>
                <w:color w:val="auto"/>
                <w:vertAlign w:val="superscript"/>
              </w:rPr>
              <w:t>(3)(4)(9)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Neuberger Berman CLO Ltd,</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($4,000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7/28/2025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+ 4.90%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9.22%</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4,010</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4,009</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2017-16SA </w:t>
            </w:r>
            <w:r>
              <w:rPr>
                <w:rFonts w:ascii="Times New Roman" w:cs="Times New Roman" w:eastAsia="Times New Roman" w:hAnsi="Times New Roman"/>
                <w:sz w:val="16"/>
                <w:szCs w:val="16"/>
                <w:color w:val="auto"/>
                <w:vertAlign w:val="superscript"/>
              </w:rPr>
              <w:t>(3)(4)(9)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4/2039)</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Neuberger Berman CLO Ltd,</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($1,150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7/28/2025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+ 4.75%</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9.07%</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1,151</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1,154</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2015-20A </w:t>
            </w:r>
            <w:r>
              <w:rPr>
                <w:rFonts w:ascii="Times New Roman" w:cs="Times New Roman" w:eastAsia="Times New Roman" w:hAnsi="Times New Roman"/>
                <w:sz w:val="16"/>
                <w:szCs w:val="16"/>
                <w:color w:val="auto"/>
                <w:vertAlign w:val="superscript"/>
              </w:rPr>
              <w:t>(3)(4)(9)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4/2039)</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Neuberger Berman Loan</w:t>
            </w:r>
          </w:p>
        </w:tc>
        <w:tc>
          <w:tcPr>
            <w:tcW w:w="20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Structured Credit ($1,000 par, due</w:t>
            </w:r>
          </w:p>
        </w:tc>
        <w:tc>
          <w:tcPr>
            <w:tcW w:w="9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8/25/2025</w:t>
            </w:r>
          </w:p>
        </w:tc>
        <w:tc>
          <w:tcPr>
            <w:tcW w:w="1360" w:type="dxa"/>
            <w:vAlign w:val="bottom"/>
            <w:shd w:val="clear" w:color="auto" w:fill="CFF0FC"/>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SOFR + 7.00%</w:t>
            </w:r>
          </w:p>
        </w:tc>
        <w:tc>
          <w:tcPr>
            <w:tcW w:w="102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11.33%</w:t>
            </w: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w:t>
            </w:r>
          </w:p>
        </w:tc>
        <w:tc>
          <w:tcPr>
            <w:tcW w:w="11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Advisers CLO Ltd, Series</w:t>
            </w:r>
          </w:p>
        </w:tc>
        <w:tc>
          <w:tcPr>
            <w:tcW w:w="206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2"/>
                <w:szCs w:val="12"/>
                <w:color w:val="auto"/>
              </w:rPr>
              <w:t>10/2038)</w:t>
            </w:r>
          </w:p>
        </w:tc>
        <w:tc>
          <w:tcPr>
            <w:tcW w:w="9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2017-24A</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Neuberger Berman Loan</w:t>
            </w:r>
          </w:p>
        </w:tc>
        <w:tc>
          <w:tcPr>
            <w:tcW w:w="20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Structured Credit ($2,000 par, due</w:t>
            </w:r>
          </w:p>
        </w:tc>
        <w:tc>
          <w:tcPr>
            <w:tcW w:w="9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9/9/2025</w:t>
            </w:r>
          </w:p>
        </w:tc>
        <w:tc>
          <w:tcPr>
            <w:tcW w:w="136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02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9.82%</w:t>
            </w:r>
          </w:p>
        </w:tc>
        <w:tc>
          <w:tcPr>
            <w:tcW w:w="2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2,031</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116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32"/>
        </w:trPr>
        <w:tc>
          <w:tcPr>
            <w:tcW w:w="15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Advisers CLO Ltd, Series</w:t>
            </w:r>
          </w:p>
        </w:tc>
        <w:tc>
          <w:tcPr>
            <w:tcW w:w="206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4/2039)</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2019-33A</w:t>
            </w:r>
            <w:r>
              <w:rPr>
                <w:rFonts w:ascii="Times New Roman" w:cs="Times New Roman" w:eastAsia="Times New Roman" w:hAnsi="Times New Roman"/>
                <w:sz w:val="8"/>
                <w:szCs w:val="8"/>
                <w:color w:val="auto"/>
              </w:rPr>
              <w:t xml:space="preserve"> (3)(4)(9)</w:t>
            </w: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Neuberger Berman Loan</w:t>
            </w:r>
          </w:p>
        </w:tc>
        <w:tc>
          <w:tcPr>
            <w:tcW w:w="206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Structured Credit ($1,000 par, due</w:t>
            </w:r>
          </w:p>
        </w:tc>
        <w:tc>
          <w:tcPr>
            <w:tcW w:w="9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8/15/2025</w:t>
            </w:r>
          </w:p>
        </w:tc>
        <w:tc>
          <w:tcPr>
            <w:tcW w:w="1360" w:type="dxa"/>
            <w:vAlign w:val="bottom"/>
            <w:shd w:val="clear" w:color="auto" w:fill="CFF0FC"/>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SOFR + 5.15%</w:t>
            </w:r>
          </w:p>
        </w:tc>
        <w:tc>
          <w:tcPr>
            <w:tcW w:w="102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9.47%</w:t>
            </w: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1,003</w:t>
            </w:r>
          </w:p>
        </w:tc>
        <w:tc>
          <w:tcPr>
            <w:tcW w:w="11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Advisers CLO Ltd, Series</w:t>
            </w:r>
          </w:p>
        </w:tc>
        <w:tc>
          <w:tcPr>
            <w:tcW w:w="2060" w:type="dxa"/>
            <w:vAlign w:val="bottom"/>
            <w:shd w:val="clear" w:color="auto" w:fill="CFF0FC"/>
          </w:tcPr>
          <w:p>
            <w:pPr>
              <w:ind w:left="60"/>
              <w:spacing w:after="0" w:line="132" w:lineRule="exact"/>
              <w:rPr>
                <w:sz w:val="20"/>
                <w:szCs w:val="20"/>
                <w:color w:val="auto"/>
              </w:rPr>
            </w:pPr>
            <w:r>
              <w:rPr>
                <w:rFonts w:ascii="Times New Roman" w:cs="Times New Roman" w:eastAsia="Times New Roman" w:hAnsi="Times New Roman"/>
                <w:sz w:val="12"/>
                <w:szCs w:val="12"/>
                <w:color w:val="auto"/>
              </w:rPr>
              <w:t>10/2035)</w:t>
            </w:r>
          </w:p>
        </w:tc>
        <w:tc>
          <w:tcPr>
            <w:tcW w:w="9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2021-44A</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Oaktree CLO Ltd, Series 2022-</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($3,500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7/17/2025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+ 6.40%</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10.70%</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3,543</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3,549</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10/2037)</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Octagon 67 Ltd, Series 2023-</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($3,000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9/4/2025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+ 7.41%</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11.73%</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3,104</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3,091</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1A</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Oha Credit Funding Ltd, Series</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($1,250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7/24/2025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+ 5.55%</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9.83%</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1,271</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1,267</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2025-22A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Palmer Square CLO Ltd, Series</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($4,000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9/16/2025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+ 5.75%</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10.02%</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4,037</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4,029</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2021-4</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Palmer Square CLO Ltd, Series</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($2,250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8/21/2025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+ 4.50%</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8.81%</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2,251</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2,250</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2025-1A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4/2038)</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Pikes Peak CLO Ltd, Series</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($3,000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7/30/2025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+ 6.00%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10.33%</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3,068</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2,998</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2023-14A</w:t>
            </w:r>
            <w:r>
              <w:rPr>
                <w:rFonts w:ascii="Times New Roman" w:cs="Times New Roman" w:eastAsia="Times New Roman" w:hAnsi="Times New Roman"/>
                <w:sz w:val="8"/>
                <w:szCs w:val="8"/>
                <w:color w:val="auto"/>
              </w:rPr>
              <w:t xml:space="preserve"> (3)(4)(9)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Regatta Funding Ltd, Series</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($1,000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7/17/2025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+ 6.50%</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10.82%</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1,019</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1,018</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2020-1A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10/2037)</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Riverbank Park CLO Ltd,</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($4,500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7/29/2025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+ 4.80%</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9.12%</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4,529</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4,526</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2024-1A </w:t>
            </w:r>
            <w:r>
              <w:rPr>
                <w:rFonts w:ascii="Times New Roman" w:cs="Times New Roman" w:eastAsia="Times New Roman" w:hAnsi="Times New Roman"/>
                <w:sz w:val="16"/>
                <w:szCs w:val="16"/>
                <w:color w:val="auto"/>
                <w:vertAlign w:val="superscript"/>
              </w:rPr>
              <w:t>(3)(4)(9)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1/2038)</w:t>
            </w: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RR Ltd, Series 2021-19A </w:t>
            </w:r>
            <w:r>
              <w:rPr>
                <w:rFonts w:ascii="Times New Roman" w:cs="Times New Roman" w:eastAsia="Times New Roman" w:hAnsi="Times New Roman"/>
                <w:sz w:val="12"/>
                <w:szCs w:val="12"/>
                <w:color w:val="auto"/>
                <w:vertAlign w:val="superscript"/>
              </w:rPr>
              <w:t>(3)(4)</w:t>
            </w:r>
          </w:p>
        </w:tc>
        <w:tc>
          <w:tcPr>
            <w:tcW w:w="206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Structured Credit ($1,000 par, due</w:t>
            </w:r>
          </w:p>
        </w:tc>
        <w:tc>
          <w:tcPr>
            <w:tcW w:w="94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7/17/2025</w:t>
            </w:r>
          </w:p>
        </w:tc>
        <w:tc>
          <w:tcPr>
            <w:tcW w:w="1360" w:type="dxa"/>
            <w:vAlign w:val="bottom"/>
          </w:tcPr>
          <w:p>
            <w:pPr>
              <w:jc w:val="right"/>
              <w:ind w:right="440"/>
              <w:spacing w:after="0" w:line="108" w:lineRule="exact"/>
              <w:rPr>
                <w:sz w:val="20"/>
                <w:szCs w:val="20"/>
                <w:color w:val="auto"/>
              </w:rPr>
            </w:pPr>
            <w:r>
              <w:rPr>
                <w:rFonts w:ascii="Times New Roman" w:cs="Times New Roman" w:eastAsia="Times New Roman" w:hAnsi="Times New Roman"/>
                <w:sz w:val="12"/>
                <w:szCs w:val="12"/>
                <w:color w:val="auto"/>
              </w:rPr>
              <w:t>SOFR + 4.70%</w:t>
            </w:r>
          </w:p>
        </w:tc>
        <w:tc>
          <w:tcPr>
            <w:tcW w:w="1020" w:type="dxa"/>
            <w:vAlign w:val="bottom"/>
          </w:tcPr>
          <w:p>
            <w:pPr>
              <w:jc w:val="right"/>
              <w:ind w:right="60"/>
              <w:spacing w:after="0" w:line="108" w:lineRule="exact"/>
              <w:rPr>
                <w:sz w:val="20"/>
                <w:szCs w:val="20"/>
                <w:color w:val="auto"/>
              </w:rPr>
            </w:pPr>
            <w:r>
              <w:rPr>
                <w:rFonts w:ascii="Times New Roman" w:cs="Times New Roman" w:eastAsia="Times New Roman" w:hAnsi="Times New Roman"/>
                <w:sz w:val="12"/>
                <w:szCs w:val="12"/>
                <w:color w:val="auto"/>
              </w:rPr>
              <w:t>9.02%</w:t>
            </w:r>
          </w:p>
        </w:tc>
        <w:tc>
          <w:tcPr>
            <w:tcW w:w="26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999</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1,002</w:t>
            </w:r>
          </w:p>
        </w:tc>
        <w:tc>
          <w:tcPr>
            <w:tcW w:w="11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07"/>
        </w:trPr>
        <w:tc>
          <w:tcPr>
            <w:tcW w:w="15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(9)</w:t>
            </w:r>
          </w:p>
        </w:tc>
        <w:tc>
          <w:tcPr>
            <w:tcW w:w="20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4/2040)</w:t>
            </w:r>
          </w:p>
        </w:tc>
        <w:tc>
          <w:tcPr>
            <w:tcW w:w="9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Texas Debt Capital CLO Ltd,</w:t>
            </w:r>
          </w:p>
        </w:tc>
        <w:tc>
          <w:tcPr>
            <w:tcW w:w="206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($2,000 par, due</w:t>
            </w:r>
          </w:p>
        </w:tc>
        <w:tc>
          <w:tcPr>
            <w:tcW w:w="94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8/12/2025</w:t>
            </w:r>
          </w:p>
        </w:tc>
        <w:tc>
          <w:tcPr>
            <w:tcW w:w="136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+ 4.95%</w:t>
            </w:r>
          </w:p>
        </w:tc>
        <w:tc>
          <w:tcPr>
            <w:tcW w:w="1020" w:type="dxa"/>
            <w:vAlign w:val="bottom"/>
            <w:shd w:val="clear" w:color="auto" w:fill="CFF0FC"/>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9.27%</w:t>
            </w:r>
          </w:p>
        </w:tc>
        <w:tc>
          <w:tcPr>
            <w:tcW w:w="2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2,023</w:t>
            </w: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2,026</w:t>
            </w:r>
          </w:p>
        </w:tc>
        <w:tc>
          <w:tcPr>
            <w:tcW w:w="116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Series 2023-1A </w:t>
            </w:r>
            <w:r>
              <w:rPr>
                <w:rFonts w:ascii="Times New Roman" w:cs="Times New Roman" w:eastAsia="Times New Roman" w:hAnsi="Times New Roman"/>
                <w:sz w:val="16"/>
                <w:szCs w:val="16"/>
                <w:color w:val="auto"/>
                <w:vertAlign w:val="superscript"/>
              </w:rPr>
              <w:t>(3)(4)(9)</w:t>
            </w:r>
          </w:p>
        </w:tc>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7/2038)</w:t>
            </w:r>
          </w:p>
        </w:tc>
        <w:tc>
          <w:tcPr>
            <w:tcW w:w="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Whitebox CLO Ltd, Series</w:t>
            </w:r>
          </w:p>
        </w:tc>
        <w:tc>
          <w:tcPr>
            <w:tcW w:w="20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($1,500 par, due</w:t>
            </w:r>
          </w:p>
        </w:tc>
        <w:tc>
          <w:tcPr>
            <w:tcW w:w="94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8/20/2025</w:t>
            </w:r>
          </w:p>
        </w:tc>
        <w:tc>
          <w:tcPr>
            <w:tcW w:w="136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SOFR + 6.48%</w:t>
            </w:r>
          </w:p>
        </w:tc>
        <w:tc>
          <w:tcPr>
            <w:tcW w:w="1020" w:type="dxa"/>
            <w:vAlign w:val="bottom"/>
          </w:tcPr>
          <w:p>
            <w:pPr>
              <w:jc w:val="right"/>
              <w:ind w:right="60"/>
              <w:spacing w:after="0" w:line="121" w:lineRule="exact"/>
              <w:rPr>
                <w:sz w:val="20"/>
                <w:szCs w:val="20"/>
                <w:color w:val="auto"/>
              </w:rPr>
            </w:pPr>
            <w:r>
              <w:rPr>
                <w:rFonts w:ascii="Times New Roman" w:cs="Times New Roman" w:eastAsia="Times New Roman" w:hAnsi="Times New Roman"/>
                <w:sz w:val="12"/>
                <w:szCs w:val="12"/>
                <w:color w:val="auto"/>
              </w:rPr>
              <w:t>10.81%</w:t>
            </w:r>
          </w:p>
        </w:tc>
        <w:tc>
          <w:tcPr>
            <w:tcW w:w="2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1,529</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1,528</w:t>
            </w:r>
          </w:p>
        </w:tc>
        <w:tc>
          <w:tcPr>
            <w:tcW w:w="116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2023-4A</w:t>
            </w:r>
            <w:r>
              <w:rPr>
                <w:rFonts w:ascii="Times New Roman" w:cs="Times New Roman" w:eastAsia="Times New Roman" w:hAnsi="Times New Roman"/>
                <w:sz w:val="8"/>
                <w:szCs w:val="8"/>
                <w:color w:val="auto"/>
              </w:rPr>
              <w:t xml:space="preserve"> (3)(4)(9)</w:t>
            </w:r>
          </w:p>
        </w:tc>
        <w:tc>
          <w:tcPr>
            <w:tcW w:w="2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4/2036)</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Other Investments</w:t>
            </w:r>
          </w:p>
        </w:tc>
        <w:tc>
          <w:tcPr>
            <w:tcW w:w="20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99,597</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99,342</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Equity and Other</w:t>
            </w:r>
          </w:p>
        </w:tc>
        <w:tc>
          <w:tcPr>
            <w:tcW w:w="2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255,981</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275,054</w:t>
            </w:r>
          </w:p>
        </w:tc>
        <w:tc>
          <w:tcPr>
            <w:tcW w:w="11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59"/>
        </w:trPr>
        <w:tc>
          <w:tcPr>
            <w:tcW w:w="1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2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20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3,343,972</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3,376,311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3" w:right="680" w:bottom="1440" w:gutter="0" w:footer="0" w:header="0"/>
        </w:sectPr>
      </w:pPr>
    </w:p>
    <w:bookmarkStart w:id="13" w:name="page14"/>
    <w:bookmarkEnd w:id="13"/>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80" w:type="dxa"/>
            <w:vAlign w:val="bottom"/>
            <w:gridSpan w:val="7"/>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Interest Rate Swaps as of September 30, 2025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2020" w:type="dxa"/>
            <w:vAlign w:val="bottom"/>
          </w:tcPr>
          <w:p>
            <w:pPr>
              <w:spacing w:after="0"/>
              <w:rPr>
                <w:sz w:val="13"/>
                <w:szCs w:val="13"/>
                <w:color w:val="auto"/>
              </w:rPr>
            </w:pP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020" w:type="dxa"/>
            <w:vAlign w:val="bottom"/>
          </w:tcPr>
          <w:p>
            <w:pPr>
              <w:spacing w:after="0"/>
              <w:rPr>
                <w:sz w:val="14"/>
                <w:szCs w:val="14"/>
                <w:color w:val="auto"/>
              </w:rPr>
            </w:pPr>
          </w:p>
        </w:tc>
        <w:tc>
          <w:tcPr>
            <w:tcW w:w="112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2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2.50%</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+ 2.17%</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8/1/2026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(8,589)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9,029</w:t>
            </w:r>
          </w:p>
        </w:tc>
        <w:tc>
          <w:tcPr>
            <w:tcW w:w="80" w:type="dxa"/>
            <w:vAlign w:val="bottom"/>
            <w:shd w:val="clear" w:color="auto" w:fill="CFF0FC"/>
          </w:tcPr>
          <w:p>
            <w:pPr>
              <w:spacing w:after="0"/>
              <w:rPr>
                <w:sz w:val="13"/>
                <w:szCs w:val="13"/>
                <w:color w:val="auto"/>
              </w:rPr>
            </w:pPr>
          </w:p>
        </w:tc>
      </w:tr>
      <w:tr>
        <w:trPr>
          <w:trHeight w:val="156"/>
        </w:trPr>
        <w:tc>
          <w:tcPr>
            <w:tcW w:w="202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6.95%</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+ 2.99%</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8/14/2028</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w:t>
            </w:r>
          </w:p>
        </w:tc>
        <w:tc>
          <w:tcPr>
            <w:tcW w:w="80" w:type="dxa"/>
            <w:vAlign w:val="bottom"/>
          </w:tcPr>
          <w:p>
            <w:pPr>
              <w:spacing w:after="0"/>
              <w:rPr>
                <w:sz w:val="13"/>
                <w:szCs w:val="13"/>
                <w:color w:val="auto"/>
              </w:rPr>
            </w:pPr>
          </w:p>
        </w:tc>
      </w:tr>
      <w:tr>
        <w:trPr>
          <w:trHeight w:val="156"/>
        </w:trPr>
        <w:tc>
          <w:tcPr>
            <w:tcW w:w="2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6.125%</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+ 2.44%</w:t>
            </w:r>
          </w:p>
        </w:tc>
        <w:tc>
          <w:tcPr>
            <w:tcW w:w="13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3/1/2029</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8,727</w:t>
            </w:r>
          </w:p>
        </w:tc>
        <w:tc>
          <w:tcPr>
            <w:tcW w:w="80" w:type="dxa"/>
            <w:vAlign w:val="bottom"/>
            <w:shd w:val="clear" w:color="auto" w:fill="CFF0FC"/>
          </w:tcPr>
          <w:p>
            <w:pPr>
              <w:spacing w:after="0"/>
              <w:rPr>
                <w:sz w:val="13"/>
                <w:szCs w:val="13"/>
                <w:color w:val="auto"/>
              </w:rPr>
            </w:pPr>
          </w:p>
        </w:tc>
      </w:tr>
      <w:tr>
        <w:trPr>
          <w:trHeight w:val="156"/>
        </w:trPr>
        <w:tc>
          <w:tcPr>
            <w:tcW w:w="202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5.625%</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+ 1.53%</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8/15/2030</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9,319</w:t>
            </w:r>
          </w:p>
        </w:tc>
        <w:tc>
          <w:tcPr>
            <w:tcW w:w="80" w:type="dxa"/>
            <w:vAlign w:val="bottom"/>
          </w:tcPr>
          <w:p>
            <w:pPr>
              <w:spacing w:after="0"/>
              <w:rPr>
                <w:sz w:val="13"/>
                <w:szCs w:val="13"/>
                <w:color w:val="auto"/>
              </w:rPr>
            </w:pPr>
          </w:p>
        </w:tc>
      </w:tr>
      <w:tr>
        <w:trPr>
          <w:trHeight w:val="15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33,085</w:t>
            </w:r>
          </w:p>
        </w:tc>
      </w:tr>
      <w:tr>
        <w:trPr>
          <w:trHeight w:val="156"/>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20,137</w:t>
            </w: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derivatives</w:t>
            </w:r>
          </w:p>
        </w:tc>
        <w:tc>
          <w:tcPr>
            <w:tcW w:w="1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28,984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33,085</w:t>
            </w:r>
          </w:p>
        </w:tc>
      </w:tr>
      <w:tr>
        <w:trPr>
          <w:trHeight w:val="20"/>
        </w:trPr>
        <w:tc>
          <w:tcPr>
            <w:tcW w:w="20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18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Canadian Overnight Repo Rate Average ("CORRA" or "C")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2025.</w:t>
      </w:r>
    </w:p>
    <w:p>
      <w:pPr>
        <w:spacing w:after="0" w:line="5"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22.0% of total assets as of September 30, 2025.</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 Transactions during the nine months ended September 30, 2025 in which the issuer was an Affiliated Person of and was deemed to Control a portfolio company are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nine months ended September 30,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3"/>
                <w:szCs w:val="13"/>
                <w:color w:val="auto"/>
              </w:rPr>
            </w:pPr>
          </w:p>
        </w:tc>
        <w:tc>
          <w:tcPr>
            <w:tcW w:w="7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 Unrealized</w:t>
            </w:r>
          </w:p>
        </w:tc>
        <w:tc>
          <w:tcPr>
            <w:tcW w:w="100" w:type="dxa"/>
            <w:vAlign w:val="bottom"/>
          </w:tcPr>
          <w:p>
            <w:pPr>
              <w:spacing w:after="0"/>
              <w:rPr>
                <w:sz w:val="13"/>
                <w:szCs w:val="13"/>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r>
      <w:tr>
        <w:trPr>
          <w:trHeight w:val="170"/>
        </w:trPr>
        <w:tc>
          <w:tcPr>
            <w:tcW w:w="180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4"/>
                <w:szCs w:val="14"/>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Additions (a)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Reductions (b)</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56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80"/>
        </w:trPr>
        <w:tc>
          <w:tcPr>
            <w:tcW w:w="1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65,095</w:t>
            </w:r>
          </w:p>
        </w:tc>
        <w:tc>
          <w:tcPr>
            <w:tcW w:w="360" w:type="dxa"/>
            <w:vAlign w:val="bottom"/>
            <w:gridSpan w:val="2"/>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8,629</w:t>
            </w:r>
          </w:p>
        </w:tc>
        <w:tc>
          <w:tcPr>
            <w:tcW w:w="18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ind w:left="56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(7,385)</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ind w:left="6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66,339</w:t>
            </w:r>
          </w:p>
        </w:tc>
        <w:tc>
          <w:tcPr>
            <w:tcW w:w="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7,649</w:t>
            </w:r>
          </w:p>
        </w:tc>
      </w:tr>
      <w:tr>
        <w:trPr>
          <w:trHeight w:val="180"/>
        </w:trPr>
        <w:tc>
          <w:tcPr>
            <w:tcW w:w="18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65,095</w:t>
            </w:r>
          </w:p>
        </w:tc>
        <w:tc>
          <w:tcPr>
            <w:tcW w:w="36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b w:val="1"/>
                <w:bCs w:val="1"/>
                <w:color w:val="auto"/>
              </w:rPr>
              <w:t>8,629</w:t>
            </w:r>
          </w:p>
        </w:tc>
        <w:tc>
          <w:tcPr>
            <w:tcW w:w="180" w:type="dxa"/>
            <w:vAlign w:val="bottom"/>
          </w:tcPr>
          <w:p>
            <w:pPr>
              <w:jc w:val="right"/>
              <w:ind w:right="26"/>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ind w:left="560"/>
              <w:spacing w:after="0" w:line="16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3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1"/>
                <w:szCs w:val="11"/>
                <w:b w:val="1"/>
                <w:bCs w:val="1"/>
                <w:color w:val="auto"/>
              </w:rPr>
              <w:t>(7,385</w:t>
            </w:r>
            <w:r>
              <w:rPr>
                <w:rFonts w:ascii="Times New Roman" w:cs="Times New Roman" w:eastAsia="Times New Roman" w:hAnsi="Times New Roman"/>
                <w:sz w:val="18"/>
                <w:szCs w:val="18"/>
                <w:b w:val="1"/>
                <w:bCs w:val="1"/>
                <w:color w:val="auto"/>
                <w:vertAlign w:val="subscript"/>
              </w:rPr>
              <w:t>)</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ind w:left="600"/>
              <w:spacing w:after="0" w:line="16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3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ind w:left="500"/>
              <w:spacing w:after="0" w:line="160"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3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66,339</w:t>
            </w:r>
          </w:p>
        </w:tc>
        <w:tc>
          <w:tcPr>
            <w:tcW w:w="3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7</w:t>
            </w:r>
          </w:p>
        </w:tc>
        <w:tc>
          <w:tcPr>
            <w:tcW w:w="3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7,649</w:t>
            </w:r>
          </w:p>
        </w:tc>
      </w:tr>
      <w:tr>
        <w:trPr>
          <w:trHeight w:val="20"/>
        </w:trPr>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4"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 w:name="page15"/>
    <w:bookmarkEnd w:id="14"/>
    <w:p>
      <w:pPr>
        <w:ind w:right="40"/>
        <w:spacing w:after="0" w:line="246" w:lineRule="auto"/>
        <w:rPr>
          <w:sz w:val="20"/>
          <w:szCs w:val="20"/>
          <w:color w:val="auto"/>
        </w:rPr>
      </w:pPr>
      <w:r>
        <w:rPr>
          <w:rFonts w:ascii="Times New Roman" w:cs="Times New Roman" w:eastAsia="Times New Roman" w:hAnsi="Times New Roman"/>
          <w:sz w:val="16"/>
          <w:szCs w:val="16"/>
          <w:color w:val="auto"/>
        </w:rPr>
        <w:t>(7)As of September 30, 2025, the estimated cost basis of investments for U.S. federal tax purposes was $3,344,785 resulting in estimated gross unrealized gains and losses of $231,763 and $227,673, respectively.</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(8)In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(9)This investment is valued using observable inputs and is considered a Level 2 investment. See Note 6 for further information related to investments at fair value.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(10)This investment is valued using observable inputs and is considered a Level 1 investment. See Note 6 for further information related to investments at fair value.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(11)This investment is non-income producing.</w:t>
      </w:r>
    </w:p>
    <w:p>
      <w:pPr>
        <w:ind w:right="24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September 30, 2025, the aggregate fair value of these securities is $57,270, or 3.5%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September 30, 2025.</w:t>
      </w:r>
    </w:p>
    <w:p>
      <w:pPr>
        <w:ind w:right="2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$15.3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3" w:right="9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16" w:name="page17"/>
    <w:bookmarkEnd w:id="16"/>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Company (1)</w:t>
            </w:r>
          </w:p>
        </w:tc>
        <w:tc>
          <w:tcPr>
            <w:tcW w:w="20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Automotive</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Truck-Lite Co.,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($40,134 par, due 2/2031)</w:t>
            </w:r>
          </w:p>
        </w:tc>
        <w:tc>
          <w:tcPr>
            <w:tcW w:w="0" w:type="dxa"/>
            <w:vAlign w:val="bottom"/>
          </w:tcPr>
          <w:p>
            <w:pPr>
              <w:spacing w:after="0"/>
              <w:rPr>
                <w:sz w:val="1"/>
                <w:szCs w:val="1"/>
                <w:color w:val="auto"/>
              </w:rPr>
            </w:pPr>
          </w:p>
        </w:tc>
      </w:tr>
      <w:tr>
        <w:trPr>
          <w:trHeight w:val="136"/>
        </w:trPr>
        <w:tc>
          <w:tcPr>
            <w:tcW w:w="16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Business Services</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Alpha Midco,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($69,624 par, due 8/2028)</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($38,830 par, due 11/2029)</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(EUR 17,558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11/2029)</w:t>
            </w:r>
          </w:p>
        </w:tc>
        <w:tc>
          <w:tcPr>
            <w:tcW w:w="0" w:type="dxa"/>
            <w:vAlign w:val="bottom"/>
          </w:tcPr>
          <w:p>
            <w:pPr>
              <w:spacing w:after="0"/>
              <w:rPr>
                <w:sz w:val="1"/>
                <w:szCs w:val="1"/>
                <w:color w:val="auto"/>
              </w:rPr>
            </w:pPr>
          </w:p>
        </w:tc>
      </w:tr>
      <w:tr>
        <w:trPr>
          <w:trHeight w:val="132"/>
        </w:trPr>
        <w:tc>
          <w:tcPr>
            <w:tcW w:w="16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Azurite Intermediate Holdings,</w:t>
            </w: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First-lien loan ($42,750 par, due 3/2031)</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Inc. </w:t>
            </w:r>
            <w:r>
              <w:rPr>
                <w:rFonts w:ascii="Times New Roman" w:cs="Times New Roman" w:eastAsia="Times New Roman" w:hAnsi="Times New Roman"/>
                <w:sz w:val="16"/>
                <w:szCs w:val="16"/>
                <w:color w:val="auto"/>
                <w:vertAlign w:val="superscript"/>
              </w:rPr>
              <w:t>(3)</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BCTO Ignition Purchaser, Inc.</w:t>
            </w:r>
          </w:p>
        </w:tc>
        <w:tc>
          <w:tcPr>
            <w:tcW w:w="2080" w:type="dxa"/>
            <w:vAlign w:val="bottom"/>
          </w:tcPr>
          <w:p>
            <w:pPr>
              <w:ind w:left="60"/>
              <w:spacing w:after="0" w:line="119" w:lineRule="exact"/>
              <w:rPr>
                <w:sz w:val="20"/>
                <w:szCs w:val="20"/>
                <w:color w:val="auto"/>
              </w:rPr>
            </w:pPr>
            <w:r>
              <w:rPr>
                <w:rFonts w:ascii="Times New Roman" w:cs="Times New Roman" w:eastAsia="Times New Roman" w:hAnsi="Times New Roman"/>
                <w:sz w:val="12"/>
                <w:szCs w:val="12"/>
                <w:color w:val="auto"/>
              </w:rPr>
              <w:t>First-lien holdco loan ($36,231 par, due</w:t>
            </w:r>
          </w:p>
        </w:tc>
        <w:tc>
          <w:tcPr>
            <w:tcW w:w="0" w:type="dxa"/>
            <w:vAlign w:val="bottom"/>
          </w:tcPr>
          <w:p>
            <w:pPr>
              <w:spacing w:after="0"/>
              <w:rPr>
                <w:sz w:val="1"/>
                <w:szCs w:val="1"/>
                <w:color w:val="auto"/>
              </w:rPr>
            </w:pPr>
          </w:p>
        </w:tc>
      </w:tr>
      <w:tr>
        <w:trPr>
          <w:trHeight w:val="107"/>
        </w:trPr>
        <w:tc>
          <w:tcPr>
            <w:tcW w:w="164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10/2030)</w:t>
            </w:r>
          </w:p>
        </w:tc>
        <w:tc>
          <w:tcPr>
            <w:tcW w:w="0" w:type="dxa"/>
            <w:vAlign w:val="bottom"/>
          </w:tcPr>
          <w:p>
            <w:pPr>
              <w:spacing w:after="0"/>
              <w:rPr>
                <w:sz w:val="1"/>
                <w:szCs w:val="1"/>
                <w:color w:val="auto"/>
              </w:rPr>
            </w:pPr>
          </w:p>
        </w:tc>
      </w:tr>
      <w:tr>
        <w:trPr>
          <w:trHeight w:val="62"/>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Crewline Buyer, Inc. </w:t>
            </w:r>
            <w:r>
              <w:rPr>
                <w:rFonts w:ascii="Times New Roman" w:cs="Times New Roman" w:eastAsia="Times New Roman" w:hAnsi="Times New Roman"/>
                <w:sz w:val="16"/>
                <w:szCs w:val="16"/>
                <w:color w:val="auto"/>
                <w:vertAlign w:val="superscript"/>
              </w:rPr>
              <w:t>(3)</w:t>
            </w: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640" w:type="dxa"/>
            <w:vAlign w:val="bottom"/>
            <w:vMerge w:val="continue"/>
          </w:tcPr>
          <w:p>
            <w:pPr>
              <w:spacing w:after="0"/>
              <w:rPr>
                <w:sz w:val="18"/>
                <w:szCs w:val="18"/>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($58,384 par, due 11/2030)</w:t>
            </w:r>
          </w:p>
        </w:tc>
        <w:tc>
          <w:tcPr>
            <w:tcW w:w="0" w:type="dxa"/>
            <w:vAlign w:val="bottom"/>
          </w:tcPr>
          <w:p>
            <w:pPr>
              <w:spacing w:after="0"/>
              <w:rPr>
                <w:sz w:val="1"/>
                <w:szCs w:val="1"/>
                <w:color w:val="auto"/>
              </w:rPr>
            </w:pPr>
          </w:p>
        </w:tc>
      </w:tr>
      <w:tr>
        <w:trPr>
          <w:trHeight w:val="153"/>
        </w:trPr>
        <w:tc>
          <w:tcPr>
            <w:tcW w:w="16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6"/>
                <w:szCs w:val="16"/>
                <w:color w:val="auto"/>
                <w:vertAlign w:val="superscript"/>
              </w:rPr>
              <w:t>(3)(4)(9)</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($955 par, due 4/2031)</w:t>
            </w: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($4,069 par, due 4/2031)</w:t>
            </w:r>
          </w:p>
        </w:tc>
        <w:tc>
          <w:tcPr>
            <w:tcW w:w="0" w:type="dxa"/>
            <w:vAlign w:val="bottom"/>
          </w:tcPr>
          <w:p>
            <w:pPr>
              <w:spacing w:after="0"/>
              <w:rPr>
                <w:sz w:val="1"/>
                <w:szCs w:val="1"/>
                <w:color w:val="auto"/>
              </w:rPr>
            </w:pPr>
          </w:p>
        </w:tc>
      </w:tr>
      <w:tr>
        <w:trPr>
          <w:trHeight w:val="225"/>
        </w:trPr>
        <w:tc>
          <w:tcPr>
            <w:tcW w:w="1640" w:type="dxa"/>
            <w:vAlign w:val="bottom"/>
          </w:tcPr>
          <w:p>
            <w:pPr>
              <w:spacing w:after="0"/>
              <w:rPr>
                <w:sz w:val="19"/>
                <w:szCs w:val="19"/>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(GBP 10,275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ExtraHop Networks,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4/2031)</w:t>
            </w:r>
          </w:p>
        </w:tc>
        <w:tc>
          <w:tcPr>
            <w:tcW w:w="0" w:type="dxa"/>
            <w:vAlign w:val="bottom"/>
          </w:tcPr>
          <w:p>
            <w:pPr>
              <w:spacing w:after="0"/>
              <w:rPr>
                <w:sz w:val="1"/>
                <w:szCs w:val="1"/>
                <w:color w:val="auto"/>
              </w:rPr>
            </w:pPr>
          </w:p>
        </w:tc>
      </w:tr>
      <w:tr>
        <w:trPr>
          <w:trHeight w:val="132"/>
        </w:trPr>
        <w:tc>
          <w:tcPr>
            <w:tcW w:w="1640" w:type="dxa"/>
            <w:vAlign w:val="bottom"/>
            <w:vMerge w:val="continue"/>
          </w:tcPr>
          <w:p>
            <w:pPr>
              <w:spacing w:after="0"/>
              <w:rPr>
                <w:sz w:val="11"/>
                <w:szCs w:val="11"/>
                <w:color w:val="auto"/>
              </w:rPr>
            </w:pP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First-lien loan ($74,616 par, due 7/2027)</w:t>
            </w: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ForeScout Technologies, Inc.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($5,597 par, due 5/2031)</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($64,093 par, due 5/2030)</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revolving loan ($4,615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Lynx BidCo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5/2030)</w:t>
            </w:r>
          </w:p>
        </w:tc>
        <w:tc>
          <w:tcPr>
            <w:tcW w:w="0" w:type="dxa"/>
            <w:vAlign w:val="bottom"/>
          </w:tcPr>
          <w:p>
            <w:pPr>
              <w:spacing w:after="0"/>
              <w:rPr>
                <w:sz w:val="1"/>
                <w:szCs w:val="1"/>
                <w:color w:val="auto"/>
              </w:rPr>
            </w:pPr>
          </w:p>
        </w:tc>
      </w:tr>
      <w:tr>
        <w:trPr>
          <w:trHeight w:val="207"/>
        </w:trPr>
        <w:tc>
          <w:tcPr>
            <w:tcW w:w="1640" w:type="dxa"/>
            <w:vAlign w:val="bottom"/>
            <w:vMerge w:val="continue"/>
          </w:tcPr>
          <w:p>
            <w:pPr>
              <w:spacing w:after="0"/>
              <w:rPr>
                <w:sz w:val="18"/>
                <w:szCs w:val="18"/>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($1,421 par, due 7/2031)</w:t>
            </w: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(EUR 597 par, due 7/2031)</w:t>
            </w:r>
          </w:p>
        </w:tc>
        <w:tc>
          <w:tcPr>
            <w:tcW w:w="0" w:type="dxa"/>
            <w:vAlign w:val="bottom"/>
          </w:tcPr>
          <w:p>
            <w:pPr>
              <w:spacing w:after="0"/>
              <w:rPr>
                <w:sz w:val="1"/>
                <w:szCs w:val="1"/>
                <w:color w:val="auto"/>
              </w:rPr>
            </w:pPr>
          </w:p>
        </w:tc>
      </w:tr>
      <w:tr>
        <w:trPr>
          <w:trHeight w:val="265"/>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Mitnick Corporate Purchaser,</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($326 par, due 5/2029)</w:t>
            </w: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Inc.</w:t>
            </w:r>
            <w:r>
              <w:rPr>
                <w:rFonts w:ascii="Times New Roman" w:cs="Times New Roman" w:eastAsia="Times New Roman" w:hAnsi="Times New Roman"/>
                <w:sz w:val="7"/>
                <w:szCs w:val="7"/>
                <w:color w:val="auto"/>
              </w:rPr>
              <w:t xml:space="preserve"> (3)(9)</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Price Fx Inc.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(EUR 910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(EUR 910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USA DeBusk,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0" w:type="dxa"/>
            <w:vAlign w:val="bottom"/>
          </w:tcPr>
          <w:p>
            <w:pPr>
              <w:spacing w:after="0"/>
              <w:rPr>
                <w:sz w:val="1"/>
                <w:szCs w:val="1"/>
                <w:color w:val="auto"/>
              </w:rPr>
            </w:pPr>
          </w:p>
        </w:tc>
      </w:tr>
      <w:tr>
        <w:trPr>
          <w:trHeight w:val="144"/>
        </w:trPr>
        <w:tc>
          <w:tcPr>
            <w:tcW w:w="1640" w:type="dxa"/>
            <w:vAlign w:val="bottom"/>
            <w:vMerge w:val="continue"/>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($6,899 par, due 4/2031)</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revolving loan ($275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4/2030)</w:t>
            </w:r>
          </w:p>
        </w:tc>
        <w:tc>
          <w:tcPr>
            <w:tcW w:w="0" w:type="dxa"/>
            <w:vAlign w:val="bottom"/>
          </w:tcPr>
          <w:p>
            <w:pPr>
              <w:spacing w:after="0"/>
              <w:rPr>
                <w:sz w:val="1"/>
                <w:szCs w:val="1"/>
                <w:color w:val="auto"/>
              </w:rPr>
            </w:pPr>
          </w:p>
        </w:tc>
      </w:tr>
      <w:tr>
        <w:trPr>
          <w:trHeight w:val="207"/>
        </w:trPr>
        <w:tc>
          <w:tcPr>
            <w:tcW w:w="1640" w:type="dxa"/>
            <w:vAlign w:val="bottom"/>
            <w:vMerge w:val="continue"/>
          </w:tcPr>
          <w:p>
            <w:pPr>
              <w:spacing w:after="0"/>
              <w:rPr>
                <w:sz w:val="18"/>
                <w:szCs w:val="18"/>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($5,484 par, due 9/2029)</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Chemicals</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Erling Lux Bidco SARL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(EUR 7,239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(GBP 19,591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(NOK 7,428 par, due</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9/2028)</w:t>
            </w:r>
          </w:p>
        </w:tc>
        <w:tc>
          <w:tcPr>
            <w:tcW w:w="0" w:type="dxa"/>
            <w:vAlign w:val="bottom"/>
          </w:tcPr>
          <w:p>
            <w:pPr>
              <w:spacing w:after="0"/>
              <w:rPr>
                <w:sz w:val="1"/>
                <w:szCs w:val="1"/>
                <w:color w:val="auto"/>
              </w:rPr>
            </w:pPr>
          </w:p>
        </w:tc>
      </w:tr>
      <w:tr>
        <w:trPr>
          <w:trHeight w:val="277"/>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Aurelia Netherlands MidCo 2</w:t>
            </w: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First-lien loan (EUR 32,904 par, due</w:t>
            </w: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B.V.</w:t>
            </w:r>
            <w:r>
              <w:rPr>
                <w:rFonts w:ascii="Times New Roman" w:cs="Times New Roman" w:eastAsia="Times New Roman" w:hAnsi="Times New Roman"/>
                <w:sz w:val="7"/>
                <w:szCs w:val="7"/>
                <w:color w:val="auto"/>
              </w:rPr>
              <w:t xml:space="preserve"> (3)(4)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5/2031)</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($1,557 par, due 1/2031)</w:t>
            </w:r>
          </w:p>
        </w:tc>
        <w:tc>
          <w:tcPr>
            <w:tcW w:w="0" w:type="dxa"/>
            <w:vAlign w:val="bottom"/>
          </w:tcPr>
          <w:p>
            <w:pPr>
              <w:spacing w:after="0"/>
              <w:rPr>
                <w:sz w:val="1"/>
                <w:szCs w:val="1"/>
                <w:color w:val="auto"/>
              </w:rPr>
            </w:pPr>
          </w:p>
        </w:tc>
      </w:tr>
      <w:tr>
        <w:trPr>
          <w:trHeight w:val="119"/>
        </w:trPr>
        <w:tc>
          <w:tcPr>
            <w:tcW w:w="16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Banyan Software Holdings, LLC</w:t>
            </w:r>
          </w:p>
        </w:tc>
        <w:tc>
          <w:tcPr>
            <w:tcW w:w="2080" w:type="dxa"/>
            <w:vAlign w:val="bottom"/>
          </w:tcPr>
          <w:p>
            <w:pPr>
              <w:ind w:left="60"/>
              <w:spacing w:after="0" w:line="119" w:lineRule="exact"/>
              <w:rPr>
                <w:sz w:val="20"/>
                <w:szCs w:val="20"/>
                <w:color w:val="auto"/>
              </w:rPr>
            </w:pPr>
            <w:r>
              <w:rPr>
                <w:rFonts w:ascii="Times New Roman" w:cs="Times New Roman" w:eastAsia="Times New Roman" w:hAnsi="Times New Roman"/>
                <w:sz w:val="12"/>
                <w:szCs w:val="12"/>
                <w:color w:val="auto"/>
                <w:w w:val="99"/>
              </w:rPr>
              <w:t>First-lien loan ($39,386 par, due 10/2026)</w:t>
            </w:r>
          </w:p>
        </w:tc>
        <w:tc>
          <w:tcPr>
            <w:tcW w:w="0" w:type="dxa"/>
            <w:vAlign w:val="bottom"/>
          </w:tcPr>
          <w:p>
            <w:pPr>
              <w:spacing w:after="0"/>
              <w:rPr>
                <w:sz w:val="1"/>
                <w:szCs w:val="1"/>
                <w:color w:val="auto"/>
              </w:rPr>
            </w:pPr>
          </w:p>
        </w:tc>
      </w:tr>
      <w:tr>
        <w:trPr>
          <w:trHeight w:val="107"/>
        </w:trPr>
        <w:tc>
          <w:tcPr>
            <w:tcW w:w="1640" w:type="dxa"/>
            <w:vAlign w:val="bottom"/>
          </w:tcPr>
          <w:p>
            <w:pPr>
              <w:spacing w:after="0"/>
              <w:rPr>
                <w:sz w:val="20"/>
                <w:szCs w:val="20"/>
                <w:color w:val="auto"/>
              </w:rPr>
            </w:pPr>
            <w:r>
              <w:rPr>
                <w:rFonts w:ascii="Times New Roman" w:cs="Times New Roman" w:eastAsia="Times New Roman" w:hAnsi="Times New Roman"/>
                <w:sz w:val="8"/>
                <w:szCs w:val="8"/>
                <w:color w:val="auto"/>
              </w:rPr>
              <w:t>(3)(4)</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($16,045 par, due 10/2026)</w:t>
            </w:r>
          </w:p>
        </w:tc>
        <w:tc>
          <w:tcPr>
            <w:tcW w:w="0" w:type="dxa"/>
            <w:vAlign w:val="bottom"/>
          </w:tcPr>
          <w:p>
            <w:pPr>
              <w:spacing w:after="0"/>
              <w:rPr>
                <w:sz w:val="1"/>
                <w:szCs w:val="1"/>
                <w:color w:val="auto"/>
              </w:rPr>
            </w:pPr>
          </w:p>
        </w:tc>
      </w:tr>
      <w:tr>
        <w:trPr>
          <w:trHeight w:val="207"/>
        </w:trPr>
        <w:tc>
          <w:tcPr>
            <w:tcW w:w="1640" w:type="dxa"/>
            <w:vAlign w:val="bottom"/>
            <w:vMerge w:val="continue"/>
          </w:tcPr>
          <w:p>
            <w:pPr>
              <w:spacing w:after="0"/>
              <w:rPr>
                <w:sz w:val="18"/>
                <w:szCs w:val="18"/>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($26,437 par, due 11/2026)</w:t>
            </w:r>
          </w:p>
        </w:tc>
        <w:tc>
          <w:tcPr>
            <w:tcW w:w="0" w:type="dxa"/>
            <w:vAlign w:val="bottom"/>
          </w:tcPr>
          <w:p>
            <w:pPr>
              <w:spacing w:after="0"/>
              <w:rPr>
                <w:sz w:val="1"/>
                <w:szCs w:val="1"/>
                <w:color w:val="auto"/>
              </w:rPr>
            </w:pPr>
          </w:p>
        </w:tc>
      </w:tr>
      <w:tr>
        <w:trPr>
          <w:trHeight w:val="357"/>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Astra Acquisition Corp. </w:t>
            </w:r>
            <w:r>
              <w:rPr>
                <w:rFonts w:ascii="Times New Roman" w:cs="Times New Roman" w:eastAsia="Times New Roman" w:hAnsi="Times New Roman"/>
                <w:sz w:val="16"/>
                <w:szCs w:val="16"/>
                <w:color w:val="auto"/>
                <w:vertAlign w:val="superscript"/>
              </w:rPr>
              <w:t>(3)(14)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Second-lien loan ($40,302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10/2029)</w:t>
            </w:r>
          </w:p>
        </w:tc>
        <w:tc>
          <w:tcPr>
            <w:tcW w:w="0" w:type="dxa"/>
            <w:vAlign w:val="bottom"/>
          </w:tcPr>
          <w:p>
            <w:pPr>
              <w:spacing w:after="0"/>
              <w:rPr>
                <w:sz w:val="1"/>
                <w:szCs w:val="1"/>
                <w:color w:val="auto"/>
              </w:rPr>
            </w:pPr>
          </w:p>
        </w:tc>
      </w:tr>
      <w:tr>
        <w:trPr>
          <w:trHeight w:val="132"/>
        </w:trPr>
        <w:tc>
          <w:tcPr>
            <w:tcW w:w="16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Destiny Solutions Parent</w:t>
            </w: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First-lien loan ($58,950 par, due 6/2026)</w:t>
            </w: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Holding Company </w:t>
            </w:r>
            <w:r>
              <w:rPr>
                <w:rFonts w:ascii="Times New Roman" w:cs="Times New Roman" w:eastAsia="Times New Roman" w:hAnsi="Times New Roman"/>
                <w:sz w:val="16"/>
                <w:szCs w:val="16"/>
                <w:color w:val="auto"/>
                <w:vertAlign w:val="superscript"/>
              </w:rPr>
              <w:t>(3)(5)</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76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Reference</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Acquisition</w:t>
            </w:r>
          </w:p>
        </w:tc>
        <w:tc>
          <w:tcPr>
            <w:tcW w:w="96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Rate and</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59"/>
        </w:trPr>
        <w:tc>
          <w:tcPr>
            <w:tcW w:w="76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Spread</w:t>
            </w:r>
          </w:p>
        </w:tc>
        <w:tc>
          <w:tcPr>
            <w:tcW w:w="13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220" w:type="dxa"/>
            <w:vAlign w:val="bottom"/>
          </w:tcPr>
          <w:p>
            <w:pPr>
              <w:spacing w:after="0"/>
              <w:rPr>
                <w:sz w:val="13"/>
                <w:szCs w:val="13"/>
                <w:color w:val="auto"/>
              </w:rPr>
            </w:pP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Cost (2)(7)</w:t>
            </w:r>
          </w:p>
        </w:tc>
        <w:tc>
          <w:tcPr>
            <w:tcW w:w="280" w:type="dxa"/>
            <w:vAlign w:val="bottom"/>
          </w:tcPr>
          <w:p>
            <w:pPr>
              <w:spacing w:after="0"/>
              <w:rPr>
                <w:sz w:val="13"/>
                <w:szCs w:val="13"/>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Fair Value (8)</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of Net Assets</w:t>
            </w:r>
          </w:p>
        </w:tc>
        <w:tc>
          <w:tcPr>
            <w:tcW w:w="0" w:type="dxa"/>
            <w:vAlign w:val="bottom"/>
          </w:tcPr>
          <w:p>
            <w:pPr>
              <w:spacing w:after="0"/>
              <w:rPr>
                <w:sz w:val="1"/>
                <w:szCs w:val="1"/>
                <w:color w:val="auto"/>
              </w:rPr>
            </w:pPr>
          </w:p>
        </w:tc>
      </w:tr>
      <w:tr>
        <w:trPr>
          <w:trHeight w:val="432"/>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2/13/2024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10.27%</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39,707</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40,256</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8/15/2019</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+ 6.88%</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11.20%</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69,361</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69,975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11.39%</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38,090</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38,830</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10.05%</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18,544</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18,181</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17,558)</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3/19/2024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+ 6.50%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10.86%</w:t>
            </w: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42,029</w:t>
            </w:r>
          </w:p>
        </w:tc>
        <w:tc>
          <w:tcPr>
            <w:tcW w:w="28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42,513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288"/>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4/18/2023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+ 8.50%</w:t>
            </w:r>
          </w:p>
        </w:tc>
        <w:tc>
          <w:tcPr>
            <w:tcW w:w="1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13.13% PIK</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35,456</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36,955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88"/>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11/8/2023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+ 6.75%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11.11%</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56,953</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58,866</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+ 4.10%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8.43%</w:t>
            </w:r>
          </w:p>
        </w:tc>
        <w:tc>
          <w:tcPr>
            <w:tcW w:w="22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941</w:t>
            </w:r>
          </w:p>
        </w:tc>
        <w:tc>
          <w:tcPr>
            <w:tcW w:w="28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964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4/29/2024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+ 4.97%</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9.33% (incl. 1.97%</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4,045</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4,069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4/29/2024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 + 5.25%</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9.95% (incl. 2.25%</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12,748</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12,869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(GBP 10,275)</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7/22/2021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+ 7.60%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11.96%</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73,874</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74,616</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5/24/2024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9.52%</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5,541</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5,565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10.08%</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62,493</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64,093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10.08%</w:t>
            </w: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4,397</w:t>
            </w:r>
          </w:p>
        </w:tc>
        <w:tc>
          <w:tcPr>
            <w:tcW w:w="28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4,615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+ 7.11%</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11.75% (incl. 5.61%</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1,385</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1,392</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+ 7.11%</w:t>
            </w: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10.38% (incl. 5.61%</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633</w:t>
            </w: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611</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590)</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5/2/2022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+ 4.50%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9.19%</w:t>
            </w: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326</w:t>
            </w:r>
          </w:p>
        </w:tc>
        <w:tc>
          <w:tcPr>
            <w:tcW w:w="280" w:type="dxa"/>
            <w:vAlign w:val="bottom"/>
          </w:tcPr>
          <w:p>
            <w:pPr>
              <w:spacing w:after="0"/>
              <w:rPr>
                <w:sz w:val="13"/>
                <w:szCs w:val="13"/>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302</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10/27/2023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10.06%</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966</w:t>
            </w:r>
          </w:p>
        </w:tc>
        <w:tc>
          <w:tcPr>
            <w:tcW w:w="280" w:type="dxa"/>
            <w:vAlign w:val="bottom"/>
          </w:tcPr>
          <w:p>
            <w:pPr>
              <w:spacing w:after="0"/>
              <w:rPr>
                <w:sz w:val="24"/>
                <w:szCs w:val="24"/>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947</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915)</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12/19/2024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+ 6.25%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9.12%</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921</w:t>
            </w: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919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887)</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4/30/2024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+ 5.25%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9.62%</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6,789</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6,899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4/30/2024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+ 5.25%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9.59%</w:t>
            </w: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263</w:t>
            </w:r>
          </w:p>
        </w:tc>
        <w:tc>
          <w:tcPr>
            <w:tcW w:w="280" w:type="dxa"/>
            <w:vAlign w:val="bottom"/>
          </w:tcPr>
          <w:p>
            <w:pPr>
              <w:spacing w:after="0"/>
              <w:rPr>
                <w:sz w:val="13"/>
                <w:szCs w:val="13"/>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275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+ 6.00%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10.38%</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5,369</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5,553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441,124</w:t>
            </w:r>
          </w:p>
        </w:tc>
        <w:tc>
          <w:tcPr>
            <w:tcW w:w="28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449,009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9/6/2022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10.06%</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6,928</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7,650</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7,388)</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9/6/2022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11.70%</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23,020</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24,904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(GBP 19,885)</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9/6/2022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N + 7.00%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11.69%</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711</w:t>
            </w: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664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(NOK 7,538)</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30,659</w:t>
            </w:r>
          </w:p>
        </w:tc>
        <w:tc>
          <w:tcPr>
            <w:tcW w:w="28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33,218</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277"/>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5/22/2024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 + 5.75%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8.93%</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34,915</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34,157</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(EUR 32,986)</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1/26/2024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+ 5.75%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10.37%</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1,511</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1,557</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1/27/2023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+ 7.35%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11.71%</w:t>
            </w:r>
          </w:p>
        </w:tc>
        <w:tc>
          <w:tcPr>
            <w:tcW w:w="2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38,748</w:t>
            </w:r>
          </w:p>
        </w:tc>
        <w:tc>
          <w:tcPr>
            <w:tcW w:w="28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40,173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41"/>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1/26/2024</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+ 6.25%</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10.61%</w:t>
            </w:r>
          </w:p>
        </w:tc>
        <w:tc>
          <w:tcPr>
            <w:tcW w:w="22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15,768</w:t>
            </w:r>
          </w:p>
        </w:tc>
        <w:tc>
          <w:tcPr>
            <w:tcW w:w="2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16,594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11/19/2021</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10.34%</w:t>
            </w:r>
          </w:p>
        </w:tc>
        <w:tc>
          <w:tcPr>
            <w:tcW w:w="22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26,075</w:t>
            </w:r>
          </w:p>
        </w:tc>
        <w:tc>
          <w:tcPr>
            <w:tcW w:w="280" w:type="dxa"/>
            <w:vAlign w:val="bottom"/>
          </w:tcPr>
          <w:p>
            <w:pPr>
              <w:spacing w:after="0"/>
              <w:rPr>
                <w:sz w:val="12"/>
                <w:szCs w:val="12"/>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26,503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5.75%</w:t>
            </w: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117,017</w:t>
            </w:r>
          </w:p>
        </w:tc>
        <w:tc>
          <w:tcPr>
            <w:tcW w:w="280" w:type="dxa"/>
            <w:vAlign w:val="bottom"/>
          </w:tcPr>
          <w:p>
            <w:pPr>
              <w:spacing w:after="0"/>
              <w:rPr>
                <w:sz w:val="13"/>
                <w:szCs w:val="13"/>
                <w:color w:val="auto"/>
              </w:rPr>
            </w:pPr>
          </w:p>
        </w:tc>
        <w:tc>
          <w:tcPr>
            <w:tcW w:w="11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118,984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10/22/2021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+ 9.14%</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13.47%</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39,703</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6,045</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288"/>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6/8/2021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SOFR + 5.60%</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9.96%</w:t>
            </w:r>
          </w:p>
        </w:tc>
        <w:tc>
          <w:tcPr>
            <w:tcW w:w="22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58,535</w:t>
            </w:r>
          </w:p>
        </w:tc>
        <w:tc>
          <w:tcPr>
            <w:tcW w:w="28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58,950</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-5426075</wp:posOffset>
            </wp:positionV>
            <wp:extent cx="6707505"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-5243195</wp:posOffset>
            </wp:positionV>
            <wp:extent cx="6707505" cy="91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-5060315</wp:posOffset>
            </wp:positionV>
            <wp:extent cx="6707505" cy="91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-4785995</wp:posOffset>
            </wp:positionV>
            <wp:extent cx="6707505" cy="182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-4420235</wp:posOffset>
            </wp:positionV>
            <wp:extent cx="670750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-4184015</wp:posOffset>
            </wp:positionV>
            <wp:extent cx="6707505" cy="182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-3818255</wp:posOffset>
            </wp:positionV>
            <wp:extent cx="6707505" cy="91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-3635375</wp:posOffset>
            </wp:positionV>
            <wp:extent cx="6707505" cy="91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-3360420</wp:posOffset>
            </wp:positionV>
            <wp:extent cx="6707505" cy="182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-2994660</wp:posOffset>
            </wp:positionV>
            <wp:extent cx="6707505" cy="182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-2628900</wp:posOffset>
            </wp:positionV>
            <wp:extent cx="6707505" cy="182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-2354580</wp:posOffset>
            </wp:positionV>
            <wp:extent cx="6707505" cy="182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-2080260</wp:posOffset>
            </wp:positionV>
            <wp:extent cx="6707505"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-1897380</wp:posOffset>
            </wp:positionV>
            <wp:extent cx="6707505" cy="182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-1531620</wp:posOffset>
            </wp:positionV>
            <wp:extent cx="6707505" cy="182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-1257300</wp:posOffset>
            </wp:positionV>
            <wp:extent cx="6707505" cy="9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-982345</wp:posOffset>
            </wp:positionV>
            <wp:extent cx="6707505" cy="9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-730885</wp:posOffset>
            </wp:positionV>
            <wp:extent cx="6707505" cy="91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-456565</wp:posOffset>
            </wp:positionV>
            <wp:extent cx="6707505" cy="91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-273685</wp:posOffset>
            </wp:positionV>
            <wp:extent cx="6707505" cy="182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3720" w:space="220"/>
            <w:col w:w="6620"/>
          </w:cols>
          <w:pgMar w:left="660" w:top="1335"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($56,216 par, due 12/2027)</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revolving loan ($4,216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12/2027)</w:t>
            </w:r>
          </w:p>
        </w:tc>
        <w:tc>
          <w:tcPr>
            <w:tcW w:w="0" w:type="dxa"/>
            <w:vAlign w:val="bottom"/>
          </w:tcPr>
          <w:p>
            <w:pPr>
              <w:spacing w:after="0"/>
              <w:rPr>
                <w:sz w:val="1"/>
                <w:szCs w:val="1"/>
                <w:color w:val="auto"/>
              </w:rPr>
            </w:pPr>
          </w:p>
        </w:tc>
      </w:tr>
      <w:tr>
        <w:trPr>
          <w:trHeight w:val="132"/>
        </w:trPr>
        <w:tc>
          <w:tcPr>
            <w:tcW w:w="1640" w:type="dxa"/>
            <w:vAlign w:val="bottom"/>
            <w:vMerge w:val="continue"/>
          </w:tcPr>
          <w:p>
            <w:pPr>
              <w:spacing w:after="0"/>
              <w:rPr>
                <w:sz w:val="11"/>
                <w:szCs w:val="11"/>
                <w:color w:val="auto"/>
              </w:rPr>
            </w:pP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First-lien loan ($30,625 par, due 11/2030)</w:t>
            </w: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Severin Acquisition,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($15,046 par, due 10/2031)</w:t>
            </w:r>
          </w:p>
        </w:tc>
        <w:tc>
          <w:tcPr>
            <w:tcW w:w="0" w:type="dxa"/>
            <w:vAlign w:val="bottom"/>
          </w:tcPr>
          <w:p>
            <w:pPr>
              <w:spacing w:after="0"/>
              <w:rPr>
                <w:sz w:val="1"/>
                <w:szCs w:val="1"/>
                <w:color w:val="auto"/>
              </w:rPr>
            </w:pPr>
          </w:p>
        </w:tc>
      </w:tr>
      <w:tr>
        <w:trPr>
          <w:trHeight w:val="357"/>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Electronics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($26,962 par, due 9/2031)</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Alaska Bidco Oy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(EUR 727 par, due 5/2030)</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BCTO Bluebill Buyer,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($29,532 par, due 7/2029)</w:t>
            </w: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BlueSnap,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($45,106 par, due 8/2025)</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($48,983 par, due 12/2028)</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revolving loan ($1,807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12/2028)</w:t>
            </w:r>
          </w:p>
        </w:tc>
        <w:tc>
          <w:tcPr>
            <w:tcW w:w="0" w:type="dxa"/>
            <w:vAlign w:val="bottom"/>
          </w:tcPr>
          <w:p>
            <w:pPr>
              <w:spacing w:after="0"/>
              <w:rPr>
                <w:sz w:val="1"/>
                <w:szCs w:val="1"/>
                <w:color w:val="auto"/>
              </w:rPr>
            </w:pPr>
          </w:p>
        </w:tc>
      </w:tr>
      <w:tr>
        <w:trPr>
          <w:trHeight w:val="144"/>
        </w:trPr>
        <w:tc>
          <w:tcPr>
            <w:tcW w:w="1640" w:type="dxa"/>
            <w:vAlign w:val="bottom"/>
            <w:vMerge w:val="continue"/>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($3,916 par, due 11/2027)</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Second-lien loan ($3,357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11/2028)</w:t>
            </w:r>
          </w:p>
        </w:tc>
        <w:tc>
          <w:tcPr>
            <w:tcW w:w="0" w:type="dxa"/>
            <w:vAlign w:val="bottom"/>
          </w:tcPr>
          <w:p>
            <w:pPr>
              <w:spacing w:after="0"/>
              <w:rPr>
                <w:sz w:val="1"/>
                <w:szCs w:val="1"/>
                <w:color w:val="auto"/>
              </w:rPr>
            </w:pPr>
          </w:p>
        </w:tc>
      </w:tr>
      <w:tr>
        <w:trPr>
          <w:trHeight w:val="132"/>
        </w:trPr>
        <w:tc>
          <w:tcPr>
            <w:tcW w:w="1640" w:type="dxa"/>
            <w:vAlign w:val="bottom"/>
            <w:vMerge w:val="continue"/>
          </w:tcPr>
          <w:p>
            <w:pPr>
              <w:spacing w:after="0"/>
              <w:rPr>
                <w:sz w:val="11"/>
                <w:szCs w:val="11"/>
                <w:color w:val="auto"/>
              </w:rPr>
            </w:pP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w w:val="99"/>
              </w:rPr>
              <w:t>First-lien loan ($40,048 par, due 11/2029)</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GreenShoot BidCo B.V </w:t>
            </w:r>
            <w:r>
              <w:rPr>
                <w:rFonts w:ascii="Times New Roman" w:cs="Times New Roman" w:eastAsia="Times New Roman" w:hAnsi="Times New Roman"/>
                <w:sz w:val="16"/>
                <w:szCs w:val="16"/>
                <w:color w:val="auto"/>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(EUR 5,107 par, due</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Ibis Intermediate Co.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5/2030)</w:t>
            </w:r>
          </w:p>
        </w:tc>
        <w:tc>
          <w:tcPr>
            <w:tcW w:w="0" w:type="dxa"/>
            <w:vAlign w:val="bottom"/>
          </w:tcPr>
          <w:p>
            <w:pPr>
              <w:spacing w:after="0"/>
              <w:rPr>
                <w:sz w:val="1"/>
                <w:szCs w:val="1"/>
                <w:color w:val="auto"/>
              </w:rPr>
            </w:pPr>
          </w:p>
        </w:tc>
      </w:tr>
      <w:tr>
        <w:trPr>
          <w:trHeight w:val="132"/>
        </w:trPr>
        <w:tc>
          <w:tcPr>
            <w:tcW w:w="1640" w:type="dxa"/>
            <w:vAlign w:val="bottom"/>
            <w:vMerge w:val="continue"/>
          </w:tcPr>
          <w:p>
            <w:pPr>
              <w:spacing w:after="0"/>
              <w:rPr>
                <w:sz w:val="11"/>
                <w:szCs w:val="11"/>
                <w:color w:val="auto"/>
              </w:rPr>
            </w:pPr>
          </w:p>
        </w:tc>
        <w:tc>
          <w:tcPr>
            <w:tcW w:w="208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auto"/>
              </w:rPr>
              <w:t>First-lien loan ($1,185 par, due 5/2027)</w:t>
            </w: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Ibis US Blocker Co.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($18,290 par, due 5/2028)</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Passport Labs, Inc.</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($24,995, par, due 4/2026)</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Convertible Promissory Note A</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($1,086 par, due 8/2026)</w:t>
            </w:r>
          </w:p>
        </w:tc>
        <w:tc>
          <w:tcPr>
            <w:tcW w:w="0" w:type="dxa"/>
            <w:vAlign w:val="bottom"/>
          </w:tcPr>
          <w:p>
            <w:pPr>
              <w:spacing w:after="0"/>
              <w:rPr>
                <w:sz w:val="1"/>
                <w:szCs w:val="1"/>
                <w:color w:val="auto"/>
              </w:rPr>
            </w:pPr>
          </w:p>
        </w:tc>
      </w:tr>
      <w:tr>
        <w:trPr>
          <w:trHeight w:val="144"/>
        </w:trPr>
        <w:tc>
          <w:tcPr>
            <w:tcW w:w="1640" w:type="dxa"/>
            <w:vAlign w:val="bottom"/>
            <w:vMerge w:val="continue"/>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($55,528 par, due 4/2027)</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revolving loan ($899 par, due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5/2027)</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Volante Technologies, Inc.</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($3,072 par, due 9/2028)</w:t>
            </w:r>
          </w:p>
        </w:tc>
        <w:tc>
          <w:tcPr>
            <w:tcW w:w="0" w:type="dxa"/>
            <w:vAlign w:val="bottom"/>
          </w:tcPr>
          <w:p>
            <w:pPr>
              <w:spacing w:after="0"/>
              <w:rPr>
                <w:sz w:val="1"/>
                <w:szCs w:val="1"/>
                <w:color w:val="auto"/>
              </w:rPr>
            </w:pPr>
          </w:p>
        </w:tc>
      </w:tr>
      <w:tr>
        <w:trPr>
          <w:trHeight w:val="273"/>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12/22/2021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+ 6.35%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10.86%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55,578</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55,935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12/22/2021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+ 6.35%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10.81%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4,129</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4,172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11/2/2023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10.66%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29,804</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30,800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10/1/2024</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+ 5.00%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9.36% (incl. 2.25%</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15,028</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15,046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color w:val="auto"/>
              </w:rPr>
              <w:t>202,777</w:t>
            </w:r>
          </w:p>
        </w:tc>
        <w:tc>
          <w:tcPr>
            <w:tcW w:w="1460" w:type="dxa"/>
            <w:vAlign w:val="bottom"/>
            <w:vMerge w:val="restart"/>
          </w:tcPr>
          <w:p>
            <w:pPr>
              <w:jc w:val="right"/>
              <w:ind w:right="420"/>
              <w:spacing w:after="0"/>
              <w:rPr>
                <w:sz w:val="20"/>
                <w:szCs w:val="20"/>
                <w:color w:val="auto"/>
              </w:rPr>
            </w:pPr>
            <w:r>
              <w:rPr>
                <w:rFonts w:ascii="Times New Roman" w:cs="Times New Roman" w:eastAsia="Times New Roman" w:hAnsi="Times New Roman"/>
                <w:sz w:val="12"/>
                <w:szCs w:val="12"/>
                <w:color w:val="auto"/>
              </w:rPr>
              <w:t>170,948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9/30/2024</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+ 5.50%</w:t>
            </w: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9.75% (incl. 3.0%</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26,672</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26,811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5/30/2023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E + 5.75%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8.51%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759</w:t>
            </w: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765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739)</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7/20/2023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10.84%</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28,681</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29,827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10/25/2019</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+ 9.15%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13.48%</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44,928</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44,749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12/16/2022</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11.61%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48,089</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49,473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12/16/2022</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11.76%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1,712</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1,855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+ 8.50%</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12.83%</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3,860</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3,926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+ 12.00%</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16.33%</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3,150</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3,357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11/27/2023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+ 8.38%</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12.89%</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38,946</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40,457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5/28/2024</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E + 5.75%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8.66%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5,413</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5,246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5,066)</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5/28/2021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+ 4.65%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9.16%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1,154</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1,191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5/28/2021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+ 8.40%</w:t>
            </w:r>
          </w:p>
        </w:tc>
        <w:tc>
          <w:tcPr>
            <w:tcW w:w="14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12.91% PIK</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18,111</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18,290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4/28/2021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+ 8.40%</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12.91%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24,914</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25,058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288"/>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3/2/2023</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8.00%</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8.00%</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1,086</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2,076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4/30/2021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+ 6.35%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10.93%</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54,788</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55,528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11/1/2024</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 + 5.25%</w:t>
            </w:r>
          </w:p>
        </w:tc>
        <w:tc>
          <w:tcPr>
            <w:tcW w:w="14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12.75%</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876</w:t>
            </w: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899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9/29/2023</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16.50%</w:t>
            </w:r>
          </w:p>
        </w:tc>
        <w:tc>
          <w:tcPr>
            <w:tcW w:w="14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16.50% PIK</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3,049</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3,141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279,516</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285,838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-3200400</wp:posOffset>
            </wp:positionV>
            <wp:extent cx="6707505" cy="91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-2926080</wp:posOffset>
            </wp:positionV>
            <wp:extent cx="6707505" cy="91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-2651760</wp:posOffset>
            </wp:positionV>
            <wp:extent cx="6707505" cy="91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-2468880</wp:posOffset>
            </wp:positionV>
            <wp:extent cx="6707505" cy="182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-2194560</wp:posOffset>
            </wp:positionV>
            <wp:extent cx="6707505" cy="182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-1920240</wp:posOffset>
            </wp:positionV>
            <wp:extent cx="6707505"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-1737360</wp:posOffset>
            </wp:positionV>
            <wp:extent cx="6707505" cy="182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-1463040</wp:posOffset>
            </wp:positionV>
            <wp:extent cx="6707505" cy="182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-1188720</wp:posOffset>
            </wp:positionV>
            <wp:extent cx="6707505" cy="182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-913765</wp:posOffset>
            </wp:positionV>
            <wp:extent cx="6707505"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-639445</wp:posOffset>
            </wp:positionV>
            <wp:extent cx="6707505" cy="182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-365125</wp:posOffset>
            </wp:positionV>
            <wp:extent cx="6707505" cy="182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-90805</wp:posOffset>
            </wp:positionV>
            <wp:extent cx="6707505"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30" w:lineRule="exact"/>
        <w:rPr>
          <w:sz w:val="20"/>
          <w:szCs w:val="20"/>
          <w:color w:val="auto"/>
        </w:rPr>
      </w:pPr>
    </w:p>
    <w:p>
      <w:pPr>
        <w:sectPr>
          <w:pgSz w:w="11900" w:h="16840" w:orient="portrait"/>
          <w:cols w:equalWidth="0" w:num="2">
            <w:col w:w="3720" w:space="340"/>
            <w:col w:w="6500"/>
          </w:cols>
          <w:pgMar w:left="660" w:top="1299" w:right="680"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 xml:space="preserve">BCTO Ace Purchaser, Inc. </w:t>
      </w:r>
      <w:r>
        <w:rPr>
          <w:rFonts w:ascii="Times New Roman" w:cs="Times New Roman" w:eastAsia="Times New Roman" w:hAnsi="Times New Roman"/>
          <w:sz w:val="16"/>
          <w:szCs w:val="16"/>
          <w:color w:val="auto"/>
          <w:vertAlign w:val="superscript"/>
        </w:rPr>
        <w:t>(3)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Edge Bidco B.V. </w:t>
      </w:r>
      <w:r>
        <w:rPr>
          <w:rFonts w:ascii="Times New Roman" w:cs="Times New Roman" w:eastAsia="Times New Roman" w:hAnsi="Times New Roman"/>
          <w:sz w:val="16"/>
          <w:szCs w:val="16"/>
          <w:color w:val="auto"/>
          <w:vertAlign w:val="superscript"/>
        </w:rPr>
        <w:t>(3)(4)(5)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6"/>
          <w:szCs w:val="16"/>
          <w:color w:val="auto"/>
          <w:vertAlign w:val="superscript"/>
        </w:rPr>
        <w:t>(3)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Merative L.P. </w:t>
      </w:r>
      <w:r>
        <w:rPr>
          <w:rFonts w:ascii="Times New Roman" w:cs="Times New Roman" w:eastAsia="Times New Roman" w:hAnsi="Times New Roman"/>
          <w:sz w:val="16"/>
          <w:szCs w:val="16"/>
          <w:color w:val="auto"/>
          <w:vertAlign w:val="superscript"/>
        </w:rPr>
        <w:t>(3)(5)</w:t>
      </w:r>
    </w:p>
    <w:p>
      <w:pPr>
        <w:spacing w:after="0" w:line="200" w:lineRule="auto"/>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5"/>
          <w:szCs w:val="15"/>
          <w:color w:val="auto"/>
          <w:vertAlign w:val="superscript"/>
        </w:rPr>
        <w:t>(3)(5)</w:t>
      </w:r>
    </w:p>
    <w:p>
      <w:pPr>
        <w:spacing w:after="0"/>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6"/>
          <w:szCs w:val="16"/>
          <w:color w:val="auto"/>
          <w:vertAlign w:val="superscript"/>
        </w:rPr>
        <w:t>(3)(5)</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2"/>
          <w:szCs w:val="12"/>
          <w:color w:val="auto"/>
        </w:rPr>
        <w:t>First-lien loan ($70,154 par, due 11/2029) Second-lien loan ($6,596 par, due 1/2030)</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2"/>
          <w:szCs w:val="12"/>
          <w:color w:val="auto"/>
        </w:rPr>
        <w:t>First-lien loan (EUR 5,947 par, due 2/2029)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($25,900 par, due 11/2030)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revolving loan ($467 par, due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11/2030)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($70,103 par, due 6/2028)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($18,133 par, due 3/2029)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($33,416 par, due 7/2029)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11/23/2020</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+ 6.50%</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11.01%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69,484</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71,208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1/23/2023</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+ 10.70%</w:t>
            </w:r>
          </w:p>
        </w:tc>
        <w:tc>
          <w:tcPr>
            <w:tcW w:w="13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15.33% PIK</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6,488</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6,745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2/24/2023</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E + 6.75%</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9.43%</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6,219</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6,284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6,068)</w:t>
            </w:r>
          </w:p>
        </w:tc>
        <w:tc>
          <w:tcPr>
            <w:tcW w:w="760" w:type="dxa"/>
            <w:vAlign w:val="bottom"/>
          </w:tcPr>
          <w:p>
            <w:pPr>
              <w:spacing w:after="0"/>
              <w:rPr>
                <w:sz w:val="12"/>
                <w:szCs w:val="12"/>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11/1/2024</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+ 5.50%</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9.86%</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25,472</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25,571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11/1/2024</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+ 5.50%</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10.03%</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416</w:t>
            </w:r>
          </w:p>
        </w:tc>
        <w:tc>
          <w:tcPr>
            <w:tcW w:w="14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432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6/30/2022</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+ 7.25%</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11.58%</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68,543</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69,928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3/24/2023</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+ 6.25%</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10.61%</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17,695</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18,368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7/7/2023</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SOFR + 7.75%</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12.34%</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32,264</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33,215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5"/>
        </w:trPr>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226,581</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231,751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-1096645</wp:posOffset>
            </wp:positionV>
            <wp:extent cx="6707505"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-822325</wp:posOffset>
            </wp:positionV>
            <wp:extent cx="6707505" cy="182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-548005</wp:posOffset>
            </wp:positionV>
            <wp:extent cx="6707505" cy="182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-273685</wp:posOffset>
            </wp:positionV>
            <wp:extent cx="6707505" cy="9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-90805</wp:posOffset>
            </wp:positionV>
            <wp:extent cx="6707505"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1480" w:space="220"/>
            <w:col w:w="2020" w:space="340"/>
            <w:col w:w="6500"/>
          </w:cols>
          <w:pgMar w:left="660" w:top="1299" w:right="680"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54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ASG II, LLC </w:t>
            </w:r>
            <w:r>
              <w:rPr>
                <w:rFonts w:ascii="Times New Roman" w:cs="Times New Roman" w:eastAsia="Times New Roman" w:hAnsi="Times New Roman"/>
                <w:sz w:val="16"/>
                <w:szCs w:val="16"/>
                <w:color w:val="auto"/>
                <w:vertAlign w:val="superscript"/>
              </w:rPr>
              <w:t>(3)(5)</w:t>
            </w: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First-lien loan ($65,000 par, due 5/2028)</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AVSC Holding Corp. </w:t>
            </w:r>
            <w:r>
              <w:rPr>
                <w:rFonts w:ascii="Times New Roman" w:cs="Times New Roman" w:eastAsia="Times New Roman" w:hAnsi="Times New Roman"/>
                <w:sz w:val="16"/>
                <w:szCs w:val="16"/>
                <w:color w:val="auto"/>
                <w:vertAlign w:val="superscript"/>
              </w:rPr>
              <w:t>(3)</w:t>
            </w: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9"/>
              </w:rPr>
              <w:t>First-lien loan ($45,167 par, due 12/2031)</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auto"/>
              </w:rPr>
              <w:t>Equinox Holdings, Inc.</w:t>
            </w: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First-lien loan ($49,590 par, due</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180" w:type="dxa"/>
            <w:vAlign w:val="bottom"/>
          </w:tcPr>
          <w:p>
            <w:pPr>
              <w:ind w:left="160"/>
              <w:spacing w:after="0" w:line="156" w:lineRule="exact"/>
              <w:rPr>
                <w:sz w:val="20"/>
                <w:szCs w:val="20"/>
                <w:color w:val="auto"/>
              </w:rPr>
            </w:pPr>
            <w:r>
              <w:rPr>
                <w:rFonts w:ascii="Times New Roman" w:cs="Times New Roman" w:eastAsia="Times New Roman" w:hAnsi="Times New Roman"/>
                <w:sz w:val="12"/>
                <w:szCs w:val="12"/>
                <w:color w:val="auto"/>
              </w:rPr>
              <w:t>3/2029)</w:t>
            </w:r>
            <w:r>
              <w:rPr>
                <w:rFonts w:ascii="Times New Roman" w:cs="Times New Roman" w:eastAsia="Times New Roman" w:hAnsi="Times New Roman"/>
                <w:sz w:val="16"/>
                <w:szCs w:val="16"/>
                <w:color w:val="auto"/>
                <w:vertAlign w:val="superscript"/>
              </w:rPr>
              <w:t>(3)</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Second-lien loan ($2,347 par, due</w:t>
            </w:r>
          </w:p>
        </w:tc>
        <w:tc>
          <w:tcPr>
            <w:tcW w:w="0" w:type="dxa"/>
            <w:vAlign w:val="bottom"/>
          </w:tcPr>
          <w:p>
            <w:pPr>
              <w:spacing w:after="0"/>
              <w:rPr>
                <w:sz w:val="1"/>
                <w:szCs w:val="1"/>
                <w:color w:val="auto"/>
              </w:rPr>
            </w:pPr>
          </w:p>
        </w:tc>
      </w:tr>
      <w:tr>
        <w:trPr>
          <w:trHeight w:val="144"/>
        </w:trPr>
        <w:tc>
          <w:tcPr>
            <w:tcW w:w="15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(3)(6)</w:t>
            </w: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6/2027)</w:t>
            </w:r>
          </w:p>
        </w:tc>
        <w:tc>
          <w:tcPr>
            <w:tcW w:w="0" w:type="dxa"/>
            <w:vAlign w:val="bottom"/>
          </w:tcPr>
          <w:p>
            <w:pPr>
              <w:spacing w:after="0"/>
              <w:rPr>
                <w:sz w:val="1"/>
                <w:szCs w:val="1"/>
                <w:color w:val="auto"/>
              </w:rPr>
            </w:pPr>
          </w:p>
        </w:tc>
      </w:tr>
      <w:tr>
        <w:trPr>
          <w:trHeight w:val="207"/>
        </w:trPr>
        <w:tc>
          <w:tcPr>
            <w:tcW w:w="1540" w:type="dxa"/>
            <w:vAlign w:val="bottom"/>
            <w:vMerge w:val="continue"/>
          </w:tcPr>
          <w:p>
            <w:pPr>
              <w:spacing w:after="0"/>
              <w:rPr>
                <w:sz w:val="18"/>
                <w:szCs w:val="18"/>
                <w:color w:val="auto"/>
              </w:rPr>
            </w:pPr>
          </w:p>
        </w:tc>
        <w:tc>
          <w:tcPr>
            <w:tcW w:w="21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First-lien loan ($30,261 par, due 6/2025)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5/25/2022</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+ 6.40%</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10.99%</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63,983</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65,162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12/5/2024</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9.36%</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44,175</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44,292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640" w:type="dxa"/>
            <w:vAlign w:val="bottom"/>
          </w:tcPr>
          <w:p>
            <w:pPr>
              <w:spacing w:after="0"/>
              <w:rPr>
                <w:sz w:val="12"/>
                <w:szCs w:val="12"/>
                <w:color w:val="auto"/>
              </w:rPr>
            </w:pP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5.00%</w:t>
            </w: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3/8/2024</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+ 8.25%</w:t>
            </w:r>
          </w:p>
        </w:tc>
        <w:tc>
          <w:tcPr>
            <w:tcW w:w="15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12.58% (incl. 4.13%</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48,934</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49,714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PIK)</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3/13/2024</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16.00%</w:t>
            </w:r>
          </w:p>
        </w:tc>
        <w:tc>
          <w:tcPr>
            <w:tcW w:w="1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16.00% PIK</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2,297</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2,388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288"/>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12/21/2018</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+ 9.65%</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13.98%</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28,594</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28,823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-730885</wp:posOffset>
            </wp:positionV>
            <wp:extent cx="6707505" cy="9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-456565</wp:posOffset>
            </wp:positionV>
            <wp:extent cx="6707505" cy="182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-90805</wp:posOffset>
            </wp:positionV>
            <wp:extent cx="6707505"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411480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3720" w:space="340"/>
            <w:col w:w="6500"/>
          </w:cols>
          <w:pgMar w:left="660" w:top="1299" w:right="680" w:bottom="1440" w:gutter="0" w:footer="0" w:header="0"/>
          <w:type w:val="continuous"/>
        </w:sectPr>
      </w:pPr>
    </w:p>
    <w:bookmarkStart w:id="18" w:name="page19"/>
    <w:bookmarkEnd w:id="18"/>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QSR Acquisition Co. </w:t>
      </w:r>
      <w:r>
        <w:rPr>
          <w:rFonts w:ascii="Times New Roman" w:cs="Times New Roman" w:eastAsia="Times New Roman" w:hAnsi="Times New Roman"/>
          <w:sz w:val="16"/>
          <w:szCs w:val="16"/>
          <w:color w:val="auto"/>
          <w:vertAlign w:val="superscript"/>
        </w:rPr>
        <w:t>(3)(5)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Sport Alliance GmbH </w:t>
      </w:r>
      <w:r>
        <w:rPr>
          <w:rFonts w:ascii="Times New Roman" w:cs="Times New Roman" w:eastAsia="Times New Roman" w:hAnsi="Times New Roman"/>
          <w:sz w:val="16"/>
          <w:szCs w:val="16"/>
          <w:color w:val="auto"/>
          <w:vertAlign w:val="superscript"/>
        </w:rPr>
        <w:t>(3)(4)</w:t>
      </w:r>
    </w:p>
    <w:p>
      <w:pPr>
        <w:spacing w:after="0" w:line="25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2"/>
          <w:szCs w:val="12"/>
          <w:b w:val="1"/>
          <w:bCs w:val="1"/>
          <w:color w:val="auto"/>
        </w:rPr>
        <w:t>Human Resource Support Services</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(3)(4)(5)</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Elysian Finco Ltd. </w:t>
      </w:r>
      <w:r>
        <w:rPr>
          <w:rFonts w:ascii="Times New Roman" w:cs="Times New Roman" w:eastAsia="Times New Roman" w:hAnsi="Times New Roman"/>
          <w:sz w:val="16"/>
          <w:szCs w:val="16"/>
          <w:color w:val="auto"/>
          <w:vertAlign w:val="superscript"/>
        </w:rPr>
        <w:t>(3)(4)(5)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Employment Hero Holdings Pty</w:t>
      </w:r>
    </w:p>
    <w:p>
      <w:pPr>
        <w:spacing w:after="0" w:line="190" w:lineRule="auto"/>
        <w:rPr>
          <w:sz w:val="20"/>
          <w:szCs w:val="20"/>
          <w:color w:val="auto"/>
        </w:rPr>
      </w:pPr>
      <w:r>
        <w:rPr>
          <w:rFonts w:ascii="Times New Roman" w:cs="Times New Roman" w:eastAsia="Times New Roman" w:hAnsi="Times New Roman"/>
          <w:sz w:val="16"/>
          <w:szCs w:val="16"/>
          <w:color w:val="auto"/>
          <w:vertAlign w:val="subscript"/>
        </w:rPr>
        <w:t>Ltd.</w:t>
      </w:r>
      <w:r>
        <w:rPr>
          <w:rFonts w:ascii="Times New Roman" w:cs="Times New Roman" w:eastAsia="Times New Roman" w:hAnsi="Times New Roman"/>
          <w:sz w:val="7"/>
          <w:szCs w:val="7"/>
          <w:color w:val="auto"/>
        </w:rPr>
        <w:t xml:space="preserve"> (3)(4)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6"/>
          <w:szCs w:val="16"/>
          <w:color w:val="auto"/>
          <w:vertAlign w:val="superscript"/>
        </w:rPr>
        <w:t>(3)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6"/>
          <w:szCs w:val="16"/>
          <w:color w:val="auto"/>
          <w:vertAlign w:val="superscript"/>
        </w:rPr>
        <w:t>(3)(5)</w:t>
      </w:r>
    </w:p>
    <w:p>
      <w:pPr>
        <w:spacing w:after="0" w:line="187" w:lineRule="auto"/>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6"/>
          <w:szCs w:val="16"/>
          <w:color w:val="auto"/>
          <w:vertAlign w:val="superscript"/>
        </w:rPr>
        <w:t>(3)(5)</w:t>
      </w:r>
    </w:p>
    <w:p>
      <w:pPr>
        <w:spacing w:after="0" w:line="193" w:lineRule="auto"/>
        <w:rPr>
          <w:sz w:val="20"/>
          <w:szCs w:val="20"/>
          <w:color w:val="auto"/>
        </w:rPr>
      </w:pPr>
      <w:r>
        <w:rPr>
          <w:rFonts w:ascii="Times New Roman" w:cs="Times New Roman" w:eastAsia="Times New Roman" w:hAnsi="Times New Roman"/>
          <w:sz w:val="10"/>
          <w:szCs w:val="10"/>
          <w:color w:val="auto"/>
        </w:rPr>
        <w:t xml:space="preserve">PrimePay Intermediate, LLC </w:t>
      </w:r>
      <w:r>
        <w:rPr>
          <w:rFonts w:ascii="Times New Roman" w:cs="Times New Roman" w:eastAsia="Times New Roman" w:hAnsi="Times New Roman"/>
          <w:sz w:val="13"/>
          <w:szCs w:val="13"/>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216" w:lineRule="auto"/>
        <w:rPr>
          <w:sz w:val="20"/>
          <w:szCs w:val="20"/>
          <w:color w:val="auto"/>
        </w:rPr>
      </w:pPr>
      <w:r>
        <w:rPr>
          <w:rFonts w:ascii="Times New Roman" w:cs="Times New Roman" w:eastAsia="Times New Roman" w:hAnsi="Times New Roman"/>
          <w:sz w:val="12"/>
          <w:szCs w:val="12"/>
          <w:color w:val="auto"/>
        </w:rPr>
        <w:t xml:space="preserve">Disco Parent, Inc. </w:t>
      </w:r>
      <w:r>
        <w:rPr>
          <w:rFonts w:ascii="Times New Roman" w:cs="Times New Roman" w:eastAsia="Times New Roman" w:hAnsi="Times New Roman"/>
          <w:sz w:val="16"/>
          <w:szCs w:val="16"/>
          <w:color w:val="auto"/>
          <w:vertAlign w:val="superscript"/>
        </w:rPr>
        <w:t>(3)</w:t>
      </w:r>
    </w:p>
    <w:p>
      <w:pPr>
        <w:spacing w:after="0" w:line="223" w:lineRule="auto"/>
        <w:rPr>
          <w:sz w:val="20"/>
          <w:szCs w:val="20"/>
          <w:color w:val="auto"/>
        </w:rPr>
      </w:pPr>
      <w:r>
        <w:rPr>
          <w:rFonts w:ascii="Times New Roman" w:cs="Times New Roman" w:eastAsia="Times New Roman" w:hAnsi="Times New Roman"/>
          <w:sz w:val="12"/>
          <w:szCs w:val="12"/>
          <w:b w:val="1"/>
          <w:bCs w:val="1"/>
          <w:color w:val="auto"/>
        </w:rPr>
        <w:t>Internet Services</w:t>
      </w:r>
    </w:p>
    <w:p>
      <w:pPr>
        <w:spacing w:after="0" w:line="209" w:lineRule="auto"/>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6"/>
          <w:szCs w:val="16"/>
          <w:color w:val="auto"/>
          <w:vertAlign w:val="superscript"/>
        </w:rPr>
        <w:t>(3)</w:t>
      </w:r>
    </w:p>
    <w:p>
      <w:pPr>
        <w:spacing w:after="0" w:line="181" w:lineRule="auto"/>
        <w:rPr>
          <w:sz w:val="20"/>
          <w:szCs w:val="20"/>
          <w:color w:val="auto"/>
        </w:rPr>
      </w:pPr>
      <w:r>
        <w:rPr>
          <w:rFonts w:ascii="Times New Roman" w:cs="Times New Roman" w:eastAsia="Times New Roman" w:hAnsi="Times New Roman"/>
          <w:sz w:val="12"/>
          <w:szCs w:val="12"/>
          <w:color w:val="auto"/>
        </w:rPr>
        <w:t>Bayshore Intermediate #2, L.P.</w:t>
      </w:r>
    </w:p>
    <w:p>
      <w:pPr>
        <w:spacing w:after="0"/>
        <w:rPr>
          <w:sz w:val="20"/>
          <w:szCs w:val="20"/>
          <w:color w:val="auto"/>
        </w:rPr>
      </w:pPr>
      <w:r>
        <w:rPr>
          <w:rFonts w:ascii="Times New Roman" w:cs="Times New Roman" w:eastAsia="Times New Roman" w:hAnsi="Times New Roman"/>
          <w:sz w:val="8"/>
          <w:szCs w:val="8"/>
          <w:color w:val="auto"/>
        </w:rPr>
        <w:t>(3)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6"/>
          <w:szCs w:val="16"/>
          <w:color w:val="auto"/>
          <w:vertAlign w:val="superscript"/>
        </w:rPr>
        <w:t>(3)</w:t>
      </w:r>
    </w:p>
    <w:p>
      <w:pPr>
        <w:spacing w:after="0" w:line="222" w:lineRule="auto"/>
        <w:rPr>
          <w:sz w:val="20"/>
          <w:szCs w:val="20"/>
          <w:color w:val="auto"/>
        </w:rPr>
      </w:pPr>
      <w:r>
        <w:rPr>
          <w:rFonts w:ascii="Times New Roman" w:cs="Times New Roman" w:eastAsia="Times New Roman" w:hAnsi="Times New Roman"/>
          <w:sz w:val="12"/>
          <w:szCs w:val="12"/>
          <w:color w:val="auto"/>
        </w:rPr>
        <w:t>CrunchTime Information,</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Systems, Inc. </w:t>
      </w:r>
      <w:r>
        <w:rPr>
          <w:rFonts w:ascii="Times New Roman" w:cs="Times New Roman" w:eastAsia="Times New Roman" w:hAnsi="Times New Roman"/>
          <w:sz w:val="16"/>
          <w:szCs w:val="16"/>
          <w:color w:val="auto"/>
          <w:vertAlign w:val="superscript"/>
        </w:rPr>
        <w:t>(3)(5)</w:t>
      </w:r>
    </w:p>
    <w:p>
      <w:pPr>
        <w:spacing w:after="0" w:line="209" w:lineRule="auto"/>
        <w:rPr>
          <w:sz w:val="20"/>
          <w:szCs w:val="20"/>
          <w:color w:val="auto"/>
        </w:rPr>
      </w:pPr>
      <w:r>
        <w:rPr>
          <w:rFonts w:ascii="Times New Roman" w:cs="Times New Roman" w:eastAsia="Times New Roman" w:hAnsi="Times New Roman"/>
          <w:sz w:val="12"/>
          <w:szCs w:val="12"/>
          <w:color w:val="auto"/>
        </w:rPr>
        <w:t xml:space="preserve">EDB Parent, LLC </w:t>
      </w:r>
      <w:r>
        <w:rPr>
          <w:rFonts w:ascii="Times New Roman" w:cs="Times New Roman" w:eastAsia="Times New Roman" w:hAnsi="Times New Roman"/>
          <w:sz w:val="16"/>
          <w:szCs w:val="16"/>
          <w:color w:val="auto"/>
          <w:vertAlign w:val="superscript"/>
        </w:rPr>
        <w:t>(3)(5)</w:t>
      </w:r>
    </w:p>
    <w:p>
      <w:pPr>
        <w:spacing w:after="0" w:line="223" w:lineRule="auto"/>
        <w:rPr>
          <w:sz w:val="20"/>
          <w:szCs w:val="20"/>
          <w:color w:val="auto"/>
        </w:rPr>
      </w:pPr>
      <w:r>
        <w:rPr>
          <w:rFonts w:ascii="Times New Roman" w:cs="Times New Roman" w:eastAsia="Times New Roman" w:hAnsi="Times New Roman"/>
          <w:sz w:val="12"/>
          <w:szCs w:val="12"/>
          <w:color w:val="auto"/>
        </w:rPr>
        <w:t>Flight Intermediate HoldCo, Inc.</w:t>
      </w:r>
    </w:p>
    <w:p>
      <w:pPr>
        <w:spacing w:after="0" w:line="187" w:lineRule="auto"/>
        <w:rPr>
          <w:sz w:val="20"/>
          <w:szCs w:val="20"/>
          <w:color w:val="auto"/>
        </w:rPr>
      </w:pPr>
      <w:r>
        <w:rPr>
          <w:rFonts w:ascii="Times New Roman" w:cs="Times New Roman" w:eastAsia="Times New Roman" w:hAnsi="Times New Roman"/>
          <w:sz w:val="12"/>
          <w:szCs w:val="12"/>
          <w:color w:val="auto"/>
        </w:rPr>
        <w:t xml:space="preserve">Higher Logic, LLC </w:t>
      </w:r>
      <w:r>
        <w:rPr>
          <w:rFonts w:ascii="Times New Roman" w:cs="Times New Roman" w:eastAsia="Times New Roman" w:hAnsi="Times New Roman"/>
          <w:sz w:val="16"/>
          <w:szCs w:val="16"/>
          <w:color w:val="auto"/>
          <w:vertAlign w:val="superscript"/>
        </w:rPr>
        <w:t>(3)(5)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Hippo XPA Bidco AB </w:t>
      </w:r>
      <w:r>
        <w:rPr>
          <w:rFonts w:ascii="Times New Roman" w:cs="Times New Roman" w:eastAsia="Times New Roman" w:hAnsi="Times New Roman"/>
          <w:sz w:val="16"/>
          <w:szCs w:val="16"/>
          <w:color w:val="auto"/>
          <w:vertAlign w:val="superscript"/>
        </w:rPr>
        <w:t>(3)(4)</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Kryptona BidCo US, LLC </w:t>
      </w:r>
      <w:r>
        <w:rPr>
          <w:rFonts w:ascii="Times New Roman" w:cs="Times New Roman" w:eastAsia="Times New Roman" w:hAnsi="Times New Roman"/>
          <w:sz w:val="16"/>
          <w:szCs w:val="16"/>
          <w:color w:val="auto"/>
          <w:vertAlign w:val="superscript"/>
        </w:rPr>
        <w:t>(3)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LeanTaaS Holdings, Inc. </w:t>
      </w:r>
      <w:r>
        <w:rPr>
          <w:rFonts w:ascii="Times New Roman" w:cs="Times New Roman" w:eastAsia="Times New Roman" w:hAnsi="Times New Roman"/>
          <w:sz w:val="16"/>
          <w:szCs w:val="16"/>
          <w:color w:val="auto"/>
          <w:vertAlign w:val="superscript"/>
        </w:rPr>
        <w:t>(3)(5)</w:t>
      </w:r>
    </w:p>
    <w:p>
      <w:pPr>
        <w:spacing w:after="0" w:line="192" w:lineRule="auto"/>
        <w:rPr>
          <w:sz w:val="20"/>
          <w:szCs w:val="20"/>
          <w:color w:val="auto"/>
        </w:rPr>
      </w:pPr>
      <w:r>
        <w:rPr>
          <w:rFonts w:ascii="Times New Roman" w:cs="Times New Roman" w:eastAsia="Times New Roman" w:hAnsi="Times New Roman"/>
          <w:sz w:val="10"/>
          <w:szCs w:val="10"/>
          <w:color w:val="auto"/>
        </w:rPr>
        <w:t xml:space="preserve">Lithium Technologies, LLC </w:t>
      </w:r>
      <w:r>
        <w:rPr>
          <w:rFonts w:ascii="Times New Roman" w:cs="Times New Roman" w:eastAsia="Times New Roman" w:hAnsi="Times New Roman"/>
          <w:sz w:val="13"/>
          <w:szCs w:val="13"/>
          <w:color w:val="auto"/>
          <w:vertAlign w:val="superscript"/>
        </w:rPr>
        <w:t>(3)</w:t>
      </w:r>
    </w:p>
    <w:p>
      <w:pPr>
        <w:spacing w:after="0"/>
        <w:rPr>
          <w:sz w:val="20"/>
          <w:szCs w:val="20"/>
          <w:color w:val="auto"/>
        </w:rPr>
      </w:pPr>
      <w:r>
        <w:rPr>
          <w:rFonts w:ascii="Times New Roman" w:cs="Times New Roman" w:eastAsia="Times New Roman" w:hAnsi="Times New Roman"/>
          <w:sz w:val="8"/>
          <w:szCs w:val="8"/>
          <w:color w:val="auto"/>
        </w:rPr>
        <w:t>(14)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Lucidworks, Inc. </w:t>
      </w:r>
      <w:r>
        <w:rPr>
          <w:rFonts w:ascii="Times New Roman" w:cs="Times New Roman" w:eastAsia="Times New Roman" w:hAnsi="Times New Roman"/>
          <w:sz w:val="16"/>
          <w:szCs w:val="16"/>
          <w:color w:val="auto"/>
          <w:vertAlign w:val="superscript"/>
        </w:rPr>
        <w:t>(3)(5)</w:t>
      </w:r>
    </w:p>
    <w:p>
      <w:pPr>
        <w:spacing w:after="0" w:line="116"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1"/>
          <w:szCs w:val="11"/>
          <w:color w:val="auto"/>
        </w:rPr>
        <w:t xml:space="preserve">Merit Software Finance Holdings, LLC </w:t>
      </w:r>
      <w:r>
        <w:rPr>
          <w:rFonts w:ascii="Times New Roman" w:cs="Times New Roman" w:eastAsia="Times New Roman" w:hAnsi="Times New Roman"/>
          <w:sz w:val="15"/>
          <w:szCs w:val="15"/>
          <w:color w:val="auto"/>
          <w:vertAlign w:val="superscript"/>
        </w:rPr>
        <w:t>(3)</w:t>
      </w:r>
    </w:p>
    <w:p>
      <w:pPr>
        <w:spacing w:after="0" w:line="224" w:lineRule="auto"/>
        <w:rPr>
          <w:sz w:val="20"/>
          <w:szCs w:val="20"/>
          <w:color w:val="auto"/>
        </w:rPr>
      </w:pPr>
      <w:r>
        <w:rPr>
          <w:rFonts w:ascii="Times New Roman" w:cs="Times New Roman" w:eastAsia="Times New Roman" w:hAnsi="Times New Roman"/>
          <w:sz w:val="12"/>
          <w:szCs w:val="12"/>
          <w:color w:val="auto"/>
        </w:rPr>
        <w:t>SMA Technologies Holdings,</w:t>
      </w:r>
    </w:p>
    <w:p>
      <w:pPr>
        <w:spacing w:after="0" w:line="184" w:lineRule="auto"/>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Manufacturing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Aptean, Inc. </w:t>
      </w:r>
      <w:r>
        <w:rPr>
          <w:rFonts w:ascii="Times New Roman" w:cs="Times New Roman" w:eastAsia="Times New Roman" w:hAnsi="Times New Roman"/>
          <w:sz w:val="16"/>
          <w:szCs w:val="16"/>
          <w:color w:val="auto"/>
          <w:vertAlign w:val="superscript"/>
        </w:rPr>
        <w:t>(3)</w:t>
      </w:r>
    </w:p>
    <w:p>
      <w:pPr>
        <w:spacing w:after="0"/>
        <w:rPr>
          <w:sz w:val="20"/>
          <w:szCs w:val="20"/>
          <w:color w:val="auto"/>
        </w:rPr>
      </w:pPr>
      <w:r>
        <w:rPr>
          <w:rFonts w:ascii="Times New Roman" w:cs="Times New Roman" w:eastAsia="Times New Roman" w:hAnsi="Times New Roman"/>
          <w:sz w:val="12"/>
          <w:szCs w:val="12"/>
          <w:color w:val="auto"/>
        </w:rPr>
        <w:t xml:space="preserve">ASP Unifrax Holdings, Inc. </w:t>
      </w:r>
      <w:r>
        <w:rPr>
          <w:rFonts w:ascii="Times New Roman" w:cs="Times New Roman" w:eastAsia="Times New Roman" w:hAnsi="Times New Roman"/>
          <w:sz w:val="16"/>
          <w:szCs w:val="16"/>
          <w:color w:val="auto"/>
          <w:vertAlign w:val="superscript"/>
        </w:rPr>
        <w:t>(9)</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Avalara, Inc. </w:t>
      </w:r>
      <w:r>
        <w:rPr>
          <w:rFonts w:ascii="Times New Roman" w:cs="Times New Roman" w:eastAsia="Times New Roman" w:hAnsi="Times New Roman"/>
          <w:sz w:val="16"/>
          <w:szCs w:val="16"/>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($37,972 par,</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12/21/2018</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+ 9.65%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14.14%</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37,972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36,144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due 6/2025)</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($30,000 par, due 10/2030)</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10/31/2024</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9.84%</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29,461</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29,550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5.25%</w:t>
            </w: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4,494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 + 7.25%</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10.15% (incl. 3.88%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4,712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4,601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4/2030)</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4,443)</w:t>
            </w:r>
          </w:p>
        </w:tc>
        <w:tc>
          <w:tcPr>
            <w:tcW w:w="760" w:type="dxa"/>
            <w:vAlign w:val="bottom"/>
          </w:tcPr>
          <w:p>
            <w:pPr>
              <w:spacing w:after="0"/>
              <w:rPr>
                <w:sz w:val="12"/>
                <w:szCs w:val="12"/>
                <w:color w:val="auto"/>
              </w:rPr>
            </w:pPr>
          </w:p>
        </w:tc>
      </w:tr>
      <w:tr>
        <w:trPr>
          <w:trHeight w:val="155"/>
        </w:trPr>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260,128</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260,674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421"/>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($44,419 par, due 5/2026)</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5/5/2021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+ 7.65%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12.20%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43,982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44,532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($43,910 par, due 11/2028)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+ 6.38%</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11.05%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43,029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44,569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($21,899 par, due 1/2028)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1/31/2021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+ 6.65%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11.28%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21,616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21,954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(GBP 325 par,</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1/31/2021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 + 5.00%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9.70%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361</w:t>
            </w: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396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due 1/2028)</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(GBP 316)</w:t>
            </w: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(AUD 60,000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12/6/2021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B + 6.25%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10.73%</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41,424</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37,247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12/2026)</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(AUD 60,158)</w:t>
            </w: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($53,572 par, due 5/2029)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11.34%</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52,335</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54,240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revolving loan ($4,378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11.30%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4,233</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4,464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5/2029)</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($32,175 par, due 12/2026)</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12/15/2023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+ 6.10%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10.35%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31,657</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32,175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($70,465 par, due 5/2027)</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5/3/2019</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+ 5.85%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10.18%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70,196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71,170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($34,025 par, due 12/2026)</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12/17/2021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+ 7.15%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11.63%</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33,466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34,025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52"/>
        </w:trPr>
        <w:tc>
          <w:tcPr>
            <w:tcW w:w="2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342,299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344,772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r>
      <w:tr>
        <w:trPr>
          <w:trHeight w:val="288"/>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($5,319 par, due 3/2029)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3/30/2023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+ 7.50%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12.01%</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5,216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5,377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($34,944 par, due 7/2030)</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6/30/2023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10.08%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34,152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35,449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($40,663 par, due 10/2028)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+ 6.25%</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10.77% (incl. 3.38%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40,222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40,774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($42,975 par, due 2/2030)</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2/27/2023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+ 5.25%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9.84%</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42,097</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43,722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($58,898 par, due 6/2028)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6/17/2022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10.11%</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58,078</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58,898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($69,873 par, due 7/2028)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11.26%</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68,832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69,349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($40,000 par, due 4/2030)</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10/3/2024</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11.50%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38,851</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38,900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($50,054 par, due 1/2025)</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6/18/2018</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+ 6.25%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10.61%</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50,047</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50,054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(SEK 80,225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2/20/2024</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STIBOR +</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9.16% (incl. 3.50%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7,557</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7,238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2/2031)</w:t>
            </w:r>
          </w:p>
        </w:tc>
        <w:tc>
          <w:tcPr>
            <w:tcW w:w="780" w:type="dxa"/>
            <w:vAlign w:val="bottom"/>
          </w:tcPr>
          <w:p>
            <w:pPr>
              <w:spacing w:after="0"/>
              <w:rPr>
                <w:sz w:val="12"/>
                <w:szCs w:val="12"/>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6.50%</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(SEK 79,977)</w:t>
            </w: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2,472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 + 6.50%</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9.87% (incl. 3.50%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2,636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2,554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2/2031)</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2,466)</w:t>
            </w: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($19,912 par, due 12/2031)</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12/18/2024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10.10%</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19,472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19,526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(EUR 4,608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12/18/2024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E + 5.75%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8.61%</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4,729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4,688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12/2031)</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(EUR 4,527)</w:t>
            </w: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($56,156 par, due 7/2028)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7/12/2022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+ 7.50%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11.83%</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55,388</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56,437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($61,483 par, due 1/2025)</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10/3/2017</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+ 11.00%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15.59%</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61,483</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22,287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241"/>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($9,477 par, due 2/2027)</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2/11/2022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+ 7.50%</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11.86% (incl. 3.5%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9,477</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9,501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4"/>
        </w:trPr>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($43,214 par, due 6/2029)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6/20/2024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+ 7.50%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11.85%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41,939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42,389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88"/>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($53,991 par, due 10/2028)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10/31/2022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+ 6.50%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11.01%</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52,542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54,678</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88"/>
        </w:trPr>
        <w:tc>
          <w:tcPr>
            <w:tcW w:w="2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587,502</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556,444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r>
      <w:tr>
        <w:trPr>
          <w:trHeight w:val="349"/>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($8,835 par, due 1/2031)</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+ 5.00%</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9.58%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8,748</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8,860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6"/>
        </w:trPr>
        <w:tc>
          <w:tcPr>
            <w:tcW w:w="220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First-lien loan ($3,449 par, due 9/2029)</w:t>
            </w:r>
            <w:r>
              <w:rPr>
                <w:rFonts w:ascii="Times New Roman" w:cs="Times New Roman" w:eastAsia="Times New Roman" w:hAnsi="Times New Roman"/>
                <w:sz w:val="16"/>
                <w:szCs w:val="16"/>
                <w:color w:val="auto"/>
                <w:vertAlign w:val="superscript"/>
              </w:rPr>
              <w:t>(3)</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+ 7.75%</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12.08% (incl. 4.75%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3,376</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3,484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Second-lien note ($1,999 par, due</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8/31/2023</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7.10%</w:t>
            </w: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7.10% (incl. 1.25%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1,513</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1,309</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9/2029)</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PIK)</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First-lien loan ($38,636 par, due 10/2028)</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10/19/2022</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+ 6.25%</w:t>
            </w:r>
          </w:p>
        </w:tc>
        <w:tc>
          <w:tcPr>
            <w:tcW w:w="15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10.58%</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37,889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38,955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-5311775</wp:posOffset>
            </wp:positionV>
            <wp:extent cx="6707505" cy="182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-4946015</wp:posOffset>
            </wp:positionV>
            <wp:extent cx="6707505"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-4671695</wp:posOffset>
            </wp:positionV>
            <wp:extent cx="6707505" cy="91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-4488815</wp:posOffset>
            </wp:positionV>
            <wp:extent cx="6707505" cy="9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-4214495</wp:posOffset>
            </wp:positionV>
            <wp:extent cx="6707505" cy="182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-3940175</wp:posOffset>
            </wp:positionV>
            <wp:extent cx="6707505" cy="182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-3665855</wp:posOffset>
            </wp:positionV>
            <wp:extent cx="6707505" cy="9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-3413760</wp:posOffset>
            </wp:positionV>
            <wp:extent cx="6707505" cy="91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-3230880</wp:posOffset>
            </wp:positionV>
            <wp:extent cx="6707505" cy="91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-3048000</wp:posOffset>
            </wp:positionV>
            <wp:extent cx="6707505" cy="91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-2773680</wp:posOffset>
            </wp:positionV>
            <wp:extent cx="6707505" cy="914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-2499360</wp:posOffset>
            </wp:positionV>
            <wp:extent cx="6707505" cy="914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-2316480</wp:posOffset>
            </wp:positionV>
            <wp:extent cx="6707505" cy="91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-2042160</wp:posOffset>
            </wp:positionV>
            <wp:extent cx="6707505" cy="182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-1767840</wp:posOffset>
            </wp:positionV>
            <wp:extent cx="6707505" cy="182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-1493520</wp:posOffset>
            </wp:positionV>
            <wp:extent cx="6707505" cy="160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-1149985</wp:posOffset>
            </wp:positionV>
            <wp:extent cx="6707505" cy="182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-784225</wp:posOffset>
            </wp:positionV>
            <wp:extent cx="6707505" cy="914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-548005</wp:posOffset>
            </wp:positionV>
            <wp:extent cx="6707505" cy="91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-273685</wp:posOffset>
            </wp:positionV>
            <wp:extent cx="6707505" cy="182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8288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411480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580" w:space="120"/>
            <w:col w:w="8860"/>
          </w:cols>
          <w:pgMar w:left="660" w:top="1339" w:right="68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Heritage Environmental</w:t>
            </w:r>
          </w:p>
        </w:tc>
        <w:tc>
          <w:tcPr>
            <w:tcW w:w="2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First-lien loan ($12,284 par, due 1/2031)</w:t>
            </w:r>
          </w:p>
        </w:tc>
        <w:tc>
          <w:tcPr>
            <w:tcW w:w="2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1/31/2024   SOFR + 5.25%</w:t>
            </w:r>
          </w:p>
        </w:tc>
        <w:tc>
          <w:tcPr>
            <w:tcW w:w="120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9.84%</w:t>
            </w:r>
          </w:p>
        </w:tc>
        <w:tc>
          <w:tcPr>
            <w:tcW w:w="1220" w:type="dxa"/>
            <w:vAlign w:val="bottom"/>
            <w:shd w:val="clear" w:color="auto" w:fill="CFF0FC"/>
          </w:tcPr>
          <w:p>
            <w:pPr>
              <w:jc w:val="right"/>
              <w:ind w:right="460"/>
              <w:spacing w:after="0"/>
              <w:rPr>
                <w:sz w:val="20"/>
                <w:szCs w:val="20"/>
                <w:color w:val="auto"/>
              </w:rPr>
            </w:pPr>
            <w:r>
              <w:rPr>
                <w:rFonts w:ascii="Times New Roman" w:cs="Times New Roman" w:eastAsia="Times New Roman" w:hAnsi="Times New Roman"/>
                <w:sz w:val="12"/>
                <w:szCs w:val="12"/>
                <w:color w:val="auto"/>
              </w:rPr>
              <w:t>12,221</w:t>
            </w:r>
          </w:p>
        </w:tc>
        <w:tc>
          <w:tcPr>
            <w:tcW w:w="134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12,425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67"/>
        </w:trPr>
        <w:tc>
          <w:tcPr>
            <w:tcW w:w="14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Services, Inc. </w:t>
            </w:r>
            <w:r>
              <w:rPr>
                <w:rFonts w:ascii="Times New Roman" w:cs="Times New Roman" w:eastAsia="Times New Roman" w:hAnsi="Times New Roman"/>
                <w:sz w:val="16"/>
                <w:szCs w:val="16"/>
                <w:color w:val="auto"/>
                <w:vertAlign w:val="superscript"/>
              </w:rPr>
              <w:t>(3)</w:t>
            </w:r>
          </w:p>
        </w:tc>
        <w:tc>
          <w:tcPr>
            <w:tcW w:w="248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r>
    </w:tbl>
    <w:p>
      <w:pPr>
        <w:spacing w:after="0" w:line="1" w:lineRule="exact"/>
        <w:rPr>
          <w:sz w:val="20"/>
          <w:szCs w:val="20"/>
          <w:color w:val="auto"/>
        </w:rPr>
      </w:pPr>
    </w:p>
    <w:p>
      <w:pPr>
        <w:sectPr>
          <w:pgSz w:w="11900" w:h="16840" w:orient="portrait"/>
          <w:cols w:equalWidth="0" w:num="1">
            <w:col w:w="10560"/>
          </w:cols>
          <w:pgMar w:left="660" w:top="1333" w:right="680"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Skylark UK DebtCo Limited </w:t>
      </w:r>
      <w:r>
        <w:rPr>
          <w:rFonts w:ascii="Times New Roman" w:cs="Times New Roman" w:eastAsia="Times New Roman" w:hAnsi="Times New Roman"/>
          <w:sz w:val="16"/>
          <w:szCs w:val="16"/>
          <w:color w:val="auto"/>
          <w:vertAlign w:val="superscript"/>
        </w:rPr>
        <w:t>(3)</w:t>
      </w:r>
    </w:p>
    <w:p>
      <w:pPr>
        <w:spacing w:after="0"/>
        <w:rPr>
          <w:sz w:val="20"/>
          <w:szCs w:val="20"/>
          <w:color w:val="auto"/>
        </w:rPr>
      </w:pPr>
      <w:r>
        <w:rPr>
          <w:rFonts w:ascii="Times New Roman" w:cs="Times New Roman" w:eastAsia="Times New Roman" w:hAnsi="Times New Roman"/>
          <w:sz w:val="8"/>
          <w:szCs w:val="8"/>
          <w:color w:val="auto"/>
        </w:rPr>
        <w:t>(4)</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Varinem German BidCo GMBH</w:t>
      </w:r>
    </w:p>
    <w:p>
      <w:pPr>
        <w:spacing w:after="0"/>
        <w:rPr>
          <w:sz w:val="20"/>
          <w:szCs w:val="20"/>
          <w:color w:val="auto"/>
        </w:rPr>
      </w:pPr>
      <w:r>
        <w:rPr>
          <w:rFonts w:ascii="Times New Roman" w:cs="Times New Roman" w:eastAsia="Times New Roman" w:hAnsi="Times New Roman"/>
          <w:sz w:val="8"/>
          <w:szCs w:val="8"/>
          <w:color w:val="auto"/>
        </w:rPr>
        <w:t>(3)(4)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First-lien loan ($1,329 par, due 1/2031)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($16,340 par, due 9/2030)</w:t>
      </w:r>
    </w:p>
    <w:p>
      <w:pPr>
        <w:spacing w:after="0" w:line="10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2"/>
          <w:szCs w:val="12"/>
          <w:color w:val="auto"/>
        </w:rPr>
        <w:t>First-lien loan (EUR 4,851 par, due 9/2030)</w:t>
      </w:r>
    </w:p>
    <w:p>
      <w:pPr>
        <w:ind w:right="200"/>
        <w:spacing w:after="0" w:line="250" w:lineRule="auto"/>
        <w:rPr>
          <w:sz w:val="20"/>
          <w:szCs w:val="20"/>
          <w:color w:val="auto"/>
        </w:rPr>
      </w:pPr>
      <w:r>
        <w:rPr>
          <w:rFonts w:ascii="Times New Roman" w:cs="Times New Roman" w:eastAsia="Times New Roman" w:hAnsi="Times New Roman"/>
          <w:sz w:val="12"/>
          <w:szCs w:val="12"/>
          <w:color w:val="auto"/>
        </w:rPr>
        <w:t>First-lien loan (GBP 16,640 par, due 9/2030)</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2"/>
          <w:szCs w:val="12"/>
          <w:color w:val="auto"/>
        </w:rPr>
        <w:t>First-lien loan (EUR 12,696 par, due 7/2031)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58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4"/>
              </w:rPr>
              <w:t>1/31/2024</w:t>
            </w:r>
          </w:p>
        </w:tc>
        <w:tc>
          <w:tcPr>
            <w:tcW w:w="1320" w:type="dxa"/>
            <w:vAlign w:val="bottom"/>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SOFR + 5.00%</w:t>
            </w:r>
          </w:p>
        </w:tc>
        <w:tc>
          <w:tcPr>
            <w:tcW w:w="1200" w:type="dxa"/>
            <w:vAlign w:val="bottom"/>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9.33%</w:t>
            </w:r>
          </w:p>
        </w:tc>
        <w:tc>
          <w:tcPr>
            <w:tcW w:w="1080" w:type="dxa"/>
            <w:vAlign w:val="bottom"/>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1,323</w:t>
            </w:r>
          </w:p>
        </w:tc>
        <w:tc>
          <w:tcPr>
            <w:tcW w:w="152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1,329</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r>
      <w:tr>
        <w:trPr>
          <w:trHeight w:val="155"/>
        </w:trPr>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9/7/2023</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SOFR + 5.66%</w:t>
            </w: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9.99%</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15,951</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16,503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41"/>
        </w:trPr>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9/7/2023</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 + 5.66%</w:t>
            </w: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8.35%</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5,071</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5,074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(EUR 4,900)</w:t>
            </w:r>
          </w:p>
        </w:tc>
        <w:tc>
          <w:tcPr>
            <w:tcW w:w="740" w:type="dxa"/>
            <w:vAlign w:val="bottom"/>
          </w:tcPr>
          <w:p>
            <w:pPr>
              <w:spacing w:after="0"/>
              <w:rPr>
                <w:sz w:val="12"/>
                <w:szCs w:val="12"/>
                <w:color w:val="auto"/>
              </w:rPr>
            </w:pPr>
          </w:p>
        </w:tc>
      </w:tr>
      <w:tr>
        <w:trPr>
          <w:trHeight w:val="144"/>
        </w:trPr>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9/7/2023</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 + 5.66%</w:t>
            </w: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10.36%</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20,115</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21,117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(GBP 16,861)</w:t>
            </w:r>
          </w:p>
        </w:tc>
        <w:tc>
          <w:tcPr>
            <w:tcW w:w="740" w:type="dxa"/>
            <w:vAlign w:val="bottom"/>
          </w:tcPr>
          <w:p>
            <w:pPr>
              <w:spacing w:after="0"/>
              <w:rPr>
                <w:sz w:val="12"/>
                <w:szCs w:val="12"/>
                <w:color w:val="auto"/>
              </w:rPr>
            </w:pPr>
          </w:p>
        </w:tc>
      </w:tr>
      <w:tr>
        <w:trPr>
          <w:trHeight w:val="144"/>
        </w:trPr>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4"/>
              </w:rPr>
              <w:t>7/11/2024</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 + 5.75%</w:t>
            </w: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9.42%</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13,681</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13,105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(EUR 12,656)</w:t>
            </w:r>
          </w:p>
        </w:tc>
        <w:tc>
          <w:tcPr>
            <w:tcW w:w="740" w:type="dxa"/>
            <w:vAlign w:val="bottom"/>
          </w:tcPr>
          <w:p>
            <w:pPr>
              <w:spacing w:after="0"/>
              <w:rPr>
                <w:sz w:val="12"/>
                <w:szCs w:val="12"/>
                <w:color w:val="auto"/>
              </w:rPr>
            </w:pPr>
          </w:p>
        </w:tc>
      </w:tr>
      <w:tr>
        <w:trPr>
          <w:trHeight w:val="155"/>
        </w:trPr>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119,888</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122,161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-799465</wp:posOffset>
            </wp:positionV>
            <wp:extent cx="6707505" cy="160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-456565</wp:posOffset>
            </wp:positionV>
            <wp:extent cx="6707505" cy="182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-90805</wp:posOffset>
            </wp:positionV>
            <wp:extent cx="6707505" cy="91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1580" w:space="120"/>
            <w:col w:w="1960" w:space="460"/>
            <w:col w:w="6440"/>
          </w:cols>
          <w:pgMar w:left="660" w:top="1333" w:right="680"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64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Office Products</w:t>
            </w: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USR Parent, Inc. </w:t>
            </w:r>
            <w:r>
              <w:rPr>
                <w:rFonts w:ascii="Times New Roman" w:cs="Times New Roman" w:eastAsia="Times New Roman" w:hAnsi="Times New Roman"/>
                <w:sz w:val="16"/>
                <w:szCs w:val="16"/>
                <w:color w:val="auto"/>
                <w:vertAlign w:val="superscript"/>
              </w:rPr>
              <w:t>(3)(5)</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ABL FILO term loan ($15,000 par, due</w:t>
            </w:r>
          </w:p>
        </w:tc>
        <w:tc>
          <w:tcPr>
            <w:tcW w:w="0" w:type="dxa"/>
            <w:vAlign w:val="bottom"/>
          </w:tcPr>
          <w:p>
            <w:pPr>
              <w:spacing w:after="0"/>
              <w:rPr>
                <w:sz w:val="1"/>
                <w:szCs w:val="1"/>
                <w:color w:val="auto"/>
              </w:rPr>
            </w:pPr>
          </w:p>
        </w:tc>
      </w:tr>
      <w:tr>
        <w:trPr>
          <w:trHeight w:val="155"/>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4/2027)</w:t>
            </w:r>
          </w:p>
        </w:tc>
        <w:tc>
          <w:tcPr>
            <w:tcW w:w="0" w:type="dxa"/>
            <w:vAlign w:val="bottom"/>
          </w:tcPr>
          <w:p>
            <w:pPr>
              <w:spacing w:after="0"/>
              <w:rPr>
                <w:sz w:val="1"/>
                <w:szCs w:val="1"/>
                <w:color w:val="auto"/>
              </w:rPr>
            </w:pPr>
          </w:p>
        </w:tc>
      </w:tr>
      <w:tr>
        <w:trPr>
          <w:trHeight w:val="129"/>
        </w:trPr>
        <w:tc>
          <w:tcPr>
            <w:tcW w:w="1640" w:type="dxa"/>
            <w:vAlign w:val="bottom"/>
            <w:vMerge w:val="continue"/>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Fuels</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($27,317 par, due 2/2027)</w:t>
            </w:r>
          </w:p>
        </w:tc>
        <w:tc>
          <w:tcPr>
            <w:tcW w:w="0" w:type="dxa"/>
            <w:vAlign w:val="bottom"/>
          </w:tcPr>
          <w:p>
            <w:pPr>
              <w:spacing w:after="0"/>
              <w:rPr>
                <w:sz w:val="1"/>
                <w:szCs w:val="1"/>
                <w:color w:val="auto"/>
              </w:rPr>
            </w:pPr>
          </w:p>
        </w:tc>
      </w:tr>
      <w:tr>
        <w:trPr>
          <w:trHeight w:val="144"/>
        </w:trPr>
        <w:tc>
          <w:tcPr>
            <w:tcW w:w="1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w w:val="99"/>
              </w:rPr>
              <w:t xml:space="preserve">Mach Natural Resources LP </w:t>
            </w:r>
            <w:r>
              <w:rPr>
                <w:rFonts w:ascii="Times New Roman" w:cs="Times New Roman" w:eastAsia="Times New Roman" w:hAnsi="Times New Roman"/>
                <w:sz w:val="16"/>
                <w:szCs w:val="16"/>
                <w:color w:val="auto"/>
                <w:w w:val="99"/>
                <w:vertAlign w:val="superscript"/>
              </w:rPr>
              <w:t>(3)(4)</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First-lien loan ($4,625 par, due 12/2026)</w:t>
            </w:r>
          </w:p>
        </w:tc>
        <w:tc>
          <w:tcPr>
            <w:tcW w:w="0" w:type="dxa"/>
            <w:vAlign w:val="bottom"/>
          </w:tcPr>
          <w:p>
            <w:pPr>
              <w:spacing w:after="0"/>
              <w:rPr>
                <w:sz w:val="1"/>
                <w:szCs w:val="1"/>
                <w:color w:val="auto"/>
              </w:rPr>
            </w:pPr>
          </w:p>
        </w:tc>
      </w:tr>
      <w:tr>
        <w:trPr>
          <w:trHeight w:val="21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(3)</w:t>
            </w:r>
          </w:p>
        </w:tc>
        <w:tc>
          <w:tcPr>
            <w:tcW w:w="20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First-lien loan ($54,834 par, due 12/2029)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4/25/2022</w:t>
            </w:r>
          </w:p>
        </w:tc>
        <w:tc>
          <w:tcPr>
            <w:tcW w:w="1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+ 6.50%</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11.05%</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14,781</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15,000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r>
      <w:tr>
        <w:trPr>
          <w:trHeight w:val="565"/>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2/21/2023</w:t>
            </w:r>
          </w:p>
        </w:tc>
        <w:tc>
          <w:tcPr>
            <w:tcW w:w="1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+ 7.10%</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11.46%</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27,025</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27,590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12/28/2023</w:t>
            </w:r>
          </w:p>
        </w:tc>
        <w:tc>
          <w:tcPr>
            <w:tcW w:w="1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+ 6.65%</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10.98%</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4,561</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4,660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12/20/2024</w:t>
            </w:r>
          </w:p>
        </w:tc>
        <w:tc>
          <w:tcPr>
            <w:tcW w:w="1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+ 7.00%</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11.33%</w:t>
            </w: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53,540</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54,834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5"/>
        </w:trPr>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85,126</w:t>
            </w: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87,084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-730885</wp:posOffset>
            </wp:positionV>
            <wp:extent cx="6707505" cy="182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-365125</wp:posOffset>
            </wp:positionV>
            <wp:extent cx="6707505" cy="91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-182245</wp:posOffset>
            </wp:positionV>
            <wp:extent cx="6707505" cy="914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720" w:space="340"/>
            <w:col w:w="6500"/>
          </w:cols>
          <w:pgMar w:left="660" w:top="1333" w:right="680" w:bottom="1440" w:gutter="0" w:footer="0" w:header="0"/>
          <w:type w:val="continuous"/>
        </w:sectPr>
      </w:pPr>
    </w:p>
    <w:p>
      <w:pPr>
        <w:spacing w:after="0" w:line="224" w:lineRule="auto"/>
        <w:rPr>
          <w:sz w:val="20"/>
          <w:szCs w:val="20"/>
          <w:color w:val="auto"/>
        </w:rPr>
      </w:pPr>
      <w:r>
        <w:rPr>
          <w:rFonts w:ascii="Times New Roman" w:cs="Times New Roman" w:eastAsia="Times New Roman" w:hAnsi="Times New Roman"/>
          <w:sz w:val="12"/>
          <w:szCs w:val="12"/>
          <w:b w:val="1"/>
          <w:bCs w:val="1"/>
          <w:color w:val="auto"/>
        </w:rPr>
        <w:t>Other</w:t>
      </w:r>
    </w:p>
    <w:p>
      <w:pPr>
        <w:spacing w:after="0" w:line="200" w:lineRule="auto"/>
        <w:rPr>
          <w:sz w:val="20"/>
          <w:szCs w:val="20"/>
          <w:color w:val="auto"/>
        </w:rPr>
      </w:pPr>
      <w:r>
        <w:rPr>
          <w:rFonts w:ascii="Times New Roman" w:cs="Times New Roman" w:eastAsia="Times New Roman" w:hAnsi="Times New Roman"/>
          <w:sz w:val="11"/>
          <w:szCs w:val="11"/>
          <w:color w:val="auto"/>
        </w:rPr>
        <w:t xml:space="preserve">Omnigo Software, LLC </w:t>
      </w:r>
      <w:r>
        <w:rPr>
          <w:rFonts w:ascii="Times New Roman" w:cs="Times New Roman" w:eastAsia="Times New Roman" w:hAnsi="Times New Roman"/>
          <w:sz w:val="15"/>
          <w:szCs w:val="15"/>
          <w:color w:val="auto"/>
          <w:vertAlign w:val="superscript"/>
        </w:rPr>
        <w:t>(3)(5)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Scorpio Bidco </w:t>
      </w:r>
      <w:r>
        <w:rPr>
          <w:rFonts w:ascii="Times New Roman" w:cs="Times New Roman" w:eastAsia="Times New Roman" w:hAnsi="Times New Roman"/>
          <w:sz w:val="16"/>
          <w:szCs w:val="16"/>
          <w:color w:val="auto"/>
          <w:vertAlign w:val="superscript"/>
        </w:rPr>
        <w:t>(3)(4)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Sky Bidco S.p.A. </w:t>
      </w:r>
      <w:r>
        <w:rPr>
          <w:rFonts w:ascii="Times New Roman" w:cs="Times New Roman" w:eastAsia="Times New Roman" w:hAnsi="Times New Roman"/>
          <w:sz w:val="16"/>
          <w:szCs w:val="16"/>
          <w:color w:val="auto"/>
          <w:vertAlign w:val="superscript"/>
        </w:rPr>
        <w:t>(3)(4)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First-lien loan ($39,533 par, due 3/2027) First-lien loan (EUR 2,511 par, due 4/2031)</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2"/>
          <w:szCs w:val="12"/>
          <w:color w:val="auto"/>
        </w:rPr>
        <w:t>First-lien note (EUR 6,368 par, due 10/2031)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First-lien note ($14,085 par, due 10/2031)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3/31/2021</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SOFR + 5.50%</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9.86%</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39,244</w:t>
            </w: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39,533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4/4/2024</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 + 5.75%</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8.43%</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2,671</w:t>
            </w: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2,584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(EUR 2,496)</w:t>
            </w:r>
          </w:p>
        </w:tc>
        <w:tc>
          <w:tcPr>
            <w:tcW w:w="740" w:type="dxa"/>
            <w:vAlign w:val="bottom"/>
          </w:tcPr>
          <w:p>
            <w:pPr>
              <w:spacing w:after="0"/>
              <w:rPr>
                <w:sz w:val="12"/>
                <w:szCs w:val="12"/>
                <w:color w:val="auto"/>
              </w:rPr>
            </w:pP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10/29/2024</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 + 5.25%</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8.20%</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6,671</w:t>
            </w: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6,415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(EUR 6,195)</w:t>
            </w:r>
          </w:p>
        </w:tc>
        <w:tc>
          <w:tcPr>
            <w:tcW w:w="740" w:type="dxa"/>
            <w:vAlign w:val="bottom"/>
          </w:tcPr>
          <w:p>
            <w:pPr>
              <w:spacing w:after="0"/>
              <w:rPr>
                <w:sz w:val="12"/>
                <w:szCs w:val="12"/>
                <w:color w:val="auto"/>
              </w:rPr>
            </w:pP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10/29/2024</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SOFR + 5.25%</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10.51%</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13,810</w:t>
            </w: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13,838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55"/>
        </w:trPr>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62,396</w:t>
            </w: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62,370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-730885</wp:posOffset>
            </wp:positionV>
            <wp:extent cx="6707505" cy="91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-548005</wp:posOffset>
            </wp:positionV>
            <wp:extent cx="6707505" cy="182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-182245</wp:posOffset>
            </wp:positionV>
            <wp:extent cx="6707505" cy="914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1380" w:space="320"/>
            <w:col w:w="2020" w:space="340"/>
            <w:col w:w="6500"/>
          </w:cols>
          <w:pgMar w:left="660" w:top="1333" w:right="680"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66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Pharmaceuticals</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5"/>
                <w:szCs w:val="15"/>
                <w:color w:val="auto"/>
                <w:vertAlign w:val="superscript"/>
              </w:rPr>
              <w:t>(3)</w:t>
            </w:r>
          </w:p>
        </w:tc>
        <w:tc>
          <w:tcPr>
            <w:tcW w:w="2060" w:type="dxa"/>
            <w:vAlign w:val="bottom"/>
          </w:tcPr>
          <w:p>
            <w:pPr>
              <w:ind w:left="40"/>
              <w:spacing w:after="0" w:line="131" w:lineRule="exact"/>
              <w:rPr>
                <w:sz w:val="20"/>
                <w:szCs w:val="20"/>
                <w:color w:val="auto"/>
              </w:rPr>
            </w:pPr>
            <w:r>
              <w:rPr>
                <w:rFonts w:ascii="Times New Roman" w:cs="Times New Roman" w:eastAsia="Times New Roman" w:hAnsi="Times New Roman"/>
                <w:sz w:val="12"/>
                <w:szCs w:val="12"/>
                <w:color w:val="auto"/>
              </w:rPr>
              <w:t>First-lien loan ($19,737 par, due 5/2030)</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Arrowhead Pharmaceuticals, Inc.</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($33,059 par, due 8/2031)</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Elysium BidCo Limited </w:t>
            </w:r>
            <w:r>
              <w:rPr>
                <w:rFonts w:ascii="Times New Roman" w:cs="Times New Roman" w:eastAsia="Times New Roman" w:hAnsi="Times New Roman"/>
                <w:sz w:val="16"/>
                <w:szCs w:val="16"/>
                <w:color w:val="auto"/>
                <w:vertAlign w:val="superscript"/>
              </w:rPr>
              <w:t>(3)(4)</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(EUR 17,985 par, due</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12/2030)</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(GBP 9,953 par, due</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6/2030)</w:t>
            </w:r>
          </w:p>
        </w:tc>
        <w:tc>
          <w:tcPr>
            <w:tcW w:w="0" w:type="dxa"/>
            <w:vAlign w:val="bottom"/>
          </w:tcPr>
          <w:p>
            <w:pPr>
              <w:spacing w:after="0"/>
              <w:rPr>
                <w:sz w:val="1"/>
                <w:szCs w:val="1"/>
                <w:color w:val="auto"/>
              </w:rPr>
            </w:pPr>
          </w:p>
        </w:tc>
      </w:tr>
      <w:tr>
        <w:trPr>
          <w:trHeight w:val="265"/>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Cirrus (BidCo) Limited </w:t>
            </w:r>
            <w:r>
              <w:rPr>
                <w:rFonts w:ascii="Times New Roman" w:cs="Times New Roman" w:eastAsia="Times New Roman" w:hAnsi="Times New Roman"/>
                <w:sz w:val="16"/>
                <w:szCs w:val="16"/>
                <w:color w:val="auto"/>
                <w:vertAlign w:val="superscript"/>
              </w:rPr>
              <w:t>(3)(4)(5)</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First-lien loan (GBP 675 par, due 8/2030)</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Acosta </w:t>
            </w:r>
            <w:r>
              <w:rPr>
                <w:rFonts w:ascii="Times New Roman" w:cs="Times New Roman" w:eastAsia="Times New Roman" w:hAnsi="Times New Roman"/>
                <w:sz w:val="16"/>
                <w:szCs w:val="16"/>
                <w:color w:val="auto"/>
                <w:vertAlign w:val="superscript"/>
              </w:rPr>
              <w:t>(3)(9)</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($10,000 par, due 8/2031)</w:t>
            </w:r>
          </w:p>
        </w:tc>
        <w:tc>
          <w:tcPr>
            <w:tcW w:w="0" w:type="dxa"/>
            <w:vAlign w:val="bottom"/>
          </w:tcPr>
          <w:p>
            <w:pPr>
              <w:spacing w:after="0"/>
              <w:rPr>
                <w:sz w:val="1"/>
                <w:szCs w:val="1"/>
                <w:color w:val="auto"/>
              </w:rPr>
            </w:pPr>
          </w:p>
        </w:tc>
      </w:tr>
      <w:tr>
        <w:trPr>
          <w:trHeight w:val="131"/>
        </w:trPr>
        <w:tc>
          <w:tcPr>
            <w:tcW w:w="1660" w:type="dxa"/>
            <w:vAlign w:val="bottom"/>
          </w:tcPr>
          <w:p>
            <w:pPr>
              <w:spacing w:after="0" w:line="131"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5"/>
                <w:szCs w:val="15"/>
                <w:color w:val="auto"/>
                <w:vertAlign w:val="superscript"/>
              </w:rPr>
              <w:t>(3)</w:t>
            </w:r>
          </w:p>
        </w:tc>
        <w:tc>
          <w:tcPr>
            <w:tcW w:w="2060" w:type="dxa"/>
            <w:vAlign w:val="bottom"/>
          </w:tcPr>
          <w:p>
            <w:pPr>
              <w:ind w:left="40"/>
              <w:spacing w:after="0" w:line="131" w:lineRule="exact"/>
              <w:rPr>
                <w:sz w:val="20"/>
                <w:szCs w:val="20"/>
                <w:color w:val="auto"/>
              </w:rPr>
            </w:pPr>
            <w:r>
              <w:rPr>
                <w:rFonts w:ascii="Times New Roman" w:cs="Times New Roman" w:eastAsia="Times New Roman" w:hAnsi="Times New Roman"/>
                <w:sz w:val="12"/>
                <w:szCs w:val="12"/>
                <w:color w:val="auto"/>
              </w:rPr>
              <w:t>First-lien loan ($26,864 par, due 9/2026)</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20"/>
                <w:szCs w:val="20"/>
                <w:color w:val="auto"/>
              </w:rPr>
            </w:pPr>
            <w:r>
              <w:rPr>
                <w:rFonts w:ascii="Times New Roman" w:cs="Times New Roman" w:eastAsia="Times New Roman" w:hAnsi="Times New Roman"/>
                <w:sz w:val="8"/>
                <w:szCs w:val="8"/>
                <w:color w:val="auto"/>
              </w:rPr>
              <w:t>(14)</w:t>
            </w: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($1,341 par, due 9/2026)</w:t>
            </w:r>
          </w:p>
        </w:tc>
        <w:tc>
          <w:tcPr>
            <w:tcW w:w="0" w:type="dxa"/>
            <w:vAlign w:val="bottom"/>
          </w:tcPr>
          <w:p>
            <w:pPr>
              <w:spacing w:after="0"/>
              <w:rPr>
                <w:sz w:val="1"/>
                <w:szCs w:val="1"/>
                <w:color w:val="auto"/>
              </w:rPr>
            </w:pPr>
          </w:p>
        </w:tc>
      </w:tr>
      <w:tr>
        <w:trPr>
          <w:trHeight w:val="277"/>
        </w:trPr>
        <w:tc>
          <w:tcPr>
            <w:tcW w:w="166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Subordinated note ($4,740 par, due</w:t>
            </w:r>
          </w:p>
        </w:tc>
        <w:tc>
          <w:tcPr>
            <w:tcW w:w="0" w:type="dxa"/>
            <w:vAlign w:val="bottom"/>
          </w:tcPr>
          <w:p>
            <w:pPr>
              <w:spacing w:after="0"/>
              <w:rPr>
                <w:sz w:val="1"/>
                <w:szCs w:val="1"/>
                <w:color w:val="auto"/>
              </w:rPr>
            </w:pPr>
          </w:p>
        </w:tc>
      </w:tr>
      <w:tr>
        <w:trPr>
          <w:trHeight w:val="144"/>
        </w:trPr>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Bed Bath and Beyond Inc. </w:t>
            </w:r>
            <w:r>
              <w:rPr>
                <w:rFonts w:ascii="Times New Roman" w:cs="Times New Roman" w:eastAsia="Times New Roman" w:hAnsi="Times New Roman"/>
                <w:sz w:val="16"/>
                <w:szCs w:val="16"/>
                <w:color w:val="auto"/>
                <w:vertAlign w:val="superscript"/>
              </w:rPr>
              <w:t>(3)(15)</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9/2026)</w:t>
            </w:r>
          </w:p>
        </w:tc>
        <w:tc>
          <w:tcPr>
            <w:tcW w:w="0" w:type="dxa"/>
            <w:vAlign w:val="bottom"/>
          </w:tcPr>
          <w:p>
            <w:pPr>
              <w:spacing w:after="0"/>
              <w:rPr>
                <w:sz w:val="1"/>
                <w:szCs w:val="1"/>
                <w:color w:val="auto"/>
              </w:rPr>
            </w:pPr>
          </w:p>
        </w:tc>
      </w:tr>
      <w:tr>
        <w:trPr>
          <w:trHeight w:val="144"/>
        </w:trPr>
        <w:tc>
          <w:tcPr>
            <w:tcW w:w="1660" w:type="dxa"/>
            <w:vAlign w:val="bottom"/>
            <w:vMerge w:val="continue"/>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ABL FILO term loan ($8,994 par, due</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8/2027)</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Roll Up DIP term loan ($24,924 par)</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Super-Priority DIP term loan</w:t>
            </w:r>
          </w:p>
        </w:tc>
        <w:tc>
          <w:tcPr>
            <w:tcW w:w="0" w:type="dxa"/>
            <w:vAlign w:val="bottom"/>
          </w:tcPr>
          <w:p>
            <w:pPr>
              <w:spacing w:after="0"/>
              <w:rPr>
                <w:sz w:val="1"/>
                <w:szCs w:val="1"/>
                <w:color w:val="auto"/>
              </w:rPr>
            </w:pPr>
          </w:p>
        </w:tc>
      </w:tr>
      <w:tr>
        <w:trPr>
          <w:trHeight w:val="144"/>
        </w:trPr>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Belk, Inc. </w:t>
            </w:r>
            <w:r>
              <w:rPr>
                <w:rFonts w:ascii="Times New Roman" w:cs="Times New Roman" w:eastAsia="Times New Roman" w:hAnsi="Times New Roman"/>
                <w:sz w:val="16"/>
                <w:szCs w:val="16"/>
                <w:color w:val="auto"/>
                <w:vertAlign w:val="superscript"/>
              </w:rPr>
              <w:t>(3)</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($3,988 par)</w:t>
            </w:r>
          </w:p>
        </w:tc>
        <w:tc>
          <w:tcPr>
            <w:tcW w:w="0" w:type="dxa"/>
            <w:vAlign w:val="bottom"/>
          </w:tcPr>
          <w:p>
            <w:pPr>
              <w:spacing w:after="0"/>
              <w:rPr>
                <w:sz w:val="1"/>
                <w:szCs w:val="1"/>
                <w:color w:val="auto"/>
              </w:rPr>
            </w:pPr>
          </w:p>
        </w:tc>
      </w:tr>
      <w:tr>
        <w:trPr>
          <w:trHeight w:val="132"/>
        </w:trPr>
        <w:tc>
          <w:tcPr>
            <w:tcW w:w="1660" w:type="dxa"/>
            <w:vAlign w:val="bottom"/>
            <w:vMerge w:val="continue"/>
          </w:tcPr>
          <w:p>
            <w:pPr>
              <w:spacing w:after="0"/>
              <w:rPr>
                <w:sz w:val="11"/>
                <w:szCs w:val="11"/>
                <w:color w:val="auto"/>
              </w:rPr>
            </w:pPr>
          </w:p>
        </w:tc>
        <w:tc>
          <w:tcPr>
            <w:tcW w:w="2060" w:type="dxa"/>
            <w:vAlign w:val="bottom"/>
          </w:tcPr>
          <w:p>
            <w:pPr>
              <w:ind w:left="40"/>
              <w:spacing w:after="0" w:line="132" w:lineRule="exact"/>
              <w:rPr>
                <w:sz w:val="20"/>
                <w:szCs w:val="20"/>
                <w:color w:val="auto"/>
              </w:rPr>
            </w:pPr>
            <w:r>
              <w:rPr>
                <w:rFonts w:ascii="Times New Roman" w:cs="Times New Roman" w:eastAsia="Times New Roman" w:hAnsi="Times New Roman"/>
                <w:sz w:val="12"/>
                <w:szCs w:val="12"/>
                <w:color w:val="auto"/>
              </w:rPr>
              <w:t>First-lien loan ($49,375 par, due 7/2029)</w:t>
            </w:r>
          </w:p>
        </w:tc>
        <w:tc>
          <w:tcPr>
            <w:tcW w:w="0" w:type="dxa"/>
            <w:vAlign w:val="bottom"/>
          </w:tcPr>
          <w:p>
            <w:pPr>
              <w:spacing w:after="0"/>
              <w:rPr>
                <w:sz w:val="1"/>
                <w:szCs w:val="1"/>
                <w:color w:val="auto"/>
              </w:rPr>
            </w:pPr>
          </w:p>
        </w:tc>
      </w:tr>
      <w:tr>
        <w:trPr>
          <w:trHeight w:val="144"/>
        </w:trPr>
        <w:tc>
          <w:tcPr>
            <w:tcW w:w="1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Cordance Operations, LLC </w:t>
            </w:r>
            <w:r>
              <w:rPr>
                <w:rFonts w:ascii="Times New Roman" w:cs="Times New Roman" w:eastAsia="Times New Roman" w:hAnsi="Times New Roman"/>
                <w:sz w:val="16"/>
                <w:szCs w:val="16"/>
                <w:color w:val="auto"/>
                <w:vertAlign w:val="superscript"/>
              </w:rPr>
              <w:t>(3)</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($60,781 par, due 7/2028)</w:t>
            </w:r>
          </w:p>
        </w:tc>
        <w:tc>
          <w:tcPr>
            <w:tcW w:w="0" w:type="dxa"/>
            <w:vAlign w:val="bottom"/>
          </w:tcPr>
          <w:p>
            <w:pPr>
              <w:spacing w:after="0"/>
              <w:rPr>
                <w:sz w:val="1"/>
                <w:szCs w:val="1"/>
                <w:color w:val="auto"/>
              </w:rPr>
            </w:pPr>
          </w:p>
        </w:tc>
      </w:tr>
      <w:tr>
        <w:trPr>
          <w:trHeight w:val="144"/>
        </w:trPr>
        <w:tc>
          <w:tcPr>
            <w:tcW w:w="1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(3)(5)</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First-lien loan ($55,038 par, due 12/2026)</w:t>
            </w:r>
          </w:p>
        </w:tc>
        <w:tc>
          <w:tcPr>
            <w:tcW w:w="0" w:type="dxa"/>
            <w:vAlign w:val="bottom"/>
          </w:tcPr>
          <w:p>
            <w:pPr>
              <w:spacing w:after="0"/>
              <w:rPr>
                <w:sz w:val="1"/>
                <w:szCs w:val="1"/>
                <w:color w:val="auto"/>
              </w:rPr>
            </w:pPr>
          </w:p>
        </w:tc>
      </w:tr>
      <w:tr>
        <w:trPr>
          <w:trHeight w:val="165"/>
        </w:trPr>
        <w:tc>
          <w:tcPr>
            <w:tcW w:w="1660" w:type="dxa"/>
            <w:vAlign w:val="bottom"/>
          </w:tcPr>
          <w:p>
            <w:pPr>
              <w:spacing w:after="0" w:line="165" w:lineRule="exact"/>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6"/>
                <w:szCs w:val="16"/>
                <w:color w:val="auto"/>
                <w:vertAlign w:val="superscript"/>
              </w:rPr>
              <w:t>(3)</w:t>
            </w:r>
          </w:p>
        </w:tc>
        <w:tc>
          <w:tcPr>
            <w:tcW w:w="20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First-lien loan ($18,133 par, due 2/2031)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+ 5.75%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10.08%</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19,737</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19,924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52"/>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15.00%</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32,758</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44,133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241"/>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12/11/2024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E + 7.25%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10.07%</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18,396</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18,204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(EUR 17,580)</w:t>
            </w:r>
          </w:p>
        </w:tc>
        <w:tc>
          <w:tcPr>
            <w:tcW w:w="740" w:type="dxa"/>
            <w:vAlign w:val="bottom"/>
          </w:tcPr>
          <w:p>
            <w:pPr>
              <w:spacing w:after="0"/>
              <w:rPr>
                <w:sz w:val="12"/>
                <w:szCs w:val="12"/>
                <w:color w:val="auto"/>
              </w:rPr>
            </w:pPr>
          </w:p>
        </w:tc>
      </w:tr>
      <w:tr>
        <w:trPr>
          <w:trHeight w:val="144"/>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12/11/2024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 + 7.25%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11.95%</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12,367</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12,129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r>
      <w:tr>
        <w:trPr>
          <w:trHeight w:val="144"/>
        </w:trPr>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(GBP 9,684)</w:t>
            </w:r>
          </w:p>
        </w:tc>
        <w:tc>
          <w:tcPr>
            <w:tcW w:w="7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83,258</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94,390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77"/>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 + 6.25%</w:t>
            </w: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10.95% (incl. 3.00%</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836</w:t>
            </w: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836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5"/>
        </w:trPr>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PIK)</w:t>
            </w:r>
          </w:p>
        </w:tc>
        <w:tc>
          <w:tcPr>
            <w:tcW w:w="1040" w:type="dxa"/>
            <w:vAlign w:val="bottom"/>
          </w:tcPr>
          <w:p>
            <w:pPr>
              <w:spacing w:after="0"/>
              <w:rPr>
                <w:sz w:val="13"/>
                <w:szCs w:val="13"/>
                <w:color w:val="auto"/>
              </w:rPr>
            </w:pP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(GBP 667)</w:t>
            </w:r>
          </w:p>
        </w:tc>
        <w:tc>
          <w:tcPr>
            <w:tcW w:w="740" w:type="dxa"/>
            <w:vAlign w:val="bottom"/>
          </w:tcPr>
          <w:p>
            <w:pPr>
              <w:spacing w:after="0"/>
              <w:rPr>
                <w:sz w:val="13"/>
                <w:szCs w:val="13"/>
                <w:color w:val="auto"/>
              </w:rPr>
            </w:pPr>
          </w:p>
        </w:tc>
      </w:tr>
      <w:tr>
        <w:trPr>
          <w:trHeight w:val="277"/>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+ 5.60%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10.12%</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9,806</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9,925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4"/>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9/30/2015</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+ 7.35%</w:t>
            </w: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11.90% (incl. 11.40%</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26,042</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20,551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PIK)</w:t>
            </w:r>
          </w:p>
        </w:tc>
        <w:tc>
          <w:tcPr>
            <w:tcW w:w="1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+ 15.10%</w:t>
            </w: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19.65% (incl. 19.15%</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1,341</w:t>
            </w: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101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PIK)</w:t>
            </w:r>
          </w:p>
        </w:tc>
        <w:tc>
          <w:tcPr>
            <w:tcW w:w="1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+ 1.15%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5.74%</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545</w:t>
            </w:r>
          </w:p>
        </w:tc>
        <w:tc>
          <w:tcPr>
            <w:tcW w:w="15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288"/>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9/2/2022</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+ 9.90%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14.26%</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8,856</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8,229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277"/>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+ 7.90%</w:t>
            </w:r>
          </w:p>
        </w:tc>
        <w:tc>
          <w:tcPr>
            <w:tcW w:w="15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12.26% PIK</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24,924</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22,806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5"/>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+ 7.90%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12.26%</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3,988</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3,649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277"/>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+ 7.00%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11.51%</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48,637</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49,005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7/25/2022</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+ 9.25%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13.51%</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59,808</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61,428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12/20/2021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+ 6.85%</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11.21%</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54,520</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55,176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3"/>
        </w:trPr>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10.09%</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17,854</w:t>
            </w:r>
          </w:p>
        </w:tc>
        <w:tc>
          <w:tcPr>
            <w:tcW w:w="15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18,241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-2696210</wp:posOffset>
            </wp:positionV>
            <wp:extent cx="6707505" cy="9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-2444750</wp:posOffset>
            </wp:positionV>
            <wp:extent cx="6707505" cy="160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-2101850</wp:posOffset>
            </wp:positionV>
            <wp:extent cx="6707505" cy="182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-1827530</wp:posOffset>
            </wp:positionV>
            <wp:extent cx="6707505" cy="91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-1553210</wp:posOffset>
            </wp:positionV>
            <wp:extent cx="6707505" cy="91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-1370330</wp:posOffset>
            </wp:positionV>
            <wp:extent cx="6707505" cy="182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-1003935</wp:posOffset>
            </wp:positionV>
            <wp:extent cx="6707505" cy="182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-638175</wp:posOffset>
            </wp:positionV>
            <wp:extent cx="6707505" cy="914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-363855</wp:posOffset>
            </wp:positionV>
            <wp:extent cx="6707505" cy="91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-180975</wp:posOffset>
            </wp:positionV>
            <wp:extent cx="6707505" cy="91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720" w:space="340"/>
            <w:col w:w="6500"/>
          </w:cols>
          <w:pgMar w:left="660" w:top="1333" w:right="680"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15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2"/>
                <w:szCs w:val="12"/>
                <w:color w:val="auto"/>
              </w:rPr>
              <w:t>Rapid Data GmbH</w:t>
            </w:r>
          </w:p>
        </w:tc>
        <w:tc>
          <w:tcPr>
            <w:tcW w:w="2240" w:type="dxa"/>
            <w:vAlign w:val="bottom"/>
            <w:shd w:val="clear" w:color="auto" w:fill="CFF0FC"/>
          </w:tcPr>
          <w:p>
            <w:pPr>
              <w:ind w:left="180"/>
              <w:spacing w:after="0" w:line="124" w:lineRule="exact"/>
              <w:rPr>
                <w:sz w:val="20"/>
                <w:szCs w:val="20"/>
                <w:color w:val="auto"/>
              </w:rPr>
            </w:pPr>
            <w:r>
              <w:rPr>
                <w:rFonts w:ascii="Times New Roman" w:cs="Times New Roman" w:eastAsia="Times New Roman" w:hAnsi="Times New Roman"/>
                <w:sz w:val="12"/>
                <w:szCs w:val="12"/>
                <w:color w:val="auto"/>
              </w:rPr>
              <w:t>First-lien loan (EUR 7,378 par, due</w:t>
            </w:r>
          </w:p>
        </w:tc>
        <w:tc>
          <w:tcPr>
            <w:tcW w:w="1060" w:type="dxa"/>
            <w:vAlign w:val="bottom"/>
            <w:shd w:val="clear" w:color="auto" w:fill="CFF0FC"/>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7/11/2023</w:t>
            </w:r>
          </w:p>
        </w:tc>
        <w:tc>
          <w:tcPr>
            <w:tcW w:w="880" w:type="dxa"/>
            <w:vAlign w:val="bottom"/>
            <w:shd w:val="clear" w:color="auto" w:fill="CFF0FC"/>
          </w:tcPr>
          <w:p>
            <w:pPr>
              <w:ind w:left="200"/>
              <w:spacing w:after="0" w:line="124" w:lineRule="exact"/>
              <w:rPr>
                <w:sz w:val="20"/>
                <w:szCs w:val="20"/>
                <w:color w:val="auto"/>
              </w:rPr>
            </w:pPr>
            <w:r>
              <w:rPr>
                <w:rFonts w:ascii="Times New Roman" w:cs="Times New Roman" w:eastAsia="Times New Roman" w:hAnsi="Times New Roman"/>
                <w:sz w:val="12"/>
                <w:szCs w:val="12"/>
                <w:color w:val="auto"/>
              </w:rPr>
              <w:t>E + 6.25%</w:t>
            </w:r>
          </w:p>
        </w:tc>
        <w:tc>
          <w:tcPr>
            <w:tcW w:w="1540" w:type="dxa"/>
            <w:vAlign w:val="bottom"/>
            <w:shd w:val="clear" w:color="auto" w:fill="CFF0FC"/>
          </w:tcPr>
          <w:p>
            <w:pPr>
              <w:jc w:val="right"/>
              <w:ind w:right="380"/>
              <w:spacing w:after="0" w:line="124" w:lineRule="exact"/>
              <w:rPr>
                <w:sz w:val="20"/>
                <w:szCs w:val="20"/>
                <w:color w:val="auto"/>
              </w:rPr>
            </w:pPr>
            <w:r>
              <w:rPr>
                <w:rFonts w:ascii="Times New Roman" w:cs="Times New Roman" w:eastAsia="Times New Roman" w:hAnsi="Times New Roman"/>
                <w:sz w:val="12"/>
                <w:szCs w:val="12"/>
                <w:color w:val="auto"/>
              </w:rPr>
              <w:t>9.47% (incl. 3.00%</w:t>
            </w:r>
          </w:p>
        </w:tc>
        <w:tc>
          <w:tcPr>
            <w:tcW w:w="1100" w:type="dxa"/>
            <w:vAlign w:val="bottom"/>
            <w:shd w:val="clear" w:color="auto" w:fill="CFF0FC"/>
          </w:tcPr>
          <w:p>
            <w:pPr>
              <w:jc w:val="right"/>
              <w:ind w:right="320"/>
              <w:spacing w:after="0" w:line="124" w:lineRule="exact"/>
              <w:rPr>
                <w:sz w:val="20"/>
                <w:szCs w:val="20"/>
                <w:color w:val="auto"/>
              </w:rPr>
            </w:pPr>
            <w:r>
              <w:rPr>
                <w:rFonts w:ascii="Times New Roman" w:cs="Times New Roman" w:eastAsia="Times New Roman" w:hAnsi="Times New Roman"/>
                <w:sz w:val="12"/>
                <w:szCs w:val="12"/>
                <w:color w:val="auto"/>
              </w:rPr>
              <w:t>7,885</w:t>
            </w:r>
          </w:p>
        </w:tc>
        <w:tc>
          <w:tcPr>
            <w:tcW w:w="1480" w:type="dxa"/>
            <w:vAlign w:val="bottom"/>
            <w:shd w:val="clear" w:color="auto" w:fill="CFF0FC"/>
          </w:tcPr>
          <w:p>
            <w:pPr>
              <w:jc w:val="right"/>
              <w:ind w:right="440"/>
              <w:spacing w:after="0" w:line="124" w:lineRule="exact"/>
              <w:rPr>
                <w:sz w:val="20"/>
                <w:szCs w:val="20"/>
                <w:color w:val="auto"/>
              </w:rPr>
            </w:pPr>
            <w:r>
              <w:rPr>
                <w:rFonts w:ascii="Times New Roman" w:cs="Times New Roman" w:eastAsia="Times New Roman" w:hAnsi="Times New Roman"/>
                <w:sz w:val="12"/>
                <w:szCs w:val="12"/>
                <w:color w:val="auto"/>
              </w:rPr>
              <w:t>7,685</w:t>
            </w:r>
          </w:p>
        </w:tc>
        <w:tc>
          <w:tcPr>
            <w:tcW w:w="7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0.5%</w:t>
            </w:r>
          </w:p>
        </w:tc>
      </w:tr>
      <w:tr>
        <w:trPr>
          <w:trHeight w:val="167"/>
        </w:trPr>
        <w:tc>
          <w:tcPr>
            <w:tcW w:w="15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Unternehmensberatung </w:t>
            </w:r>
            <w:r>
              <w:rPr>
                <w:rFonts w:ascii="Times New Roman" w:cs="Times New Roman" w:eastAsia="Times New Roman" w:hAnsi="Times New Roman"/>
                <w:sz w:val="16"/>
                <w:szCs w:val="16"/>
                <w:color w:val="auto"/>
                <w:vertAlign w:val="superscript"/>
              </w:rPr>
              <w:t>(3)(4)</w:t>
            </w:r>
          </w:p>
        </w:tc>
        <w:tc>
          <w:tcPr>
            <w:tcW w:w="2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7/2029)</w:t>
            </w:r>
          </w:p>
        </w:tc>
        <w:tc>
          <w:tcPr>
            <w:tcW w:w="10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2"/>
                <w:szCs w:val="12"/>
                <w:color w:val="auto"/>
              </w:rPr>
              <w:t>PIK)</w:t>
            </w: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(EUR 7,422)</w:t>
            </w:r>
          </w:p>
        </w:tc>
        <w:tc>
          <w:tcPr>
            <w:tcW w:w="740" w:type="dxa"/>
            <w:vAlign w:val="bottom"/>
            <w:shd w:val="clear" w:color="auto" w:fill="CFF0FC"/>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3" w:right="68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Tango Management Consulting,</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First-lien loan ($69,218 par, due</w:t>
            </w:r>
          </w:p>
        </w:tc>
        <w:tc>
          <w:tcPr>
            <w:tcW w:w="0" w:type="dxa"/>
            <w:vAlign w:val="bottom"/>
          </w:tcPr>
          <w:p>
            <w:pPr>
              <w:spacing w:after="0"/>
              <w:rPr>
                <w:sz w:val="1"/>
                <w:szCs w:val="1"/>
                <w:color w:val="auto"/>
              </w:rPr>
            </w:pPr>
          </w:p>
        </w:tc>
      </w:tr>
      <w:tr>
        <w:trPr>
          <w:trHeight w:val="156"/>
        </w:trPr>
        <w:tc>
          <w:tcPr>
            <w:tcW w:w="16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12/2027)</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First-lien revolving loan ($2,454 par, due</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12/2027)</w:t>
            </w:r>
          </w:p>
        </w:tc>
        <w:tc>
          <w:tcPr>
            <w:tcW w:w="0" w:type="dxa"/>
            <w:vAlign w:val="bottom"/>
          </w:tcPr>
          <w:p>
            <w:pPr>
              <w:spacing w:after="0"/>
              <w:rPr>
                <w:sz w:val="1"/>
                <w:szCs w:val="1"/>
                <w:color w:val="auto"/>
              </w:rPr>
            </w:pPr>
          </w:p>
        </w:tc>
      </w:tr>
      <w:tr>
        <w:trPr>
          <w:trHeight w:val="265"/>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Transportation</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6"/>
                <w:szCs w:val="16"/>
                <w:color w:val="auto"/>
                <w:vertAlign w:val="superscript"/>
              </w:rPr>
              <w:t>(3)(4)</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First-lien loan ($3,635 par, due 3/2028)</w:t>
            </w:r>
          </w:p>
        </w:tc>
        <w:tc>
          <w:tcPr>
            <w:tcW w:w="0" w:type="dxa"/>
            <w:vAlign w:val="bottom"/>
          </w:tcPr>
          <w:p>
            <w:pPr>
              <w:spacing w:after="0"/>
              <w:rPr>
                <w:sz w:val="1"/>
                <w:szCs w:val="1"/>
                <w:color w:val="auto"/>
              </w:rPr>
            </w:pPr>
          </w:p>
        </w:tc>
      </w:tr>
      <w:tr>
        <w:trPr>
          <w:trHeight w:val="156"/>
        </w:trPr>
        <w:tc>
          <w:tcPr>
            <w:tcW w:w="162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Marcura Equities LTD </w:t>
            </w:r>
            <w:r>
              <w:rPr>
                <w:rFonts w:ascii="Times New Roman" w:cs="Times New Roman" w:eastAsia="Times New Roman" w:hAnsi="Times New Roman"/>
                <w:sz w:val="16"/>
                <w:szCs w:val="16"/>
                <w:color w:val="auto"/>
                <w:vertAlign w:val="superscript"/>
              </w:rPr>
              <w:t>(3)(4)</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First-lien loan ($33,874 par, due 8/2029)</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First-lien revolving loan ($2,333 par, due</w:t>
            </w:r>
          </w:p>
        </w:tc>
        <w:tc>
          <w:tcPr>
            <w:tcW w:w="0" w:type="dxa"/>
            <w:vAlign w:val="bottom"/>
          </w:tcPr>
          <w:p>
            <w:pPr>
              <w:spacing w:after="0"/>
              <w:rPr>
                <w:sz w:val="1"/>
                <w:szCs w:val="1"/>
                <w:color w:val="auto"/>
              </w:rPr>
            </w:pPr>
          </w:p>
        </w:tc>
      </w:tr>
      <w:tr>
        <w:trPr>
          <w:trHeight w:val="144"/>
        </w:trPr>
        <w:tc>
          <w:tcPr>
            <w:tcW w:w="1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Project44, Inc. </w:t>
            </w:r>
            <w:r>
              <w:rPr>
                <w:rFonts w:ascii="Times New Roman" w:cs="Times New Roman" w:eastAsia="Times New Roman" w:hAnsi="Times New Roman"/>
                <w:sz w:val="16"/>
                <w:szCs w:val="16"/>
                <w:color w:val="auto"/>
                <w:vertAlign w:val="superscript"/>
              </w:rPr>
              <w:t>(3)(5)</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8/2029)</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First-lien loan ($54,824 par, due</w:t>
            </w:r>
          </w:p>
        </w:tc>
        <w:tc>
          <w:tcPr>
            <w:tcW w:w="0" w:type="dxa"/>
            <w:vAlign w:val="bottom"/>
          </w:tcPr>
          <w:p>
            <w:pPr>
              <w:spacing w:after="0"/>
              <w:rPr>
                <w:sz w:val="1"/>
                <w:szCs w:val="1"/>
                <w:color w:val="auto"/>
              </w:rPr>
            </w:pPr>
          </w:p>
        </w:tc>
      </w:tr>
      <w:tr>
        <w:trPr>
          <w:trHeight w:val="144"/>
        </w:trPr>
        <w:tc>
          <w:tcPr>
            <w:tcW w:w="1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Shiftmove GMBH </w:t>
            </w:r>
            <w:r>
              <w:rPr>
                <w:rFonts w:ascii="Times New Roman" w:cs="Times New Roman" w:eastAsia="Times New Roman" w:hAnsi="Times New Roman"/>
                <w:sz w:val="16"/>
                <w:szCs w:val="16"/>
                <w:color w:val="auto"/>
                <w:vertAlign w:val="superscript"/>
              </w:rPr>
              <w:t>(3)(4)(5)</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11/2027)</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First-lien loan (EUR 31,875 par, due</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9/2030)</w:t>
            </w:r>
          </w:p>
        </w:tc>
        <w:tc>
          <w:tcPr>
            <w:tcW w:w="0" w:type="dxa"/>
            <w:vAlign w:val="bottom"/>
          </w:tcPr>
          <w:p>
            <w:pPr>
              <w:spacing w:after="0"/>
              <w:rPr>
                <w:sz w:val="1"/>
                <w:szCs w:val="1"/>
                <w:color w:val="auto"/>
              </w:rPr>
            </w:pPr>
          </w:p>
        </w:tc>
      </w:tr>
      <w:tr>
        <w:trPr>
          <w:trHeight w:val="288"/>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and Other Investments</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Automotive</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Clarience Technologies, LLC</w:t>
            </w:r>
          </w:p>
        </w:tc>
        <w:tc>
          <w:tcPr>
            <w:tcW w:w="2080" w:type="dxa"/>
            <w:vAlign w:val="bottom"/>
          </w:tcPr>
          <w:p>
            <w:pPr>
              <w:ind w:left="80"/>
              <w:spacing w:after="0" w:line="119" w:lineRule="exact"/>
              <w:rPr>
                <w:sz w:val="20"/>
                <w:szCs w:val="20"/>
                <w:color w:val="auto"/>
              </w:rPr>
            </w:pPr>
            <w:r>
              <w:rPr>
                <w:rFonts w:ascii="Times New Roman" w:cs="Times New Roman" w:eastAsia="Times New Roman" w:hAnsi="Times New Roman"/>
                <w:sz w:val="12"/>
                <w:szCs w:val="12"/>
                <w:color w:val="auto"/>
              </w:rPr>
              <w:t>Class A Units (333 units)</w:t>
            </w:r>
          </w:p>
        </w:tc>
        <w:tc>
          <w:tcPr>
            <w:tcW w:w="0" w:type="dxa"/>
            <w:vAlign w:val="bottom"/>
          </w:tcPr>
          <w:p>
            <w:pPr>
              <w:spacing w:after="0"/>
              <w:rPr>
                <w:sz w:val="1"/>
                <w:szCs w:val="1"/>
                <w:color w:val="auto"/>
              </w:rPr>
            </w:pPr>
          </w:p>
        </w:tc>
      </w:tr>
      <w:tr>
        <w:trPr>
          <w:trHeight w:val="107"/>
        </w:trPr>
        <w:tc>
          <w:tcPr>
            <w:tcW w:w="1620" w:type="dxa"/>
            <w:vAlign w:val="bottom"/>
          </w:tcPr>
          <w:p>
            <w:pPr>
              <w:spacing w:after="0"/>
              <w:rPr>
                <w:sz w:val="20"/>
                <w:szCs w:val="20"/>
                <w:color w:val="auto"/>
              </w:rPr>
            </w:pPr>
            <w:r>
              <w:rPr>
                <w:rFonts w:ascii="Times New Roman" w:cs="Times New Roman" w:eastAsia="Times New Roman" w:hAnsi="Times New Roman"/>
                <w:sz w:val="8"/>
                <w:szCs w:val="8"/>
                <w:color w:val="auto"/>
              </w:rPr>
              <w:t>(11)(12)</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6"/>
                <w:szCs w:val="16"/>
                <w:color w:val="auto"/>
                <w:vertAlign w:val="superscript"/>
              </w:rPr>
              <w:t>(11)</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Class A Preferred Units (2,117,264 units)</w:t>
            </w:r>
          </w:p>
        </w:tc>
        <w:tc>
          <w:tcPr>
            <w:tcW w:w="0" w:type="dxa"/>
            <w:vAlign w:val="bottom"/>
          </w:tcPr>
          <w:p>
            <w:pPr>
              <w:spacing w:after="0"/>
              <w:rPr>
                <w:sz w:val="1"/>
                <w:szCs w:val="1"/>
                <w:color w:val="auto"/>
              </w:rPr>
            </w:pPr>
          </w:p>
        </w:tc>
      </w:tr>
      <w:tr>
        <w:trPr>
          <w:trHeight w:val="219"/>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Dye &amp; Durham, Ltd. </w:t>
            </w:r>
            <w:r>
              <w:rPr>
                <w:rFonts w:ascii="Times New Roman" w:cs="Times New Roman" w:eastAsia="Times New Roman" w:hAnsi="Times New Roman"/>
                <w:sz w:val="16"/>
                <w:szCs w:val="16"/>
                <w:color w:val="auto"/>
                <w:vertAlign w:val="superscript"/>
              </w:rPr>
              <w:t>(4)(10)</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Shares (126,968 shares)</w:t>
            </w:r>
          </w:p>
        </w:tc>
        <w:tc>
          <w:tcPr>
            <w:tcW w:w="0" w:type="dxa"/>
            <w:vAlign w:val="bottom"/>
          </w:tcPr>
          <w:p>
            <w:pPr>
              <w:spacing w:after="0"/>
              <w:rPr>
                <w:sz w:val="1"/>
                <w:szCs w:val="1"/>
                <w:color w:val="auto"/>
              </w:rPr>
            </w:pPr>
          </w:p>
        </w:tc>
      </w:tr>
      <w:tr>
        <w:trPr>
          <w:trHeight w:val="21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Insight Hideaway Aggregator,</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Partnership Interest (329,861 units)</w:t>
            </w:r>
          </w:p>
        </w:tc>
        <w:tc>
          <w:tcPr>
            <w:tcW w:w="0" w:type="dxa"/>
            <w:vAlign w:val="bottom"/>
          </w:tcPr>
          <w:p>
            <w:pPr>
              <w:spacing w:after="0"/>
              <w:rPr>
                <w:sz w:val="1"/>
                <w:szCs w:val="1"/>
                <w:color w:val="auto"/>
              </w:rPr>
            </w:pPr>
          </w:p>
        </w:tc>
      </w:tr>
      <w:tr>
        <w:trPr>
          <w:trHeight w:val="156"/>
        </w:trPr>
        <w:tc>
          <w:tcPr>
            <w:tcW w:w="16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vertAlign w:val="subscript"/>
              </w:rPr>
              <w:t>L.P.</w:t>
            </w:r>
            <w:r>
              <w:rPr>
                <w:rFonts w:ascii="Times New Roman" w:cs="Times New Roman" w:eastAsia="Times New Roman" w:hAnsi="Times New Roman"/>
                <w:sz w:val="7"/>
                <w:szCs w:val="7"/>
                <w:color w:val="auto"/>
              </w:rPr>
              <w:t xml:space="preserve"> (11)(12)</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Mitnick TA Aggregator, L.P.</w:t>
            </w:r>
          </w:p>
        </w:tc>
        <w:tc>
          <w:tcPr>
            <w:tcW w:w="2080" w:type="dxa"/>
            <w:vAlign w:val="bottom"/>
          </w:tcPr>
          <w:p>
            <w:pPr>
              <w:ind w:left="80"/>
              <w:spacing w:after="0" w:line="119" w:lineRule="exact"/>
              <w:rPr>
                <w:sz w:val="20"/>
                <w:szCs w:val="20"/>
                <w:color w:val="auto"/>
              </w:rPr>
            </w:pPr>
            <w:r>
              <w:rPr>
                <w:rFonts w:ascii="Times New Roman" w:cs="Times New Roman" w:eastAsia="Times New Roman" w:hAnsi="Times New Roman"/>
                <w:sz w:val="12"/>
                <w:szCs w:val="12"/>
                <w:color w:val="auto"/>
              </w:rPr>
              <w:t>Membership Interest (0.43% ownership)</w:t>
            </w:r>
          </w:p>
        </w:tc>
        <w:tc>
          <w:tcPr>
            <w:tcW w:w="0" w:type="dxa"/>
            <w:vAlign w:val="bottom"/>
          </w:tcPr>
          <w:p>
            <w:pPr>
              <w:spacing w:after="0"/>
              <w:rPr>
                <w:sz w:val="1"/>
                <w:szCs w:val="1"/>
                <w:color w:val="auto"/>
              </w:rPr>
            </w:pPr>
          </w:p>
        </w:tc>
      </w:tr>
      <w:tr>
        <w:trPr>
          <w:trHeight w:val="107"/>
        </w:trPr>
        <w:tc>
          <w:tcPr>
            <w:tcW w:w="1620" w:type="dxa"/>
            <w:vAlign w:val="bottom"/>
          </w:tcPr>
          <w:p>
            <w:pPr>
              <w:spacing w:after="0"/>
              <w:rPr>
                <w:sz w:val="20"/>
                <w:szCs w:val="20"/>
                <w:color w:val="auto"/>
              </w:rPr>
            </w:pPr>
            <w:r>
              <w:rPr>
                <w:rFonts w:ascii="Times New Roman" w:cs="Times New Roman" w:eastAsia="Times New Roman" w:hAnsi="Times New Roman"/>
                <w:sz w:val="8"/>
                <w:szCs w:val="8"/>
                <w:color w:val="auto"/>
              </w:rPr>
              <w:t>(11)</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620" w:type="dxa"/>
            <w:vAlign w:val="bottom"/>
          </w:tcPr>
          <w:p>
            <w:pPr>
              <w:spacing w:after="0" w:line="158"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6"/>
                <w:szCs w:val="16"/>
                <w:color w:val="auto"/>
                <w:vertAlign w:val="superscript"/>
              </w:rPr>
              <w:t>(11)</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Partnership (2,527,719 units)</w:t>
            </w:r>
          </w:p>
        </w:tc>
        <w:tc>
          <w:tcPr>
            <w:tcW w:w="0" w:type="dxa"/>
            <w:vAlign w:val="bottom"/>
          </w:tcPr>
          <w:p>
            <w:pPr>
              <w:spacing w:after="0"/>
              <w:rPr>
                <w:sz w:val="1"/>
                <w:szCs w:val="1"/>
                <w:color w:val="auto"/>
              </w:rPr>
            </w:pPr>
          </w:p>
        </w:tc>
      </w:tr>
      <w:tr>
        <w:trPr>
          <w:trHeight w:val="156"/>
        </w:trPr>
        <w:tc>
          <w:tcPr>
            <w:tcW w:w="162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ReliaQuest, LLC </w:t>
            </w:r>
            <w:r>
              <w:rPr>
                <w:rFonts w:ascii="Times New Roman" w:cs="Times New Roman" w:eastAsia="Times New Roman" w:hAnsi="Times New Roman"/>
                <w:sz w:val="16"/>
                <w:szCs w:val="16"/>
                <w:color w:val="auto"/>
                <w:vertAlign w:val="superscript"/>
              </w:rPr>
              <w:t>(13)</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A-1 Units (637,713 units) (11)</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A-2 Units (10,611 units) (11)(12)</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A-3 Units (16,957 units) (11)</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8"/>
              </w:rPr>
              <w:t>Series A Preferred Stock (1,667 units) (3)</w:t>
            </w:r>
          </w:p>
        </w:tc>
        <w:tc>
          <w:tcPr>
            <w:tcW w:w="0" w:type="dxa"/>
            <w:vAlign w:val="bottom"/>
          </w:tcPr>
          <w:p>
            <w:pPr>
              <w:spacing w:after="0"/>
              <w:rPr>
                <w:sz w:val="1"/>
                <w:szCs w:val="1"/>
                <w:color w:val="auto"/>
              </w:rPr>
            </w:pPr>
          </w:p>
        </w:tc>
      </w:tr>
      <w:tr>
        <w:trPr>
          <w:trHeight w:val="277"/>
        </w:trPr>
        <w:tc>
          <w:tcPr>
            <w:tcW w:w="1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Sprinklr, Inc. </w:t>
            </w:r>
            <w:r>
              <w:rPr>
                <w:rFonts w:ascii="Times New Roman" w:cs="Times New Roman" w:eastAsia="Times New Roman" w:hAnsi="Times New Roman"/>
                <w:sz w:val="16"/>
                <w:szCs w:val="16"/>
                <w:color w:val="auto"/>
                <w:vertAlign w:val="superscript"/>
              </w:rPr>
              <w:t>(10)(11)</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Warrants (90,634 warrants) (11)</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Shares (283,499 shares)</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Warrior TopCo LP</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A Units (423,729 units)</w:t>
            </w:r>
          </w:p>
        </w:tc>
        <w:tc>
          <w:tcPr>
            <w:tcW w:w="0" w:type="dxa"/>
            <w:vAlign w:val="bottom"/>
          </w:tcPr>
          <w:p>
            <w:pPr>
              <w:spacing w:after="0"/>
              <w:rPr>
                <w:sz w:val="1"/>
                <w:szCs w:val="1"/>
                <w:color w:val="auto"/>
              </w:rPr>
            </w:pPr>
          </w:p>
        </w:tc>
      </w:tr>
      <w:tr>
        <w:trPr>
          <w:trHeight w:val="265"/>
        </w:trPr>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(11)</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A Units (1,250,000 units)</w:t>
            </w:r>
          </w:p>
        </w:tc>
        <w:tc>
          <w:tcPr>
            <w:tcW w:w="0" w:type="dxa"/>
            <w:vAlign w:val="bottom"/>
          </w:tcPr>
          <w:p>
            <w:pPr>
              <w:spacing w:after="0"/>
              <w:rPr>
                <w:sz w:val="1"/>
                <w:szCs w:val="1"/>
                <w:color w:val="auto"/>
              </w:rPr>
            </w:pPr>
          </w:p>
        </w:tc>
      </w:tr>
      <w:tr>
        <w:trPr>
          <w:trHeight w:val="156"/>
        </w:trPr>
        <w:tc>
          <w:tcPr>
            <w:tcW w:w="162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 xml:space="preserve">IntelePeer Holdings, Inc. </w:t>
            </w:r>
            <w:r>
              <w:rPr>
                <w:rFonts w:ascii="Times New Roman" w:cs="Times New Roman" w:eastAsia="Times New Roman" w:hAnsi="Times New Roman"/>
                <w:sz w:val="16"/>
                <w:szCs w:val="16"/>
                <w:color w:val="auto"/>
                <w:vertAlign w:val="superscript"/>
              </w:rPr>
              <w:t>(11)</w:t>
            </w: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C Preferred Shares</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(1,816,295 shares)</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D Preferred Shares</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(1,598,874 shares)</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C Warrants (280,000 warrants)</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D Warrants (106,592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12/1/2021</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+ 6.90%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11.56%</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68,671</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69,045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288"/>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12/1/2021</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P + 6.75%</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14.25%</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2,408</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2,444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335,285</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328,344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3/26/2024</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+ 5.25%</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9.81%</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3,581</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3,610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8/11/2023</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11.33%</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33,030</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34,189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8/11/2023</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11.33%</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2,269</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2,358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88"/>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11/12/2021</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+ 6.35%</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10.75%</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54,087</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54,824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9/30/2024</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E + 6.00%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8.68%</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34,509</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32,191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(EUR 31,088)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127,476</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127,172</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3,388,244</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3,361,439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0" w:type="dxa"/>
            <w:vAlign w:val="bottom"/>
          </w:tcPr>
          <w:p>
            <w:pPr>
              <w:spacing w:after="0"/>
              <w:rPr>
                <w:sz w:val="1"/>
                <w:szCs w:val="1"/>
                <w:color w:val="auto"/>
              </w:rPr>
            </w:pPr>
          </w:p>
        </w:tc>
      </w:tr>
      <w:tr>
        <w:trPr>
          <w:trHeight w:val="576"/>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2/12/2024</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820</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820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38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11/7/2023</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2,117</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1,773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12/3/2021</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3,909</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1,552</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(CAD 2,232)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3/19/2024</w:t>
            </w: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3,299</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3,299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288"/>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5/2/2022</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5,247</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3,751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241"/>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11/8/2023</w:t>
            </w: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2,532</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2,254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11/23/2021</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1,120</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1,658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6/21/2022</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23</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11/10/2023</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36</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12/20/2023</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SOFR +</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16.60% PIK</w:t>
            </w: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1,817</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1,989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5"/>
        </w:trPr>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5"/>
              </w:rPr>
              <w:t>12/20/2023</w:t>
            </w: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12.00%</w:t>
            </w:r>
          </w:p>
        </w:tc>
        <w:tc>
          <w:tcPr>
            <w:tcW w:w="1380" w:type="dxa"/>
            <w:vAlign w:val="bottom"/>
          </w:tcPr>
          <w:p>
            <w:pPr>
              <w:spacing w:after="0"/>
              <w:rPr>
                <w:sz w:val="13"/>
                <w:szCs w:val="13"/>
                <w:color w:val="auto"/>
              </w:rPr>
            </w:pPr>
          </w:p>
        </w:tc>
        <w:tc>
          <w:tcPr>
            <w:tcW w:w="114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color w:val="auto"/>
              </w:rPr>
              <w:t>102</w:t>
            </w:r>
          </w:p>
        </w:tc>
        <w:tc>
          <w:tcPr>
            <w:tcW w:w="142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126</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33"/>
        </w:trPr>
        <w:tc>
          <w:tcPr>
            <w:tcW w:w="6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6/24/2021</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2,445</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2,395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7/7/2023</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424</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604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23,071</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19,489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11/19/2021</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1,250</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1,250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5"/>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4/8/2021</w:t>
            </w: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1,816</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1,535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88"/>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4/8/2021</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2,925</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1,653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277"/>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2/28/2020</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183</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4/8/2021</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6,174</w:t>
            </w:r>
          </w:p>
        </w:tc>
        <w:tc>
          <w:tcPr>
            <w:tcW w:w="14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4,438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-4161155</wp:posOffset>
            </wp:positionV>
            <wp:extent cx="6707505" cy="182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-3886835</wp:posOffset>
            </wp:positionV>
            <wp:extent cx="6707505" cy="91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-3703955</wp:posOffset>
            </wp:positionV>
            <wp:extent cx="6707505" cy="91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-3429000</wp:posOffset>
            </wp:positionV>
            <wp:extent cx="6707505" cy="182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-3063240</wp:posOffset>
            </wp:positionV>
            <wp:extent cx="6707505" cy="91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-2880360</wp:posOffset>
            </wp:positionV>
            <wp:extent cx="6707505" cy="91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-2697480</wp:posOffset>
            </wp:positionV>
            <wp:extent cx="6707505" cy="914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-2446020</wp:posOffset>
            </wp:positionV>
            <wp:extent cx="6707505" cy="91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-2263140</wp:posOffset>
            </wp:positionV>
            <wp:extent cx="6707505" cy="182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-1897380</wp:posOffset>
            </wp:positionV>
            <wp:extent cx="6707505" cy="160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-1645920</wp:posOffset>
            </wp:positionV>
            <wp:extent cx="6707505" cy="91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-1463040</wp:posOffset>
            </wp:positionV>
            <wp:extent cx="6707505" cy="91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-1188720</wp:posOffset>
            </wp:positionV>
            <wp:extent cx="6707505" cy="91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-1005205</wp:posOffset>
            </wp:positionV>
            <wp:extent cx="6707505" cy="914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-822325</wp:posOffset>
            </wp:positionV>
            <wp:extent cx="6707505" cy="91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-639445</wp:posOffset>
            </wp:positionV>
            <wp:extent cx="6707505" cy="182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-273685</wp:posOffset>
            </wp:positionV>
            <wp:extent cx="6707505" cy="91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-90805</wp:posOffset>
            </wp:positionV>
            <wp:extent cx="6707505" cy="91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700" w:space="340"/>
            <w:col w:w="6540"/>
          </w:cols>
          <w:pgMar w:left="660" w:top="1333" w:right="660" w:bottom="1440" w:gutter="0" w:footer="0" w:header="0"/>
        </w:sectPr>
      </w:pPr>
    </w:p>
    <w:p>
      <w:pPr>
        <w:spacing w:after="0" w:line="224" w:lineRule="auto"/>
        <w:rPr>
          <w:sz w:val="20"/>
          <w:szCs w:val="20"/>
          <w:color w:val="auto"/>
        </w:rPr>
      </w:pPr>
      <w:r>
        <w:rPr>
          <w:rFonts w:ascii="Times New Roman" w:cs="Times New Roman" w:eastAsia="Times New Roman" w:hAnsi="Times New Roman"/>
          <w:sz w:val="12"/>
          <w:szCs w:val="12"/>
          <w:b w:val="1"/>
          <w:bCs w:val="1"/>
          <w:color w:val="auto"/>
        </w:rPr>
        <w:t>Education</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Astra 2L Holdings II LLC </w:t>
      </w:r>
      <w:r>
        <w:rPr>
          <w:rFonts w:ascii="Times New Roman" w:cs="Times New Roman" w:eastAsia="Times New Roman" w:hAnsi="Times New Roman"/>
          <w:sz w:val="16"/>
          <w:szCs w:val="16"/>
          <w:color w:val="auto"/>
          <w:vertAlign w:val="superscript"/>
        </w:rPr>
        <w:t>(11)</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(11)</w:t>
      </w:r>
    </w:p>
    <w:p>
      <w:pPr>
        <w:spacing w:after="0"/>
        <w:rPr>
          <w:sz w:val="20"/>
          <w:szCs w:val="20"/>
          <w:color w:val="auto"/>
        </w:rPr>
      </w:pPr>
      <w:r>
        <w:rPr>
          <w:rFonts w:ascii="Times New Roman" w:cs="Times New Roman" w:eastAsia="Times New Roman" w:hAnsi="Times New Roman"/>
          <w:sz w:val="11"/>
          <w:szCs w:val="11"/>
          <w:color w:val="auto"/>
        </w:rPr>
        <w:t xml:space="preserve">RMCF IV CIV XXXV, LP. </w:t>
      </w:r>
      <w:r>
        <w:rPr>
          <w:rFonts w:ascii="Times New Roman" w:cs="Times New Roman" w:eastAsia="Times New Roman" w:hAnsi="Times New Roman"/>
          <w:sz w:val="15"/>
          <w:szCs w:val="15"/>
          <w:color w:val="auto"/>
          <w:vertAlign w:val="superscript"/>
        </w:rPr>
        <w:t>(11)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p>
      <w:pPr>
        <w:spacing w:after="0" w:line="195" w:lineRule="auto"/>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6"/>
          <w:szCs w:val="16"/>
          <w:color w:val="auto"/>
          <w:vertAlign w:val="superscript"/>
        </w:rPr>
        <w:t>(11)</w:t>
      </w:r>
    </w:p>
    <w:p>
      <w:pPr>
        <w:spacing w:after="0" w:line="209" w:lineRule="auto"/>
        <w:rPr>
          <w:sz w:val="20"/>
          <w:szCs w:val="20"/>
          <w:color w:val="auto"/>
        </w:rPr>
      </w:pPr>
      <w:r>
        <w:rPr>
          <w:rFonts w:ascii="Times New Roman" w:cs="Times New Roman" w:eastAsia="Times New Roman" w:hAnsi="Times New Roman"/>
          <w:sz w:val="12"/>
          <w:szCs w:val="12"/>
          <w:color w:val="auto"/>
        </w:rPr>
        <w:t xml:space="preserve">CLGF Holdings, L.P. </w:t>
      </w:r>
      <w:r>
        <w:rPr>
          <w:rFonts w:ascii="Times New Roman" w:cs="Times New Roman" w:eastAsia="Times New Roman" w:hAnsi="Times New Roman"/>
          <w:sz w:val="16"/>
          <w:szCs w:val="16"/>
          <w:color w:val="auto"/>
          <w:vertAlign w:val="superscript"/>
        </w:rPr>
        <w:t>(4)(11)</w:t>
      </w:r>
    </w:p>
    <w:p>
      <w:pPr>
        <w:ind w:right="20"/>
        <w:spacing w:after="0" w:line="192" w:lineRule="auto"/>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7"/>
          <w:szCs w:val="7"/>
          <w:color w:val="auto"/>
        </w:rPr>
        <w:t>(11)</w:t>
      </w:r>
    </w:p>
    <w:p>
      <w:pPr>
        <w:spacing w:after="0" w:line="213" w:lineRule="auto"/>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15"/>
          <w:szCs w:val="15"/>
          <w:color w:val="auto"/>
          <w:vertAlign w:val="superscript"/>
        </w:rPr>
        <w:t>(4)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Passport Labs, Inc. </w:t>
      </w:r>
      <w:r>
        <w:rPr>
          <w:rFonts w:ascii="Times New Roman" w:cs="Times New Roman" w:eastAsia="Times New Roman" w:hAnsi="Times New Roman"/>
          <w:sz w:val="16"/>
          <w:szCs w:val="16"/>
          <w:color w:val="auto"/>
          <w:vertAlign w:val="superscript"/>
        </w:rPr>
        <w:t>(11)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Membership Interest (10.17% ownership)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B Units (5,522,526 units)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 Interest (11.94% ownership)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 Units (121,329 units)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(334,682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A-2 Units (131,569 units)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Shares (1,620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(17,534 warrants)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1/13/2022</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3,255</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w w:val="95"/>
              </w:rPr>
              <w:t>12/22/2021</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5,522</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2,830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6/8/2021</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1,000</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1,625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5"/>
        </w:trPr>
        <w:tc>
          <w:tcPr>
            <w:tcW w:w="2120" w:type="dxa"/>
            <w:vAlign w:val="bottom"/>
          </w:tcPr>
          <w:p>
            <w:pPr>
              <w:spacing w:after="0"/>
              <w:rPr>
                <w:sz w:val="13"/>
                <w:szCs w:val="13"/>
                <w:color w:val="auto"/>
              </w:rPr>
            </w:pP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9,777</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4,455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277"/>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w w:val="95"/>
              </w:rPr>
              <w:t>11/27/2023</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4,091</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4,684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11/7/2023</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183</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330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55"/>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w w:val="95"/>
              </w:rPr>
              <w:t>12/10/2020</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4,177</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12,802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r>
      <w:tr>
        <w:trPr>
          <w:trHeight w:val="252"/>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8/5/2015</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252"/>
        </w:trPr>
        <w:tc>
          <w:tcPr>
            <w:tcW w:w="212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4/28/2021</w:t>
            </w:r>
          </w:p>
        </w:tc>
        <w:tc>
          <w:tcPr>
            <w:tcW w:w="23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192</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-1050925</wp:posOffset>
            </wp:positionV>
            <wp:extent cx="6707505" cy="9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-868045</wp:posOffset>
            </wp:positionV>
            <wp:extent cx="6707505" cy="91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-685165</wp:posOffset>
            </wp:positionV>
            <wp:extent cx="6707505" cy="9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-502285</wp:posOffset>
            </wp:positionV>
            <wp:extent cx="6707505" cy="9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-250825</wp:posOffset>
            </wp:positionV>
            <wp:extent cx="6707505" cy="160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16002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411480</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3">
            <w:col w:w="1520" w:space="180"/>
            <w:col w:w="2020" w:space="320"/>
            <w:col w:w="6540"/>
          </w:cols>
          <w:pgMar w:left="660" w:top="1333" w:right="66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(13)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(600,000 units) (11)</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5/14/2021</w:t>
            </w:r>
          </w:p>
        </w:tc>
        <w:tc>
          <w:tcPr>
            <w:tcW w:w="1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600</w:t>
            </w:r>
          </w:p>
        </w:tc>
        <w:tc>
          <w:tcPr>
            <w:tcW w:w="150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600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AA Units (19,093 units) (12)</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11/1/2024</w:t>
            </w:r>
          </w:p>
        </w:tc>
        <w:tc>
          <w:tcPr>
            <w:tcW w:w="13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20.00%</w:t>
            </w:r>
          </w:p>
        </w:tc>
        <w:tc>
          <w:tcPr>
            <w:tcW w:w="12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20.00%</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38</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9,287</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18,458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Caris Life Sciences, Inc. </w:t>
            </w:r>
            <w:r>
              <w:rPr>
                <w:rFonts w:ascii="Times New Roman" w:cs="Times New Roman" w:eastAsia="Times New Roman" w:hAnsi="Times New Roman"/>
                <w:sz w:val="15"/>
                <w:szCs w:val="15"/>
                <w:color w:val="auto"/>
                <w:vertAlign w:val="superscript"/>
              </w:rPr>
              <w:t>(11)</w:t>
            </w: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C Preferred Shares</w:t>
            </w:r>
          </w:p>
        </w:tc>
        <w:tc>
          <w:tcPr>
            <w:tcW w:w="8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10/13/2020</w:t>
            </w:r>
          </w:p>
        </w:tc>
        <w:tc>
          <w:tcPr>
            <w:tcW w:w="1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3,500</w:t>
            </w:r>
          </w:p>
        </w:tc>
        <w:tc>
          <w:tcPr>
            <w:tcW w:w="1500" w:type="dxa"/>
            <w:vAlign w:val="bottom"/>
            <w:shd w:val="clear" w:color="auto" w:fill="CFF0FC"/>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8,137</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(1,915,114 shares)</w:t>
            </w:r>
          </w:p>
        </w:tc>
        <w:tc>
          <w:tcPr>
            <w:tcW w:w="8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D Preferred Shares</w:t>
            </w:r>
          </w:p>
        </w:tc>
        <w:tc>
          <w:tcPr>
            <w:tcW w:w="8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5/11/2021</w:t>
            </w: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10,050</w:t>
            </w:r>
          </w:p>
        </w:tc>
        <w:tc>
          <w:tcPr>
            <w:tcW w:w="150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9,924</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(1,240,740 shares)</w:t>
            </w: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Warrants (633,376 warrants)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9/21/2018</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192</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1,672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Warrants (569,991 warrants)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4/2/2020</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250</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1,321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Merative Topco L.P. </w:t>
            </w:r>
            <w:r>
              <w:rPr>
                <w:rFonts w:ascii="Times New Roman" w:cs="Times New Roman" w:eastAsia="Times New Roman" w:hAnsi="Times New Roman"/>
                <w:sz w:val="16"/>
                <w:szCs w:val="16"/>
                <w:color w:val="auto"/>
                <w:vertAlign w:val="superscript"/>
              </w:rPr>
              <w:t>(11)</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A-1 Units (989,691 units)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6/30/2022</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9,897</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9,600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(11)</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Ordinary Shares (13,176 shares)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3/24/2023</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2,033</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1,830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25,922</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32,484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(6)(11)</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(33,790,171 units)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12/21/2018</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21,842</w:t>
            </w:r>
          </w:p>
        </w:tc>
        <w:tc>
          <w:tcPr>
            <w:tcW w:w="150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85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C-1 Units (8,800,000 units)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12/21/2018</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100</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43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21,942</w:t>
            </w:r>
          </w:p>
        </w:tc>
        <w:tc>
          <w:tcPr>
            <w:tcW w:w="150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128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Human Resource Support</w:t>
            </w:r>
          </w:p>
        </w:tc>
        <w:tc>
          <w:tcPr>
            <w:tcW w:w="2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Services</w:t>
            </w:r>
          </w:p>
        </w:tc>
        <w:tc>
          <w:tcPr>
            <w:tcW w:w="2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(4)(11)(13)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A-1 Units (3,780,000 units)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5/5/2021</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3,780</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4,848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(11)</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A-1 Units (2,393,509 units)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11/7/2022</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2,393</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5,062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DaySmart Holdings, LLC </w:t>
            </w:r>
            <w:r>
              <w:rPr>
                <w:rFonts w:ascii="Times New Roman" w:cs="Times New Roman" w:eastAsia="Times New Roman" w:hAnsi="Times New Roman"/>
                <w:sz w:val="16"/>
                <w:szCs w:val="16"/>
                <w:color w:val="auto"/>
                <w:vertAlign w:val="superscript"/>
              </w:rPr>
              <w:t>(11)</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(166,811 units)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12/18/2020</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1,347</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2,148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Employment Hero Holdings Pty</w:t>
            </w:r>
          </w:p>
        </w:tc>
        <w:tc>
          <w:tcPr>
            <w:tcW w:w="22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Series E Preferred Shares</w:t>
            </w:r>
          </w:p>
        </w:tc>
        <w:tc>
          <w:tcPr>
            <w:tcW w:w="86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3/1/2022</w:t>
            </w: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jc w:val="right"/>
              <w:ind w:right="300"/>
              <w:spacing w:after="0" w:line="121" w:lineRule="exact"/>
              <w:rPr>
                <w:sz w:val="20"/>
                <w:szCs w:val="20"/>
                <w:color w:val="auto"/>
              </w:rPr>
            </w:pPr>
            <w:r>
              <w:rPr>
                <w:rFonts w:ascii="Times New Roman" w:cs="Times New Roman" w:eastAsia="Times New Roman" w:hAnsi="Times New Roman"/>
                <w:sz w:val="12"/>
                <w:szCs w:val="12"/>
                <w:color w:val="auto"/>
              </w:rPr>
              <w:t>2,134</w:t>
            </w:r>
          </w:p>
        </w:tc>
        <w:tc>
          <w:tcPr>
            <w:tcW w:w="150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2,819</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7"/>
        </w:trPr>
        <w:tc>
          <w:tcPr>
            <w:tcW w:w="164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Ltd.</w:t>
            </w:r>
            <w:r>
              <w:rPr>
                <w:rFonts w:ascii="Times New Roman" w:cs="Times New Roman" w:eastAsia="Times New Roman" w:hAnsi="Times New Roman"/>
                <w:sz w:val="8"/>
                <w:szCs w:val="8"/>
                <w:color w:val="auto"/>
              </w:rPr>
              <w:t xml:space="preserve"> (4)(11)</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(113,250 shares)</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(AUD 4,552)</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9,654</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14,877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Bayshore Intermediate #2, L.P.</w:t>
            </w:r>
          </w:p>
        </w:tc>
        <w:tc>
          <w:tcPr>
            <w:tcW w:w="22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Co-Invest Common Units</w:t>
            </w:r>
          </w:p>
        </w:tc>
        <w:tc>
          <w:tcPr>
            <w:tcW w:w="86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10/1/2021</w:t>
            </w:r>
          </w:p>
        </w:tc>
        <w:tc>
          <w:tcPr>
            <w:tcW w:w="13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60" w:type="dxa"/>
            <w:vAlign w:val="bottom"/>
            <w:shd w:val="clear" w:color="auto" w:fill="CFF0FC"/>
          </w:tcPr>
          <w:p>
            <w:pPr>
              <w:jc w:val="right"/>
              <w:ind w:right="300"/>
              <w:spacing w:after="0" w:line="108" w:lineRule="exact"/>
              <w:rPr>
                <w:sz w:val="20"/>
                <w:szCs w:val="20"/>
                <w:color w:val="auto"/>
              </w:rPr>
            </w:pPr>
            <w:r>
              <w:rPr>
                <w:rFonts w:ascii="Times New Roman" w:cs="Times New Roman" w:eastAsia="Times New Roman" w:hAnsi="Times New Roman"/>
                <w:sz w:val="12"/>
                <w:szCs w:val="12"/>
                <w:color w:val="auto"/>
              </w:rPr>
              <w:t>8,837</w:t>
            </w:r>
          </w:p>
        </w:tc>
        <w:tc>
          <w:tcPr>
            <w:tcW w:w="1500" w:type="dxa"/>
            <w:vAlign w:val="bottom"/>
            <w:shd w:val="clear" w:color="auto" w:fill="CFF0FC"/>
          </w:tcPr>
          <w:p>
            <w:pPr>
              <w:jc w:val="right"/>
              <w:ind w:right="440"/>
              <w:spacing w:after="0" w:line="108" w:lineRule="exact"/>
              <w:rPr>
                <w:sz w:val="20"/>
                <w:szCs w:val="20"/>
                <w:color w:val="auto"/>
              </w:rPr>
            </w:pPr>
            <w:r>
              <w:rPr>
                <w:rFonts w:ascii="Times New Roman" w:cs="Times New Roman" w:eastAsia="Times New Roman" w:hAnsi="Times New Roman"/>
                <w:sz w:val="12"/>
                <w:szCs w:val="12"/>
                <w:color w:val="auto"/>
              </w:rPr>
              <w:t>10,870</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(11)(13)</w:t>
            </w:r>
          </w:p>
        </w:tc>
        <w:tc>
          <w:tcPr>
            <w:tcW w:w="22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(8,837,008 units)</w:t>
            </w:r>
          </w:p>
        </w:tc>
        <w:tc>
          <w:tcPr>
            <w:tcW w:w="86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620" w:type="dxa"/>
            <w:vAlign w:val="bottom"/>
            <w:shd w:val="clear" w:color="auto" w:fill="CFF0FC"/>
          </w:tcPr>
          <w:p>
            <w:pPr>
              <w:spacing w:after="0"/>
              <w:rPr>
                <w:sz w:val="6"/>
                <w:szCs w:val="6"/>
                <w:color w:val="auto"/>
              </w:rPr>
            </w:pPr>
          </w:p>
        </w:tc>
        <w:tc>
          <w:tcPr>
            <w:tcW w:w="2200" w:type="dxa"/>
            <w:vAlign w:val="bottom"/>
            <w:vMerge w:val="continue"/>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50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Co-Invest 2 Common Units</w:t>
            </w:r>
          </w:p>
        </w:tc>
        <w:tc>
          <w:tcPr>
            <w:tcW w:w="8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3,494</w:t>
            </w:r>
          </w:p>
        </w:tc>
        <w:tc>
          <w:tcPr>
            <w:tcW w:w="150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4,297</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(3,493,701 units)</w:t>
            </w: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Lucidworks, Inc. </w:t>
            </w:r>
            <w:r>
              <w:rPr>
                <w:rFonts w:ascii="Times New Roman" w:cs="Times New Roman" w:eastAsia="Times New Roman" w:hAnsi="Times New Roman"/>
                <w:sz w:val="15"/>
                <w:szCs w:val="15"/>
                <w:color w:val="auto"/>
                <w:vertAlign w:val="superscript"/>
              </w:rPr>
              <w:t>(11)</w:t>
            </w: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F Preferred Shares</w:t>
            </w:r>
          </w:p>
        </w:tc>
        <w:tc>
          <w:tcPr>
            <w:tcW w:w="8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8/2/2019</w:t>
            </w:r>
          </w:p>
        </w:tc>
        <w:tc>
          <w:tcPr>
            <w:tcW w:w="1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1500" w:type="dxa"/>
            <w:vAlign w:val="bottom"/>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776</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(199,054 shares)</w:t>
            </w:r>
          </w:p>
        </w:tc>
        <w:tc>
          <w:tcPr>
            <w:tcW w:w="8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5"/>
                <w:szCs w:val="15"/>
                <w:color w:val="auto"/>
                <w:vertAlign w:val="superscript"/>
              </w:rPr>
              <w:t>(11)</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C-1 Preferred Shares</w:t>
            </w:r>
          </w:p>
        </w:tc>
        <w:tc>
          <w:tcPr>
            <w:tcW w:w="8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3,000</w:t>
            </w:r>
          </w:p>
        </w:tc>
        <w:tc>
          <w:tcPr>
            <w:tcW w:w="150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2,400</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(418,527 shares)</w:t>
            </w: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shd w:val="clear" w:color="auto" w:fill="CFF0FC"/>
          </w:tcPr>
          <w:p>
            <w:pPr>
              <w:spacing w:after="0"/>
              <w:rPr>
                <w:sz w:val="11"/>
                <w:szCs w:val="11"/>
                <w:color w:val="auto"/>
              </w:rPr>
            </w:pP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C-2 Preferred Shares</w:t>
            </w:r>
          </w:p>
        </w:tc>
        <w:tc>
          <w:tcPr>
            <w:tcW w:w="8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11/18/2022</w:t>
            </w:r>
          </w:p>
        </w:tc>
        <w:tc>
          <w:tcPr>
            <w:tcW w:w="1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198</w:t>
            </w:r>
          </w:p>
        </w:tc>
        <w:tc>
          <w:tcPr>
            <w:tcW w:w="1500" w:type="dxa"/>
            <w:vAlign w:val="bottom"/>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317</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(27,588 shares)</w:t>
            </w:r>
          </w:p>
        </w:tc>
        <w:tc>
          <w:tcPr>
            <w:tcW w:w="8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2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SMA Technologies Holdings,</w:t>
            </w:r>
          </w:p>
        </w:tc>
        <w:tc>
          <w:tcPr>
            <w:tcW w:w="22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Class A Units (1,584 units)</w:t>
            </w:r>
          </w:p>
        </w:tc>
        <w:tc>
          <w:tcPr>
            <w:tcW w:w="860" w:type="dxa"/>
            <w:vAlign w:val="bottom"/>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11/21/2022</w:t>
            </w: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jc w:val="right"/>
              <w:ind w:right="300"/>
              <w:spacing w:after="0" w:line="121" w:lineRule="exact"/>
              <w:rPr>
                <w:sz w:val="20"/>
                <w:szCs w:val="20"/>
                <w:color w:val="auto"/>
              </w:rPr>
            </w:pPr>
            <w:r>
              <w:rPr>
                <w:rFonts w:ascii="Times New Roman" w:cs="Times New Roman" w:eastAsia="Times New Roman" w:hAnsi="Times New Roman"/>
                <w:sz w:val="12"/>
                <w:szCs w:val="12"/>
                <w:color w:val="auto"/>
              </w:rPr>
              <w:t>1,584</w:t>
            </w:r>
          </w:p>
        </w:tc>
        <w:tc>
          <w:tcPr>
            <w:tcW w:w="1500" w:type="dxa"/>
            <w:vAlign w:val="bottom"/>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2,297</w:t>
            </w:r>
          </w:p>
        </w:tc>
        <w:tc>
          <w:tcPr>
            <w:tcW w:w="7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164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LLC</w:t>
            </w:r>
            <w:r>
              <w:rPr>
                <w:rFonts w:ascii="Times New Roman" w:cs="Times New Roman" w:eastAsia="Times New Roman" w:hAnsi="Times New Roman"/>
                <w:sz w:val="8"/>
                <w:szCs w:val="8"/>
                <w:color w:val="auto"/>
              </w:rPr>
              <w:t xml:space="preserve"> (11)(12)</w:t>
            </w: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B Units (1,124,813 units)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11/21/2022</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68</w:t>
            </w:r>
          </w:p>
        </w:tc>
        <w:tc>
          <w:tcPr>
            <w:tcW w:w="150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99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17,981</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21,056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Marketing Services</w:t>
            </w: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15"/>
                <w:szCs w:val="15"/>
                <w:color w:val="auto"/>
                <w:vertAlign w:val="superscript"/>
              </w:rPr>
              <w:t>(11)</w:t>
            </w:r>
          </w:p>
        </w:tc>
        <w:tc>
          <w:tcPr>
            <w:tcW w:w="22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A Preferred Shares</w:t>
            </w:r>
          </w:p>
        </w:tc>
        <w:tc>
          <w:tcPr>
            <w:tcW w:w="86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5/31/2018</w:t>
            </w:r>
          </w:p>
        </w:tc>
        <w:tc>
          <w:tcPr>
            <w:tcW w:w="1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3,840</w:t>
            </w:r>
          </w:p>
        </w:tc>
        <w:tc>
          <w:tcPr>
            <w:tcW w:w="1500" w:type="dxa"/>
            <w:vAlign w:val="bottom"/>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10,752</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(3,840,000 shares)</w:t>
            </w: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Oil, Gas and Consumable</w:t>
            </w:r>
          </w:p>
        </w:tc>
        <w:tc>
          <w:tcPr>
            <w:tcW w:w="2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Fuels</w:t>
            </w:r>
          </w:p>
        </w:tc>
        <w:tc>
          <w:tcPr>
            <w:tcW w:w="2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w w:val="98"/>
              </w:rPr>
              <w:t xml:space="preserve">Murchison Oil and Gas, LLC </w:t>
            </w:r>
            <w:r>
              <w:rPr>
                <w:rFonts w:ascii="Times New Roman" w:cs="Times New Roman" w:eastAsia="Times New Roman" w:hAnsi="Times New Roman"/>
                <w:sz w:val="16"/>
                <w:szCs w:val="16"/>
                <w:color w:val="auto"/>
                <w:w w:val="98"/>
                <w:vertAlign w:val="superscript"/>
              </w:rPr>
              <w:t>(13)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Preferred Units (13,355 units)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6/30/2022</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2,137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(13)</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Partnership Interest (1.89% ownership)</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8/25/2022</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8,820</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7,475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8,820</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9,612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TherapeuticsMD, Inc. </w:t>
            </w:r>
            <w:r>
              <w:rPr>
                <w:rFonts w:ascii="Times New Roman" w:cs="Times New Roman" w:eastAsia="Times New Roman" w:hAnsi="Times New Roman"/>
                <w:sz w:val="16"/>
                <w:szCs w:val="16"/>
                <w:color w:val="auto"/>
                <w:vertAlign w:val="superscript"/>
              </w:rPr>
              <w:t>(4)(11)</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Warrants (14,256 warrants)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8/5/2020</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1,029</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(4)(11)(12)</w:t>
            </w:r>
          </w:p>
        </w:tc>
        <w:tc>
          <w:tcPr>
            <w:tcW w:w="220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Convertible Preference Shares</w:t>
            </w:r>
          </w:p>
        </w:tc>
        <w:tc>
          <w:tcPr>
            <w:tcW w:w="86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6,341</w:t>
            </w:r>
          </w:p>
        </w:tc>
        <w:tc>
          <w:tcPr>
            <w:tcW w:w="1500" w:type="dxa"/>
            <w:vAlign w:val="bottom"/>
            <w:shd w:val="clear" w:color="auto" w:fill="CFF0FC"/>
          </w:tcPr>
          <w:p>
            <w:pPr>
              <w:jc w:val="right"/>
              <w:ind w:right="440"/>
              <w:spacing w:after="0" w:line="133" w:lineRule="exact"/>
              <w:rPr>
                <w:sz w:val="20"/>
                <w:szCs w:val="20"/>
                <w:color w:val="auto"/>
              </w:rPr>
            </w:pPr>
            <w:r>
              <w:rPr>
                <w:rFonts w:ascii="Times New Roman" w:cs="Times New Roman" w:eastAsia="Times New Roman" w:hAnsi="Times New Roman"/>
                <w:sz w:val="12"/>
                <w:szCs w:val="12"/>
                <w:color w:val="auto"/>
              </w:rPr>
              <w:t>6,341</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(4,976,563 Shares)</w:t>
            </w:r>
          </w:p>
        </w:tc>
        <w:tc>
          <w:tcPr>
            <w:tcW w:w="8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420"/>
              <w:spacing w:after="0"/>
              <w:rPr>
                <w:sz w:val="20"/>
                <w:szCs w:val="20"/>
                <w:color w:val="auto"/>
              </w:rPr>
            </w:pPr>
            <w:r>
              <w:rPr>
                <w:rFonts w:ascii="Times New Roman" w:cs="Times New Roman" w:eastAsia="Times New Roman" w:hAnsi="Times New Roman"/>
                <w:sz w:val="12"/>
                <w:szCs w:val="12"/>
                <w:color w:val="auto"/>
              </w:rPr>
              <w:t>(GBP 5,063)</w:t>
            </w: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7,370</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6,341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American Achievement, Corp.</w:t>
            </w:r>
          </w:p>
        </w:tc>
        <w:tc>
          <w:tcPr>
            <w:tcW w:w="22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Class A Units (687 units)</w:t>
            </w:r>
          </w:p>
        </w:tc>
        <w:tc>
          <w:tcPr>
            <w:tcW w:w="860" w:type="dxa"/>
            <w:vAlign w:val="bottom"/>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3/16/2021</w:t>
            </w:r>
          </w:p>
        </w:tc>
        <w:tc>
          <w:tcPr>
            <w:tcW w:w="1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jc w:val="right"/>
              <w:ind w:right="3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420"/>
              <w:spacing w:after="0" w:line="108" w:lineRule="exact"/>
              <w:rPr>
                <w:sz w:val="20"/>
                <w:szCs w:val="20"/>
                <w:color w:val="auto"/>
              </w:rPr>
            </w:pPr>
            <w:r>
              <w:rPr>
                <w:rFonts w:ascii="Times New Roman" w:cs="Times New Roman" w:eastAsia="Times New Roman" w:hAnsi="Times New Roman"/>
                <w:sz w:val="12"/>
                <w:szCs w:val="12"/>
                <w:color w:val="auto"/>
              </w:rPr>
              <w:t>50</w:t>
            </w: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07"/>
        </w:trPr>
        <w:tc>
          <w:tcPr>
            <w:tcW w:w="164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(11)</w:t>
            </w:r>
          </w:p>
        </w:tc>
        <w:tc>
          <w:tcPr>
            <w:tcW w:w="2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16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Copper Bidco, LLC </w:t>
            </w:r>
            <w:r>
              <w:rPr>
                <w:rFonts w:ascii="Times New Roman" w:cs="Times New Roman" w:eastAsia="Times New Roman" w:hAnsi="Times New Roman"/>
                <w:sz w:val="16"/>
                <w:szCs w:val="16"/>
                <w:color w:val="auto"/>
                <w:vertAlign w:val="superscript"/>
              </w:rPr>
              <w:t>(9)</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Trust Certificates (996,958 Certificates)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1/30/2021</w:t>
            </w: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1,751</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11,963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(11)(13)</w:t>
            </w:r>
          </w:p>
        </w:tc>
        <w:tc>
          <w:tcPr>
            <w:tcW w:w="2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Units (1,176,494 units)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12/20/2021</w:t>
            </w: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3,000</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578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4,751</w:t>
            </w:r>
          </w:p>
        </w:tc>
        <w:tc>
          <w:tcPr>
            <w:tcW w:w="1500" w:type="dxa"/>
            <w:vAlign w:val="bottom"/>
            <w:shd w:val="clear" w:color="auto" w:fill="CFF0FC"/>
          </w:tcPr>
          <w:p>
            <w:pPr>
              <w:jc w:val="right"/>
              <w:ind w:right="440"/>
              <w:spacing w:after="0"/>
              <w:rPr>
                <w:sz w:val="20"/>
                <w:szCs w:val="20"/>
                <w:color w:val="auto"/>
              </w:rPr>
            </w:pPr>
            <w:r>
              <w:rPr>
                <w:rFonts w:ascii="Times New Roman" w:cs="Times New Roman" w:eastAsia="Times New Roman" w:hAnsi="Times New Roman"/>
                <w:sz w:val="12"/>
                <w:szCs w:val="12"/>
                <w:color w:val="auto"/>
              </w:rPr>
              <w:t>12,591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Structured Credit</w:t>
            </w: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2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Dryden Senior Loan Fund,</w:t>
            </w:r>
          </w:p>
        </w:tc>
        <w:tc>
          <w:tcPr>
            <w:tcW w:w="22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($1,500 par, due</w:t>
            </w:r>
          </w:p>
        </w:tc>
        <w:tc>
          <w:tcPr>
            <w:tcW w:w="860" w:type="dxa"/>
            <w:vAlign w:val="bottom"/>
            <w:shd w:val="clear" w:color="auto" w:fill="CFF0FC"/>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8/17/2022</w:t>
            </w:r>
          </w:p>
        </w:tc>
        <w:tc>
          <w:tcPr>
            <w:tcW w:w="1360" w:type="dxa"/>
            <w:vAlign w:val="bottom"/>
            <w:shd w:val="clear" w:color="auto" w:fill="CFF0FC"/>
          </w:tcPr>
          <w:p>
            <w:pPr>
              <w:jc w:val="right"/>
              <w:ind w:right="460"/>
              <w:spacing w:after="0" w:line="121" w:lineRule="exact"/>
              <w:rPr>
                <w:sz w:val="20"/>
                <w:szCs w:val="20"/>
                <w:color w:val="auto"/>
              </w:rPr>
            </w:pPr>
            <w:r>
              <w:rPr>
                <w:rFonts w:ascii="Times New Roman" w:cs="Times New Roman" w:eastAsia="Times New Roman" w:hAnsi="Times New Roman"/>
                <w:sz w:val="12"/>
                <w:szCs w:val="12"/>
                <w:color w:val="auto"/>
              </w:rPr>
              <w:t>SOFR + 6.76%</w:t>
            </w:r>
          </w:p>
        </w:tc>
        <w:tc>
          <w:tcPr>
            <w:tcW w:w="1200" w:type="dxa"/>
            <w:vAlign w:val="bottom"/>
            <w:shd w:val="clear" w:color="auto" w:fill="CFF0FC"/>
          </w:tcPr>
          <w:p>
            <w:pPr>
              <w:jc w:val="right"/>
              <w:ind w:right="320"/>
              <w:spacing w:after="0" w:line="121" w:lineRule="exact"/>
              <w:rPr>
                <w:sz w:val="20"/>
                <w:szCs w:val="20"/>
                <w:color w:val="auto"/>
              </w:rPr>
            </w:pPr>
            <w:r>
              <w:rPr>
                <w:rFonts w:ascii="Times New Roman" w:cs="Times New Roman" w:eastAsia="Times New Roman" w:hAnsi="Times New Roman"/>
                <w:sz w:val="12"/>
                <w:szCs w:val="12"/>
                <w:color w:val="auto"/>
              </w:rPr>
              <w:t>11.41%</w:t>
            </w:r>
          </w:p>
        </w:tc>
        <w:tc>
          <w:tcPr>
            <w:tcW w:w="1060" w:type="dxa"/>
            <w:vAlign w:val="bottom"/>
            <w:shd w:val="clear" w:color="auto" w:fill="CFF0FC"/>
          </w:tcPr>
          <w:p>
            <w:pPr>
              <w:jc w:val="right"/>
              <w:ind w:right="300"/>
              <w:spacing w:after="0" w:line="121" w:lineRule="exact"/>
              <w:rPr>
                <w:sz w:val="20"/>
                <w:szCs w:val="20"/>
                <w:color w:val="auto"/>
              </w:rPr>
            </w:pPr>
            <w:r>
              <w:rPr>
                <w:rFonts w:ascii="Times New Roman" w:cs="Times New Roman" w:eastAsia="Times New Roman" w:hAnsi="Times New Roman"/>
                <w:sz w:val="12"/>
                <w:szCs w:val="12"/>
                <w:color w:val="auto"/>
              </w:rPr>
              <w:t>1,500</w:t>
            </w:r>
          </w:p>
        </w:tc>
        <w:tc>
          <w:tcPr>
            <w:tcW w:w="1500" w:type="dxa"/>
            <w:vAlign w:val="bottom"/>
            <w:shd w:val="clear" w:color="auto" w:fill="CFF0FC"/>
          </w:tcPr>
          <w:p>
            <w:pPr>
              <w:jc w:val="right"/>
              <w:ind w:right="440"/>
              <w:spacing w:after="0" w:line="121" w:lineRule="exact"/>
              <w:rPr>
                <w:sz w:val="20"/>
                <w:szCs w:val="20"/>
                <w:color w:val="auto"/>
              </w:rPr>
            </w:pPr>
            <w:r>
              <w:rPr>
                <w:rFonts w:ascii="Times New Roman" w:cs="Times New Roman" w:eastAsia="Times New Roman" w:hAnsi="Times New Roman"/>
                <w:sz w:val="12"/>
                <w:szCs w:val="12"/>
                <w:color w:val="auto"/>
              </w:rPr>
              <w:t>1,472</w:t>
            </w:r>
          </w:p>
        </w:tc>
        <w:tc>
          <w:tcPr>
            <w:tcW w:w="7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2"/>
                <w:szCs w:val="12"/>
                <w:color w:val="auto"/>
              </w:rPr>
              <w:t xml:space="preserve">Series 2020-86A </w:t>
            </w:r>
            <w:r>
              <w:rPr>
                <w:rFonts w:ascii="Times New Roman" w:cs="Times New Roman" w:eastAsia="Times New Roman" w:hAnsi="Times New Roman"/>
                <w:sz w:val="16"/>
                <w:szCs w:val="16"/>
                <w:color w:val="auto"/>
                <w:vertAlign w:val="superscript"/>
              </w:rPr>
              <w:t>(3)(4)(9)</w:t>
            </w:r>
          </w:p>
        </w:tc>
        <w:tc>
          <w:tcPr>
            <w:tcW w:w="2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7/2034)</w:t>
            </w:r>
          </w:p>
        </w:tc>
        <w:tc>
          <w:tcPr>
            <w:tcW w:w="8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1,500</w:t>
            </w:r>
          </w:p>
        </w:tc>
        <w:tc>
          <w:tcPr>
            <w:tcW w:w="15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1,472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38"/>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Equity and Other</w:t>
            </w:r>
          </w:p>
        </w:tc>
        <w:tc>
          <w:tcPr>
            <w:tcW w:w="11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150,909</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156,973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r>
      <w:tr>
        <w:trPr>
          <w:trHeight w:val="159"/>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44"/>
        </w:trPr>
        <w:tc>
          <w:tcPr>
            <w:tcW w:w="1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3,539,153</w:t>
            </w:r>
          </w:p>
        </w:tc>
        <w:tc>
          <w:tcPr>
            <w:tcW w:w="180" w:type="dxa"/>
            <w:vAlign w:val="bottom"/>
          </w:tcPr>
          <w:p>
            <w:pPr>
              <w:spacing w:after="0"/>
              <w:rPr>
                <w:sz w:val="12"/>
                <w:szCs w:val="12"/>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3,518,412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218.9%</w:t>
            </w:r>
          </w:p>
        </w:tc>
      </w:tr>
      <w:tr>
        <w:trPr>
          <w:trHeight w:val="20"/>
        </w:trPr>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780" w:type="dxa"/>
            <w:vAlign w:val="bottom"/>
            <w:gridSpan w:val="9"/>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9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70"/>
        </w:trPr>
        <w:tc>
          <w:tcPr>
            <w:tcW w:w="19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+ 2.17%</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8/1/2026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(17,618)</w:t>
            </w:r>
          </w:p>
        </w:tc>
        <w:tc>
          <w:tcPr>
            <w:tcW w:w="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8,493</w:t>
            </w:r>
          </w:p>
        </w:tc>
        <w:tc>
          <w:tcPr>
            <w:tcW w:w="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6.95%</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+ 2.99%</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8/14/2028</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(1,377)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(6,057)</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6.125%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+ 2.44%</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3/1/2029</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(5,243)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(5,243)</w:t>
            </w:r>
          </w:p>
        </w:tc>
      </w:tr>
      <w:tr>
        <w:trPr>
          <w:trHeight w:val="204"/>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(24,238)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(2,807)</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46,601</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9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950,000</w:t>
            </w:r>
          </w:p>
        </w:tc>
        <w:tc>
          <w:tcPr>
            <w:tcW w:w="3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22,363</w:t>
            </w:r>
          </w:p>
        </w:tc>
        <w:tc>
          <w:tcPr>
            <w:tcW w:w="18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(2,807</w:t>
            </w:r>
            <w:r>
              <w:rPr>
                <w:rFonts w:ascii="Times New Roman" w:cs="Times New Roman" w:eastAsia="Times New Roman" w:hAnsi="Times New Roman"/>
                <w:sz w:val="15"/>
                <w:szCs w:val="15"/>
                <w:color w:val="auto"/>
                <w:vertAlign w:val="subscript"/>
              </w:rPr>
              <w:t>)</w:t>
            </w:r>
          </w:p>
        </w:tc>
      </w:tr>
      <w:tr>
        <w:trPr>
          <w:trHeight w:val="20"/>
        </w:trPr>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4"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 in which the issuer was an Affiliated Person of and was deemed to Control a portfolio company are as follows: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year ended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3"/>
                <w:szCs w:val="13"/>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December</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Reductions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 Unrealized</w:t>
            </w:r>
          </w:p>
        </w:tc>
        <w:tc>
          <w:tcPr>
            <w:tcW w:w="8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31,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r>
      <w:tr>
        <w:trPr>
          <w:trHeight w:val="170"/>
        </w:trPr>
        <w:tc>
          <w:tcPr>
            <w:tcW w:w="212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5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10,351</w:t>
            </w: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(5,169)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65,095</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9,428</w:t>
            </w:r>
          </w:p>
        </w:tc>
        <w:tc>
          <w:tcPr>
            <w:tcW w:w="80" w:type="dxa"/>
            <w:vAlign w:val="bottom"/>
            <w:shd w:val="clear" w:color="auto" w:fill="CFF0FC"/>
          </w:tcPr>
          <w:p>
            <w:pPr>
              <w:spacing w:after="0"/>
              <w:rPr>
                <w:sz w:val="13"/>
                <w:szCs w:val="13"/>
                <w:color w:val="auto"/>
              </w:rPr>
            </w:pPr>
          </w:p>
        </w:tc>
      </w:tr>
      <w:tr>
        <w:trPr>
          <w:trHeight w:val="156"/>
        </w:trPr>
        <w:tc>
          <w:tcPr>
            <w:tcW w:w="212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59,913</w:t>
            </w:r>
          </w:p>
        </w:tc>
        <w:tc>
          <w:tcPr>
            <w:tcW w:w="3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b w:val="1"/>
                <w:bCs w:val="1"/>
                <w:color w:val="auto"/>
              </w:rPr>
              <w:t>10,351</w:t>
            </w: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b w:val="1"/>
                <w:bCs w:val="1"/>
                <w:color w:val="auto"/>
              </w:rPr>
              <w:t>(5,169</w:t>
            </w:r>
            <w:r>
              <w:rPr>
                <w:rFonts w:ascii="Times New Roman" w:cs="Times New Roman" w:eastAsia="Times New Roman" w:hAnsi="Times New Roman"/>
                <w:sz w:val="15"/>
                <w:szCs w:val="15"/>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ind w:left="60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ind w:left="54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65,095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w:t>
            </w:r>
          </w:p>
        </w:tc>
        <w:tc>
          <w:tcPr>
            <w:tcW w:w="2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9,428</w:t>
            </w:r>
          </w:p>
        </w:tc>
        <w:tc>
          <w:tcPr>
            <w:tcW w:w="80" w:type="dxa"/>
            <w:vAlign w:val="bottom"/>
          </w:tcPr>
          <w:p>
            <w:pPr>
              <w:spacing w:after="0"/>
              <w:rPr>
                <w:sz w:val="13"/>
                <w:szCs w:val="13"/>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(7)As of December 31, 2024, the estimated cost basis of investments for U.S. federal tax purposes was $3,535,963 resulting in estimated gross unrealized gains and losses of $207,435 and $216,975,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1" w:right="680" w:bottom="1440" w:gutter="0" w:footer="0" w:header="0"/>
        </w:sectPr>
      </w:pPr>
    </w:p>
    <w:bookmarkStart w:id="23" w:name="page24"/>
    <w:bookmarkEnd w:id="23"/>
    <w:p>
      <w:pPr>
        <w:ind w:right="40"/>
        <w:spacing w:after="0" w:line="243"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(9)This investment is valued using observable inputs and is considered a Level 2 investment. See Note 6 for further information related to investments at fair value.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(10)This investment is valued using observable inputs and is considered a Level 1 investment. See Note 6 for further information related to investments at fair value.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(11)This investment is non-income producing.</w:t>
      </w:r>
    </w:p>
    <w:p>
      <w:pPr>
        <w:ind w:right="24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2024, the aggregate fair value of these securities is $12,926, or 0.8%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2024.</w:t>
      </w:r>
    </w:p>
    <w:p>
      <w:pPr>
        <w:ind w:right="226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$13.7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1" w:right="9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Par</w:t>
            </w:r>
          </w:p>
        </w:tc>
        <w:tc>
          <w:tcPr>
            <w:tcW w:w="166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Paid in Capital in</w:t>
            </w:r>
          </w:p>
        </w:tc>
        <w:tc>
          <w:tcPr>
            <w:tcW w:w="180" w:type="dxa"/>
            <w:vAlign w:val="bottom"/>
          </w:tcPr>
          <w:p>
            <w:pPr>
              <w:spacing w:after="0"/>
              <w:rPr>
                <w:sz w:val="15"/>
                <w:szCs w:val="15"/>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120" w:type="dxa"/>
            <w:vAlign w:val="bottom"/>
          </w:tcPr>
          <w:p>
            <w:pPr>
              <w:spacing w:after="0"/>
              <w:rPr>
                <w:sz w:val="15"/>
                <w:szCs w:val="15"/>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93,661,436</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664,250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(10,459)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1,519,337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97,708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1,607,529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57,978</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57,978</w:t>
            </w:r>
          </w:p>
        </w:tc>
        <w:tc>
          <w:tcPr>
            <w:tcW w:w="0" w:type="dxa"/>
            <w:vAlign w:val="bottom"/>
          </w:tcPr>
          <w:p>
            <w:pPr>
              <w:spacing w:after="0"/>
              <w:rPr>
                <w:sz w:val="1"/>
                <w:szCs w:val="1"/>
                <w:color w:val="auto"/>
              </w:rPr>
            </w:pPr>
          </w:p>
        </w:tc>
      </w:tr>
      <w:tr>
        <w:trPr>
          <w:trHeight w:val="144"/>
        </w:trPr>
        <w:tc>
          <w:tcPr>
            <w:tcW w:w="3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(21,860)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(21,860)</w:t>
            </w:r>
          </w:p>
        </w:tc>
        <w:tc>
          <w:tcPr>
            <w:tcW w:w="0" w:type="dxa"/>
            <w:vAlign w:val="bottom"/>
          </w:tcPr>
          <w:p>
            <w:pPr>
              <w:spacing w:after="0"/>
              <w:rPr>
                <w:sz w:val="1"/>
                <w:szCs w:val="1"/>
                <w:color w:val="auto"/>
              </w:rPr>
            </w:pPr>
          </w:p>
        </w:tc>
      </w:tr>
      <w:tr>
        <w:trPr>
          <w:trHeight w:val="144"/>
        </w:trPr>
        <w:tc>
          <w:tcPr>
            <w:tcW w:w="3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(49,641)</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(49,641)</w:t>
            </w:r>
          </w:p>
        </w:tc>
        <w:tc>
          <w:tcPr>
            <w:tcW w:w="0" w:type="dxa"/>
            <w:vAlign w:val="bottom"/>
          </w:tcPr>
          <w:p>
            <w:pPr>
              <w:spacing w:after="0"/>
              <w:rPr>
                <w:sz w:val="1"/>
                <w:szCs w:val="1"/>
                <w:color w:val="auto"/>
              </w:rPr>
            </w:pPr>
          </w:p>
        </w:tc>
      </w:tr>
      <w:tr>
        <w:trPr>
          <w:trHeight w:val="156"/>
        </w:trPr>
        <w:tc>
          <w:tcPr>
            <w:tcW w:w="382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93,964,358</w:t>
            </w:r>
          </w:p>
        </w:tc>
        <w:tc>
          <w:tcPr>
            <w:tcW w:w="320" w:type="dxa"/>
            <w:vAlign w:val="bottom"/>
            <w:gridSpan w:val="2"/>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946</w:t>
            </w:r>
          </w:p>
        </w:tc>
        <w:tc>
          <w:tcPr>
            <w:tcW w:w="180" w:type="dxa"/>
            <w:vAlign w:val="bottom"/>
          </w:tcPr>
          <w:p>
            <w:pPr>
              <w:spacing w:after="0"/>
              <w:rPr>
                <w:sz w:val="13"/>
                <w:szCs w:val="13"/>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664,250</w:t>
            </w:r>
          </w:p>
        </w:tc>
        <w:tc>
          <w:tcPr>
            <w:tcW w:w="3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5"/>
                <w:szCs w:val="15"/>
                <w:b w:val="1"/>
                <w:bCs w:val="1"/>
                <w:color w:val="auto"/>
                <w:vertAlign w:val="subscript"/>
              </w:rPr>
              <w:t>)</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1,525,774</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85,022</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1,601,283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50,840</w:t>
            </w:r>
          </w:p>
        </w:tc>
        <w:tc>
          <w:tcPr>
            <w:tcW w:w="1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50,840</w:t>
            </w:r>
          </w:p>
        </w:tc>
        <w:tc>
          <w:tcPr>
            <w:tcW w:w="0" w:type="dxa"/>
            <w:vAlign w:val="bottom"/>
          </w:tcPr>
          <w:p>
            <w:pPr>
              <w:spacing w:after="0"/>
              <w:rPr>
                <w:sz w:val="1"/>
                <w:szCs w:val="1"/>
                <w:color w:val="auto"/>
              </w:rPr>
            </w:pPr>
          </w:p>
        </w:tc>
      </w:tr>
      <w:tr>
        <w:trPr>
          <w:trHeight w:val="144"/>
        </w:trPr>
        <w:tc>
          <w:tcPr>
            <w:tcW w:w="3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45,039</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45,039</w:t>
            </w:r>
          </w:p>
        </w:tc>
        <w:tc>
          <w:tcPr>
            <w:tcW w:w="0" w:type="dxa"/>
            <w:vAlign w:val="bottom"/>
          </w:tcPr>
          <w:p>
            <w:pPr>
              <w:spacing w:after="0"/>
              <w:rPr>
                <w:sz w:val="1"/>
                <w:szCs w:val="1"/>
                <w:color w:val="auto"/>
              </w:rPr>
            </w:pPr>
          </w:p>
        </w:tc>
      </w:tr>
      <w:tr>
        <w:trPr>
          <w:trHeight w:val="144"/>
        </w:trPr>
        <w:tc>
          <w:tcPr>
            <w:tcW w:w="3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(36,876)</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(36,876)</w:t>
            </w:r>
          </w:p>
        </w:tc>
        <w:tc>
          <w:tcPr>
            <w:tcW w:w="0" w:type="dxa"/>
            <w:vAlign w:val="bottom"/>
          </w:tcPr>
          <w:p>
            <w:pPr>
              <w:spacing w:after="0"/>
              <w:rPr>
                <w:sz w:val="1"/>
                <w:szCs w:val="1"/>
                <w:color w:val="auto"/>
              </w:rPr>
            </w:pPr>
          </w:p>
        </w:tc>
      </w:tr>
      <w:tr>
        <w:trPr>
          <w:trHeight w:val="144"/>
        </w:trPr>
        <w:tc>
          <w:tcPr>
            <w:tcW w:w="38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Transactions:</w:t>
            </w: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275,990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(48,862)</w:t>
            </w:r>
          </w:p>
        </w:tc>
        <w:tc>
          <w:tcPr>
            <w:tcW w:w="1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(48,862)</w:t>
            </w: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94,240,348</w:t>
            </w:r>
          </w:p>
        </w:tc>
        <w:tc>
          <w:tcPr>
            <w:tcW w:w="320" w:type="dxa"/>
            <w:vAlign w:val="bottom"/>
            <w:gridSpan w:val="2"/>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949</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664,250</w:t>
            </w:r>
          </w:p>
        </w:tc>
        <w:tc>
          <w:tcPr>
            <w:tcW w:w="320" w:type="dxa"/>
            <w:vAlign w:val="bottom"/>
            <w:gridSpan w:val="2"/>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5"/>
                <w:szCs w:val="15"/>
                <w:b w:val="1"/>
                <w:bCs w:val="1"/>
                <w:color w:val="auto"/>
                <w:vertAlign w:val="subscript"/>
              </w:rPr>
              <w:t>)</w:t>
            </w:r>
          </w:p>
        </w:tc>
        <w:tc>
          <w:tcPr>
            <w:tcW w:w="2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1,531,993</w:t>
            </w:r>
          </w:p>
        </w:tc>
        <w:tc>
          <w:tcPr>
            <w:tcW w:w="3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shd w:val="clear" w:color="auto" w:fill="CFF0FC"/>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95,163</w:t>
            </w: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1,617,646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820" w:type="dxa"/>
            <w:vAlign w:val="bottom"/>
            <w:tcBorders>
              <w:top w:val="single" w:sz="8" w:color="CFF0FC"/>
            </w:tcBorders>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50,680</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50,680</w:t>
            </w:r>
          </w:p>
        </w:tc>
        <w:tc>
          <w:tcPr>
            <w:tcW w:w="0" w:type="dxa"/>
            <w:vAlign w:val="bottom"/>
          </w:tcPr>
          <w:p>
            <w:pPr>
              <w:spacing w:after="0"/>
              <w:rPr>
                <w:sz w:val="1"/>
                <w:szCs w:val="1"/>
                <w:color w:val="auto"/>
              </w:rPr>
            </w:pPr>
          </w:p>
        </w:tc>
      </w:tr>
      <w:tr>
        <w:trPr>
          <w:trHeight w:val="144"/>
        </w:trPr>
        <w:tc>
          <w:tcPr>
            <w:tcW w:w="3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(5,545)</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(5,545)</w:t>
            </w:r>
          </w:p>
        </w:tc>
        <w:tc>
          <w:tcPr>
            <w:tcW w:w="0" w:type="dxa"/>
            <w:vAlign w:val="bottom"/>
          </w:tcPr>
          <w:p>
            <w:pPr>
              <w:spacing w:after="0"/>
              <w:rPr>
                <w:sz w:val="1"/>
                <w:szCs w:val="1"/>
                <w:color w:val="auto"/>
              </w:rPr>
            </w:pPr>
          </w:p>
        </w:tc>
      </w:tr>
      <w:tr>
        <w:trPr>
          <w:trHeight w:val="144"/>
        </w:trPr>
        <w:tc>
          <w:tcPr>
            <w:tcW w:w="3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44"/>
        </w:trPr>
        <w:tc>
          <w:tcPr>
            <w:tcW w:w="38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253,577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(48,063)</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(48,063)</w:t>
            </w:r>
          </w:p>
        </w:tc>
        <w:tc>
          <w:tcPr>
            <w:tcW w:w="0" w:type="dxa"/>
            <w:vAlign w:val="bottom"/>
          </w:tcPr>
          <w:p>
            <w:pPr>
              <w:spacing w:after="0"/>
              <w:rPr>
                <w:sz w:val="1"/>
                <w:szCs w:val="1"/>
                <w:color w:val="auto"/>
              </w:rPr>
            </w:pPr>
          </w:p>
        </w:tc>
      </w:tr>
      <w:tr>
        <w:trPr>
          <w:trHeight w:val="156"/>
        </w:trPr>
        <w:tc>
          <w:tcPr>
            <w:tcW w:w="382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94,493,925</w:t>
            </w:r>
          </w:p>
        </w:tc>
        <w:tc>
          <w:tcPr>
            <w:tcW w:w="320" w:type="dxa"/>
            <w:vAlign w:val="bottom"/>
            <w:gridSpan w:val="2"/>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952</w:t>
            </w:r>
          </w:p>
        </w:tc>
        <w:tc>
          <w:tcPr>
            <w:tcW w:w="180" w:type="dxa"/>
            <w:vAlign w:val="bottom"/>
          </w:tcPr>
          <w:p>
            <w:pPr>
              <w:spacing w:after="0"/>
              <w:rPr>
                <w:sz w:val="13"/>
                <w:szCs w:val="13"/>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664,250</w:t>
            </w:r>
          </w:p>
        </w:tc>
        <w:tc>
          <w:tcPr>
            <w:tcW w:w="3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5"/>
                <w:szCs w:val="15"/>
                <w:b w:val="1"/>
                <w:bCs w:val="1"/>
                <w:color w:val="auto"/>
                <w:vertAlign w:val="subscript"/>
              </w:rPr>
              <w:t>)</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1,537,514</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91,700</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1,619,707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48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3"/>
                <w:szCs w:val="13"/>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Amoun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Paid in Capital 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1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Total Net</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w:t>
            </w:r>
          </w:p>
        </w:tc>
        <w:tc>
          <w:tcPr>
            <w:tcW w:w="20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87,829,499</w:t>
            </w:r>
          </w:p>
        </w:tc>
        <w:tc>
          <w:tcPr>
            <w:tcW w:w="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664,250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(10,459)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1,405,173</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100,776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1,496,375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52,362</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52,362</w:t>
            </w:r>
          </w:p>
        </w:tc>
        <w:tc>
          <w:tcPr>
            <w:tcW w:w="0" w:type="dxa"/>
            <w:vAlign w:val="bottom"/>
          </w:tcPr>
          <w:p>
            <w:pPr>
              <w:spacing w:after="0"/>
              <w:rPr>
                <w:sz w:val="1"/>
                <w:szCs w:val="1"/>
                <w:color w:val="auto"/>
              </w:rPr>
            </w:pPr>
          </w:p>
        </w:tc>
      </w:tr>
      <w:tr>
        <w:trPr>
          <w:trHeight w:val="144"/>
        </w:trPr>
        <w:tc>
          <w:tcPr>
            <w:tcW w:w="38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(6,969)</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(6,969)</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Transactions: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Issuance of common stock, net of offering and</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underwriting costs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81,417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81,457</w:t>
            </w:r>
          </w:p>
        </w:tc>
        <w:tc>
          <w:tcPr>
            <w:tcW w:w="0" w:type="dxa"/>
            <w:vAlign w:val="bottom"/>
          </w:tcPr>
          <w:p>
            <w:pPr>
              <w:spacing w:after="0"/>
              <w:rPr>
                <w:sz w:val="1"/>
                <w:szCs w:val="1"/>
                <w:color w:val="auto"/>
              </w:rPr>
            </w:pPr>
          </w:p>
        </w:tc>
      </w:tr>
      <w:tr>
        <w:trPr>
          <w:trHeight w:val="156"/>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292,057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80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1" w:lineRule="exact"/>
              <w:rPr>
                <w:sz w:val="20"/>
                <w:szCs w:val="20"/>
                <w:color w:val="auto"/>
              </w:rPr>
            </w:pPr>
            <w:r>
              <w:rPr>
                <w:rFonts w:ascii="Times New Roman" w:cs="Times New Roman" w:eastAsia="Times New Roman" w:hAnsi="Times New Roman"/>
                <w:sz w:val="13"/>
                <w:szCs w:val="13"/>
                <w:color w:val="auto"/>
              </w:rPr>
              <w:t>(49,268</w:t>
            </w:r>
          </w:p>
        </w:tc>
        <w:tc>
          <w:tcPr>
            <w:tcW w:w="10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(49,268)</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92,121,556</w:t>
            </w:r>
          </w:p>
        </w:tc>
        <w:tc>
          <w:tcPr>
            <w:tcW w:w="280" w:type="dxa"/>
            <w:vAlign w:val="bottom"/>
            <w:gridSpan w:val="2"/>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928</w:t>
            </w:r>
          </w:p>
        </w:tc>
        <w:tc>
          <w:tcPr>
            <w:tcW w:w="9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664,250</w:t>
            </w:r>
          </w:p>
        </w:tc>
        <w:tc>
          <w:tcPr>
            <w:tcW w:w="34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5"/>
                <w:szCs w:val="15"/>
                <w:b w:val="1"/>
                <w:bCs w:val="1"/>
                <w:color w:val="auto"/>
                <w:vertAlign w:val="subscript"/>
              </w:rPr>
              <w:t>)</w:t>
            </w:r>
          </w:p>
        </w:tc>
        <w:tc>
          <w:tcPr>
            <w:tcW w:w="18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1,492,511</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shd w:val="clear" w:color="auto" w:fill="CFF0FC"/>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99,026</w:t>
            </w: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1,582,006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800" w:type="dxa"/>
            <w:vAlign w:val="bottom"/>
            <w:tcBorders>
              <w:top w:val="single" w:sz="8" w:color="CFF0FC"/>
            </w:tcBorders>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8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55,143</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55,143</w:t>
            </w:r>
          </w:p>
        </w:tc>
        <w:tc>
          <w:tcPr>
            <w:tcW w:w="0" w:type="dxa"/>
            <w:vAlign w:val="bottom"/>
          </w:tcPr>
          <w:p>
            <w:pPr>
              <w:spacing w:after="0"/>
              <w:rPr>
                <w:sz w:val="1"/>
                <w:szCs w:val="1"/>
                <w:color w:val="auto"/>
              </w:rPr>
            </w:pPr>
          </w:p>
        </w:tc>
      </w:tr>
      <w:tr>
        <w:trPr>
          <w:trHeight w:val="144"/>
        </w:trPr>
        <w:tc>
          <w:tcPr>
            <w:tcW w:w="38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(9,493)</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(9,493)</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Issuance of common stock, net of offering and</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underwriting costs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11,844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11,850</w:t>
            </w:r>
          </w:p>
        </w:tc>
        <w:tc>
          <w:tcPr>
            <w:tcW w:w="0" w:type="dxa"/>
            <w:vAlign w:val="bottom"/>
          </w:tcPr>
          <w:p>
            <w:pPr>
              <w:spacing w:after="0"/>
              <w:rPr>
                <w:sz w:val="1"/>
                <w:szCs w:val="1"/>
                <w:color w:val="auto"/>
              </w:rPr>
            </w:pPr>
          </w:p>
        </w:tc>
      </w:tr>
      <w:tr>
        <w:trPr>
          <w:trHeight w:val="156"/>
        </w:trPr>
        <w:tc>
          <w:tcPr>
            <w:tcW w:w="3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295,649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(48,215)</w:t>
            </w:r>
          </w:p>
        </w:tc>
        <w:tc>
          <w:tcPr>
            <w:tcW w:w="1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(48,215)</w:t>
            </w:r>
          </w:p>
        </w:tc>
        <w:tc>
          <w:tcPr>
            <w:tcW w:w="0" w:type="dxa"/>
            <w:vAlign w:val="bottom"/>
          </w:tcPr>
          <w:p>
            <w:pPr>
              <w:spacing w:after="0"/>
              <w:rPr>
                <w:sz w:val="1"/>
                <w:szCs w:val="1"/>
                <w:color w:val="auto"/>
              </w:rPr>
            </w:pPr>
          </w:p>
        </w:tc>
      </w:tr>
      <w:tr>
        <w:trPr>
          <w:trHeight w:val="174"/>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93,017,205</w:t>
            </w:r>
          </w:p>
        </w:tc>
        <w:tc>
          <w:tcPr>
            <w:tcW w:w="2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937</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664,250</w:t>
            </w:r>
          </w:p>
        </w:tc>
        <w:tc>
          <w:tcPr>
            <w:tcW w:w="3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vMerge w:val="restart"/>
            <w:shd w:val="clear" w:color="auto" w:fill="CFF0FC"/>
          </w:tcPr>
          <w:p>
            <w:pPr>
              <w:jc w:val="right"/>
              <w:ind w:right="80"/>
              <w:spacing w:after="0" w:line="280" w:lineRule="exact"/>
              <w:rPr>
                <w:sz w:val="20"/>
                <w:szCs w:val="20"/>
                <w:color w:val="auto"/>
              </w:rPr>
            </w:pPr>
            <w:r>
              <w:rPr>
                <w:rFonts w:ascii="Times New Roman" w:cs="Times New Roman" w:eastAsia="Times New Roman" w:hAnsi="Times New Roman"/>
                <w:sz w:val="13"/>
                <w:szCs w:val="13"/>
                <w:b w:val="1"/>
                <w:bCs w:val="1"/>
                <w:color w:val="auto"/>
              </w:rPr>
              <w:t>(10,459</w:t>
            </w:r>
            <w:r>
              <w:rPr>
                <w:rFonts w:ascii="Times New Roman" w:cs="Times New Roman" w:eastAsia="Times New Roman" w:hAnsi="Times New Roman"/>
                <w:sz w:val="26"/>
                <w:szCs w:val="26"/>
                <w:b w:val="1"/>
                <w:bCs w:val="1"/>
                <w:color w:val="auto"/>
                <w:vertAlign w:val="subscript"/>
              </w:rPr>
              <w:t>)</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1,510,345</w:t>
            </w:r>
          </w:p>
        </w:tc>
        <w:tc>
          <w:tcPr>
            <w:tcW w:w="100" w:type="dxa"/>
            <w:vAlign w:val="bottom"/>
            <w:shd w:val="clear" w:color="auto" w:fill="CFF0FC"/>
          </w:tcPr>
          <w:p>
            <w:pPr>
              <w:spacing w:after="0"/>
              <w:rPr>
                <w:sz w:val="15"/>
                <w:szCs w:val="15"/>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98,212</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1,599,035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800" w:type="dxa"/>
            <w:vAlign w:val="bottom"/>
            <w:tcBorders>
              <w:top w:val="single" w:sz="8" w:color="CFF0FC"/>
            </w:tcBorders>
          </w:tcPr>
          <w:p>
            <w:pPr>
              <w:ind w:left="40"/>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8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54,926</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54,926</w:t>
            </w:r>
          </w:p>
        </w:tc>
        <w:tc>
          <w:tcPr>
            <w:tcW w:w="0" w:type="dxa"/>
            <w:vAlign w:val="bottom"/>
          </w:tcPr>
          <w:p>
            <w:pPr>
              <w:spacing w:after="0"/>
              <w:rPr>
                <w:sz w:val="1"/>
                <w:szCs w:val="1"/>
                <w:color w:val="auto"/>
              </w:rPr>
            </w:pPr>
          </w:p>
        </w:tc>
      </w:tr>
      <w:tr>
        <w:trPr>
          <w:trHeight w:val="144"/>
        </w:trPr>
        <w:tc>
          <w:tcPr>
            <w:tcW w:w="38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(14,282)</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(14,282)</w:t>
            </w:r>
          </w:p>
        </w:tc>
        <w:tc>
          <w:tcPr>
            <w:tcW w:w="0" w:type="dxa"/>
            <w:vAlign w:val="bottom"/>
          </w:tcPr>
          <w:p>
            <w:pPr>
              <w:spacing w:after="0"/>
              <w:rPr>
                <w:sz w:val="1"/>
                <w:szCs w:val="1"/>
                <w:color w:val="auto"/>
              </w:rPr>
            </w:pPr>
          </w:p>
        </w:tc>
      </w:tr>
      <w:tr>
        <w:trPr>
          <w:trHeight w:val="144"/>
        </w:trPr>
        <w:tc>
          <w:tcPr>
            <w:tcW w:w="38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transactions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Increase (decrease) in Net Assets Resulting from Capital Share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Dividends to stockholders:</w:t>
            </w: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Dividends declared from distributable earnings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(48,368)</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(48,368)</w:t>
            </w:r>
          </w:p>
        </w:tc>
        <w:tc>
          <w:tcPr>
            <w:tcW w:w="0" w:type="dxa"/>
            <w:vAlign w:val="bottom"/>
          </w:tcPr>
          <w:p>
            <w:pPr>
              <w:spacing w:after="0"/>
              <w:rPr>
                <w:sz w:val="1"/>
                <w:szCs w:val="1"/>
                <w:color w:val="auto"/>
              </w:rPr>
            </w:pPr>
          </w:p>
        </w:tc>
      </w:tr>
      <w:tr>
        <w:trPr>
          <w:trHeight w:val="156"/>
        </w:trPr>
        <w:tc>
          <w:tcPr>
            <w:tcW w:w="38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93,317,621</w:t>
            </w:r>
          </w:p>
        </w:tc>
        <w:tc>
          <w:tcPr>
            <w:tcW w:w="28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940</w:t>
            </w:r>
          </w:p>
        </w:tc>
        <w:tc>
          <w:tcPr>
            <w:tcW w:w="9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664,250</w:t>
            </w:r>
          </w:p>
        </w:tc>
        <w:tc>
          <w:tcPr>
            <w:tcW w:w="34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5"/>
                <w:szCs w:val="15"/>
                <w:b w:val="1"/>
                <w:bCs w:val="1"/>
                <w:color w:val="auto"/>
                <w:vertAlign w:val="subscript"/>
              </w:rPr>
              <w:t>)</w:t>
            </w: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1,516,201</w:t>
            </w:r>
          </w:p>
        </w:tc>
        <w:tc>
          <w:tcPr>
            <w:tcW w:w="100" w:type="dxa"/>
            <w:vAlign w:val="bottom"/>
          </w:tcPr>
          <w:p>
            <w:pPr>
              <w:spacing w:after="0"/>
              <w:rPr>
                <w:sz w:val="13"/>
                <w:szCs w:val="13"/>
                <w:color w:val="auto"/>
              </w:rPr>
            </w:pP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90,499</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1,597,181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380" w:type="dxa"/>
            <w:vAlign w:val="bottom"/>
          </w:tcPr>
          <w:p>
            <w:pPr>
              <w:spacing w:after="0"/>
              <w:rPr>
                <w:sz w:val="13"/>
                <w:szCs w:val="13"/>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8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140,557</w:t>
            </w:r>
          </w:p>
        </w:tc>
        <w:tc>
          <w:tcPr>
            <w:tcW w:w="100" w:type="dxa"/>
            <w:vAlign w:val="bottom"/>
          </w:tcPr>
          <w:p>
            <w:pPr>
              <w:spacing w:after="0"/>
              <w:rPr>
                <w:sz w:val="13"/>
                <w:szCs w:val="13"/>
                <w:color w:val="auto"/>
              </w:rPr>
            </w:pP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 provided by (used in)</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(53,081)</w:t>
            </w:r>
          </w:p>
        </w:tc>
        <w:tc>
          <w:tcPr>
            <w:tcW w:w="38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22,068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36,052</w:t>
            </w: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34,919</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(20,720)</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(848,418)</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(680,031)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66,850</w:t>
            </w:r>
          </w:p>
        </w:tc>
        <w:tc>
          <w:tcPr>
            <w:tcW w:w="38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60,495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981,196</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479,819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Paid-in-kind interest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(17,849)</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(23,562)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receivable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(498)</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(177)</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(3,800)</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(16,728)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(156)</w:t>
            </w: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(1,486)</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(3,303)</w:t>
            </w:r>
          </w:p>
        </w:tc>
        <w:tc>
          <w:tcPr>
            <w:tcW w:w="380" w:type="dxa"/>
            <w:vAlign w:val="bottom"/>
            <w:shd w:val="clear" w:color="auto" w:fill="CFF0FC"/>
          </w:tcPr>
          <w:p>
            <w:pPr>
              <w:spacing w:after="0"/>
              <w:rPr>
                <w:sz w:val="14"/>
                <w:szCs w:val="14"/>
                <w:color w:val="auto"/>
              </w:rPr>
            </w:pPr>
          </w:p>
        </w:tc>
        <w:tc>
          <w:tcPr>
            <w:tcW w:w="1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(4,424)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760" w:type="dxa"/>
            <w:vAlign w:val="bottom"/>
            <w:gridSpan w:val="2"/>
            <w:vMerge w:val="continue"/>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7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Payable to affiliate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(648)</w:t>
            </w: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11,528</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21,741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327,487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(14,766)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Borrowings on debt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1,113,585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1,107,043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on debt</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(1,249,545)</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(1,044,166)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Deferred financing costs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(7,317)</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underwriting costs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93,307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(128,379)</w:t>
            </w:r>
          </w:p>
        </w:tc>
        <w:tc>
          <w:tcPr>
            <w:tcW w:w="380" w:type="dxa"/>
            <w:vAlign w:val="bottom"/>
          </w:tcPr>
          <w:p>
            <w:pPr>
              <w:spacing w:after="0"/>
              <w:rPr>
                <w:sz w:val="13"/>
                <w:szCs w:val="13"/>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(128,077)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(271,656)</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19,297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55,831</w:t>
            </w:r>
          </w:p>
        </w:tc>
        <w:tc>
          <w:tcPr>
            <w:tcW w:w="3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27,328</w:t>
            </w:r>
          </w:p>
        </w:tc>
        <w:tc>
          <w:tcPr>
            <w:tcW w:w="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25,196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83,159</w:t>
            </w: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29,727</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2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Supplemental Information:</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106,967</w:t>
            </w:r>
          </w:p>
        </w:tc>
        <w:tc>
          <w:tcPr>
            <w:tcW w:w="100" w:type="dxa"/>
            <w:vAlign w:val="bottom"/>
          </w:tcPr>
          <w:p>
            <w:pPr>
              <w:spacing w:after="0"/>
              <w:rPr>
                <w:sz w:val="13"/>
                <w:szCs w:val="13"/>
                <w:color w:val="auto"/>
              </w:rPr>
            </w:pP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4,844</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146,566</w:t>
            </w:r>
          </w:p>
        </w:tc>
        <w:tc>
          <w:tcPr>
            <w:tcW w:w="100" w:type="dxa"/>
            <w:vAlign w:val="bottom"/>
          </w:tcPr>
          <w:p>
            <w:pPr>
              <w:spacing w:after="0"/>
              <w:rPr>
                <w:sz w:val="13"/>
                <w:szCs w:val="13"/>
                <w:color w:val="auto"/>
              </w:rPr>
            </w:pP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18,186</w:t>
            </w:r>
          </w:p>
        </w:tc>
        <w:tc>
          <w:tcPr>
            <w:tcW w:w="3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17,776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216" w:lineRule="exact"/>
        <w:rPr>
          <w:sz w:val="20"/>
          <w:szCs w:val="20"/>
          <w:color w:val="auto"/>
        </w:rPr>
      </w:pPr>
    </w:p>
    <w:p>
      <w:pPr>
        <w:ind w:right="7780" w:firstLine="6"/>
        <w:spacing w:after="0" w:line="361" w:lineRule="auto"/>
        <w:tabs>
          <w:tab w:leader="none" w:pos="156"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 -owned subsidiary, Sixth Street SL Holding, LLC, a Delaware limited liability company. On December 9, 2020, the Company formed a wholly-owned subsidiary, Sixth Street Specialty Lending Sub, LLC, a Cayman Islands limited liability company.</w:t>
      </w:r>
    </w:p>
    <w:p>
      <w:pPr>
        <w:spacing w:after="0" w:line="173" w:lineRule="exact"/>
        <w:rPr>
          <w:sz w:val="20"/>
          <w:szCs w:val="20"/>
          <w:color w:val="auto"/>
        </w:rPr>
      </w:pPr>
    </w:p>
    <w:p>
      <w:pPr>
        <w:ind w:right="66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71"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2024, which was filed with the Securities and Exchange Commission (“SEC”), on February 13, 2025.</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32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firstLine="228"/>
        <w:spacing w:after="0" w:line="246"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28" w:name="page29"/>
    <w:bookmarkEnd w:id="28"/>
    <w:p>
      <w:pPr>
        <w:ind w:right="400"/>
        <w:spacing w:after="0" w:line="299" w:lineRule="auto"/>
        <w:rPr>
          <w:sz w:val="20"/>
          <w:szCs w:val="20"/>
          <w:color w:val="auto"/>
        </w:rPr>
      </w:pPr>
      <w:r>
        <w:rPr>
          <w:rFonts w:ascii="Times New Roman" w:cs="Times New Roman" w:eastAsia="Times New Roman" w:hAnsi="Times New Roman"/>
          <w:sz w:val="14"/>
          <w:szCs w:val="14"/>
          <w:color w:val="auto"/>
        </w:rPr>
        <w:t>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31"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9" w:name="page30"/>
    <w:bookmarkEnd w:id="29"/>
    <w:p>
      <w:pPr>
        <w:spacing w:after="0" w:line="65" w:lineRule="exact"/>
        <w:rPr>
          <w:sz w:val="20"/>
          <w:szCs w:val="20"/>
          <w:color w:val="auto"/>
        </w:rPr>
      </w:pPr>
    </w:p>
    <w:p>
      <w:pPr>
        <w:ind w:right="720"/>
        <w:spacing w:after="0" w:line="259" w:lineRule="auto"/>
        <w:rPr>
          <w:sz w:val="20"/>
          <w:szCs w:val="20"/>
          <w:color w:val="auto"/>
        </w:rPr>
      </w:pPr>
      <w:r>
        <w:rPr>
          <w:rFonts w:ascii="Times New Roman" w:cs="Times New Roman" w:eastAsia="Times New Roman" w:hAnsi="Times New Roman"/>
          <w:sz w:val="16"/>
          <w:szCs w:val="16"/>
          <w:color w:val="auto"/>
        </w:rPr>
        <w:t>hierarchy that prioritizes and ranks the level of observability of inputs used in determination of fair value. In accordance with ASC Topic 820, these levels are summarized below:</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200" w:firstLine="228"/>
        <w:spacing w:after="0" w:line="242"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00" w:firstLine="228"/>
        <w:spacing w:after="0" w:line="284"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69"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recorded a net expense of $ 1.4 million and $4.0 million, respectively, for U.S. federal excise tax and other taxes. For the three and nine months ended September 30, 2024, the Company recorded a net expense of $0.7 million and $2.8 million, respectively, for U.S. federal excise tax and other taxes.</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recorded a deferred tax benefit of $0.6 million pertaining to net unrealized losses and recognized a tax expense of $0.9 million pertaining to net realized gains. For the three and nine months ended September 30, 2024, the Company recorded a deferred tax expense of $1.5 million pertaining to net unrealized gains, related to eight of its investments.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firstLine="228"/>
        <w:spacing w:after="0" w:line="242"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p>
      <w:pPr>
        <w:spacing w:after="0" w:line="6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19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64"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Company’s chief operating decision maker (the “CODM”) is comprised of the senior executive committee that includes the Chief Executive Officer, President, Chief Financial Officer, and the Deputy Chief Financial Officer.</w:t>
      </w:r>
    </w:p>
    <w:p>
      <w:pPr>
        <w:spacing w:after="0" w:line="155"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9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on the Company's consolidated financial statements.</w:t>
      </w:r>
    </w:p>
    <w:p>
      <w:pPr>
        <w:spacing w:after="0" w:line="71"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spacing w:after="0" w:line="231" w:lineRule="exact"/>
        <w:rPr>
          <w:sz w:val="20"/>
          <w:szCs w:val="20"/>
          <w:color w:val="auto"/>
        </w:rPr>
      </w:pPr>
    </w:p>
    <w:p>
      <w:pPr>
        <w:ind w:right="744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80" w:firstLine="228"/>
        <w:spacing w:after="0" w:line="242" w:lineRule="auto"/>
        <w:rPr>
          <w:sz w:val="20"/>
          <w:szCs w:val="20"/>
          <w:color w:val="auto"/>
        </w:rPr>
      </w:pPr>
      <w:r>
        <w:rPr>
          <w:rFonts w:ascii="Times New Roman" w:cs="Times New Roman" w:eastAsia="Times New Roman" w:hAnsi="Times New Roman"/>
          <w:sz w:val="16"/>
          <w:szCs w:val="16"/>
          <w:color w:val="auto"/>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spacing w:after="0" w:line="65"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28"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incurred expenses of $1.0 million and $2.8 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2024, the Company incurred expenses of $1.0 million and $2.9 million, respectively, for administrative services payable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73"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spacing w:after="0" w:line="164" w:lineRule="exact"/>
        <w:rPr>
          <w:sz w:val="20"/>
          <w:szCs w:val="20"/>
          <w:color w:val="auto"/>
        </w:rPr>
      </w:pPr>
    </w:p>
    <w:p>
      <w:pPr>
        <w:jc w:val="both"/>
        <w:ind w:right="1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2025, Management Fees (gross of waivers) were $13.1 million and $39.1 million, respectively. For the three and nine months ended September 30, 2024, Management Fees (gross of waivers) were $13.0 million and $38.4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2025, the Adviser waived Management Fees of $0.3 million and $1.0 million, respectively, pursuant to the Leverage Waiver. For the three and nine months ended September 30, 2024, the Adviser waived Management Fees of $0.3 million and $1.0 million, respectively, pursuant to the Leverage Waiver.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6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4" w:name="page35"/>
    <w:bookmarkEnd w:id="34"/>
    <w:p>
      <w:pPr>
        <w:ind w:left="240" w:right="120"/>
        <w:spacing w:after="0" w:line="259" w:lineRule="auto"/>
        <w:rPr>
          <w:sz w:val="20"/>
          <w:szCs w:val="20"/>
          <w:color w:val="auto"/>
        </w:rPr>
      </w:pPr>
      <w:r>
        <w:rPr>
          <w:rFonts w:ascii="Times New Roman" w:cs="Times New Roman" w:eastAsia="Times New Roman" w:hAnsi="Times New Roman"/>
          <w:sz w:val="16"/>
          <w:szCs w:val="16"/>
          <w:color w:val="auto"/>
        </w:rPr>
        <w:t>(7.28% annualized), which is the rate at which catch- up is achieved. Once the “hurdle rate” is reached and catch-up is achieved, 17.5% of any pre-Incentive Fee net investment income in excess of 1.82% in any quarter is payable to the Adviser.</w:t>
      </w:r>
    </w:p>
    <w:p>
      <w:pPr>
        <w:spacing w:after="0" w:line="59"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140"/>
        <w:spacing w:after="0" w:line="237" w:lineRule="auto"/>
        <w:rPr>
          <w:sz w:val="20"/>
          <w:szCs w:val="20"/>
          <w:color w:val="auto"/>
        </w:rPr>
      </w:pPr>
      <w:r>
        <w:rPr>
          <w:rFonts w:ascii="Times New Roman" w:cs="Times New Roman" w:eastAsia="Times New Roman" w:hAnsi="Times New Roman"/>
          <w:sz w:val="16"/>
          <w:szCs w:val="16"/>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72"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For the three and nine months ended September 30, 2025, Incentive Fees were $9.5 million and $29.8 million, respectively, of which $10.5 million and $33.1 million, respectively, were realized and payable to the Adviser. For the three and nine months ended September 30, 2024, Incentive Fees were $8.9 million and $29.1 million, respectively, of which $11.2 million and $33.5 million, respectively, were realized and payable to the Adviser. For the three and nine months ended September 30, 2025, $(1.1) million and $(3.3) million, respectively, of Incentive Fees were accrued related to Capital Gains Fees. For the three and nine months ended September 30, 2024, $(2.2) million and $(4.4) million, respectively, of Incentive Fees were accrued related to the reversal of Capital Gains Fees. As of September 30, 2025, the Capital Gains Fees accrued are not contractually payable to the Adviser.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220" w:firstLine="228"/>
        <w:spacing w:after="0" w:line="273" w:lineRule="auto"/>
        <w:rPr>
          <w:sz w:val="20"/>
          <w:szCs w:val="20"/>
          <w:color w:val="auto"/>
        </w:rPr>
      </w:pPr>
      <w:r>
        <w:rPr>
          <w:rFonts w:ascii="Times New Roman" w:cs="Times New Roman" w:eastAsia="Times New Roman" w:hAnsi="Times New Roman"/>
          <w:sz w:val="14"/>
          <w:szCs w:val="14"/>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5" w:name="page36"/>
    <w:bookmarkEnd w:id="35"/>
    <w:p>
      <w:pPr>
        <w:ind w:right="260"/>
        <w:spacing w:after="0" w:line="259" w:lineRule="auto"/>
        <w:rPr>
          <w:sz w:val="20"/>
          <w:szCs w:val="20"/>
          <w:color w:val="auto"/>
        </w:rPr>
      </w:pPr>
      <w:r>
        <w:rPr>
          <w:rFonts w:ascii="Times New Roman" w:cs="Times New Roman" w:eastAsia="Times New Roman" w:hAnsi="Times New Roman"/>
          <w:sz w:val="16"/>
          <w:szCs w:val="16"/>
          <w:color w:val="auto"/>
        </w:rPr>
        <w:t>Schedules of Investments. The information in the tables below is presented on an aggregate portfolio basis, without regard to whether they are non-controlled, non-affiliated; non-controlled, affiliated; or controlled, affiliated investments.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September 30, 2025 and December 31, 2024:</w:t>
      </w:r>
    </w:p>
    <w:p>
      <w:pPr>
        <w:spacing w:after="0" w:line="236"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5"/>
                <w:szCs w:val="15"/>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5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2,960,044</w:t>
            </w:r>
          </w:p>
        </w:tc>
        <w:tc>
          <w:tcPr>
            <w:tcW w:w="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3,011,396</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68,427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29,779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(38,648)</w:t>
            </w: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4"/>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59,520</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60,082</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156,384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175,712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19,328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Structured credit investments</w:t>
            </w:r>
          </w:p>
        </w:tc>
        <w:tc>
          <w:tcPr>
            <w:tcW w:w="4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99,597</w:t>
            </w:r>
          </w:p>
        </w:tc>
        <w:tc>
          <w:tcPr>
            <w:tcW w:w="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99,342</w:t>
            </w:r>
          </w:p>
        </w:tc>
        <w:tc>
          <w:tcPr>
            <w:tcW w:w="1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40"/>
              <w:spacing w:after="0" w:line="275" w:lineRule="exact"/>
              <w:rPr>
                <w:sz w:val="20"/>
                <w:szCs w:val="20"/>
                <w:color w:val="auto"/>
              </w:rPr>
            </w:pPr>
            <w:r>
              <w:rPr>
                <w:rFonts w:ascii="Times New Roman" w:cs="Times New Roman" w:eastAsia="Times New Roman" w:hAnsi="Times New Roman"/>
                <w:sz w:val="16"/>
                <w:szCs w:val="16"/>
                <w:color w:val="auto"/>
              </w:rPr>
              <w:t>(255</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180"/>
        </w:trPr>
        <w:tc>
          <w:tcPr>
            <w:tcW w:w="40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5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3,343,972</w:t>
            </w:r>
          </w:p>
        </w:tc>
        <w:tc>
          <w:tcPr>
            <w:tcW w:w="20" w:type="dxa"/>
            <w:vAlign w:val="bottom"/>
          </w:tcPr>
          <w:p>
            <w:pPr>
              <w:spacing w:after="0"/>
              <w:rPr>
                <w:sz w:val="15"/>
                <w:szCs w:val="15"/>
                <w:color w:val="auto"/>
              </w:rPr>
            </w:pPr>
          </w:p>
        </w:tc>
        <w:tc>
          <w:tcPr>
            <w:tcW w:w="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3,376,311</w:t>
            </w:r>
          </w:p>
        </w:tc>
        <w:tc>
          <w:tcPr>
            <w:tcW w:w="140" w:type="dxa"/>
            <w:vAlign w:val="bottom"/>
          </w:tcPr>
          <w:p>
            <w:pPr>
              <w:spacing w:after="0"/>
              <w:rPr>
                <w:sz w:val="15"/>
                <w:szCs w:val="15"/>
                <w:color w:val="auto"/>
              </w:rPr>
            </w:pP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8"/>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Pr>
          <w:p>
            <w:pPr>
              <w:spacing w:after="0"/>
              <w:rPr>
                <w:sz w:val="24"/>
                <w:szCs w:val="2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2"/>
                <w:szCs w:val="12"/>
                <w:color w:val="auto"/>
              </w:rPr>
            </w:pPr>
          </w:p>
        </w:tc>
        <w:tc>
          <w:tcPr>
            <w:tcW w:w="15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480" w:type="dxa"/>
            <w:vAlign w:val="bottom"/>
            <w:shd w:val="clear" w:color="auto" w:fill="CFF0FC"/>
          </w:tcPr>
          <w:p>
            <w:pPr>
              <w:jc w:val="right"/>
              <w:ind w:right="32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3,298,006</w:t>
            </w:r>
          </w:p>
        </w:tc>
        <w:tc>
          <w:tcPr>
            <w:tcW w:w="4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53,151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(33,307)</w:t>
            </w: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37,087</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149,409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155,501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6,092</w:t>
            </w: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408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480" w:type="dxa"/>
            <w:vAlign w:val="bottom"/>
          </w:tcPr>
          <w:p>
            <w:pPr>
              <w:jc w:val="right"/>
              <w:ind w:right="32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5"/>
                <w:szCs w:val="15"/>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3,539,153</w:t>
            </w:r>
          </w:p>
        </w:tc>
        <w:tc>
          <w:tcPr>
            <w:tcW w:w="40" w:type="dxa"/>
            <w:vAlign w:val="bottom"/>
          </w:tcPr>
          <w:p>
            <w:pPr>
              <w:spacing w:after="0"/>
              <w:rPr>
                <w:sz w:val="15"/>
                <w:szCs w:val="15"/>
                <w:color w:val="auto"/>
              </w:rPr>
            </w:pPr>
          </w:p>
        </w:tc>
        <w:tc>
          <w:tcPr>
            <w:tcW w:w="24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jc w:val="right"/>
              <w:ind w:right="1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(20,741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September 30, 2025 and December 31, 2024 is as follows:</w:t>
      </w:r>
    </w:p>
    <w:p>
      <w:pPr>
        <w:spacing w:after="0" w:line="248"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7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7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25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Marketing Services</w:t>
            </w:r>
          </w:p>
        </w:tc>
        <w:tc>
          <w:tcPr>
            <w:tcW w:w="1720" w:type="dxa"/>
            <w:vAlign w:val="bottom"/>
            <w:gridSpan w:val="2"/>
          </w:tcPr>
          <w:p>
            <w:pPr>
              <w:jc w:val="right"/>
              <w:ind w:right="100"/>
              <w:spacing w:after="0" w:line="252" w:lineRule="exact"/>
              <w:rPr>
                <w:sz w:val="20"/>
                <w:szCs w:val="20"/>
                <w:color w:val="auto"/>
              </w:rPr>
            </w:pPr>
            <w:r>
              <w:rPr>
                <w:rFonts w:ascii="Times New Roman" w:cs="Times New Roman" w:eastAsia="Times New Roman" w:hAnsi="Times New Roman"/>
                <w:sz w:val="15"/>
                <w:szCs w:val="15"/>
                <w:color w:val="auto"/>
              </w:rPr>
              <w:t>0.3</w:t>
            </w:r>
            <w:r>
              <w:rPr>
                <w:rFonts w:ascii="Times New Roman" w:cs="Times New Roman" w:eastAsia="Times New Roman" w:hAnsi="Times New Roman"/>
                <w:sz w:val="29"/>
                <w:szCs w:val="29"/>
                <w:color w:val="auto"/>
                <w:vertAlign w:val="superscript"/>
              </w:rPr>
              <w:t>%</w:t>
            </w:r>
          </w:p>
        </w:tc>
        <w:tc>
          <w:tcPr>
            <w:tcW w:w="162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5"/>
                <w:szCs w:val="15"/>
                <w:color w:val="auto"/>
              </w:rPr>
              <w:t>0.3</w:t>
            </w:r>
            <w:r>
              <w:rPr>
                <w:rFonts w:ascii="Times New Roman" w:cs="Times New Roman" w:eastAsia="Times New Roman" w:hAnsi="Times New Roman"/>
                <w:sz w:val="29"/>
                <w:szCs w:val="29"/>
                <w:color w:val="auto"/>
                <w:vertAlign w:val="superscript"/>
              </w:rPr>
              <w:t>%</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Office Products</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40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09" w:right="780" w:bottom="1440" w:gutter="0" w:footer="0" w:header="0"/>
        </w:sectPr>
      </w:pPr>
    </w:p>
    <w:bookmarkStart w:id="36" w:name="page37"/>
    <w:bookmarkEnd w:id="36"/>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September 30, 2025 and December 31, 2024 is as follows:</w:t>
      </w:r>
    </w:p>
    <w:p>
      <w:pPr>
        <w:spacing w:after="0" w:line="248"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41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14.3%</w:t>
            </w:r>
          </w:p>
        </w:tc>
      </w:tr>
      <w:tr>
        <w:trPr>
          <w:trHeight w:val="180"/>
        </w:trPr>
        <w:tc>
          <w:tcPr>
            <w:tcW w:w="41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21.7%</w:t>
            </w:r>
          </w:p>
        </w:tc>
      </w:tr>
      <w:tr>
        <w:trPr>
          <w:trHeight w:val="180"/>
        </w:trPr>
        <w:tc>
          <w:tcPr>
            <w:tcW w:w="41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20.6%</w:t>
            </w:r>
          </w:p>
        </w:tc>
      </w:tr>
      <w:tr>
        <w:trPr>
          <w:trHeight w:val="180"/>
        </w:trPr>
        <w:tc>
          <w:tcPr>
            <w:tcW w:w="41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28.8%</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5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5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80"/>
        </w:trPr>
        <w:tc>
          <w:tcPr>
            <w:tcW w:w="416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5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4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ind w:right="9320" w:firstLine="6"/>
        <w:spacing w:after="0" w:line="477" w:lineRule="auto"/>
        <w:tabs>
          <w:tab w:leader="none" w:pos="15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14"/>
          <w:szCs w:val="14"/>
          <w:i w:val="1"/>
          <w:iCs w:val="1"/>
          <w:color w:val="auto"/>
        </w:rPr>
        <w:t>Interest Rate Swaps</w:t>
      </w:r>
    </w:p>
    <w:p>
      <w:pPr>
        <w:spacing w:after="0" w:line="1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6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Cash flows related to the Company's derivatives are included within operating activities on the Consolidated Statements of Cash Flows. The following tables present the amounts paid and received on the Company’s interest rate swap transactions for the three and nine months ended September 30, 2025 and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9"/>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9"/>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36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Notional Amount</w:t>
            </w:r>
          </w:p>
        </w:tc>
        <w:tc>
          <w:tcPr>
            <w:tcW w:w="8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0"/>
        </w:trPr>
        <w:tc>
          <w:tcPr>
            <w:tcW w:w="1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Borders>
              <w:right w:val="single" w:sz="8" w:color="CFF0FC"/>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(5,011)</w:t>
            </w: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1,875</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(3,136)</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(14,793)</w:t>
            </w:r>
          </w:p>
        </w:tc>
        <w:tc>
          <w:tcPr>
            <w:tcW w:w="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5,583</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(9,210)</w:t>
            </w:r>
          </w:p>
        </w:tc>
        <w:tc>
          <w:tcPr>
            <w:tcW w:w="0" w:type="dxa"/>
            <w:vAlign w:val="bottom"/>
          </w:tcPr>
          <w:p>
            <w:pPr>
              <w:spacing w:after="0"/>
              <w:rPr>
                <w:sz w:val="1"/>
                <w:szCs w:val="1"/>
                <w:color w:val="auto"/>
              </w:rPr>
            </w:pPr>
          </w:p>
        </w:tc>
      </w:tr>
      <w:tr>
        <w:trPr>
          <w:trHeight w:val="180"/>
        </w:trPr>
        <w:tc>
          <w:tcPr>
            <w:tcW w:w="1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8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(5,640)</w:t>
            </w: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5,213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(16,715)</w:t>
            </w: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144"/>
        </w:trPr>
        <w:tc>
          <w:tcPr>
            <w:tcW w:w="1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Borders>
              <w:right w:val="single" w:sz="8" w:color="CFF0FC"/>
            </w:tcBorders>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3/1/2029</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1420" w:type="dxa"/>
            <w:vAlign w:val="bottom"/>
            <w:vMerge w:val="continue"/>
            <w:shd w:val="clear" w:color="auto" w:fill="CFF0FC"/>
          </w:tcPr>
          <w:p>
            <w:pPr>
              <w:spacing w:after="0"/>
              <w:rPr>
                <w:sz w:val="15"/>
                <w:szCs w:val="15"/>
                <w:color w:val="auto"/>
              </w:rPr>
            </w:pPr>
          </w:p>
        </w:tc>
        <w:tc>
          <w:tcPr>
            <w:tcW w:w="1360" w:type="dxa"/>
            <w:vAlign w:val="bottom"/>
            <w:tcBorders>
              <w:right w:val="single" w:sz="8" w:color="CFF0FC"/>
            </w:tcBorders>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(6,083</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(18,027</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180"/>
        </w:trPr>
        <w:tc>
          <w:tcPr>
            <w:tcW w:w="1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8/15/2030</w:t>
            </w:r>
          </w:p>
        </w:tc>
        <w:tc>
          <w:tcPr>
            <w:tcW w:w="8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(4,516)</w:t>
            </w: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(10,380)</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0"/>
        </w:trPr>
        <w:tc>
          <w:tcPr>
            <w:tcW w:w="142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1,250,000</w:t>
            </w:r>
          </w:p>
        </w:tc>
        <w:tc>
          <w:tcPr>
            <w:tcW w:w="2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FF0FC"/>
            </w:tcBorders>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(21,250</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16,666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(4,584</w:t>
            </w:r>
            <w:r>
              <w:rPr>
                <w:rFonts w:ascii="Times New Roman" w:cs="Times New Roman" w:eastAsia="Times New Roman" w:hAnsi="Times New Roman"/>
                <w:sz w:val="18"/>
                <w:szCs w:val="18"/>
                <w:color w:val="auto"/>
                <w:vertAlign w:val="subscript"/>
              </w:rPr>
              <w:t>)</w:t>
            </w:r>
          </w:p>
        </w:tc>
        <w:tc>
          <w:tcPr>
            <w:tcW w:w="2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(59,915</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47,143</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(12,772</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9"/>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2024</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36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80"/>
        </w:trPr>
        <w:tc>
          <w:tcPr>
            <w:tcW w:w="1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(6,021)</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2,906</w:t>
            </w:r>
          </w:p>
        </w:tc>
        <w:tc>
          <w:tcPr>
            <w:tcW w:w="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(3,115)</w:t>
            </w:r>
          </w:p>
        </w:tc>
        <w:tc>
          <w:tcPr>
            <w:tcW w:w="2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(17,953)</w:t>
            </w:r>
          </w:p>
        </w:tc>
        <w:tc>
          <w:tcPr>
            <w:tcW w:w="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8,719</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(9,234)</w:t>
            </w:r>
          </w:p>
        </w:tc>
        <w:tc>
          <w:tcPr>
            <w:tcW w:w="0" w:type="dxa"/>
            <w:vAlign w:val="bottom"/>
          </w:tcPr>
          <w:p>
            <w:pPr>
              <w:spacing w:after="0"/>
              <w:rPr>
                <w:sz w:val="1"/>
                <w:szCs w:val="1"/>
                <w:color w:val="auto"/>
              </w:rPr>
            </w:pPr>
          </w:p>
        </w:tc>
      </w:tr>
      <w:tr>
        <w:trPr>
          <w:trHeight w:val="180"/>
        </w:trPr>
        <w:tc>
          <w:tcPr>
            <w:tcW w:w="1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8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(1,030)</w:t>
            </w: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(3,060)</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180"/>
        </w:trPr>
        <w:tc>
          <w:tcPr>
            <w:tcW w:w="1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8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80" w:type="dxa"/>
            <w:vAlign w:val="bottom"/>
          </w:tcPr>
          <w:p>
            <w:pPr>
              <w:spacing w:after="0"/>
              <w:rPr>
                <w:sz w:val="15"/>
                <w:szCs w:val="15"/>
                <w:color w:val="auto"/>
              </w:rPr>
            </w:pPr>
          </w:p>
        </w:tc>
        <w:tc>
          <w:tcPr>
            <w:tcW w:w="13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(5,759)</w:t>
            </w:r>
          </w:p>
        </w:tc>
        <w:tc>
          <w:tcPr>
            <w:tcW w:w="140" w:type="dxa"/>
            <w:vAlign w:val="bottom"/>
          </w:tcPr>
          <w:p>
            <w:pPr>
              <w:spacing w:after="0"/>
              <w:rPr>
                <w:sz w:val="15"/>
                <w:szCs w:val="15"/>
                <w:color w:val="auto"/>
              </w:rPr>
            </w:pP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1,875</w:t>
            </w:r>
          </w:p>
        </w:tc>
        <w:tc>
          <w:tcPr>
            <w:tcW w:w="220" w:type="dxa"/>
            <w:vAlign w:val="bottom"/>
          </w:tcPr>
          <w:p>
            <w:pPr>
              <w:spacing w:after="0"/>
              <w:rPr>
                <w:sz w:val="15"/>
                <w:szCs w:val="15"/>
                <w:color w:val="auto"/>
              </w:rPr>
            </w:pPr>
          </w:p>
        </w:tc>
        <w:tc>
          <w:tcPr>
            <w:tcW w:w="8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(3,884)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(17,108)</w:t>
            </w:r>
          </w:p>
        </w:tc>
        <w:tc>
          <w:tcPr>
            <w:tcW w:w="14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5,583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(11,525)</w:t>
            </w:r>
          </w:p>
        </w:tc>
        <w:tc>
          <w:tcPr>
            <w:tcW w:w="0" w:type="dxa"/>
            <w:vAlign w:val="bottom"/>
          </w:tcPr>
          <w:p>
            <w:pPr>
              <w:spacing w:after="0"/>
              <w:rPr>
                <w:sz w:val="1"/>
                <w:szCs w:val="1"/>
                <w:color w:val="auto"/>
              </w:rPr>
            </w:pPr>
          </w:p>
        </w:tc>
      </w:tr>
      <w:tr>
        <w:trPr>
          <w:trHeight w:val="180"/>
        </w:trPr>
        <w:tc>
          <w:tcPr>
            <w:tcW w:w="1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Borders>
              <w:right w:val="single" w:sz="8" w:color="CFF0FC"/>
            </w:tcBorders>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8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(6,387)</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5,213</w:t>
            </w: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(1,174)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(19,044)</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15,637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(3,407)</w:t>
            </w:r>
          </w:p>
        </w:tc>
        <w:tc>
          <w:tcPr>
            <w:tcW w:w="0" w:type="dxa"/>
            <w:vAlign w:val="bottom"/>
          </w:tcPr>
          <w:p>
            <w:pPr>
              <w:spacing w:after="0"/>
              <w:rPr>
                <w:sz w:val="1"/>
                <w:szCs w:val="1"/>
                <w:color w:val="auto"/>
              </w:rPr>
            </w:pPr>
          </w:p>
        </w:tc>
      </w:tr>
      <w:tr>
        <w:trPr>
          <w:trHeight w:val="180"/>
        </w:trPr>
        <w:tc>
          <w:tcPr>
            <w:tcW w:w="1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3/1/2029</w:t>
            </w:r>
          </w:p>
        </w:tc>
        <w:tc>
          <w:tcPr>
            <w:tcW w:w="80" w:type="dxa"/>
            <w:vAlign w:val="bottom"/>
          </w:tcPr>
          <w:p>
            <w:pPr>
              <w:spacing w:after="0"/>
              <w:rPr>
                <w:sz w:val="15"/>
                <w:szCs w:val="15"/>
                <w:color w:val="auto"/>
              </w:rPr>
            </w:pPr>
          </w:p>
        </w:tc>
        <w:tc>
          <w:tcPr>
            <w:tcW w:w="13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(6,955)</w:t>
            </w:r>
          </w:p>
        </w:tc>
        <w:tc>
          <w:tcPr>
            <w:tcW w:w="140" w:type="dxa"/>
            <w:vAlign w:val="bottom"/>
          </w:tcPr>
          <w:p>
            <w:pPr>
              <w:spacing w:after="0"/>
              <w:rPr>
                <w:sz w:val="15"/>
                <w:szCs w:val="15"/>
                <w:color w:val="auto"/>
              </w:rPr>
            </w:pP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5,360</w:t>
            </w:r>
          </w:p>
        </w:tc>
        <w:tc>
          <w:tcPr>
            <w:tcW w:w="220" w:type="dxa"/>
            <w:vAlign w:val="bottom"/>
          </w:tcPr>
          <w:p>
            <w:pPr>
              <w:spacing w:after="0"/>
              <w:rPr>
                <w:sz w:val="15"/>
                <w:szCs w:val="15"/>
                <w:color w:val="auto"/>
              </w:rPr>
            </w:pPr>
          </w:p>
        </w:tc>
        <w:tc>
          <w:tcPr>
            <w:tcW w:w="8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(1,595)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(19,138)</w:t>
            </w: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(4,310)</w:t>
            </w:r>
          </w:p>
        </w:tc>
        <w:tc>
          <w:tcPr>
            <w:tcW w:w="0" w:type="dxa"/>
            <w:vAlign w:val="bottom"/>
          </w:tcPr>
          <w:p>
            <w:pPr>
              <w:spacing w:after="0"/>
              <w:rPr>
                <w:sz w:val="1"/>
                <w:szCs w:val="1"/>
                <w:color w:val="auto"/>
              </w:rPr>
            </w:pPr>
          </w:p>
        </w:tc>
      </w:tr>
      <w:tr>
        <w:trPr>
          <w:trHeight w:val="200"/>
        </w:trPr>
        <w:tc>
          <w:tcPr>
            <w:tcW w:w="142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1,302,500</w:t>
            </w:r>
          </w:p>
        </w:tc>
        <w:tc>
          <w:tcPr>
            <w:tcW w:w="2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FF0FC"/>
            </w:tcBorders>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(26,176</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15,888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color w:val="auto"/>
              </w:rPr>
              <w:t>(10,288</w:t>
            </w:r>
            <w:r>
              <w:rPr>
                <w:rFonts w:ascii="Times New Roman" w:cs="Times New Roman" w:eastAsia="Times New Roman" w:hAnsi="Times New Roman"/>
                <w:sz w:val="18"/>
                <w:szCs w:val="18"/>
                <w:color w:val="auto"/>
                <w:vertAlign w:val="subscript"/>
              </w:rPr>
              <w:t>)</w:t>
            </w:r>
          </w:p>
        </w:tc>
        <w:tc>
          <w:tcPr>
            <w:tcW w:w="22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(76,375</w:t>
            </w:r>
            <w:r>
              <w:rPr>
                <w:rFonts w:ascii="Times New Roman" w:cs="Times New Roman" w:eastAsia="Times New Roman" w:hAnsi="Times New Roman"/>
                <w:sz w:val="18"/>
                <w:szCs w:val="18"/>
                <w:color w:val="auto"/>
                <w:vertAlign w:val="subscript"/>
              </w:rPr>
              <w:t>)</w:t>
            </w:r>
          </w:p>
        </w:tc>
        <w:tc>
          <w:tcPr>
            <w:tcW w:w="1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46,370</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(30,005</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firstLine="228"/>
        <w:spacing w:after="0" w:line="246"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recognized $3.9 million and $33.1 million, respectively, of unrealized gains on interest rate swaps designated as hedging instruments in the Consolidated Statements of Operations. For the three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37" w:name="page38"/>
    <w:bookmarkEnd w:id="37"/>
    <w:p>
      <w:pPr>
        <w:spacing w:after="0" w:line="6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and nine months ended September 30, 2025, this amount was offset by an increase of $2.8 million and $ 9.0 million, respectively, for a change in carrying value of the 2026 Notes, an increase of $ 0.2 million and $6.0 million, respectively, for a change in carrying value of the 2028 Notes, an increase of $0.5 million and $8.7 million, respectively, for a change in carrying value of the 2029 Notes and an increase of $0.4 million and $9.3 million, respectively, for a change in carrying value of the 2030 Notes.</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2024, the Company recognized $32.9 million and $25.5 million in unrealized gains, respectively, on interest rate swaps designated as hedging instruments in the Consolidated Statements of Operations. For the three and nine months ended September 30, 2024, this amount was offset by an increase of $3.7 million and $9.1 million, respectively, for a change in the carrying value of the 2024 Notes, an increase of $8.2 million and $8.9 million, respectively, for a change in carrying value of the 2026 Notes, an increase of $9.3 million and $2.1 million, respectively, for a change in carrying value of the 2028 Notes, and an increase of $11.7 million and $5.4 million, respectively, for a change in carrying value of the 2029 Notes.</w:t>
      </w:r>
    </w:p>
    <w:p>
      <w:pPr>
        <w:spacing w:after="0" w:line="169"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As of September 30, 2025, the swap transactions had a fair value of $8.8 million, which is netted against cash collateral of $20.1 million. Cash is pledged as collateral under the Company’s derivative agreements and is included in restricted cash as a component of cash and cash equivalents on the Company’s Consolidated Balance Sheet. 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w:t>
      </w:r>
    </w:p>
    <w:p>
      <w:pPr>
        <w:spacing w:after="0" w:line="169"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or other counterparties in the future.</w:t>
      </w:r>
    </w:p>
    <w:p>
      <w:pPr>
        <w:spacing w:after="0" w:line="282" w:lineRule="exact"/>
        <w:rPr>
          <w:sz w:val="20"/>
          <w:szCs w:val="20"/>
          <w:color w:val="auto"/>
        </w:rPr>
      </w:pPr>
    </w:p>
    <w:p>
      <w:pPr>
        <w:ind w:right="8000" w:firstLine="6"/>
        <w:spacing w:after="0" w:line="361" w:lineRule="auto"/>
        <w:tabs>
          <w:tab w:leader="none" w:pos="156"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September 30, 2025 and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40" w:type="dxa"/>
            <w:vAlign w:val="bottom"/>
            <w:gridSpan w:val="1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 Hierarchy at September 30, 2025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29,021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2,982,375</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3,011,396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29,779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60,082</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123,820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175,712</w:t>
            </w: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99,342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99,342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39,480</w:t>
            </w:r>
          </w:p>
        </w:tc>
        <w:tc>
          <w:tcPr>
            <w:tcW w:w="60" w:type="dxa"/>
            <w:vAlign w:val="bottom"/>
          </w:tcPr>
          <w:p>
            <w:pPr>
              <w:spacing w:after="0"/>
              <w:rPr>
                <w:sz w:val="15"/>
                <w:szCs w:val="15"/>
                <w:color w:val="auto"/>
              </w:rPr>
            </w:pPr>
          </w:p>
        </w:tc>
        <w:tc>
          <w:tcPr>
            <w:tcW w:w="400" w:type="dxa"/>
            <w:vAlign w:val="bottom"/>
            <w:gridSpan w:val="3"/>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141,570</w:t>
            </w:r>
          </w:p>
        </w:tc>
        <w:tc>
          <w:tcPr>
            <w:tcW w:w="10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3,195,261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3,376,311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8,847</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8,847</w:t>
            </w:r>
          </w:p>
        </w:tc>
        <w:tc>
          <w:tcPr>
            <w:tcW w:w="0" w:type="dxa"/>
            <w:vAlign w:val="bottom"/>
          </w:tcPr>
          <w:p>
            <w:pPr>
              <w:spacing w:after="0"/>
              <w:rPr>
                <w:sz w:val="1"/>
                <w:szCs w:val="1"/>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39,480</w:t>
            </w:r>
          </w:p>
        </w:tc>
        <w:tc>
          <w:tcPr>
            <w:tcW w:w="60" w:type="dxa"/>
            <w:vAlign w:val="bottom"/>
          </w:tcPr>
          <w:p>
            <w:pPr>
              <w:spacing w:after="0"/>
              <w:rPr>
                <w:sz w:val="15"/>
                <w:szCs w:val="15"/>
                <w:color w:val="auto"/>
              </w:rPr>
            </w:pPr>
          </w:p>
        </w:tc>
        <w:tc>
          <w:tcPr>
            <w:tcW w:w="400" w:type="dxa"/>
            <w:vAlign w:val="bottom"/>
            <w:gridSpan w:val="3"/>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150,417</w:t>
            </w:r>
          </w:p>
        </w:tc>
        <w:tc>
          <w:tcPr>
            <w:tcW w:w="10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3,195,261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3,385,158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1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14,675</w:t>
            </w:r>
          </w:p>
        </w:tc>
        <w:tc>
          <w:tcPr>
            <w:tcW w:w="100" w:type="dxa"/>
            <w:vAlign w:val="bottom"/>
            <w:shd w:val="clear" w:color="auto" w:fill="CFF0FC"/>
          </w:tcPr>
          <w:p>
            <w:pPr>
              <w:spacing w:after="0"/>
              <w:rPr>
                <w:sz w:val="15"/>
                <w:szCs w:val="15"/>
                <w:color w:val="auto"/>
              </w:rPr>
            </w:pPr>
          </w:p>
        </w:tc>
        <w:tc>
          <w:tcPr>
            <w:tcW w:w="3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100" w:type="dxa"/>
            <w:vAlign w:val="bottom"/>
            <w:shd w:val="clear" w:color="auto" w:fill="CFF0FC"/>
          </w:tcPr>
          <w:p>
            <w:pPr>
              <w:spacing w:after="0"/>
              <w:rPr>
                <w:sz w:val="15"/>
                <w:szCs w:val="15"/>
                <w:color w:val="auto"/>
              </w:rPr>
            </w:pPr>
          </w:p>
        </w:tc>
        <w:tc>
          <w:tcPr>
            <w:tcW w:w="34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39,091</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gridSpan w:val="3"/>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11,963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155,501</w:t>
            </w: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0" w:type="dxa"/>
            <w:vAlign w:val="bottom"/>
            <w:gridSpan w:val="3"/>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29,419</w:t>
            </w:r>
          </w:p>
        </w:tc>
        <w:tc>
          <w:tcPr>
            <w:tcW w:w="100" w:type="dxa"/>
            <w:vAlign w:val="bottom"/>
          </w:tcPr>
          <w:p>
            <w:pPr>
              <w:spacing w:after="0"/>
              <w:rPr>
                <w:sz w:val="15"/>
                <w:szCs w:val="15"/>
                <w:color w:val="auto"/>
              </w:rPr>
            </w:pPr>
          </w:p>
        </w:tc>
        <w:tc>
          <w:tcPr>
            <w:tcW w:w="3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100" w:type="dxa"/>
            <w:vAlign w:val="bottom"/>
          </w:tcPr>
          <w:p>
            <w:pPr>
              <w:spacing w:after="0"/>
              <w:rPr>
                <w:sz w:val="15"/>
                <w:szCs w:val="15"/>
                <w:color w:val="auto"/>
              </w:rPr>
            </w:pPr>
          </w:p>
        </w:tc>
        <w:tc>
          <w:tcPr>
            <w:tcW w:w="3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(24,238)</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(24,238)</w:t>
            </w:r>
          </w:p>
        </w:tc>
        <w:tc>
          <w:tcPr>
            <w:tcW w:w="0" w:type="dxa"/>
            <w:vAlign w:val="bottom"/>
          </w:tcPr>
          <w:p>
            <w:pPr>
              <w:spacing w:after="0"/>
              <w:rPr>
                <w:sz w:val="1"/>
                <w:szCs w:val="1"/>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0" w:type="dxa"/>
            <w:vAlign w:val="bottom"/>
            <w:gridSpan w:val="3"/>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5,181</w:t>
            </w:r>
          </w:p>
        </w:tc>
        <w:tc>
          <w:tcPr>
            <w:tcW w:w="3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100" w:type="dxa"/>
            <w:vAlign w:val="bottom"/>
          </w:tcPr>
          <w:p>
            <w:pPr>
              <w:spacing w:after="0"/>
              <w:rPr>
                <w:sz w:val="15"/>
                <w:szCs w:val="15"/>
                <w:color w:val="auto"/>
              </w:rPr>
            </w:pPr>
          </w:p>
        </w:tc>
        <w:tc>
          <w:tcPr>
            <w:tcW w:w="3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3,494,174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6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nine months ended September 30,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9"/>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3,014,071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28,735</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53,567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120,739</w:t>
            </w:r>
          </w:p>
        </w:tc>
        <w:tc>
          <w:tcPr>
            <w:tcW w:w="28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3,217,112</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283,139</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289,266</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(312,964)</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(313,181)</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(1,588)</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4,365</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1,408</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6,847</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(12,641)</w:t>
            </w:r>
          </w:p>
        </w:tc>
        <w:tc>
          <w:tcPr>
            <w:tcW w:w="10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3,773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(10,518)</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6,395</w:t>
            </w: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6,544</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840" w:type="dxa"/>
            <w:vAlign w:val="bottom"/>
            <w:tcBorders>
              <w:bottom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2,982,375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28,984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60,082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123,820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3,195,261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503"/>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9"/>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 of and for the Nine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28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679,358</w:t>
            </w: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18,740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5,216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718,671</w:t>
            </w:r>
          </w:p>
        </w:tc>
      </w:tr>
      <w:tr>
        <w:trPr>
          <w:trHeight w:val="228"/>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(977,186)</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line="228" w:lineRule="exact"/>
              <w:rPr>
                <w:sz w:val="20"/>
                <w:szCs w:val="20"/>
                <w:color w:val="auto"/>
              </w:rPr>
            </w:pPr>
            <w:r>
              <w:rPr>
                <w:rFonts w:ascii="Times New Roman" w:cs="Times New Roman" w:eastAsia="Times New Roman" w:hAnsi="Times New Roman"/>
                <w:sz w:val="14"/>
                <w:szCs w:val="14"/>
                <w:color w:val="auto"/>
              </w:rPr>
              <w:t>(3,574</w:t>
            </w:r>
            <w:r>
              <w:rPr>
                <w:rFonts w:ascii="Times New Roman" w:cs="Times New Roman" w:eastAsia="Times New Roman" w:hAnsi="Times New Roman"/>
                <w:sz w:val="26"/>
                <w:szCs w:val="26"/>
                <w:color w:val="auto"/>
                <w:vertAlign w:val="subscript"/>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(980,760)</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(36,910)</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(9,786)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(46,696)</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11,110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2,906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3,607</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17,704</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47,109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(4,751)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(1,441)</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39,704</w:t>
            </w:r>
          </w:p>
        </w:tc>
        <w:tc>
          <w:tcPr>
            <w:tcW w:w="80" w:type="dxa"/>
            <w:vAlign w:val="bottom"/>
          </w:tcPr>
          <w:p>
            <w:pPr>
              <w:spacing w:after="0"/>
              <w:rPr>
                <w:sz w:val="15"/>
                <w:szCs w:val="15"/>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(41,472)</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4,421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(37,051)</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20,666</w:t>
            </w:r>
          </w:p>
        </w:tc>
        <w:tc>
          <w:tcPr>
            <w:tcW w:w="80" w:type="dxa"/>
            <w:vAlign w:val="bottom"/>
          </w:tcPr>
          <w:p>
            <w:pPr>
              <w:spacing w:after="0"/>
              <w:rPr>
                <w:sz w:val="15"/>
                <w:szCs w:val="15"/>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(7,533)</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7,533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(22,018)</w:t>
            </w:r>
          </w:p>
        </w:tc>
      </w:tr>
      <w:tr>
        <w:trPr>
          <w:trHeight w:val="220"/>
        </w:trPr>
        <w:tc>
          <w:tcPr>
            <w:tcW w:w="4840" w:type="dxa"/>
            <w:vAlign w:val="bottom"/>
            <w:tcBorders>
              <w:bottom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2,982,375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28,984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60,082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123,820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3,195,261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Caris Life Sciences, Inc. was transferred out of Level 3 into Level 1 for fair value measurement purposes during the nine months ended September 30, 2025, as a result of changes in the observability of inputs into the security valuation for this portfolio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6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nine months ended September 30,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3,074,994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27,993</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42,282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148,072</w:t>
            </w:r>
          </w:p>
        </w:tc>
        <w:tc>
          <w:tcPr>
            <w:tcW w:w="30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3,293,341</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205,012</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205,012</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(96,546)</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(1,643)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(4,880)</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(103,069)</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5,702</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1,153</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7,270</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(4,540)</w:t>
            </w:r>
          </w:p>
        </w:tc>
        <w:tc>
          <w:tcPr>
            <w:tcW w:w="10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(1,783)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(5,325)</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4,455</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840" w:type="dxa"/>
            <w:vAlign w:val="bottom"/>
            <w:tcBorders>
              <w:bottom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3,188,992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24,945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37,436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150,310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3,401,683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32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 of and for the Nine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2,993,786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38,865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140,331</w:t>
            </w:r>
          </w:p>
        </w:tc>
        <w:tc>
          <w:tcPr>
            <w:tcW w:w="30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655,040</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4,151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661,195</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(466,635)</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(3,177)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(4,879)</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(474,691)</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(9,109)</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(9,109)</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19,090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3,331</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23,562</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(15,021)</w:t>
            </w:r>
          </w:p>
        </w:tc>
        <w:tc>
          <w:tcPr>
            <w:tcW w:w="10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(10,878)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5,592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(20,268)</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(2,392)</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(2,392)</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14,233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14,429</w:t>
            </w:r>
          </w:p>
        </w:tc>
        <w:tc>
          <w:tcPr>
            <w:tcW w:w="80" w:type="dxa"/>
            <w:vAlign w:val="bottom"/>
          </w:tcPr>
          <w:p>
            <w:pPr>
              <w:spacing w:after="0"/>
              <w:rPr>
                <w:sz w:val="15"/>
                <w:szCs w:val="15"/>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840" w:type="dxa"/>
            <w:vAlign w:val="bottom"/>
            <w:tcBorders>
              <w:bottom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3,188,992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24,945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37,436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150,310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3,401,683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359" w:lineRule="exact"/>
        <w:rPr>
          <w:sz w:val="20"/>
          <w:szCs w:val="20"/>
          <w:color w:val="auto"/>
        </w:rPr>
      </w:pPr>
    </w:p>
    <w:p>
      <w:pPr>
        <w:ind w:right="64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presents information with respect to the net change in unrealized gains or losses on investments for which Level 3 inputs were used in determining fair value that are still held by the Company at September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3"/>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10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3"/>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10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3"/>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6"/>
        </w:trPr>
        <w:tc>
          <w:tcPr>
            <w:tcW w:w="10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September 30, 2025 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3"/>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rPr>
              <w:t>September 30, 2024 on</w:t>
            </w:r>
          </w:p>
        </w:tc>
      </w:tr>
      <w:tr>
        <w:trPr>
          <w:trHeight w:val="156"/>
        </w:trPr>
        <w:tc>
          <w:tcPr>
            <w:tcW w:w="10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3"/>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10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3"/>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1060" w:type="dxa"/>
            <w:vAlign w:val="bottom"/>
          </w:tcPr>
          <w:p>
            <w:pPr>
              <w:spacing w:after="0"/>
              <w:rPr>
                <w:sz w:val="15"/>
                <w:szCs w:val="15"/>
                <w:color w:val="auto"/>
              </w:rPr>
            </w:pPr>
          </w:p>
        </w:tc>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(6,123)</w:t>
            </w:r>
          </w:p>
        </w:tc>
        <w:tc>
          <w:tcPr>
            <w:tcW w:w="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(3,523)</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220" w:type="dxa"/>
            <w:vAlign w:val="bottom"/>
          </w:tcPr>
          <w:p>
            <w:pPr>
              <w:spacing w:after="0"/>
              <w:rPr>
                <w:sz w:val="15"/>
                <w:szCs w:val="15"/>
                <w:color w:val="auto"/>
              </w:rPr>
            </w:pPr>
          </w:p>
        </w:tc>
        <w:tc>
          <w:tcPr>
            <w:tcW w:w="2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(1,783)</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22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1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(1,161)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220" w:type="dxa"/>
            <w:vAlign w:val="bottom"/>
          </w:tcPr>
          <w:p>
            <w:pPr>
              <w:spacing w:after="0"/>
              <w:rPr>
                <w:sz w:val="15"/>
                <w:szCs w:val="15"/>
                <w:color w:val="auto"/>
              </w:rPr>
            </w:pPr>
          </w:p>
        </w:tc>
        <w:tc>
          <w:tcPr>
            <w:tcW w:w="22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4,354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2,159</w:t>
            </w:r>
          </w:p>
        </w:tc>
        <w:tc>
          <w:tcPr>
            <w:tcW w:w="1040" w:type="dxa"/>
            <w:vAlign w:val="bottom"/>
          </w:tcPr>
          <w:p>
            <w:pPr>
              <w:spacing w:after="0"/>
              <w:rPr>
                <w:sz w:val="15"/>
                <w:szCs w:val="15"/>
                <w:color w:val="auto"/>
              </w:rPr>
            </w:pPr>
          </w:p>
        </w:tc>
      </w:tr>
      <w:tr>
        <w:trPr>
          <w:trHeight w:val="220"/>
        </w:trPr>
        <w:tc>
          <w:tcPr>
            <w:tcW w:w="1060" w:type="dxa"/>
            <w:vAlign w:val="bottom"/>
          </w:tcPr>
          <w:p>
            <w:pPr>
              <w:spacing w:after="0"/>
              <w:rPr>
                <w:sz w:val="19"/>
                <w:szCs w:val="19"/>
                <w:color w:val="auto"/>
              </w:rPr>
            </w:pPr>
          </w:p>
        </w:tc>
        <w:tc>
          <w:tcPr>
            <w:tcW w:w="354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(3,418</w:t>
            </w:r>
            <w:r>
              <w:rPr>
                <w:rFonts w:ascii="Times New Roman" w:cs="Times New Roman" w:eastAsia="Times New Roman" w:hAnsi="Times New Roman"/>
                <w:sz w:val="18"/>
                <w:szCs w:val="18"/>
                <w:color w:val="auto"/>
                <w:vertAlign w:val="subscript"/>
              </w:rPr>
              <w:t>)</w:t>
            </w:r>
          </w:p>
        </w:tc>
        <w:tc>
          <w:tcPr>
            <w:tcW w:w="28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(4,308</w:t>
            </w:r>
            <w:r>
              <w:rPr>
                <w:rFonts w:ascii="Times New Roman" w:cs="Times New Roman" w:eastAsia="Times New Roman" w:hAnsi="Times New Roman"/>
                <w:sz w:val="18"/>
                <w:szCs w:val="18"/>
                <w:color w:val="auto"/>
                <w:vertAlign w:val="subscript"/>
              </w:rPr>
              <w:t>)</w:t>
            </w:r>
          </w:p>
        </w:tc>
        <w:tc>
          <w:tcPr>
            <w:tcW w:w="1040" w:type="dxa"/>
            <w:vAlign w:val="bottom"/>
          </w:tcPr>
          <w:p>
            <w:pPr>
              <w:spacing w:after="0"/>
              <w:rPr>
                <w:sz w:val="19"/>
                <w:szCs w:val="19"/>
                <w:color w:val="auto"/>
              </w:rPr>
            </w:pPr>
          </w:p>
        </w:tc>
      </w:tr>
      <w:tr>
        <w:trPr>
          <w:trHeight w:val="346"/>
        </w:trPr>
        <w:tc>
          <w:tcPr>
            <w:tcW w:w="1060" w:type="dxa"/>
            <w:vAlign w:val="bottom"/>
          </w:tcPr>
          <w:p>
            <w:pPr>
              <w:spacing w:after="0"/>
              <w:rPr>
                <w:sz w:val="24"/>
                <w:szCs w:val="24"/>
                <w:color w:val="auto"/>
              </w:rPr>
            </w:pPr>
          </w:p>
        </w:tc>
        <w:tc>
          <w:tcPr>
            <w:tcW w:w="35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Pr>
          <w:p>
            <w:pPr>
              <w:spacing w:after="0"/>
              <w:rPr>
                <w:sz w:val="24"/>
                <w:szCs w:val="24"/>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 w:name="page41"/>
    <w:bookmarkEnd w:id="40"/>
    <w:p>
      <w:pPr>
        <w:spacing w:after="0" w:line="269"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6"/>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September 30, 2025 on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September 30, 2024 on</w:t>
            </w:r>
          </w:p>
        </w:tc>
      </w:tr>
      <w:tr>
        <w:trPr>
          <w:trHeight w:val="156"/>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20,648</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(9,926)</w:t>
            </w: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220" w:type="dxa"/>
            <w:vAlign w:val="bottom"/>
          </w:tcPr>
          <w:p>
            <w:pPr>
              <w:spacing w:after="0"/>
              <w:rPr>
                <w:sz w:val="15"/>
                <w:szCs w:val="15"/>
                <w:color w:val="auto"/>
              </w:rPr>
            </w:pPr>
          </w:p>
        </w:tc>
        <w:tc>
          <w:tcPr>
            <w:tcW w:w="2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(10,877)</w:t>
            </w:r>
          </w:p>
        </w:tc>
      </w:tr>
      <w:tr>
        <w:trPr>
          <w:trHeight w:val="180"/>
        </w:trPr>
        <w:tc>
          <w:tcPr>
            <w:tcW w:w="3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22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(1,441)</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220" w:type="dxa"/>
            <w:vAlign w:val="bottom"/>
          </w:tcPr>
          <w:p>
            <w:pPr>
              <w:spacing w:after="0"/>
              <w:rPr>
                <w:sz w:val="15"/>
                <w:szCs w:val="15"/>
                <w:color w:val="auto"/>
              </w:rPr>
            </w:pPr>
          </w:p>
        </w:tc>
        <w:tc>
          <w:tcPr>
            <w:tcW w:w="22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5,592</w:t>
            </w:r>
          </w:p>
        </w:tc>
      </w:tr>
      <w:tr>
        <w:trPr>
          <w:trHeight w:val="200"/>
        </w:trPr>
        <w:tc>
          <w:tcPr>
            <w:tcW w:w="354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15,976</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(15,172</w:t>
            </w:r>
            <w:r>
              <w:rPr>
                <w:rFonts w:ascii="Times New Roman" w:cs="Times New Roman" w:eastAsia="Times New Roman" w:hAnsi="Times New Roman"/>
                <w:sz w:val="18"/>
                <w:szCs w:val="18"/>
                <w:color w:val="auto"/>
                <w:vertAlign w:val="subscript"/>
              </w:rPr>
              <w:t>)</w:t>
            </w: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and the significant unobservable inputs used in the valuations as of September 30, 2025 and December 31, 2024. The tables are not intended to be all-inclusive, but instead capture the significant unobservable inputs relevant to the Company’s determination of fair values.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0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80" w:type="dxa"/>
            <w:vAlign w:val="bottom"/>
          </w:tcPr>
          <w:p>
            <w:pPr>
              <w:spacing w:after="0"/>
              <w:rPr>
                <w:sz w:val="15"/>
                <w:szCs w:val="15"/>
                <w:color w:val="auto"/>
              </w:rPr>
            </w:pPr>
          </w:p>
        </w:tc>
        <w:tc>
          <w:tcPr>
            <w:tcW w:w="182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10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8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1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2,982,375</w:t>
            </w:r>
          </w:p>
        </w:tc>
        <w:tc>
          <w:tcPr>
            <w:tcW w:w="164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4"/>
                <w:szCs w:val="14"/>
                <w:color w:val="auto"/>
              </w:rPr>
              <w:t>6.5% — 15.1% (11.1%)</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28,984</w:t>
            </w:r>
          </w:p>
        </w:tc>
        <w:tc>
          <w:tcPr>
            <w:tcW w:w="1640" w:type="dxa"/>
            <w:vAlign w:val="bottom"/>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13.5% — 15.0% (14.3%)</w:t>
            </w: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60,082</w:t>
            </w:r>
          </w:p>
        </w:tc>
        <w:tc>
          <w:tcPr>
            <w:tcW w:w="164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11.1% — 20.0% (11.3%)</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123,820</w:t>
            </w:r>
          </w:p>
        </w:tc>
        <w:tc>
          <w:tcPr>
            <w:tcW w:w="1640" w:type="dxa"/>
            <w:vAlign w:val="bottom"/>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1.8x — 25.0x (10.0x)</w:t>
            </w: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88"/>
        </w:trPr>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3,195,261</w:t>
            </w:r>
          </w:p>
        </w:tc>
        <w:tc>
          <w:tcPr>
            <w:tcW w:w="16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$114.4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$0.4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(4)Includes $13.3 million of equity investments which were valued using an asset valuation waterfall and $15.0 million of equity investments using a discounted cash flow analysis.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80" w:type="dxa"/>
            <w:vAlign w:val="bottom"/>
          </w:tcPr>
          <w:p>
            <w:pPr>
              <w:spacing w:after="0"/>
              <w:rPr>
                <w:sz w:val="15"/>
                <w:szCs w:val="15"/>
                <w:color w:val="auto"/>
              </w:rPr>
            </w:pPr>
          </w:p>
        </w:tc>
        <w:tc>
          <w:tcPr>
            <w:tcW w:w="17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3,287,829</w:t>
            </w:r>
          </w:p>
        </w:tc>
        <w:tc>
          <w:tcPr>
            <w:tcW w:w="164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7.7% — 17.7% (12.1%)</w:t>
            </w:r>
          </w:p>
        </w:tc>
        <w:tc>
          <w:tcPr>
            <w:tcW w:w="1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w:t>
            </w:r>
          </w:p>
        </w:tc>
        <w:tc>
          <w:tcPr>
            <w:tcW w:w="1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14.6% — 18.1% (15.6%)</w:t>
            </w: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64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12.2% — 22.5% (12.7%)</w:t>
            </w:r>
          </w:p>
        </w:tc>
        <w:tc>
          <w:tcPr>
            <w:tcW w:w="1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139,586</w:t>
            </w:r>
          </w:p>
        </w:tc>
        <w:tc>
          <w:tcPr>
            <w:tcW w:w="1640" w:type="dxa"/>
            <w:vAlign w:val="bottom"/>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2.3x — 20.0x (7.8x)</w:t>
            </w: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3,485,041</w:t>
            </w:r>
          </w:p>
        </w:tc>
        <w:tc>
          <w:tcPr>
            <w:tcW w:w="164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$199.4 million of debt investments which were valued using an asset valuation waterfall.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$6.0 million of debt investments which were valued using an asset valuation waterfall.</w:t>
      </w:r>
    </w:p>
    <w:p>
      <w:pPr>
        <w:spacing w:after="0" w:line="234" w:lineRule="auto"/>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6"/>
          <w:szCs w:val="16"/>
          <w:color w:val="auto"/>
        </w:rPr>
        <w:t>(4)Includes $13.6 million of equity investments which were valued using an asset valuation waterfall, $0.5 million of equity investments using a Black-Scholes model and $20.4 million of equity investments using a discounted cash flow analysis.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4"/>
          <w:szCs w:val="14"/>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w:t>
      </w: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multiples of similar companies’ revenues, earnings before income taxes, depreciation and amortization (“EBITDA”) or some combination thereof and comparable market transactions are typically used.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September 30, 2025 and December 31, 2024, approximates its carrying value as the outstanding balance is callable at carrying value.</w:t>
      </w:r>
    </w:p>
    <w:p>
      <w:pPr>
        <w:spacing w:after="0" w:line="59"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fair value of the Company’s 2026 Notes, 2028 Notes, 2029 Notes and 2030 Notes as of September 30, 2025 and December 31, 2024.</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3"/>
                <w:szCs w:val="13"/>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5"/>
        </w:trPr>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2"/>
                <w:szCs w:val="12"/>
                <w:color w:val="auto"/>
              </w:rPr>
            </w:pPr>
          </w:p>
        </w:tc>
        <w:tc>
          <w:tcPr>
            <w:tcW w:w="1140" w:type="dxa"/>
            <w:vAlign w:val="bottom"/>
            <w:gridSpan w:val="2"/>
          </w:tcPr>
          <w:p>
            <w:pPr>
              <w:jc w:val="right"/>
              <w:ind w:right="68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020" w:type="dxa"/>
            <w:vAlign w:val="bottom"/>
            <w:gridSpan w:val="2"/>
          </w:tcPr>
          <w:p>
            <w:pPr>
              <w:jc w:val="right"/>
              <w:ind w:right="54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1"/>
        </w:trPr>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5"/>
                <w:szCs w:val="15"/>
                <w:color w:val="auto"/>
              </w:rPr>
            </w:pPr>
          </w:p>
        </w:tc>
        <w:tc>
          <w:tcPr>
            <w:tcW w:w="114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5"/>
                <w:szCs w:val="15"/>
                <w:color w:val="auto"/>
              </w:rPr>
            </w:pPr>
          </w:p>
        </w:tc>
        <w:tc>
          <w:tcPr>
            <w:tcW w:w="102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r>
      <w:tr>
        <w:trPr>
          <w:trHeight w:val="180"/>
        </w:trPr>
        <w:tc>
          <w:tcPr>
            <w:tcW w:w="1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295,007</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287,911</w:t>
            </w:r>
          </w:p>
        </w:tc>
      </w:tr>
      <w:tr>
        <w:trPr>
          <w:trHeight w:val="180"/>
        </w:trPr>
        <w:tc>
          <w:tcPr>
            <w:tcW w:w="1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1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316,542</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312,012</w:t>
            </w:r>
          </w:p>
        </w:tc>
      </w:tr>
      <w:tr>
        <w:trPr>
          <w:trHeight w:val="180"/>
        </w:trPr>
        <w:tc>
          <w:tcPr>
            <w:tcW w:w="1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360,790</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354,338</w:t>
            </w:r>
          </w:p>
        </w:tc>
      </w:tr>
      <w:tr>
        <w:trPr>
          <w:trHeight w:val="180"/>
        </w:trPr>
        <w:tc>
          <w:tcPr>
            <w:tcW w:w="1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1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304,327</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19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1,276,666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950,000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954,261</w:t>
            </w: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30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164" w:lineRule="exact"/>
        <w:rPr>
          <w:sz w:val="20"/>
          <w:szCs w:val="20"/>
          <w:color w:val="auto"/>
        </w:rPr>
      </w:pPr>
    </w:p>
    <w:p>
      <w:pPr>
        <w:ind w:firstLine="228"/>
        <w:spacing w:after="0" w:line="273" w:lineRule="auto"/>
        <w:rPr>
          <w:sz w:val="20"/>
          <w:szCs w:val="20"/>
          <w:color w:val="auto"/>
        </w:rPr>
      </w:pPr>
      <w:r>
        <w:rPr>
          <w:rFonts w:ascii="Times New Roman" w:cs="Times New Roman" w:eastAsia="Times New Roman" w:hAnsi="Times New Roman"/>
          <w:sz w:val="14"/>
          <w:szCs w:val="14"/>
          <w:color w:val="auto"/>
        </w:rPr>
        <w:t>The Company may borrow amounts in U.S. dollars or certain other permitted currencies. As of September 30, 2025, the Company had outstanding debt denominated in Australian dollars (AUD) of 63.0 million, British pounds (GBP) of 70.8 million, Canadian dollars (CAD) of 5.0 million, Swedish Krona (SEK) of 211.3 million and Euro (EUR) of 244.7 million on its Revolving Credit Facility, included in the Outstanding Principal amount in the table above.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above.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2" w:name="page43"/>
    <w:bookmarkEnd w:id="42"/>
    <w:p>
      <w:pPr>
        <w:spacing w:after="0" w:line="65"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September 30, 2025 and December 31, 2024, the Company had $19.7 million and $21.8 million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spacing w:after="0" w:line="176"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92" w:lineRule="exact"/>
        <w:rPr>
          <w:sz w:val="20"/>
          <w:szCs w:val="20"/>
          <w:color w:val="auto"/>
        </w:rPr>
      </w:pPr>
    </w:p>
    <w:p>
      <w:pPr>
        <w:ind w:left="240" w:right="160"/>
        <w:spacing w:after="0" w:line="247" w:lineRule="auto"/>
        <w:rPr>
          <w:sz w:val="20"/>
          <w:szCs w:val="20"/>
          <w:color w:val="auto"/>
        </w:rPr>
      </w:pPr>
      <w:r>
        <w:rPr>
          <w:rFonts w:ascii="Times New Roman" w:cs="Times New Roman" w:eastAsia="Times New Roman" w:hAnsi="Times New Roman"/>
          <w:sz w:val="16"/>
          <w:szCs w:val="16"/>
          <w:color w:val="auto"/>
        </w:rPr>
        <w:t>•a 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6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proceeds received from the Company’s issuance of the 2030 Notes were used to pay down borrowings on the Revolving Credit Facility.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jc w:val="both"/>
        <w:ind w:right="100" w:firstLine="228"/>
        <w:spacing w:after="0" w:line="241"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69"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4"/>
          <w:szCs w:val="14"/>
          <w:color w:val="auto"/>
        </w:rPr>
        <w:t>In February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3" w:name="page44"/>
    <w:bookmarkEnd w:id="43"/>
    <w:p>
      <w:pPr>
        <w:spacing w:after="0" w:line="6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164"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Company's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 February 2021, the Company issued $300.0 million aggregate principal amount of unsecured notes that mature on August 1, 2026 (the “2026 Notes”) .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September 30, 2025 and December 31, 2024, the effective hedge interest rate swaps had a fair value of $(8.6) million and $(17.6)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September 30, 2025 and December 31, 2024, the effective hedge interest rate swaps had a fair value of $4.6 million and $(1.4) million, respectively, which is offset within interest expense by an equal, but opposite, fair value change for the hedged risk on the 2028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3"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2025 and December 31, 2024, the effective hedge interest rate swaps had a fair value of $3.5 million and $(5.2) million, respectively, which is offset within interest expense by an equal, but opposite, fair value change for the hedged risk on the 2029 Notes.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2030 Notes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February 2025, the Company issued $300.0 million aggregate principal amount of unsecured notes that mature on August 15, 2030 (the “2030 Notes”) .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spacing w:after="0" w:line="73" w:lineRule="exact"/>
        <w:rPr>
          <w:sz w:val="20"/>
          <w:szCs w:val="20"/>
          <w:color w:val="auto"/>
        </w:rPr>
      </w:pPr>
    </w:p>
    <w:p>
      <w:pPr>
        <w:ind w:right="10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September 30, 2025, the effective hedge interest rate swaps had a fair value of $9.3 million which is offset within interest expense by an equal, but opposite, fair value change for the hedged risk on the 2030 Notes.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and nine months ended September 30, 2025 and 2024, the components of interest expense related to the 2024 Notes, 2026 Notes, 2028 Notes, 2029</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and 2030 Notes were as follows: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jc w:val="right"/>
              <w:ind w:right="52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FF0FC"/>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16,666</w:t>
            </w:r>
          </w:p>
        </w:tc>
        <w:tc>
          <w:tcPr>
            <w:tcW w:w="2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15,813</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47,466</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46,547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3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2,666</w:t>
            </w:r>
          </w:p>
        </w:tc>
        <w:tc>
          <w:tcPr>
            <w:tcW w:w="0" w:type="dxa"/>
            <w:vAlign w:val="bottom"/>
          </w:tcPr>
          <w:p>
            <w:pPr>
              <w:spacing w:after="0"/>
              <w:rPr>
                <w:sz w:val="1"/>
                <w:szCs w:val="1"/>
                <w:color w:val="auto"/>
              </w:rPr>
            </w:pPr>
          </w:p>
        </w:tc>
      </w:tr>
      <w:tr>
        <w:trPr>
          <w:trHeight w:val="133"/>
        </w:trPr>
        <w:tc>
          <w:tcPr>
            <w:tcW w:w="4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340" w:type="dxa"/>
            <w:vAlign w:val="bottom"/>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17,999</w:t>
            </w:r>
          </w:p>
        </w:tc>
        <w:tc>
          <w:tcPr>
            <w:tcW w:w="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17,153</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51,212</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50,459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2024 Notes, 2026 Notes, 2028 Notes, 2029 Notes and 2030 Notes. During the three and nine months ended September 30, 2025, the Company received $16.7 million and $47.1 million, respectively, and paid $21.3 million and $59.9 million respectively, related to the settlements of its interest rate swaps related to the 2026 Notes, 2028 Notes, 2029 Notes and 2030 Notes. During the three and nine months ended September 30, 2024, the Company received $15.9 million and $ 46.4 million, respectively, and paid $26.2 million and $76.4 million, respectively, related to the settlements of its interest rate swaps, excluding upfront fees, related to the 2024 Notes, 2026 Notes, 2028 Notes and 2029 Notes. These net amounts are included in interest expense in the Company’s Consolidated Statements of Operations. Please see Note 5 for further information about the Company’s interest rate swaps.</w:t>
      </w:r>
    </w:p>
    <w:p>
      <w:pPr>
        <w:spacing w:after="0" w:line="170" w:lineRule="exact"/>
        <w:rPr>
          <w:sz w:val="20"/>
          <w:szCs w:val="20"/>
          <w:color w:val="auto"/>
        </w:rPr>
      </w:pPr>
    </w:p>
    <w:p>
      <w:pPr>
        <w:ind w:right="300" w:firstLine="228"/>
        <w:spacing w:after="0" w:line="250" w:lineRule="auto"/>
        <w:rPr>
          <w:sz w:val="20"/>
          <w:szCs w:val="20"/>
          <w:color w:val="auto"/>
        </w:rPr>
      </w:pPr>
      <w:r>
        <w:rPr>
          <w:rFonts w:ascii="Times New Roman" w:cs="Times New Roman" w:eastAsia="Times New Roman" w:hAnsi="Times New Roman"/>
          <w:sz w:val="16"/>
          <w:szCs w:val="16"/>
          <w:color w:val="auto"/>
        </w:rPr>
        <w:t>As of September 30, 2025, the components of the carrying value of the 2026 Notes, 2028 Notes, 2029 Notes and 2030 Notes and the stated interest rates were as follows:</w:t>
      </w:r>
    </w:p>
    <w:tbl>
      <w:tblPr>
        <w:tblLayout w:type="fixed"/>
        <w:tblInd w:w="90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2026 Notes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2030 Notes</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0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300,000</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(2,367)</w:t>
            </w:r>
          </w:p>
        </w:tc>
        <w:tc>
          <w:tcPr>
            <w:tcW w:w="12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(3,244)</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(624)</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(2,481)</w:t>
            </w:r>
          </w:p>
        </w:tc>
        <w:tc>
          <w:tcPr>
            <w:tcW w:w="12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(3,363)</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(3,650)</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(8,589)</w:t>
            </w: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4,633</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3,484</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9,319</w:t>
            </w:r>
          </w:p>
        </w:tc>
      </w:tr>
      <w:tr>
        <w:trPr>
          <w:trHeight w:val="200"/>
        </w:trPr>
        <w:tc>
          <w:tcPr>
            <w:tcW w:w="34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290,433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301,049</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FF0FC"/>
            </w:tcBorders>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347,754</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302,425</w:t>
            </w: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Stated interest rate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w:t>
            </w:r>
          </w:p>
        </w:tc>
      </w:tr>
    </w:tbl>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components of the carrying value of the 2026 Notes, 2028 Notes and 2029 Notes and the stated interest rates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18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220" w:type="dxa"/>
            <w:vAlign w:val="bottom"/>
          </w:tcPr>
          <w:p>
            <w:pPr>
              <w:spacing w:after="0"/>
              <w:rPr>
                <w:sz w:val="15"/>
                <w:szCs w:val="15"/>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(666)</w:t>
            </w:r>
          </w:p>
        </w:tc>
        <w:tc>
          <w:tcPr>
            <w:tcW w:w="180" w:type="dxa"/>
            <w:vAlign w:val="bottom"/>
          </w:tcPr>
          <w:p>
            <w:pPr>
              <w:spacing w:after="0"/>
              <w:rPr>
                <w:sz w:val="15"/>
                <w:szCs w:val="15"/>
                <w:color w:val="auto"/>
              </w:rPr>
            </w:pPr>
          </w:p>
        </w:tc>
        <w:tc>
          <w:tcPr>
            <w:tcW w:w="15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(1,357)</w:t>
            </w:r>
          </w:p>
        </w:tc>
        <w:tc>
          <w:tcPr>
            <w:tcW w:w="2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(2,819)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(1,182)</w:t>
            </w:r>
          </w:p>
        </w:tc>
        <w:tc>
          <w:tcPr>
            <w:tcW w:w="18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(3,127)</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(4,093)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(17,618)</w:t>
            </w:r>
          </w:p>
        </w:tc>
        <w:tc>
          <w:tcPr>
            <w:tcW w:w="180" w:type="dxa"/>
            <w:vAlign w:val="bottom"/>
          </w:tcPr>
          <w:p>
            <w:pPr>
              <w:spacing w:after="0"/>
              <w:rPr>
                <w:sz w:val="15"/>
                <w:szCs w:val="15"/>
                <w:color w:val="auto"/>
              </w:rPr>
            </w:pPr>
          </w:p>
        </w:tc>
        <w:tc>
          <w:tcPr>
            <w:tcW w:w="15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(1,377)</w:t>
            </w:r>
          </w:p>
        </w:tc>
        <w:tc>
          <w:tcPr>
            <w:tcW w:w="2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(5,243)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33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9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CFF0FC"/>
            </w:tcBorders>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280,534</w:t>
            </w: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294,139</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337,845</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33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0" w:type="dxa"/>
            <w:vAlign w:val="bottom"/>
            <w:vMerge w:val="continue"/>
          </w:tcPr>
          <w:p>
            <w:pPr>
              <w:spacing w:after="0"/>
              <w:rPr>
                <w:sz w:val="15"/>
                <w:szCs w:val="15"/>
                <w:color w:val="auto"/>
              </w:rPr>
            </w:pPr>
          </w:p>
        </w:tc>
        <w:tc>
          <w:tcPr>
            <w:tcW w:w="3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2.50%</w:t>
            </w:r>
          </w:p>
        </w:tc>
        <w:tc>
          <w:tcPr>
            <w:tcW w:w="180" w:type="dxa"/>
            <w:vAlign w:val="bottom"/>
          </w:tcPr>
          <w:p>
            <w:pPr>
              <w:spacing w:after="0"/>
              <w:rPr>
                <w:sz w:val="15"/>
                <w:szCs w:val="15"/>
                <w:color w:val="auto"/>
              </w:rPr>
            </w:pPr>
          </w:p>
        </w:tc>
        <w:tc>
          <w:tcPr>
            <w:tcW w:w="156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6.95%</w:t>
            </w:r>
          </w:p>
        </w:tc>
        <w:tc>
          <w:tcPr>
            <w:tcW w:w="220" w:type="dxa"/>
            <w:vAlign w:val="bottom"/>
          </w:tcPr>
          <w:p>
            <w:pPr>
              <w:spacing w:after="0"/>
              <w:rPr>
                <w:sz w:val="15"/>
                <w:szCs w:val="15"/>
                <w:color w:val="auto"/>
              </w:rPr>
            </w:pPr>
          </w:p>
        </w:tc>
        <w:tc>
          <w:tcPr>
            <w:tcW w:w="12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6.13%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45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840" w:type="dxa"/>
            <w:vAlign w:val="bottom"/>
            <w:tcBorders>
              <w:bottom w:val="single" w:sz="8" w:color="EEEEEE"/>
            </w:tcBorders>
          </w:tcPr>
          <w:p>
            <w:pPr>
              <w:spacing w:after="0"/>
              <w:rPr>
                <w:sz w:val="24"/>
                <w:szCs w:val="24"/>
                <w:color w:val="auto"/>
              </w:rPr>
            </w:pPr>
          </w:p>
        </w:tc>
        <w:tc>
          <w:tcPr>
            <w:tcW w:w="33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6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September 30, 2025, the Company's swap-adjusted interest rate on the 2026 Notes, 2028 Notes, 2029 Notes and 2030 notes was SOFR plus 2.17%, 2.99%, 2.44% and 1.53%, respectively. As of December 31, 2024, the Company's swap-adjusted interest rate on the 2026 Notes, 2028 Notes and 2029 Notes was SOFR plus 2.17%, 2.99% and 2.44%, respectively.</w:t>
      </w:r>
    </w:p>
    <w:p>
      <w:pPr>
        <w:spacing w:after="0" w:line="164"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the Company was in compliance with the terms of the indentures governing the 2026 Notes, 2028 Notes, 2029 Notes and 2030 Notes. As of December 31, 2024, the Company was in compliance with the terms of the indentures governing the 2026 Notes, 2028 Notes and 2029 Notes.</w:t>
      </w:r>
    </w:p>
    <w:p>
      <w:pPr>
        <w:spacing w:after="0" w:line="15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September 30, 2025 and December 31, 2024, the Company’s asset coverage was 187.5% and 182.5%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September 30, 2025 and December 31, 2024:</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vMerge w:val="restart"/>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80" w:type="dxa"/>
            <w:vAlign w:val="bottom"/>
          </w:tcPr>
          <w:p>
            <w:pPr>
              <w:spacing w:after="0"/>
              <w:rPr>
                <w:sz w:val="15"/>
                <w:szCs w:val="15"/>
                <w:color w:val="auto"/>
              </w:rPr>
            </w:pPr>
          </w:p>
        </w:tc>
        <w:tc>
          <w:tcPr>
            <w:tcW w:w="2560" w:type="dxa"/>
            <w:vAlign w:val="bottom"/>
            <w:gridSpan w:val="3"/>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center"/>
              <w:ind w:right="20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2"/>
                <w:szCs w:val="12"/>
                <w:color w:val="auto"/>
              </w:rPr>
            </w:pPr>
          </w:p>
        </w:tc>
        <w:tc>
          <w:tcPr>
            <w:tcW w:w="1140" w:type="dxa"/>
            <w:vAlign w:val="bottom"/>
          </w:tcPr>
          <w:p>
            <w:pPr>
              <w:jc w:val="right"/>
              <w:ind w:right="28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300" w:type="dxa"/>
            <w:vAlign w:val="bottom"/>
          </w:tcPr>
          <w:p>
            <w:pPr>
              <w:spacing w:after="0"/>
              <w:rPr>
                <w:sz w:val="12"/>
                <w:szCs w:val="12"/>
                <w:color w:val="auto"/>
              </w:rPr>
            </w:pPr>
          </w:p>
        </w:tc>
        <w:tc>
          <w:tcPr>
            <w:tcW w:w="1120" w:type="dxa"/>
            <w:vAlign w:val="bottom"/>
          </w:tcPr>
          <w:p>
            <w:pPr>
              <w:jc w:val="right"/>
              <w:ind w:right="38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2"/>
                <w:szCs w:val="12"/>
                <w:color w:val="auto"/>
              </w:rPr>
            </w:pPr>
          </w:p>
        </w:tc>
        <w:tc>
          <w:tcPr>
            <w:tcW w:w="1060" w:type="dxa"/>
            <w:vAlign w:val="bottom"/>
          </w:tcPr>
          <w:p>
            <w:pPr>
              <w:jc w:val="right"/>
              <w:ind w:right="329"/>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8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300" w:type="dxa"/>
            <w:vAlign w:val="bottom"/>
          </w:tcPr>
          <w:p>
            <w:pPr>
              <w:spacing w:after="0"/>
              <w:rPr>
                <w:sz w:val="15"/>
                <w:szCs w:val="15"/>
                <w:color w:val="auto"/>
              </w:rPr>
            </w:pPr>
          </w:p>
        </w:tc>
        <w:tc>
          <w:tcPr>
            <w:tcW w:w="1120" w:type="dxa"/>
            <w:vAlign w:val="bottom"/>
          </w:tcPr>
          <w:p>
            <w:pPr>
              <w:jc w:val="right"/>
              <w:ind w:right="28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5"/>
                <w:szCs w:val="15"/>
                <w:color w:val="auto"/>
              </w:rPr>
            </w:pPr>
          </w:p>
        </w:tc>
        <w:tc>
          <w:tcPr>
            <w:tcW w:w="1060" w:type="dxa"/>
            <w:vAlign w:val="bottom"/>
          </w:tcPr>
          <w:p>
            <w:pPr>
              <w:jc w:val="right"/>
              <w:ind w:right="309"/>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1,675,000</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608,673</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1,046,622</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592,624</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380" w:type="dxa"/>
            <w:vAlign w:val="bottom"/>
          </w:tcPr>
          <w:p>
            <w:pPr>
              <w:spacing w:after="0"/>
              <w:rPr>
                <w:sz w:val="15"/>
                <w:szCs w:val="15"/>
                <w:color w:val="auto"/>
              </w:rPr>
            </w:pPr>
          </w:p>
        </w:tc>
        <w:tc>
          <w:tcPr>
            <w:tcW w:w="114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tcPr>
          <w:p>
            <w:pPr>
              <w:spacing w:after="0"/>
              <w:rPr>
                <w:sz w:val="15"/>
                <w:szCs w:val="15"/>
                <w:color w:val="auto"/>
              </w:rPr>
            </w:pPr>
          </w:p>
        </w:tc>
        <w:tc>
          <w:tcPr>
            <w:tcW w:w="114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tcPr>
          <w:p>
            <w:pPr>
              <w:spacing w:after="0"/>
              <w:rPr>
                <w:sz w:val="15"/>
                <w:szCs w:val="15"/>
                <w:color w:val="auto"/>
              </w:rPr>
            </w:pPr>
          </w:p>
        </w:tc>
        <w:tc>
          <w:tcPr>
            <w:tcW w:w="11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290,433</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301,049</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380" w:type="dxa"/>
            <w:vAlign w:val="bottom"/>
          </w:tcPr>
          <w:p>
            <w:pPr>
              <w:spacing w:after="0"/>
              <w:rPr>
                <w:sz w:val="15"/>
                <w:szCs w:val="15"/>
                <w:color w:val="auto"/>
              </w:rPr>
            </w:pPr>
          </w:p>
        </w:tc>
        <w:tc>
          <w:tcPr>
            <w:tcW w:w="114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80" w:type="dxa"/>
            <w:vAlign w:val="bottom"/>
          </w:tcPr>
          <w:p>
            <w:pPr>
              <w:spacing w:after="0"/>
              <w:rPr>
                <w:sz w:val="15"/>
                <w:szCs w:val="15"/>
                <w:color w:val="auto"/>
              </w:rPr>
            </w:pPr>
          </w:p>
        </w:tc>
        <w:tc>
          <w:tcPr>
            <w:tcW w:w="114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300" w:type="dxa"/>
            <w:vAlign w:val="bottom"/>
          </w:tcPr>
          <w:p>
            <w:pPr>
              <w:spacing w:after="0"/>
              <w:rPr>
                <w:sz w:val="15"/>
                <w:szCs w:val="15"/>
                <w:color w:val="auto"/>
              </w:rPr>
            </w:pPr>
          </w:p>
        </w:tc>
        <w:tc>
          <w:tcPr>
            <w:tcW w:w="11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347,754</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302,425</w:t>
            </w:r>
          </w:p>
        </w:tc>
        <w:tc>
          <w:tcPr>
            <w:tcW w:w="0" w:type="dxa"/>
            <w:vAlign w:val="bottom"/>
          </w:tcPr>
          <w:p>
            <w:pPr>
              <w:spacing w:after="0"/>
              <w:rPr>
                <w:sz w:val="1"/>
                <w:szCs w:val="1"/>
                <w:color w:val="auto"/>
              </w:rPr>
            </w:pPr>
          </w:p>
        </w:tc>
      </w:tr>
      <w:tr>
        <w:trPr>
          <w:trHeight w:val="205"/>
        </w:trPr>
        <w:tc>
          <w:tcPr>
            <w:tcW w:w="2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2,925,000</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1,858,673</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1,046,622</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1,834,285</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2029 Notes and 2030 Notes are presented net of the combination of deferred financing costs and original issue discounts totaling $16.0 million, $1.0 million, $3.6 million, $5.7 million and $6.9 million, respectively.</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(3)The carrying values of the 2026 Notes, 2028 Notes, 2029 Notes and 2030 Notes are presented inclusive of an incremental $(8.6) million, $4.6 million, $3.5 million and $9.3 million, respectively, which represents an adjustment in the carrying values of the 2026 Notes, 2028 Notes, 2029 Notes and 2030 Notes, each resulting from a hedge accounting relationship.</w:t>
      </w: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3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1,700,000</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1,004,058</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988,624</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280,534</w:t>
            </w:r>
          </w:p>
        </w:tc>
        <w:tc>
          <w:tcPr>
            <w:tcW w:w="0" w:type="dxa"/>
            <w:vAlign w:val="bottom"/>
          </w:tcPr>
          <w:p>
            <w:pPr>
              <w:spacing w:after="0"/>
              <w:rPr>
                <w:sz w:val="1"/>
                <w:szCs w:val="1"/>
                <w:color w:val="auto"/>
              </w:rPr>
            </w:pPr>
          </w:p>
        </w:tc>
      </w:tr>
      <w:tr>
        <w:trPr>
          <w:trHeight w:val="228"/>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 Notes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294,139</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337,845</w:t>
            </w:r>
          </w:p>
        </w:tc>
        <w:tc>
          <w:tcPr>
            <w:tcW w:w="0" w:type="dxa"/>
            <w:vAlign w:val="bottom"/>
          </w:tcPr>
          <w:p>
            <w:pPr>
              <w:spacing w:after="0"/>
              <w:rPr>
                <w:sz w:val="1"/>
                <w:szCs w:val="1"/>
                <w:color w:val="auto"/>
              </w:rPr>
            </w:pPr>
          </w:p>
        </w:tc>
      </w:tr>
      <w:tr>
        <w:trPr>
          <w:trHeight w:val="200"/>
        </w:trPr>
        <w:tc>
          <w:tcPr>
            <w:tcW w:w="27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3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2,650,000</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1,954,058</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1,901,142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(3)The carrying values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46" w:name="page47"/>
    <w:bookmarkEnd w:id="46"/>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and nine months ended September 30, 2025 and 2024, the components of interest expense were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5"/>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4"/>
                <w:szCs w:val="14"/>
                <w:color w:val="auto"/>
              </w:rPr>
            </w:pP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23,393</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24,779</w:t>
            </w:r>
          </w:p>
        </w:tc>
        <w:tc>
          <w:tcPr>
            <w:tcW w:w="18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76,205</w:t>
            </w:r>
          </w:p>
        </w:tc>
        <w:tc>
          <w:tcPr>
            <w:tcW w:w="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39"/>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76,976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80" w:type="dxa"/>
            <w:vAlign w:val="bottom"/>
          </w:tcPr>
          <w:p>
            <w:pPr>
              <w:spacing w:after="0"/>
              <w:rPr>
                <w:sz w:val="15"/>
                <w:szCs w:val="15"/>
                <w:color w:val="auto"/>
              </w:rPr>
            </w:pPr>
          </w:p>
        </w:tc>
        <w:tc>
          <w:tcPr>
            <w:tcW w:w="15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2,680</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1,756</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1,812</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4,987</w:t>
            </w:r>
          </w:p>
        </w:tc>
        <w:tc>
          <w:tcPr>
            <w:tcW w:w="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5,259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1,359</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4,584</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10,288</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12,772</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31,385</w:t>
            </w:r>
          </w:p>
        </w:tc>
        <w:tc>
          <w:tcPr>
            <w:tcW w:w="32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38,492</w:t>
            </w:r>
          </w:p>
        </w:tc>
        <w:tc>
          <w:tcPr>
            <w:tcW w:w="180" w:type="dxa"/>
            <w:vAlign w:val="bottom"/>
          </w:tcPr>
          <w:p>
            <w:pPr>
              <w:spacing w:after="0"/>
              <w:rPr>
                <w:sz w:val="15"/>
                <w:szCs w:val="15"/>
                <w:color w:val="auto"/>
              </w:rPr>
            </w:pPr>
          </w:p>
        </w:tc>
        <w:tc>
          <w:tcPr>
            <w:tcW w:w="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98,003</w:t>
            </w:r>
          </w:p>
        </w:tc>
        <w:tc>
          <w:tcPr>
            <w:tcW w:w="180" w:type="dxa"/>
            <w:vAlign w:val="bottom"/>
          </w:tcPr>
          <w:p>
            <w:pPr>
              <w:spacing w:after="0"/>
              <w:rPr>
                <w:sz w:val="15"/>
                <w:szCs w:val="15"/>
                <w:color w:val="auto"/>
              </w:rPr>
            </w:pPr>
          </w:p>
        </w:tc>
        <w:tc>
          <w:tcPr>
            <w:tcW w:w="620" w:type="dxa"/>
            <w:vAlign w:val="bottom"/>
            <w:gridSpan w:val="2"/>
          </w:tcPr>
          <w:p>
            <w:pPr>
              <w:jc w:val="right"/>
              <w:ind w:right="439"/>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116,759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1,784.5</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1,817.2</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1,873.4</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1,852.8</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7920" w:firstLine="6"/>
        <w:spacing w:after="0" w:line="413" w:lineRule="auto"/>
        <w:tabs>
          <w:tab w:leader="none" w:pos="15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the Company had the following commitments to fund investments in current portfolio companies: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8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2,403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2,403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5,263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5,479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28,673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31,961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2,096</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3,864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5,575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3,898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2,734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3,635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164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4,144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Big Wombat Holdings, Inc.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2,469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5,069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640" w:type="dxa"/>
            <w:vAlign w:val="bottom"/>
            <w:shd w:val="clear" w:color="auto" w:fill="CFF0FC"/>
          </w:tcPr>
          <w:p>
            <w:pPr>
              <w:spacing w:after="0"/>
              <w:rPr>
                <w:sz w:val="17"/>
                <w:szCs w:val="17"/>
                <w:color w:val="auto"/>
              </w:rPr>
            </w:pPr>
          </w:p>
        </w:tc>
        <w:tc>
          <w:tcPr>
            <w:tcW w:w="14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3,029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00" w:type="dxa"/>
            <w:vAlign w:val="bottom"/>
          </w:tcPr>
          <w:p>
            <w:pPr>
              <w:spacing w:after="0"/>
              <w:rPr>
                <w:sz w:val="5"/>
                <w:szCs w:val="5"/>
                <w:color w:val="auto"/>
              </w:rPr>
            </w:pPr>
          </w:p>
        </w:tc>
        <w:tc>
          <w:tcPr>
            <w:tcW w:w="4380" w:type="dxa"/>
            <w:vAlign w:val="bottom"/>
            <w:shd w:val="clear" w:color="auto" w:fill="CFF0FC"/>
          </w:tcPr>
          <w:p>
            <w:pPr>
              <w:spacing w:after="0"/>
              <w:rPr>
                <w:sz w:val="5"/>
                <w:szCs w:val="5"/>
                <w:color w:val="auto"/>
              </w:rPr>
            </w:pPr>
          </w:p>
        </w:tc>
        <w:tc>
          <w:tcPr>
            <w:tcW w:w="1640" w:type="dxa"/>
            <w:vAlign w:val="bottom"/>
            <w:shd w:val="clear" w:color="auto" w:fill="CFF0FC"/>
          </w:tcPr>
          <w:p>
            <w:pPr>
              <w:spacing w:after="0"/>
              <w:rPr>
                <w:sz w:val="5"/>
                <w:szCs w:val="5"/>
                <w:color w:val="auto"/>
              </w:rPr>
            </w:pPr>
          </w:p>
        </w:tc>
        <w:tc>
          <w:tcPr>
            <w:tcW w:w="146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420" w:type="dxa"/>
            <w:vAlign w:val="bottom"/>
            <w:vMerge w:val="continue"/>
            <w:shd w:val="clear" w:color="auto" w:fill="CFF0FC"/>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64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449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3,622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6,719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7,560</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5,127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Edge Bidco B.V. - Delayed Draw &amp; Revolver</w:t>
            </w:r>
          </w:p>
        </w:tc>
        <w:tc>
          <w:tcPr>
            <w:tcW w:w="1640" w:type="dxa"/>
            <w:vAlign w:val="bottom"/>
          </w:tcPr>
          <w:p>
            <w:pPr>
              <w:spacing w:after="0"/>
              <w:rPr>
                <w:sz w:val="17"/>
                <w:szCs w:val="17"/>
                <w:color w:val="auto"/>
              </w:rPr>
            </w:pPr>
          </w:p>
        </w:tc>
        <w:tc>
          <w:tcPr>
            <w:tcW w:w="14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1,127</w:t>
            </w:r>
          </w:p>
        </w:tc>
        <w:tc>
          <w:tcPr>
            <w:tcW w:w="28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08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1,202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1,988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1,857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EMS Linq, Inc. - Revolver</w:t>
            </w:r>
          </w:p>
        </w:tc>
        <w:tc>
          <w:tcPr>
            <w:tcW w:w="1640" w:type="dxa"/>
            <w:vAlign w:val="bottom"/>
          </w:tcPr>
          <w:p>
            <w:pPr>
              <w:spacing w:after="0"/>
              <w:rPr>
                <w:sz w:val="16"/>
                <w:szCs w:val="16"/>
                <w:color w:val="auto"/>
              </w:rPr>
            </w:pPr>
          </w:p>
        </w:tc>
        <w:tc>
          <w:tcPr>
            <w:tcW w:w="1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6,149</w:t>
            </w:r>
          </w:p>
        </w:tc>
        <w:tc>
          <w:tcPr>
            <w:tcW w:w="280" w:type="dxa"/>
            <w:vAlign w:val="bottom"/>
          </w:tcPr>
          <w:p>
            <w:pPr>
              <w:spacing w:after="0"/>
              <w:rPr>
                <w:sz w:val="16"/>
                <w:szCs w:val="16"/>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4,568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6,253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2,772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1,115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33,369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37,860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8,885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3,462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5,481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64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2,638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2,521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9,636</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1,722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10,227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32,500</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164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Kahua, Inc.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2,165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2,165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12,521</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18,844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6,733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1640" w:type="dxa"/>
            <w:vAlign w:val="bottom"/>
          </w:tcPr>
          <w:p>
            <w:pPr>
              <w:spacing w:after="0"/>
              <w:rPr>
                <w:sz w:val="15"/>
                <w:szCs w:val="15"/>
                <w:color w:val="auto"/>
              </w:rPr>
            </w:pPr>
          </w:p>
        </w:tc>
        <w:tc>
          <w:tcPr>
            <w:tcW w:w="14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1,667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Merit Software Finance Holdings, LLC - Delayed Draw &amp; Revolver</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3,928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11,786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1640" w:type="dxa"/>
            <w:vAlign w:val="bottom"/>
          </w:tcPr>
          <w:p>
            <w:pPr>
              <w:spacing w:after="0"/>
              <w:rPr>
                <w:sz w:val="15"/>
                <w:szCs w:val="15"/>
                <w:color w:val="auto"/>
              </w:rPr>
            </w:pPr>
          </w:p>
        </w:tc>
        <w:tc>
          <w:tcPr>
            <w:tcW w:w="14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984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3,286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16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PrimeRevenue, Inc. - Revolver</w:t>
            </w:r>
          </w:p>
        </w:tc>
        <w:tc>
          <w:tcPr>
            <w:tcW w:w="1640" w:type="dxa"/>
            <w:vAlign w:val="bottom"/>
            <w:vMerge w:val="restart"/>
          </w:tcPr>
          <w:p>
            <w:pPr>
              <w:jc w:val="right"/>
              <w:ind w:right="1282"/>
              <w:spacing w:after="0"/>
              <w:rPr>
                <w:sz w:val="20"/>
                <w:szCs w:val="20"/>
                <w:color w:val="auto"/>
              </w:rPr>
            </w:pPr>
            <w:r>
              <w:rPr>
                <w:rFonts w:ascii="Times New Roman" w:cs="Times New Roman" w:eastAsia="Times New Roman" w:hAnsi="Times New Roman"/>
                <w:sz w:val="16"/>
                <w:szCs w:val="16"/>
                <w:color w:val="auto"/>
              </w:rPr>
              <w:t>48</w:t>
            </w:r>
          </w:p>
        </w:tc>
        <w:tc>
          <w:tcPr>
            <w:tcW w:w="1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6,250</w:t>
            </w:r>
          </w:p>
        </w:tc>
        <w:tc>
          <w:tcPr>
            <w:tcW w:w="28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6,250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4"/>
        </w:trPr>
        <w:tc>
          <w:tcPr>
            <w:tcW w:w="700" w:type="dxa"/>
            <w:vAlign w:val="bottom"/>
            <w:tcBorders>
              <w:bottom w:val="single" w:sz="8" w:color="EEEEEE"/>
            </w:tcBorders>
          </w:tcPr>
          <w:p>
            <w:pPr>
              <w:spacing w:after="0"/>
              <w:rPr>
                <w:sz w:val="24"/>
                <w:szCs w:val="24"/>
                <w:color w:val="auto"/>
              </w:rPr>
            </w:pPr>
          </w:p>
        </w:tc>
        <w:tc>
          <w:tcPr>
            <w:tcW w:w="438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48" w:name="page49"/>
    <w:bookmarkEnd w:id="48"/>
    <w:tbl>
      <w:tblPr>
        <w:tblLayout w:type="fixed"/>
        <w:tblInd w:w="700" w:type="dxa"/>
        <w:tblCellMar>
          <w:top w:w="0" w:type="dxa"/>
          <w:left w:w="0" w:type="dxa"/>
          <w:bottom w:w="0" w:type="dxa"/>
          <w:right w:w="0" w:type="dxa"/>
        </w:tblCellMar>
      </w:tblPr>
      <w:tr>
        <w:trPr>
          <w:trHeight w:val="184"/>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QSR Acquisition Co. - Delayed Draw</w:t>
            </w: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FF0FC"/>
          </w:tcPr>
          <w:p>
            <w:pPr>
              <w:spacing w:after="0"/>
              <w:rPr>
                <w:sz w:val="16"/>
                <w:szCs w:val="16"/>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5,660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6,901</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1,617</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1,425</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FF0FC"/>
          </w:tcPr>
          <w:p>
            <w:pPr>
              <w:spacing w:after="0"/>
              <w:rPr>
                <w:sz w:val="15"/>
                <w:szCs w:val="15"/>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3,243</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3,243</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FF0FC"/>
          </w:tcPr>
          <w:p>
            <w:pPr>
              <w:spacing w:after="0"/>
              <w:rPr>
                <w:sz w:val="15"/>
                <w:szCs w:val="15"/>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4,510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5,039</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15,422</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13,591</w:t>
            </w:r>
          </w:p>
        </w:tc>
        <w:tc>
          <w:tcPr>
            <w:tcW w:w="100" w:type="dxa"/>
            <w:vAlign w:val="bottom"/>
            <w:shd w:val="clear" w:color="auto" w:fill="CFF0FC"/>
          </w:tcPr>
          <w:p>
            <w:pPr>
              <w:spacing w:after="0"/>
              <w:rPr>
                <w:sz w:val="15"/>
                <w:szCs w:val="15"/>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4,115</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3,627</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481</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6,946</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11,234</w:t>
            </w:r>
          </w:p>
        </w:tc>
        <w:tc>
          <w:tcPr>
            <w:tcW w:w="100" w:type="dxa"/>
            <w:vAlign w:val="bottom"/>
          </w:tcPr>
          <w:p>
            <w:pPr>
              <w:spacing w:after="0"/>
              <w:rPr>
                <w:sz w:val="15"/>
                <w:szCs w:val="15"/>
                <w:color w:val="auto"/>
              </w:rPr>
            </w:pP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1,009</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5"/>
                <w:szCs w:val="15"/>
                <w:color w:val="auto"/>
              </w:rPr>
            </w:pP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1,479</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#2 -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23,799</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TradingScreen, Inc. -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FF0FC"/>
          </w:tcPr>
          <w:p>
            <w:pPr>
              <w:spacing w:after="0"/>
              <w:rPr>
                <w:sz w:val="15"/>
                <w:szCs w:val="15"/>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100" w:type="dxa"/>
            <w:vAlign w:val="bottom"/>
          </w:tcPr>
          <w:p>
            <w:pPr>
              <w:spacing w:after="0"/>
              <w:rPr>
                <w:sz w:val="15"/>
                <w:szCs w:val="15"/>
                <w:color w:val="auto"/>
              </w:rPr>
            </w:pP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8,743</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2,885</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2,809</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4,919</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3,553</w:t>
            </w: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9,685</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888</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1,433</w:t>
            </w:r>
          </w:p>
        </w:tc>
      </w:tr>
      <w:tr>
        <w:trPr>
          <w:trHeight w:val="180"/>
        </w:trPr>
        <w:tc>
          <w:tcPr>
            <w:tcW w:w="59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500" w:type="dxa"/>
            <w:vAlign w:val="bottom"/>
          </w:tcPr>
          <w:p>
            <w:pPr>
              <w:jc w:val="right"/>
              <w:ind w:right="3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337,260</w:t>
            </w:r>
          </w:p>
        </w:tc>
        <w:tc>
          <w:tcPr>
            <w:tcW w:w="80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356,309</w:t>
            </w:r>
          </w:p>
        </w:tc>
      </w:tr>
      <w:tr>
        <w:trPr>
          <w:trHeight w:val="20"/>
        </w:trPr>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6"/>
          <w:szCs w:val="16"/>
          <w:color w:val="auto"/>
        </w:rPr>
        <w:t xml:space="preserve">(2)The Company’s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spacing w:after="0" w:line="1"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September 30, 2025 and December 31, 2024, management is not aware of any material pending or threatened litigation that would require accounting recognition or financial statement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6" w:right="680" w:bottom="1440" w:gutter="0" w:footer="0" w:header="0"/>
        </w:sectPr>
      </w:pPr>
    </w:p>
    <w:bookmarkStart w:id="49" w:name="page50"/>
    <w:bookmarkEnd w:id="49"/>
    <w:p>
      <w:pPr>
        <w:spacing w:after="0" w:line="65" w:lineRule="exact"/>
        <w:rPr>
          <w:sz w:val="20"/>
          <w:szCs w:val="20"/>
          <w:color w:val="auto"/>
        </w:rPr>
      </w:pPr>
    </w:p>
    <w:p>
      <w:pPr>
        <w:ind w:right="120" w:firstLine="228"/>
        <w:spacing w:after="0" w:line="331" w:lineRule="auto"/>
        <w:rPr>
          <w:sz w:val="20"/>
          <w:szCs w:val="20"/>
          <w:color w:val="auto"/>
        </w:rPr>
      </w:pPr>
      <w:r>
        <w:rPr>
          <w:rFonts w:ascii="Times New Roman" w:cs="Times New Roman" w:eastAsia="Times New Roman" w:hAnsi="Times New Roman"/>
          <w:sz w:val="14"/>
          <w:szCs w:val="14"/>
          <w:color w:val="auto"/>
        </w:rPr>
        <w:t>Pursuant to the Company’s dividend reinvestment plan, the following tables summarize the shares issued to stockholders who have not opted out of the Company’s dividend reinvestment plan during the nine months ended September 30, 2025 and 2024. All shares issued to stockholders in the tables below are newly issued shares.</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vMerge w:val="restart"/>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220" w:type="dxa"/>
            <w:vAlign w:val="bottom"/>
          </w:tcPr>
          <w:p>
            <w:pPr>
              <w:spacing w:after="0"/>
              <w:rPr>
                <w:sz w:val="13"/>
                <w:szCs w:val="13"/>
                <w:color w:val="auto"/>
              </w:rPr>
            </w:pPr>
          </w:p>
        </w:tc>
        <w:tc>
          <w:tcPr>
            <w:tcW w:w="18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80" w:type="dxa"/>
            <w:vAlign w:val="bottom"/>
            <w:vMerge w:val="continue"/>
          </w:tcPr>
          <w:p>
            <w:pPr>
              <w:spacing w:after="0"/>
              <w:rPr>
                <w:sz w:val="14"/>
                <w:szCs w:val="14"/>
                <w:color w:val="auto"/>
              </w:rPr>
            </w:pPr>
          </w:p>
        </w:tc>
        <w:tc>
          <w:tcPr>
            <w:tcW w:w="2220" w:type="dxa"/>
            <w:vAlign w:val="bottom"/>
          </w:tcPr>
          <w:p>
            <w:pPr>
              <w:jc w:val="right"/>
              <w:ind w:right="98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February 28, 2025</w:t>
            </w:r>
          </w:p>
        </w:tc>
        <w:tc>
          <w:tcPr>
            <w:tcW w:w="18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March 20,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39,839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March 14, 2025</w:t>
            </w:r>
          </w:p>
        </w:tc>
        <w:tc>
          <w:tcPr>
            <w:tcW w:w="18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263,083</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May 30, 2025</w:t>
            </w:r>
          </w:p>
        </w:tc>
        <w:tc>
          <w:tcPr>
            <w:tcW w:w="18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June 20,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June 16, 2025</w:t>
            </w:r>
          </w:p>
        </w:tc>
        <w:tc>
          <w:tcPr>
            <w:tcW w:w="18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241,651</w:t>
            </w:r>
          </w:p>
        </w:tc>
        <w:tc>
          <w:tcPr>
            <w:tcW w:w="0" w:type="dxa"/>
            <w:vAlign w:val="bottom"/>
          </w:tcPr>
          <w:p>
            <w:pPr>
              <w:spacing w:after="0"/>
              <w:rPr>
                <w:sz w:val="1"/>
                <w:szCs w:val="1"/>
                <w:color w:val="auto"/>
              </w:rPr>
            </w:pPr>
          </w:p>
        </w:tc>
      </w:tr>
      <w:tr>
        <w:trPr>
          <w:trHeight w:val="204"/>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30, 2025</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6"/>
                <w:szCs w:val="16"/>
                <w:color w:val="auto"/>
              </w:rPr>
              <w:t>August 29, 2025</w:t>
            </w:r>
          </w:p>
        </w:tc>
        <w:tc>
          <w:tcPr>
            <w:tcW w:w="18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September 19,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66"/>
              <w:spacing w:after="0" w:line="180" w:lineRule="exact"/>
              <w:rPr>
                <w:sz w:val="20"/>
                <w:szCs w:val="20"/>
                <w:color w:val="auto"/>
              </w:rPr>
            </w:pPr>
            <w:r>
              <w:rPr>
                <w:rFonts w:ascii="Times New Roman" w:cs="Times New Roman" w:eastAsia="Times New Roman" w:hAnsi="Times New Roman"/>
                <w:sz w:val="16"/>
                <w:szCs w:val="16"/>
                <w:color w:val="auto"/>
              </w:rPr>
              <w:t>September 15, 2025</w:t>
            </w:r>
          </w:p>
        </w:tc>
        <w:tc>
          <w:tcPr>
            <w:tcW w:w="18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229,420</w:t>
            </w:r>
          </w:p>
        </w:tc>
        <w:tc>
          <w:tcPr>
            <w:tcW w:w="0" w:type="dxa"/>
            <w:vAlign w:val="bottom"/>
          </w:tcPr>
          <w:p>
            <w:pPr>
              <w:spacing w:after="0"/>
              <w:rPr>
                <w:sz w:val="1"/>
                <w:szCs w:val="1"/>
                <w:color w:val="auto"/>
              </w:rPr>
            </w:pPr>
          </w:p>
        </w:tc>
      </w:tr>
      <w:tr>
        <w:trPr>
          <w:trHeight w:val="220"/>
        </w:trPr>
        <w:tc>
          <w:tcPr>
            <w:tcW w:w="19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832,489</w:t>
            </w:r>
          </w:p>
        </w:tc>
        <w:tc>
          <w:tcPr>
            <w:tcW w:w="0" w:type="dxa"/>
            <w:vAlign w:val="bottom"/>
          </w:tcPr>
          <w:p>
            <w:pPr>
              <w:spacing w:after="0"/>
              <w:rPr>
                <w:sz w:val="1"/>
                <w:szCs w:val="1"/>
                <w:color w:val="auto"/>
              </w:rPr>
            </w:pPr>
          </w:p>
        </w:tc>
      </w:tr>
      <w:tr>
        <w:trPr>
          <w:trHeight w:val="371"/>
        </w:trPr>
        <w:tc>
          <w:tcPr>
            <w:tcW w:w="190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gridSpan w:val="2"/>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vMerge w:val="restart"/>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220" w:type="dxa"/>
            <w:vAlign w:val="bottom"/>
          </w:tcPr>
          <w:p>
            <w:pPr>
              <w:spacing w:after="0"/>
              <w:rPr>
                <w:sz w:val="13"/>
                <w:szCs w:val="13"/>
                <w:color w:val="auto"/>
              </w:rPr>
            </w:pPr>
          </w:p>
        </w:tc>
        <w:tc>
          <w:tcPr>
            <w:tcW w:w="18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80" w:type="dxa"/>
            <w:vAlign w:val="bottom"/>
            <w:vMerge w:val="continue"/>
          </w:tcPr>
          <w:p>
            <w:pPr>
              <w:spacing w:after="0"/>
              <w:rPr>
                <w:sz w:val="14"/>
                <w:szCs w:val="14"/>
                <w:color w:val="auto"/>
              </w:rPr>
            </w:pPr>
          </w:p>
        </w:tc>
        <w:tc>
          <w:tcPr>
            <w:tcW w:w="2220" w:type="dxa"/>
            <w:vAlign w:val="bottom"/>
          </w:tcPr>
          <w:p>
            <w:pPr>
              <w:jc w:val="right"/>
              <w:ind w:right="98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18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18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255,308</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18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June 14, 2024</w:t>
            </w:r>
          </w:p>
        </w:tc>
        <w:tc>
          <w:tcPr>
            <w:tcW w:w="180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261,331</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66"/>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18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33,887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66"/>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18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266,529</w:t>
            </w:r>
          </w:p>
        </w:tc>
        <w:tc>
          <w:tcPr>
            <w:tcW w:w="0" w:type="dxa"/>
            <w:vAlign w:val="bottom"/>
          </w:tcPr>
          <w:p>
            <w:pPr>
              <w:spacing w:after="0"/>
              <w:rPr>
                <w:sz w:val="1"/>
                <w:szCs w:val="1"/>
                <w:color w:val="auto"/>
              </w:rPr>
            </w:pPr>
          </w:p>
        </w:tc>
      </w:tr>
      <w:tr>
        <w:trPr>
          <w:trHeight w:val="220"/>
        </w:trPr>
        <w:tc>
          <w:tcPr>
            <w:tcW w:w="190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8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888,122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9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April 30, 2025 (effective May 31, 2025).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during the nine months ended September 30, 2025 and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 the Market Offerings</w:t>
      </w:r>
    </w:p>
    <w:p>
      <w:pPr>
        <w:spacing w:after="0" w:line="190"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September 30, 2025.</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line="159" w:lineRule="exact"/>
        <w:rPr>
          <w:sz w:val="20"/>
          <w:szCs w:val="20"/>
          <w:color w:val="auto"/>
        </w:rPr>
      </w:pPr>
    </w:p>
    <w:p>
      <w:pPr>
        <w:ind w:left="240" w:hanging="234"/>
        <w:spacing w:after="0"/>
        <w:tabs>
          <w:tab w:leader="none" w:pos="24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following table sets forth the computation of basic and diluted earnings per common share for the three and nine months ended September 30, 2025 and 2024:</w:t>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4"/>
          </w:tcPr>
          <w:p>
            <w:pPr>
              <w:jc w:val="right"/>
              <w:ind w:right="46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8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3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44,600</w:t>
            </w:r>
          </w:p>
        </w:tc>
        <w:tc>
          <w:tcPr>
            <w:tcW w:w="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40,655</w:t>
            </w:r>
          </w:p>
        </w:tc>
        <w:tc>
          <w:tcPr>
            <w:tcW w:w="3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140,557</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135,575</w:t>
            </w:r>
          </w:p>
        </w:tc>
      </w:tr>
      <w:tr>
        <w:trPr>
          <w:trHeight w:val="167"/>
        </w:trPr>
        <w:tc>
          <w:tcPr>
            <w:tcW w:w="44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shares of common stock outstanding—basic and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94,245,993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93,024,154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93,964,387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91,602,160</w:t>
            </w:r>
          </w:p>
        </w:tc>
        <w:tc>
          <w:tcPr>
            <w:tcW w:w="80" w:type="dxa"/>
            <w:vAlign w:val="bottom"/>
          </w:tcPr>
          <w:p>
            <w:pPr>
              <w:spacing w:after="0"/>
              <w:rPr>
                <w:sz w:val="16"/>
                <w:szCs w:val="16"/>
                <w:color w:val="auto"/>
              </w:rPr>
            </w:pPr>
          </w:p>
        </w:tc>
      </w:tr>
      <w:tr>
        <w:trPr>
          <w:trHeight w:val="200"/>
        </w:trPr>
        <w:tc>
          <w:tcPr>
            <w:tcW w:w="4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Earnings per common share—basic and diluted</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0.44</w:t>
            </w:r>
          </w:p>
        </w:tc>
        <w:tc>
          <w:tcPr>
            <w:tcW w:w="3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FF0FC"/>
          </w:tcPr>
          <w:p>
            <w:pPr>
              <w:spacing w:after="0"/>
              <w:rPr>
                <w:sz w:val="17"/>
                <w:szCs w:val="17"/>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nine months ended September 30, 2025 and 2024:</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900" w:type="dxa"/>
            <w:vAlign w:val="bottom"/>
          </w:tcPr>
          <w:p>
            <w:pPr>
              <w:jc w:val="center"/>
              <w:ind w:left="104"/>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080" w:type="dxa"/>
            <w:vAlign w:val="bottom"/>
          </w:tcPr>
          <w:p>
            <w:pPr>
              <w:jc w:val="right"/>
              <w:ind w:right="86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920" w:type="dxa"/>
            <w:vAlign w:val="bottom"/>
          </w:tcPr>
          <w:p>
            <w:pPr>
              <w:jc w:val="right"/>
              <w:ind w:right="70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February 28, 2025</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March 20, 2025</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900" w:type="dxa"/>
            <w:vAlign w:val="bottom"/>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March 14, 2025</w:t>
            </w:r>
          </w:p>
        </w:tc>
        <w:tc>
          <w:tcPr>
            <w:tcW w:w="19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May 30, 2025</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June 20, 2025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April 30, 2025</w:t>
            </w:r>
          </w:p>
        </w:tc>
        <w:tc>
          <w:tcPr>
            <w:tcW w:w="1900" w:type="dxa"/>
            <w:vAlign w:val="bottom"/>
          </w:tcPr>
          <w:p>
            <w:pPr>
              <w:jc w:val="center"/>
              <w:ind w:left="124"/>
              <w:spacing w:after="0"/>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306"/>
              <w:spacing w:after="0"/>
              <w:rPr>
                <w:sz w:val="20"/>
                <w:szCs w:val="20"/>
                <w:color w:val="auto"/>
              </w:rPr>
            </w:pPr>
            <w:r>
              <w:rPr>
                <w:rFonts w:ascii="Times New Roman" w:cs="Times New Roman" w:eastAsia="Times New Roman" w:hAnsi="Times New Roman"/>
                <w:sz w:val="16"/>
                <w:szCs w:val="16"/>
                <w:color w:val="auto"/>
              </w:rPr>
              <w:t>June 16, 2025</w:t>
            </w:r>
          </w:p>
        </w:tc>
        <w:tc>
          <w:tcPr>
            <w:tcW w:w="19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June 30, 2025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August 29, 2025</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September 19, 2025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1900" w:type="dxa"/>
            <w:vAlign w:val="bottom"/>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September 15, 2025</w:t>
            </w:r>
          </w:p>
        </w:tc>
        <w:tc>
          <w:tcPr>
            <w:tcW w:w="19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9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38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900" w:type="dxa"/>
            <w:vAlign w:val="bottom"/>
          </w:tcPr>
          <w:p>
            <w:pPr>
              <w:jc w:val="center"/>
              <w:ind w:left="104"/>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080" w:type="dxa"/>
            <w:vAlign w:val="bottom"/>
          </w:tcPr>
          <w:p>
            <w:pPr>
              <w:jc w:val="right"/>
              <w:ind w:right="866"/>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920" w:type="dxa"/>
            <w:vAlign w:val="bottom"/>
          </w:tcPr>
          <w:p>
            <w:pPr>
              <w:jc w:val="right"/>
              <w:ind w:right="704"/>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900" w:type="dxa"/>
            <w:vAlign w:val="bottom"/>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19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900" w:type="dxa"/>
            <w:vAlign w:val="bottom"/>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rPr>
              <w:t>June 14, 2024</w:t>
            </w:r>
          </w:p>
        </w:tc>
        <w:tc>
          <w:tcPr>
            <w:tcW w:w="19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900" w:type="dxa"/>
            <w:vAlign w:val="bottom"/>
            <w:shd w:val="clear" w:color="auto" w:fill="CFF0FC"/>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080" w:type="dxa"/>
            <w:vAlign w:val="bottom"/>
            <w:shd w:val="clear" w:color="auto" w:fill="CFF0FC"/>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19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900" w:type="dxa"/>
            <w:vAlign w:val="bottom"/>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080" w:type="dxa"/>
            <w:vAlign w:val="bottom"/>
          </w:tcPr>
          <w:p>
            <w:pPr>
              <w:jc w:val="right"/>
              <w:ind w:right="286"/>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19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38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190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60" w:firstLine="228"/>
        <w:spacing w:after="0" w:line="246" w:lineRule="auto"/>
        <w:rPr>
          <w:sz w:val="20"/>
          <w:szCs w:val="20"/>
          <w:color w:val="auto"/>
        </w:rPr>
      </w:pPr>
      <w:r>
        <w:rPr>
          <w:rFonts w:ascii="Times New Roman" w:cs="Times New Roman" w:eastAsia="Times New Roman" w:hAnsi="Times New Roman"/>
          <w:sz w:val="16"/>
          <w:szCs w:val="16"/>
          <w:color w:val="auto"/>
        </w:rPr>
        <w:t>The dividends declared during the nine months ended September 30, 2025 and 2024 were derived from net investment income and long-term capital gains, determined on a tax basis.</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440" w:right="860" w:bottom="1440" w:gutter="0" w:footer="0" w:header="0"/>
        </w:sectPr>
      </w:pPr>
    </w:p>
    <w:bookmarkStart w:id="51" w:name="page52"/>
    <w:bookmarkEnd w:id="5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Financial Highlights</w:t>
      </w:r>
    </w:p>
    <w:p>
      <w:pPr>
        <w:spacing w:after="0" w:line="94" w:lineRule="exact"/>
        <w:rPr>
          <w:sz w:val="20"/>
          <w:szCs w:val="20"/>
          <w:color w:val="auto"/>
        </w:rPr>
      </w:pPr>
    </w:p>
    <w:p>
      <w:pPr>
        <w:ind w:right="500" w:firstLine="228"/>
        <w:spacing w:after="0" w:line="259" w:lineRule="auto"/>
        <w:rPr>
          <w:sz w:val="20"/>
          <w:szCs w:val="20"/>
          <w:color w:val="auto"/>
        </w:rPr>
      </w:pPr>
      <w:r>
        <w:rPr>
          <w:rFonts w:ascii="Times New Roman" w:cs="Times New Roman" w:eastAsia="Times New Roman" w:hAnsi="Times New Roman"/>
          <w:sz w:val="16"/>
          <w:szCs w:val="16"/>
          <w:color w:val="auto"/>
        </w:rPr>
        <w:t>The following per share data and ratios have been derived from information provided in the consolidated financial statements. The following are the financial highlights for one share of common stock outstanding during the nine months ended September 30, 2025 and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Per Share Data </w:t>
            </w:r>
            <w:r>
              <w:rPr>
                <w:rFonts w:ascii="Times New Roman" w:cs="Times New Roman" w:eastAsia="Times New Roman" w:hAnsi="Times New Roman"/>
                <w:sz w:val="21"/>
                <w:szCs w:val="21"/>
                <w:b w:val="1"/>
                <w:bCs w:val="1"/>
                <w:color w:val="auto"/>
                <w:vertAlign w:val="superscript"/>
              </w:rPr>
              <w:t>(8)</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beginning of period</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Net realized and unrealized gains</w:t>
            </w:r>
          </w:p>
        </w:tc>
        <w:tc>
          <w:tcPr>
            <w:tcW w:w="160" w:type="dxa"/>
            <w:vAlign w:val="bottom"/>
            <w:shd w:val="clear" w:color="auto" w:fill="CFF0FC"/>
          </w:tcPr>
          <w:p>
            <w:pPr>
              <w:spacing w:after="0"/>
              <w:rPr>
                <w:sz w:val="12"/>
                <w:szCs w:val="12"/>
                <w:color w:val="auto"/>
              </w:rPr>
            </w:pPr>
          </w:p>
        </w:tc>
        <w:tc>
          <w:tcPr>
            <w:tcW w:w="1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FF0FC"/>
          </w:tcPr>
          <w:p>
            <w:pPr>
              <w:spacing w:after="0"/>
              <w:rPr>
                <w:sz w:val="18"/>
                <w:szCs w:val="18"/>
                <w:color w:val="auto"/>
              </w:rPr>
            </w:pPr>
          </w:p>
        </w:tc>
        <w:tc>
          <w:tcPr>
            <w:tcW w:w="16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Total from operations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Issuance of common stock, net of offering costs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Dividends declared from net investment income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increase/(decrease) in net assets</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Asset Value, End of Period</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17.14</w:t>
            </w:r>
          </w:p>
        </w:tc>
        <w:tc>
          <w:tcPr>
            <w:tcW w:w="200" w:type="dxa"/>
            <w:vAlign w:val="bottom"/>
          </w:tcPr>
          <w:p>
            <w:pPr>
              <w:spacing w:after="0"/>
              <w:rPr>
                <w:sz w:val="15"/>
                <w:szCs w:val="15"/>
                <w:color w:val="auto"/>
              </w:rPr>
            </w:pPr>
          </w:p>
        </w:tc>
        <w:tc>
          <w:tcPr>
            <w:tcW w:w="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market value with reinvestment of dividends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Outstanding, End of Period</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94,493,925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93,317,621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Ratios / Supplemental Data </w:t>
            </w:r>
            <w:r>
              <w:rPr>
                <w:rFonts w:ascii="Times New Roman" w:cs="Times New Roman" w:eastAsia="Times New Roman" w:hAnsi="Times New Roman"/>
                <w:sz w:val="21"/>
                <w:szCs w:val="21"/>
                <w:b w:val="1"/>
                <w:bCs w:val="1"/>
                <w:color w:val="auto"/>
                <w:vertAlign w:val="superscript"/>
              </w:rPr>
              <w:t>(6)</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Ratio of net expenses to average net assets </w:t>
            </w:r>
            <w:r>
              <w:rPr>
                <w:rFonts w:ascii="Times New Roman" w:cs="Times New Roman" w:eastAsia="Times New Roman" w:hAnsi="Times New Roman"/>
                <w:sz w:val="21"/>
                <w:szCs w:val="21"/>
                <w:color w:val="auto"/>
                <w:vertAlign w:val="superscript"/>
              </w:rPr>
              <w:t>(7)</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Ratio of net investment income to average net assets</w:t>
            </w:r>
          </w:p>
        </w:tc>
        <w:tc>
          <w:tcPr>
            <w:tcW w:w="1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Portfolio turnover</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assets, end of period</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1,619,707</w:t>
            </w:r>
          </w:p>
        </w:tc>
        <w:tc>
          <w:tcPr>
            <w:tcW w:w="200" w:type="dxa"/>
            <w:vAlign w:val="bottom"/>
          </w:tcPr>
          <w:p>
            <w:pPr>
              <w:spacing w:after="0"/>
              <w:rPr>
                <w:sz w:val="15"/>
                <w:szCs w:val="15"/>
                <w:color w:val="auto"/>
              </w:rPr>
            </w:pPr>
          </w:p>
        </w:tc>
        <w:tc>
          <w:tcPr>
            <w:tcW w:w="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1,597,181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jc w:val="both"/>
        <w:spacing w:after="0" w:line="234" w:lineRule="auto"/>
        <w:rPr>
          <w:sz w:val="20"/>
          <w:szCs w:val="20"/>
          <w:color w:val="auto"/>
        </w:rPr>
      </w:pPr>
      <w:r>
        <w:rPr>
          <w:rFonts w:ascii="Times New Roman" w:cs="Times New Roman" w:eastAsia="Times New Roman" w:hAnsi="Times New Roman"/>
          <w:sz w:val="16"/>
          <w:szCs w:val="16"/>
          <w:color w:val="auto"/>
        </w:rPr>
        <w:t>(3)Total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236" w:lineRule="auto"/>
        <w:rPr>
          <w:sz w:val="20"/>
          <w:szCs w:val="20"/>
          <w:color w:val="auto"/>
        </w:rPr>
      </w:pPr>
      <w:r>
        <w:rPr>
          <w:rFonts w:ascii="Times New Roman" w:cs="Times New Roman" w:eastAsia="Times New Roman" w:hAnsi="Times New Roman"/>
          <w:sz w:val="16"/>
          <w:szCs w:val="16"/>
          <w:color w:val="auto"/>
        </w:rPr>
        <w:t>(6)The ratios reflect an annualized amount.</w:t>
      </w:r>
    </w:p>
    <w:p>
      <w:pPr>
        <w:ind w:right="60"/>
        <w:spacing w:after="0" w:line="234" w:lineRule="auto"/>
        <w:rPr>
          <w:sz w:val="20"/>
          <w:szCs w:val="20"/>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nine months ended September 30, 2025 and 2024. Excluding the effects of the waivers, the ratio of net expenses to average net assets would have been 15.08% and 16.78%, respectively, for the nine months ended September 30, 2025 and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(8)Table may not sum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Subsequent Events</w:t>
      </w:r>
    </w:p>
    <w:p>
      <w:pPr>
        <w:spacing w:after="0" w:line="94" w:lineRule="exact"/>
        <w:rPr>
          <w:sz w:val="20"/>
          <w:szCs w:val="20"/>
          <w:color w:val="auto"/>
        </w:rPr>
      </w:pPr>
    </w:p>
    <w:p>
      <w:pPr>
        <w:ind w:right="40" w:firstLine="228"/>
        <w:spacing w:after="0" w:line="242"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92"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in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are a specialty finance company focused on lending to middle-market companies. Since we began our investment activities in July 2011, through September 30, 2025, we have originated approximately $51.8 billion aggregate principal amount of investments and retained approximately $11.6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69"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September 30, 2025, our core portfolio companies, which exclude certain investments that fall outside of our typical borrower profile and represent 87.8% of our total investments based on fair value, had weighted average annual revenue of $ 375.9 million and weighted average annual EBITDA of $113.3 million. As of September 30, 2025, our core portfolio companies had a median annual revenue of $150.0 million and a median annual EBITDA of $46.4 million.</w:t>
      </w:r>
    </w:p>
    <w:p>
      <w:pPr>
        <w:spacing w:after="0" w:line="169"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20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6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September 30, 2025, the largest single investment based on fair value represented 2.3% of our total investment portfolio.</w:t>
      </w:r>
    </w:p>
    <w:p>
      <w:pPr>
        <w:spacing w:after="0" w:line="108" w:lineRule="exact"/>
        <w:rPr>
          <w:sz w:val="20"/>
          <w:szCs w:val="20"/>
          <w:color w:val="auto"/>
        </w:rPr>
      </w:pPr>
    </w:p>
    <w:p>
      <w:pPr>
        <w:ind w:right="40" w:firstLine="228"/>
        <w:spacing w:after="0" w:line="246" w:lineRule="auto"/>
        <w:rPr>
          <w:sz w:val="20"/>
          <w:szCs w:val="20"/>
          <w:color w:val="auto"/>
        </w:rPr>
      </w:pPr>
      <w:r>
        <w:rPr>
          <w:rFonts w:ascii="Times New Roman" w:cs="Times New Roman" w:eastAsia="Times New Roman" w:hAnsi="Times New Roman"/>
          <w:sz w:val="16"/>
          <w:szCs w:val="16"/>
          <w:color w:val="auto"/>
        </w:rPr>
        <w:t>As of September 30, 2025, the average investment size in each of our portfolio companies was approximately $23.3 million based on fair value. Portfolio companies includes investments in structured credit investments, which include each series of collateralized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3" w:name="page54"/>
    <w:bookmarkEnd w:id="53"/>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loan obligation as a portfolio company investment. When excluding investments in structured credit investments, the average investment in our remaining portfolio companies was approximately $30.3 million based on fair value as of September 30, 2025.</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the largest industry represented 18.0% of our total investment portfolio based on fair value.</w:t>
      </w:r>
    </w:p>
    <w:p>
      <w:pPr>
        <w:spacing w:after="0" w:line="186"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Investment Structuring. </w:t>
      </w:r>
      <w:r>
        <w:rPr>
          <w:rFonts w:ascii="Times New Roman" w:cs="Times New Roman" w:eastAsia="Times New Roman" w:hAnsi="Times New Roman"/>
          <w:sz w:val="16"/>
          <w:szCs w:val="16"/>
          <w:color w:val="auto"/>
        </w:rPr>
        <w:t>We focus on investing at the top of the capital structure and protecting that position. As of September 30, 2025, approximately 90.1%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was invested in secured debt, including 89.2%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September 30, 2025, the weighted average term on new investment commitments in new portfolio companies was 7.8 years.</w:t>
      </w:r>
    </w:p>
    <w:p>
      <w:pPr>
        <w:spacing w:after="0" w:line="170"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2025, we had call protection on 76.4% of our debt investments based on fair value, with weighted average call prices of 108.3% for the first year, 104.4% for the second year and 101.8% for the third year, in each case from the date of the initial investment. As of September 30, 2025, 96.3% of our debt investments based on fair value bore interest at floating rates, with 100.0%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80"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$115 billion of assets under management as of September 30, 2025. Sixth Street’s direct lending platforms include Sixth Street Specialty Lending and Sixth Street Lending Partners, which are aimed at U.S. upper middle-market loan originations, Sixth Street Specialty Lending Europe, which is aimed at European middle- 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730 investment and operating professionals. As of September 30, 2025, seventy-nine (79) of these personnel are dedicated to direct lending, including sixty-five (65) investment professionals.</w:t>
      </w:r>
    </w:p>
    <w:p>
      <w:pPr>
        <w:jc w:val="center"/>
        <w:ind w:right="6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54" w:name="page55"/>
    <w:bookmarkEnd w:id="54"/>
    <w:p>
      <w:pPr>
        <w:spacing w:after="0" w:line="6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Conditions</w:t>
      </w:r>
    </w:p>
    <w:p>
      <w:pPr>
        <w:spacing w:after="0" w:line="142"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To date, 2025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w:t>
      </w:r>
    </w:p>
    <w:p>
      <w:pPr>
        <w:spacing w:after="0" w:line="16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recently announced tariffs on goods imported from various countries to the United States. Countries subject to such tariffs have imposed, or may in the future, impose reciprocal or retaliatory tariffs and other trade measures. We are actively monitoring the tariff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jc w:val="center"/>
        <w:ind w:right="220"/>
        <w:spacing w:after="0" w:line="259" w:lineRule="auto"/>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5" w:name="page56"/>
    <w:bookmarkEnd w:id="5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September 30, 2025, 96.3%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nine months ended September 30, 2025, 6.3% and 5.3%, respectively, of our total investment income was comprised of PIK interest. For the three and nine months ended September 30, 2024, 5.2% and 6.6%, respectively, of our total investment income was comprised of PIK interest.</w:t>
      </w:r>
    </w:p>
    <w:p>
      <w:pPr>
        <w:spacing w:after="0" w:line="173"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3"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6" w:name="page57"/>
    <w:bookmarkEnd w:id="56"/>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77"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57" w:name="page58"/>
    <w:bookmarkEnd w:id="57"/>
    <w:p>
      <w:pPr>
        <w:spacing w:after="0" w:line="65"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As of September 30, 2025, our portfolio based on fair value consisted of 89.2% first-lien debt investments, 0.9% second-lien debt investments, 1.8% mezzanine debt investments, 5.2% equity investments and 2.9% structured credit investments. As of December 31, 2024, our portfolio based on fair value consisted of 93.9% first-lien debt investments, 0.6% second-lien debt investments, 1.1% mezzanine debt investments, 4.4% equity and other investments and less than 0.1% structured credit investments.</w:t>
      </w:r>
    </w:p>
    <w:p>
      <w:pPr>
        <w:spacing w:after="0" w:line="167"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As of September 30, 2025 and December 31, 2024, our weighted average total yield of debt and income producing securities at fair value (which includes interest income and amortization of fees and discounts) was 11.4% and 12.3%, respectively, and our weighted average total yield of debt and income-producing securities at amortized cost (which includes interest income and amortization of fees and discounts) was 11.7% and 12.5%, respectively.</w:t>
      </w:r>
    </w:p>
    <w:p>
      <w:pPr>
        <w:spacing w:after="0" w:line="16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As of September 30, 2025, we had investments in 145 portfolio companies (including 37 structured credit investments, which include each series of collateralized loan obligation as a separate portfolio company investment) with an aggregate fair value of $3,376.3 million. As of December 31, 2024, we had investments in 116 portfolio companies (including one structured credit investment, which include each series of collateralized loan obligation as a separate portfolio company investment) with an aggregate fair value of $3,518.4 million.</w:t>
      </w:r>
    </w:p>
    <w:p>
      <w:pPr>
        <w:spacing w:after="0" w:line="167"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2025, the principal amount of new investments funded was $351.8 million in forty-one new portfolio companies and five existing portfolio companies. For this period, we had $302.8 million aggregate principal amount in exits and repayments.</w:t>
      </w:r>
    </w:p>
    <w:p>
      <w:pPr>
        <w:spacing w:after="0" w:line="155"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2024, the principal amount of new investments funded was $ 189.0 million in eight new portfolio companies and four existing portfolio companies. For this period, we had $90.2 million aggregate principal amount in exits and repayments.</w:t>
      </w:r>
    </w:p>
    <w:p>
      <w:pPr>
        <w:spacing w:after="0" w:line="155" w:lineRule="exact"/>
        <w:rPr>
          <w:sz w:val="20"/>
          <w:szCs w:val="20"/>
          <w:color w:val="auto"/>
        </w:rPr>
      </w:pPr>
    </w:p>
    <w:p>
      <w:pPr>
        <w:ind w:right="120" w:firstLine="228"/>
        <w:spacing w:after="0" w:line="246" w:lineRule="auto"/>
        <w:rPr>
          <w:sz w:val="20"/>
          <w:szCs w:val="20"/>
          <w:color w:val="auto"/>
        </w:rPr>
      </w:pPr>
      <w:r>
        <w:rPr>
          <w:rFonts w:ascii="Times New Roman" w:cs="Times New Roman" w:eastAsia="Times New Roman" w:hAnsi="Times New Roman"/>
          <w:sz w:val="16"/>
          <w:szCs w:val="16"/>
          <w:color w:val="auto"/>
        </w:rPr>
        <w:t>Our investment activity for the three months ended September 30, 2025 and 2024 is presented below (information presented herein is at par value unless otherwise indicated).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8" w:name="page59"/>
    <w:bookmarkEnd w:id="58"/>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40" w:type="dxa"/>
            <w:vAlign w:val="bottom"/>
            <w:gridSpan w:val="4"/>
          </w:tcPr>
          <w:p>
            <w:pPr>
              <w:ind w:left="88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0"/>
        </w:trPr>
        <w:tc>
          <w:tcPr>
            <w:tcW w:w="56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60" w:type="dxa"/>
            <w:vAlign w:val="bottom"/>
          </w:tcPr>
          <w:p>
            <w:pPr>
              <w:spacing w:after="0"/>
              <w:rPr>
                <w:sz w:val="14"/>
                <w:szCs w:val="14"/>
                <w:color w:val="auto"/>
              </w:rPr>
            </w:pPr>
          </w:p>
        </w:tc>
        <w:tc>
          <w:tcPr>
            <w:tcW w:w="160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Gross originations </w:t>
            </w:r>
            <w:r>
              <w:rPr>
                <w:rFonts w:ascii="Times New Roman" w:cs="Times New Roman" w:eastAsia="Times New Roman" w:hAnsi="Times New Roman"/>
                <w:sz w:val="20"/>
                <w:szCs w:val="20"/>
                <w:color w:val="auto"/>
                <w:vertAlign w:val="superscript"/>
              </w:rPr>
              <w:t>(1)</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3,735.0</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2,502.0</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Less: Syndications/sell downs </w:t>
            </w:r>
            <w:r>
              <w:rPr>
                <w:rFonts w:ascii="Times New Roman" w:cs="Times New Roman" w:eastAsia="Times New Roman" w:hAnsi="Times New Roman"/>
                <w:sz w:val="20"/>
                <w:szCs w:val="20"/>
                <w:color w:val="auto"/>
                <w:vertAlign w:val="superscript"/>
              </w:rPr>
              <w:t>(1)</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3,347.3</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2,232.7</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new investment commitments</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387.7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269.3</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253.1</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189.0</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460" w:type="dxa"/>
            <w:vAlign w:val="bottom"/>
          </w:tcPr>
          <w:p>
            <w:pPr>
              <w:spacing w:after="0"/>
              <w:rPr>
                <w:sz w:val="15"/>
                <w:szCs w:val="15"/>
                <w:color w:val="auto"/>
              </w:rPr>
            </w:pP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1460" w:type="dxa"/>
            <w:vAlign w:val="bottom"/>
          </w:tcPr>
          <w:p>
            <w:pPr>
              <w:spacing w:after="0"/>
              <w:rPr>
                <w:sz w:val="15"/>
                <w:szCs w:val="15"/>
                <w:color w:val="auto"/>
              </w:rPr>
            </w:pP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98.7</w:t>
            </w:r>
          </w:p>
        </w:tc>
        <w:tc>
          <w:tcPr>
            <w:tcW w:w="140" w:type="dxa"/>
            <w:vAlign w:val="bottom"/>
          </w:tcPr>
          <w:p>
            <w:pPr>
              <w:spacing w:after="0"/>
              <w:rPr>
                <w:sz w:val="15"/>
                <w:szCs w:val="15"/>
                <w:color w:val="auto"/>
              </w:rPr>
            </w:pP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351.8</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189.0</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302.0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84.2</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1460" w:type="dxa"/>
            <w:vAlign w:val="bottom"/>
          </w:tcPr>
          <w:p>
            <w:pPr>
              <w:spacing w:after="0"/>
              <w:rPr>
                <w:sz w:val="15"/>
                <w:szCs w:val="15"/>
                <w:color w:val="auto"/>
              </w:rPr>
            </w:pP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1460" w:type="dxa"/>
            <w:vAlign w:val="bottom"/>
          </w:tcPr>
          <w:p>
            <w:pPr>
              <w:spacing w:after="0"/>
              <w:rPr>
                <w:sz w:val="15"/>
                <w:szCs w:val="15"/>
                <w:color w:val="auto"/>
              </w:rPr>
            </w:pP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5"/>
                <w:szCs w:val="15"/>
                <w:color w:val="auto"/>
              </w:rPr>
            </w:pP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62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48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83"/>
              <w:spacing w:after="0" w:line="180" w:lineRule="exact"/>
              <w:rPr>
                <w:sz w:val="20"/>
                <w:szCs w:val="20"/>
                <w:color w:val="auto"/>
              </w:rPr>
            </w:pPr>
            <w:r>
              <w:rPr>
                <w:rFonts w:ascii="Times New Roman" w:cs="Times New Roman" w:eastAsia="Times New Roman" w:hAnsi="Times New Roman"/>
                <w:sz w:val="16"/>
                <w:szCs w:val="16"/>
                <w:color w:val="auto"/>
              </w:rPr>
              <w:t>302.8</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90.2</w:t>
            </w:r>
          </w:p>
        </w:tc>
        <w:tc>
          <w:tcPr>
            <w:tcW w:w="620" w:type="dxa"/>
            <w:vAlign w:val="bottom"/>
          </w:tcPr>
          <w:p>
            <w:pPr>
              <w:spacing w:after="0"/>
              <w:rPr>
                <w:sz w:val="15"/>
                <w:szCs w:val="15"/>
                <w:color w:val="auto"/>
              </w:rPr>
            </w:pPr>
          </w:p>
        </w:tc>
      </w:tr>
      <w:tr>
        <w:trPr>
          <w:trHeight w:val="144"/>
        </w:trPr>
        <w:tc>
          <w:tcPr>
            <w:tcW w:w="560" w:type="dxa"/>
            <w:vAlign w:val="bottom"/>
          </w:tcPr>
          <w:p>
            <w:pPr>
              <w:spacing w:after="0"/>
              <w:rPr>
                <w:sz w:val="12"/>
                <w:szCs w:val="12"/>
                <w:color w:val="auto"/>
              </w:rPr>
            </w:pPr>
          </w:p>
        </w:tc>
        <w:tc>
          <w:tcPr>
            <w:tcW w:w="4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146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560" w:type="dxa"/>
            <w:vAlign w:val="bottom"/>
          </w:tcPr>
          <w:p>
            <w:pPr>
              <w:spacing w:after="0"/>
              <w:rPr>
                <w:sz w:val="18"/>
                <w:szCs w:val="18"/>
                <w:color w:val="auto"/>
              </w:rPr>
            </w:pPr>
          </w:p>
        </w:tc>
        <w:tc>
          <w:tcPr>
            <w:tcW w:w="48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new portfolio companies </w:t>
            </w:r>
            <w:r>
              <w:rPr>
                <w:rFonts w:ascii="Times New Roman" w:cs="Times New Roman" w:eastAsia="Times New Roman" w:hAnsi="Times New Roman"/>
                <w:sz w:val="21"/>
                <w:szCs w:val="21"/>
                <w:b w:val="1"/>
                <w:bCs w:val="1"/>
                <w:color w:val="auto"/>
                <w:vertAlign w:val="superscript"/>
              </w:rPr>
              <w:t>(2)</w:t>
            </w:r>
          </w:p>
        </w:tc>
        <w:tc>
          <w:tcPr>
            <w:tcW w:w="14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w:t>
            </w:r>
          </w:p>
        </w:tc>
        <w:tc>
          <w:tcPr>
            <w:tcW w:w="620" w:type="dxa"/>
            <w:vAlign w:val="bottom"/>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4820" w:type="dxa"/>
            <w:vAlign w:val="bottom"/>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1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560" w:type="dxa"/>
            <w:vAlign w:val="bottom"/>
          </w:tcPr>
          <w:p>
            <w:pPr>
              <w:spacing w:after="0"/>
              <w:rPr>
                <w:sz w:val="18"/>
                <w:szCs w:val="18"/>
                <w:color w:val="auto"/>
              </w:rPr>
            </w:pPr>
          </w:p>
        </w:tc>
        <w:tc>
          <w:tcPr>
            <w:tcW w:w="482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new portfolio companies </w:t>
            </w:r>
            <w:r>
              <w:rPr>
                <w:rFonts w:ascii="Times New Roman" w:cs="Times New Roman" w:eastAsia="Times New Roman" w:hAnsi="Times New Roman"/>
                <w:sz w:val="21"/>
                <w:szCs w:val="21"/>
                <w:b w:val="1"/>
                <w:bCs w:val="1"/>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30.2</w:t>
            </w:r>
          </w:p>
        </w:tc>
        <w:tc>
          <w:tcPr>
            <w:tcW w:w="620" w:type="dxa"/>
            <w:vAlign w:val="bottom"/>
          </w:tcPr>
          <w:p>
            <w:pPr>
              <w:spacing w:after="0"/>
              <w:rPr>
                <w:sz w:val="18"/>
                <w:szCs w:val="18"/>
                <w:color w:val="auto"/>
              </w:rPr>
            </w:pPr>
          </w:p>
        </w:tc>
      </w:tr>
      <w:tr>
        <w:trPr>
          <w:trHeight w:val="165"/>
        </w:trPr>
        <w:tc>
          <w:tcPr>
            <w:tcW w:w="560" w:type="dxa"/>
            <w:vAlign w:val="bottom"/>
          </w:tcPr>
          <w:p>
            <w:pPr>
              <w:spacing w:after="0"/>
              <w:rPr>
                <w:sz w:val="14"/>
                <w:szCs w:val="14"/>
                <w:color w:val="auto"/>
              </w:rPr>
            </w:pPr>
          </w:p>
        </w:tc>
        <w:tc>
          <w:tcPr>
            <w:tcW w:w="48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14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620" w:type="dxa"/>
            <w:vAlign w:val="bottom"/>
          </w:tcPr>
          <w:p>
            <w:pPr>
              <w:spacing w:after="0"/>
              <w:rPr>
                <w:sz w:val="14"/>
                <w:szCs w:val="14"/>
                <w:color w:val="auto"/>
              </w:rPr>
            </w:pPr>
          </w:p>
        </w:tc>
      </w:tr>
      <w:tr>
        <w:trPr>
          <w:trHeight w:val="159"/>
        </w:trPr>
        <w:tc>
          <w:tcPr>
            <w:tcW w:w="560" w:type="dxa"/>
            <w:vAlign w:val="bottom"/>
          </w:tcPr>
          <w:p>
            <w:pPr>
              <w:spacing w:after="0"/>
              <w:rPr>
                <w:sz w:val="13"/>
                <w:szCs w:val="13"/>
                <w:color w:val="auto"/>
              </w:rPr>
            </w:pPr>
          </w:p>
        </w:tc>
        <w:tc>
          <w:tcPr>
            <w:tcW w:w="4820" w:type="dxa"/>
            <w:vAlign w:val="bottom"/>
            <w:shd w:val="clear" w:color="auto" w:fill="CFF0FC"/>
          </w:tcPr>
          <w:p>
            <w:pPr>
              <w:ind w:left="120"/>
              <w:spacing w:after="0" w:line="159"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146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620" w:type="dxa"/>
            <w:vAlign w:val="bottom"/>
          </w:tcPr>
          <w:p>
            <w:pPr>
              <w:spacing w:after="0"/>
              <w:rPr>
                <w:sz w:val="13"/>
                <w:szCs w:val="13"/>
                <w:color w:val="auto"/>
              </w:rPr>
            </w:pPr>
          </w:p>
        </w:tc>
      </w:tr>
      <w:tr>
        <w:trPr>
          <w:trHeight w:val="216"/>
        </w:trPr>
        <w:tc>
          <w:tcPr>
            <w:tcW w:w="560" w:type="dxa"/>
            <w:vAlign w:val="bottom"/>
          </w:tcPr>
          <w:p>
            <w:pPr>
              <w:spacing w:after="0"/>
              <w:rPr>
                <w:sz w:val="18"/>
                <w:szCs w:val="18"/>
                <w:color w:val="auto"/>
              </w:rPr>
            </w:pPr>
          </w:p>
        </w:tc>
        <w:tc>
          <w:tcPr>
            <w:tcW w:w="48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(in years) </w:t>
            </w:r>
            <w:r>
              <w:rPr>
                <w:rFonts w:ascii="Times New Roman" w:cs="Times New Roman" w:eastAsia="Times New Roman" w:hAnsi="Times New Roman"/>
                <w:sz w:val="21"/>
                <w:szCs w:val="21"/>
                <w:b w:val="1"/>
                <w:bCs w:val="1"/>
                <w:color w:val="auto"/>
                <w:vertAlign w:val="superscript"/>
              </w:rPr>
              <w:t>(2)</w:t>
            </w:r>
          </w:p>
        </w:tc>
        <w:tc>
          <w:tcPr>
            <w:tcW w:w="146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6.3</w:t>
            </w:r>
          </w:p>
        </w:tc>
        <w:tc>
          <w:tcPr>
            <w:tcW w:w="620" w:type="dxa"/>
            <w:vAlign w:val="bottom"/>
          </w:tcPr>
          <w:p>
            <w:pPr>
              <w:spacing w:after="0"/>
              <w:rPr>
                <w:sz w:val="18"/>
                <w:szCs w:val="18"/>
                <w:color w:val="auto"/>
              </w:rPr>
            </w:pPr>
          </w:p>
        </w:tc>
      </w:tr>
      <w:tr>
        <w:trPr>
          <w:trHeight w:val="165"/>
        </w:trPr>
        <w:tc>
          <w:tcPr>
            <w:tcW w:w="560" w:type="dxa"/>
            <w:vAlign w:val="bottom"/>
          </w:tcPr>
          <w:p>
            <w:pPr>
              <w:spacing w:after="0"/>
              <w:rPr>
                <w:sz w:val="14"/>
                <w:szCs w:val="14"/>
                <w:color w:val="auto"/>
              </w:rPr>
            </w:pPr>
          </w:p>
        </w:tc>
        <w:tc>
          <w:tcPr>
            <w:tcW w:w="48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5"/>
        </w:trPr>
        <w:tc>
          <w:tcPr>
            <w:tcW w:w="560" w:type="dxa"/>
            <w:vAlign w:val="bottom"/>
          </w:tcPr>
          <w:p>
            <w:pPr>
              <w:spacing w:after="0"/>
              <w:rPr>
                <w:sz w:val="16"/>
                <w:szCs w:val="16"/>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1460" w:type="dxa"/>
            <w:vAlign w:val="bottom"/>
          </w:tcPr>
          <w:p>
            <w:pPr>
              <w:spacing w:after="0"/>
              <w:rPr>
                <w:sz w:val="16"/>
                <w:szCs w:val="16"/>
                <w:color w:val="auto"/>
              </w:rPr>
            </w:pPr>
          </w:p>
        </w:tc>
        <w:tc>
          <w:tcPr>
            <w:tcW w:w="16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620" w:type="dxa"/>
            <w:vAlign w:val="bottom"/>
          </w:tcPr>
          <w:p>
            <w:pPr>
              <w:spacing w:after="0"/>
              <w:rPr>
                <w:sz w:val="16"/>
                <w:szCs w:val="16"/>
                <w:color w:val="auto"/>
              </w:rPr>
            </w:pPr>
          </w:p>
        </w:tc>
      </w:tr>
      <w:tr>
        <w:trPr>
          <w:trHeight w:val="165"/>
        </w:trPr>
        <w:tc>
          <w:tcPr>
            <w:tcW w:w="560" w:type="dxa"/>
            <w:vAlign w:val="bottom"/>
          </w:tcPr>
          <w:p>
            <w:pPr>
              <w:spacing w:after="0"/>
              <w:rPr>
                <w:sz w:val="14"/>
                <w:szCs w:val="14"/>
                <w:color w:val="auto"/>
              </w:rPr>
            </w:pPr>
          </w:p>
        </w:tc>
        <w:tc>
          <w:tcPr>
            <w:tcW w:w="48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14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620" w:type="dxa"/>
            <w:vAlign w:val="bottom"/>
          </w:tcPr>
          <w:p>
            <w:pPr>
              <w:spacing w:after="0"/>
              <w:rPr>
                <w:sz w:val="14"/>
                <w:szCs w:val="14"/>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at fixed rates</w:t>
            </w:r>
          </w:p>
        </w:tc>
        <w:tc>
          <w:tcPr>
            <w:tcW w:w="14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620" w:type="dxa"/>
            <w:vAlign w:val="bottom"/>
          </w:tcPr>
          <w:p>
            <w:pPr>
              <w:spacing w:after="0"/>
              <w:rPr>
                <w:sz w:val="16"/>
                <w:szCs w:val="16"/>
                <w:color w:val="auto"/>
              </w:rPr>
            </w:pPr>
          </w:p>
        </w:tc>
      </w:tr>
      <w:tr>
        <w:trPr>
          <w:trHeight w:val="165"/>
        </w:trPr>
        <w:tc>
          <w:tcPr>
            <w:tcW w:w="560" w:type="dxa"/>
            <w:vAlign w:val="bottom"/>
          </w:tcPr>
          <w:p>
            <w:pPr>
              <w:spacing w:after="0"/>
              <w:rPr>
                <w:sz w:val="14"/>
                <w:szCs w:val="14"/>
                <w:color w:val="auto"/>
              </w:rPr>
            </w:pPr>
          </w:p>
        </w:tc>
        <w:tc>
          <w:tcPr>
            <w:tcW w:w="48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5"/>
        </w:trPr>
        <w:tc>
          <w:tcPr>
            <w:tcW w:w="560" w:type="dxa"/>
            <w:vAlign w:val="bottom"/>
          </w:tcPr>
          <w:p>
            <w:pPr>
              <w:spacing w:after="0"/>
              <w:rPr>
                <w:sz w:val="16"/>
                <w:szCs w:val="16"/>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1460" w:type="dxa"/>
            <w:vAlign w:val="bottom"/>
          </w:tcPr>
          <w:p>
            <w:pPr>
              <w:spacing w:after="0"/>
              <w:rPr>
                <w:sz w:val="16"/>
                <w:szCs w:val="16"/>
                <w:color w:val="auto"/>
              </w:rPr>
            </w:pPr>
          </w:p>
        </w:tc>
        <w:tc>
          <w:tcPr>
            <w:tcW w:w="16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20" w:type="dxa"/>
            <w:vAlign w:val="bottom"/>
          </w:tcPr>
          <w:p>
            <w:pPr>
              <w:spacing w:after="0"/>
              <w:rPr>
                <w:sz w:val="16"/>
                <w:szCs w:val="16"/>
                <w:color w:val="auto"/>
              </w:rPr>
            </w:pPr>
          </w:p>
        </w:tc>
      </w:tr>
      <w:tr>
        <w:trPr>
          <w:trHeight w:val="165"/>
        </w:trPr>
        <w:tc>
          <w:tcPr>
            <w:tcW w:w="560" w:type="dxa"/>
            <w:vAlign w:val="bottom"/>
          </w:tcPr>
          <w:p>
            <w:pPr>
              <w:spacing w:after="0"/>
              <w:rPr>
                <w:sz w:val="14"/>
                <w:szCs w:val="14"/>
                <w:color w:val="auto"/>
              </w:rPr>
            </w:pPr>
          </w:p>
        </w:tc>
        <w:tc>
          <w:tcPr>
            <w:tcW w:w="48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14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620" w:type="dxa"/>
            <w:vAlign w:val="bottom"/>
          </w:tcPr>
          <w:p>
            <w:pPr>
              <w:spacing w:after="0"/>
              <w:rPr>
                <w:sz w:val="14"/>
                <w:szCs w:val="14"/>
                <w:color w:val="auto"/>
              </w:rPr>
            </w:pPr>
          </w:p>
        </w:tc>
      </w:tr>
      <w:tr>
        <w:trPr>
          <w:trHeight w:val="195"/>
        </w:trPr>
        <w:tc>
          <w:tcPr>
            <w:tcW w:w="560" w:type="dxa"/>
            <w:vAlign w:val="bottom"/>
          </w:tcPr>
          <w:p>
            <w:pPr>
              <w:spacing w:after="0"/>
              <w:rPr>
                <w:sz w:val="16"/>
                <w:szCs w:val="16"/>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14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20" w:type="dxa"/>
            <w:vAlign w:val="bottom"/>
          </w:tcPr>
          <w:p>
            <w:pPr>
              <w:spacing w:after="0"/>
              <w:rPr>
                <w:sz w:val="16"/>
                <w:szCs w:val="16"/>
                <w:color w:val="auto"/>
              </w:rPr>
            </w:pPr>
          </w:p>
        </w:tc>
      </w:tr>
      <w:tr>
        <w:trPr>
          <w:trHeight w:val="165"/>
        </w:trPr>
        <w:tc>
          <w:tcPr>
            <w:tcW w:w="560" w:type="dxa"/>
            <w:vAlign w:val="bottom"/>
          </w:tcPr>
          <w:p>
            <w:pPr>
              <w:spacing w:after="0"/>
              <w:rPr>
                <w:sz w:val="14"/>
                <w:szCs w:val="14"/>
                <w:color w:val="auto"/>
              </w:rPr>
            </w:pPr>
          </w:p>
        </w:tc>
        <w:tc>
          <w:tcPr>
            <w:tcW w:w="48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5"/>
        </w:trPr>
        <w:tc>
          <w:tcPr>
            <w:tcW w:w="560" w:type="dxa"/>
            <w:vAlign w:val="bottom"/>
          </w:tcPr>
          <w:p>
            <w:pPr>
              <w:spacing w:after="0"/>
              <w:rPr>
                <w:sz w:val="17"/>
                <w:szCs w:val="17"/>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1460" w:type="dxa"/>
            <w:vAlign w:val="bottom"/>
          </w:tcPr>
          <w:p>
            <w:pPr>
              <w:spacing w:after="0"/>
              <w:rPr>
                <w:sz w:val="17"/>
                <w:szCs w:val="17"/>
                <w:color w:val="auto"/>
              </w:rPr>
            </w:pPr>
          </w:p>
        </w:tc>
        <w:tc>
          <w:tcPr>
            <w:tcW w:w="16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620" w:type="dxa"/>
            <w:vAlign w:val="bottom"/>
          </w:tcPr>
          <w:p>
            <w:pPr>
              <w:spacing w:after="0"/>
              <w:rPr>
                <w:sz w:val="17"/>
                <w:szCs w:val="17"/>
                <w:color w:val="auto"/>
              </w:rPr>
            </w:pPr>
          </w:p>
        </w:tc>
      </w:tr>
      <w:tr>
        <w:trPr>
          <w:trHeight w:val="337"/>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   Includes affiliates of Sixth Street</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0"/>
        </w:trPr>
        <w:tc>
          <w:tcPr>
            <w:tcW w:w="84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(2)   For the three months ended September 30, 2025, includes 37 structured credit investments with a total principal amount of $98.7</w:t>
            </w:r>
          </w:p>
        </w:tc>
        <w:tc>
          <w:tcPr>
            <w:tcW w:w="140" w:type="dxa"/>
            <w:vAlign w:val="bottom"/>
          </w:tcPr>
          <w:p>
            <w:pPr>
              <w:spacing w:after="0"/>
              <w:rPr>
                <w:sz w:val="15"/>
                <w:szCs w:val="15"/>
                <w:color w:val="auto"/>
              </w:rPr>
            </w:pPr>
          </w:p>
        </w:tc>
        <w:tc>
          <w:tcPr>
            <w:tcW w:w="210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4"/>
              </w:rPr>
              <w:t>million and a</w:t>
            </w:r>
          </w:p>
        </w:tc>
      </w:tr>
      <w:tr>
        <w:trPr>
          <w:trHeight w:val="203"/>
        </w:trPr>
        <w:tc>
          <w:tcPr>
            <w:tcW w:w="53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weighted average term of 12.2 years</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3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As of September 30, 2025 and December 31, 2024, our investments consisted of the following:</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6"/>
          </w:tcPr>
          <w:p>
            <w:pPr>
              <w:ind w:left="6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7"/>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0"/>
        </w:trPr>
        <w:tc>
          <w:tcPr>
            <w:tcW w:w="54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1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2,960.1</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3,011.4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204"/>
        </w:trPr>
        <w:tc>
          <w:tcPr>
            <w:tcW w:w="54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155.5</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3,344.0</w:t>
            </w:r>
          </w:p>
        </w:tc>
        <w:tc>
          <w:tcPr>
            <w:tcW w:w="120" w:type="dxa"/>
            <w:vAlign w:val="bottom"/>
          </w:tcPr>
          <w:p>
            <w:pPr>
              <w:spacing w:after="0"/>
              <w:rPr>
                <w:sz w:val="15"/>
                <w:szCs w:val="15"/>
                <w:color w:val="auto"/>
              </w:rPr>
            </w:pP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3,376.3</w:t>
            </w:r>
          </w:p>
        </w:tc>
        <w:tc>
          <w:tcPr>
            <w:tcW w:w="100" w:type="dxa"/>
            <w:vAlign w:val="bottom"/>
          </w:tcPr>
          <w:p>
            <w:pPr>
              <w:spacing w:after="0"/>
              <w:rPr>
                <w:sz w:val="15"/>
                <w:szCs w:val="15"/>
                <w:color w:val="auto"/>
              </w:rPr>
            </w:pP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120" w:type="dxa"/>
            <w:vAlign w:val="bottom"/>
          </w:tcPr>
          <w:p>
            <w:pPr>
              <w:spacing w:after="0"/>
              <w:rPr>
                <w:sz w:val="15"/>
                <w:szCs w:val="15"/>
                <w:color w:val="auto"/>
              </w:rPr>
            </w:pP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6"/>
        </w:trPr>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2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640" w:top="1440" w:right="580" w:bottom="1440" w:gutter="0" w:footer="0" w:header="0"/>
        </w:sectPr>
      </w:pPr>
    </w:p>
    <w:bookmarkStart w:id="59" w:name="page60"/>
    <w:bookmarkEnd w:id="59"/>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September 30, 2025 and December 31, 2024:</w:t>
      </w:r>
    </w:p>
    <w:p>
      <w:pPr>
        <w:sectPr>
          <w:pgSz w:w="11900" w:h="16840" w:orient="portrait"/>
          <w:cols w:equalWidth="0" w:num="1">
            <w:col w:w="10600"/>
          </w:cols>
          <w:pgMar w:left="660" w:top="1313" w:right="6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 in millions)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3" w:lineRule="exact"/>
        <w:rPr>
          <w:sz w:val="20"/>
          <w:szCs w:val="20"/>
          <w:color w:val="auto"/>
        </w:rPr>
      </w:pPr>
    </w:p>
    <w:p>
      <w:pPr>
        <w:jc w:val="center"/>
        <w:ind w:right="16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3" w:lineRule="exact"/>
        <w:rPr>
          <w:sz w:val="20"/>
          <w:szCs w:val="20"/>
          <w:color w:val="auto"/>
        </w:rPr>
      </w:pPr>
    </w:p>
    <w:p>
      <w:pPr>
        <w:jc w:val="center"/>
        <w:ind w:right="10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1" w:lineRule="exact"/>
        <w:rPr>
          <w:sz w:val="20"/>
          <w:szCs w:val="20"/>
          <w:color w:val="auto"/>
        </w:rPr>
      </w:pPr>
    </w:p>
    <w:p>
      <w:pPr>
        <w:sectPr>
          <w:pgSz w:w="11900" w:h="16840" w:orient="portrait"/>
          <w:cols w:equalWidth="0" w:num="3">
            <w:col w:w="4000" w:space="720"/>
            <w:col w:w="2180" w:space="720"/>
            <w:col w:w="2980"/>
          </w:cols>
          <w:pgMar w:left="660" w:top="1313" w:right="640" w:bottom="1440" w:gutter="0" w:footer="0" w:header="0"/>
          <w:type w:val="continuous"/>
        </w:sectPr>
      </w:pPr>
    </w:p>
    <w:tbl>
      <w:tblPr>
        <w:tblLayout w:type="fixed"/>
        <w:tblInd w:w="540" w:type="dxa"/>
        <w:tblCellMar>
          <w:top w:w="0" w:type="dxa"/>
          <w:left w:w="0" w:type="dxa"/>
          <w:bottom w:w="0" w:type="dxa"/>
          <w:right w:w="0" w:type="dxa"/>
        </w:tblCellMar>
      </w:tblPr>
      <w:tr>
        <w:trPr>
          <w:trHeight w:val="184"/>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Performing</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3,356.0</w:t>
            </w:r>
          </w:p>
        </w:tc>
        <w:tc>
          <w:tcPr>
            <w:tcW w:w="1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16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200"/>
        </w:trPr>
        <w:tc>
          <w:tcPr>
            <w:tcW w:w="24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3,376.3</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323"/>
        </w:trPr>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0"/>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0"/>
        </w:trPr>
        <w:tc>
          <w:tcPr>
            <w:tcW w:w="2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3,276.7</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98.0%</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3,410.1</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96.4%</w:t>
            </w: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16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1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200"/>
        </w:trPr>
        <w:tc>
          <w:tcPr>
            <w:tcW w:w="24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3,344.0</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 – Interest and Dividend Income Recognition.”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September 30, 2025 and December 31, 2024 were as follows:</w:t>
      </w:r>
    </w:p>
    <w:p>
      <w:pPr>
        <w:spacing w:after="0" w:line="19"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40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2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4"/>
        </w:trPr>
        <w:tc>
          <w:tcPr>
            <w:tcW w:w="44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4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216"/>
        </w:trPr>
        <w:tc>
          <w:tcPr>
            <w:tcW w:w="44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40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11.4%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67"/>
        </w:trPr>
        <w:tc>
          <w:tcPr>
            <w:tcW w:w="4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securities</w:t>
            </w:r>
          </w:p>
        </w:tc>
        <w:tc>
          <w:tcPr>
            <w:tcW w:w="240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10.9%</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67"/>
        </w:trPr>
        <w:tc>
          <w:tcPr>
            <w:tcW w:w="44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240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r>
      <w:tr>
        <w:trPr>
          <w:trHeight w:val="193"/>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rate investments</w:t>
            </w:r>
          </w:p>
        </w:tc>
        <w:tc>
          <w:tcPr>
            <w:tcW w:w="240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7.2%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10.8% at September 30, 2025 and 11.6% at December 31, 2024.</w:t>
      </w:r>
    </w:p>
    <w:p>
      <w:pPr>
        <w:spacing w:after="0" w:line="24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2"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type w:val="continuous"/>
        </w:sectPr>
      </w:pPr>
    </w:p>
    <w:bookmarkStart w:id="60" w:name="page61"/>
    <w:bookmarkEnd w:id="60"/>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9"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September 30,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20" w:type="dxa"/>
            <w:vAlign w:val="bottom"/>
            <w:gridSpan w:val="4"/>
          </w:tcPr>
          <w:p>
            <w:pPr>
              <w:jc w:val="right"/>
              <w:ind w:right="138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3"/>
                <w:szCs w:val="13"/>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6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40" w:type="dxa"/>
            <w:vAlign w:val="bottom"/>
          </w:tcPr>
          <w:p>
            <w:pPr>
              <w:spacing w:after="0"/>
              <w:rPr>
                <w:sz w:val="13"/>
                <w:szCs w:val="13"/>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3"/>
                <w:szCs w:val="13"/>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1960" w:type="dxa"/>
            <w:vAlign w:val="bottom"/>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3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Total Portfolio</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4"/>
                <w:szCs w:val="14"/>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180"/>
        </w:trPr>
        <w:tc>
          <w:tcPr>
            <w:tcW w:w="1960" w:type="dxa"/>
            <w:vAlign w:val="bottom"/>
            <w:shd w:val="clear" w:color="auto" w:fill="CFF0FC"/>
          </w:tcPr>
          <w:p>
            <w:pPr>
              <w:jc w:val="center"/>
              <w:ind w:right="126"/>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3,062.8</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90.8%</w:t>
            </w:r>
          </w:p>
        </w:tc>
        <w:tc>
          <w:tcPr>
            <w:tcW w:w="640" w:type="dxa"/>
            <w:vAlign w:val="bottom"/>
            <w:gridSpan w:val="2"/>
            <w:shd w:val="clear" w:color="auto" w:fill="CFF0FC"/>
          </w:tcPr>
          <w:p>
            <w:pPr>
              <w:jc w:val="right"/>
              <w:ind w:right="4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3,345.8</w:t>
            </w:r>
          </w:p>
        </w:tc>
        <w:tc>
          <w:tcPr>
            <w:tcW w:w="202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r>
      <w:tr>
        <w:trPr>
          <w:trHeight w:val="180"/>
        </w:trPr>
        <w:tc>
          <w:tcPr>
            <w:tcW w:w="1960" w:type="dxa"/>
            <w:vAlign w:val="bottom"/>
          </w:tcPr>
          <w:p>
            <w:pPr>
              <w:jc w:val="center"/>
              <w:ind w:right="126"/>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5"/>
                <w:szCs w:val="15"/>
                <w:color w:val="auto"/>
              </w:rPr>
            </w:pPr>
          </w:p>
        </w:tc>
        <w:tc>
          <w:tcPr>
            <w:tcW w:w="1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264.8</w:t>
            </w:r>
          </w:p>
        </w:tc>
        <w:tc>
          <w:tcPr>
            <w:tcW w:w="1300" w:type="dxa"/>
            <w:vAlign w:val="bottom"/>
          </w:tcPr>
          <w:p>
            <w:pPr>
              <w:spacing w:after="0"/>
              <w:rPr>
                <w:sz w:val="15"/>
                <w:szCs w:val="15"/>
                <w:color w:val="auto"/>
              </w:rPr>
            </w:pPr>
          </w:p>
        </w:tc>
        <w:tc>
          <w:tcPr>
            <w:tcW w:w="6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202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960" w:type="dxa"/>
            <w:vAlign w:val="bottom"/>
            <w:shd w:val="clear" w:color="auto" w:fill="CFF0FC"/>
          </w:tcPr>
          <w:p>
            <w:pPr>
              <w:jc w:val="center"/>
              <w:ind w:right="126"/>
              <w:spacing w:after="0" w:line="180" w:lineRule="exact"/>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202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1960" w:type="dxa"/>
            <w:vAlign w:val="bottom"/>
          </w:tcPr>
          <w:p>
            <w:pPr>
              <w:jc w:val="center"/>
              <w:ind w:right="126"/>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5"/>
                <w:szCs w:val="15"/>
                <w:color w:val="auto"/>
              </w:rPr>
            </w:pPr>
          </w:p>
        </w:tc>
        <w:tc>
          <w:tcPr>
            <w:tcW w:w="1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5"/>
                <w:szCs w:val="15"/>
                <w:color w:val="auto"/>
              </w:rPr>
            </w:pPr>
          </w:p>
        </w:tc>
        <w:tc>
          <w:tcPr>
            <w:tcW w:w="6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8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960" w:type="dxa"/>
            <w:vAlign w:val="bottom"/>
            <w:shd w:val="clear" w:color="auto" w:fill="CFF0FC"/>
          </w:tcPr>
          <w:p>
            <w:pPr>
              <w:jc w:val="center"/>
              <w:ind w:right="126"/>
              <w:spacing w:after="0" w:line="180" w:lineRule="exact"/>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202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1960" w:type="dxa"/>
            <w:vAlign w:val="bottom"/>
          </w:tcPr>
          <w:p>
            <w:pPr>
              <w:jc w:val="center"/>
              <w:ind w:right="126"/>
              <w:spacing w:after="0" w:line="160" w:lineRule="exact"/>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3,376.3</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640" w:type="dxa"/>
            <w:vAlign w:val="bottom"/>
            <w:gridSpan w:val="2"/>
          </w:tcPr>
          <w:p>
            <w:pPr>
              <w:jc w:val="right"/>
              <w:ind w:right="414"/>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w:t>
            </w:r>
          </w:p>
        </w:tc>
        <w:tc>
          <w:tcPr>
            <w:tcW w:w="20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three and nine months ended September 30, 2025 and 2024 were as follows:</w:t>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220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06"/>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0"/>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305"/>
              <w:spacing w:after="0" w:line="120"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304"/>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285"/>
              <w:spacing w:after="0" w:line="120"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304"/>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r>
      <w:tr>
        <w:trPr>
          <w:trHeight w:val="180"/>
        </w:trPr>
        <w:tc>
          <w:tcPr>
            <w:tcW w:w="4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109.4</w:t>
            </w:r>
          </w:p>
        </w:tc>
        <w:tc>
          <w:tcPr>
            <w:tcW w:w="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119.2</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340.8</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358.8</w:t>
            </w:r>
          </w:p>
        </w:tc>
      </w:tr>
      <w:tr>
        <w:trPr>
          <w:trHeight w:val="180"/>
        </w:trPr>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expenses</w:t>
            </w: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177.3</w:t>
            </w:r>
          </w:p>
        </w:tc>
        <w:tc>
          <w:tcPr>
            <w:tcW w:w="8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193.6</w:t>
            </w:r>
          </w:p>
        </w:tc>
      </w:tr>
      <w:tr>
        <w:trPr>
          <w:trHeight w:val="180"/>
        </w:trPr>
        <w:tc>
          <w:tcPr>
            <w:tcW w:w="48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 before income taxes</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163.5</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165.2</w:t>
            </w:r>
          </w:p>
        </w:tc>
      </w:tr>
      <w:tr>
        <w:trPr>
          <w:trHeight w:val="180"/>
        </w:trPr>
        <w:tc>
          <w:tcPr>
            <w:tcW w:w="4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Less: Income taxes, including excise taxes</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8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159.5</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162.4</w:t>
            </w:r>
          </w:p>
        </w:tc>
      </w:tr>
      <w:tr>
        <w:trPr>
          <w:trHeight w:val="180"/>
        </w:trPr>
        <w:tc>
          <w:tcPr>
            <w:tcW w:w="48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4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change in unrealized gains (losses) </w:t>
            </w:r>
            <w:r>
              <w:rPr>
                <w:rFonts w:ascii="Times New Roman" w:cs="Times New Roman" w:eastAsia="Times New Roman" w:hAnsi="Times New Roman"/>
                <w:sz w:val="20"/>
                <w:szCs w:val="20"/>
                <w:color w:val="auto"/>
                <w:vertAlign w:val="superscript"/>
              </w:rPr>
              <w:t>(2)</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(30.7)</w:t>
            </w:r>
          </w:p>
        </w:tc>
      </w:tr>
      <w:tr>
        <w:trPr>
          <w:trHeight w:val="180"/>
        </w:trPr>
        <w:tc>
          <w:tcPr>
            <w:tcW w:w="4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44.6</w:t>
            </w:r>
          </w:p>
        </w:tc>
        <w:tc>
          <w:tcPr>
            <w:tcW w:w="140" w:type="dxa"/>
            <w:vAlign w:val="bottom"/>
          </w:tcPr>
          <w:p>
            <w:pPr>
              <w:spacing w:after="0"/>
              <w:rPr>
                <w:sz w:val="15"/>
                <w:szCs w:val="15"/>
                <w:color w:val="auto"/>
              </w:rPr>
            </w:pP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1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135.6</w:t>
            </w: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foreign exchange hedging activity.</w:t>
      </w:r>
    </w:p>
    <w:p>
      <w:pPr>
        <w:jc w:val="center"/>
        <w:ind w:right="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1" w:name="page62"/>
    <w:bookmarkEnd w:id="6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80" w:type="dxa"/>
            <w:vAlign w:val="bottom"/>
          </w:tcPr>
          <w:p>
            <w:pPr>
              <w:spacing w:after="0"/>
              <w:rPr>
                <w:sz w:val="13"/>
                <w:szCs w:val="13"/>
                <w:color w:val="auto"/>
              </w:rPr>
            </w:pPr>
          </w:p>
        </w:tc>
        <w:tc>
          <w:tcPr>
            <w:tcW w:w="2280" w:type="dxa"/>
            <w:vAlign w:val="bottom"/>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from investments</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105.8</w:t>
            </w:r>
          </w:p>
        </w:tc>
        <w:tc>
          <w:tcPr>
            <w:tcW w:w="320" w:type="dxa"/>
            <w:vAlign w:val="bottom"/>
            <w:gridSpan w:val="2"/>
            <w:shd w:val="clear" w:color="auto" w:fill="CFF0FC"/>
          </w:tcPr>
          <w:p>
            <w:pPr>
              <w:jc w:val="right"/>
              <w:ind w:right="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302.7</w:t>
            </w:r>
          </w:p>
        </w:tc>
        <w:tc>
          <w:tcPr>
            <w:tcW w:w="22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 income</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180" w:type="dxa"/>
            <w:vAlign w:val="bottom"/>
          </w:tcPr>
          <w:p>
            <w:pPr>
              <w:spacing w:after="0"/>
              <w:rPr>
                <w:sz w:val="15"/>
                <w:szCs w:val="15"/>
                <w:color w:val="auto"/>
              </w:rPr>
            </w:pPr>
          </w:p>
        </w:tc>
        <w:tc>
          <w:tcPr>
            <w:tcW w:w="220" w:type="dxa"/>
            <w:vAlign w:val="bottom"/>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income</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109.4</w:t>
            </w: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119.2</w:t>
            </w:r>
          </w:p>
        </w:tc>
        <w:tc>
          <w:tcPr>
            <w:tcW w:w="320" w:type="dxa"/>
            <w:vAlign w:val="bottom"/>
            <w:gridSpan w:val="2"/>
            <w:shd w:val="clear" w:color="auto" w:fill="CFF0FC"/>
          </w:tcPr>
          <w:p>
            <w:pPr>
              <w:jc w:val="right"/>
              <w:ind w:right="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340.8</w:t>
            </w:r>
          </w:p>
        </w:tc>
        <w:tc>
          <w:tcPr>
            <w:tcW w:w="22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200"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decreased from $105.8 million for the three months ended September 30, 2024 to $94.9 million for the three months ended September 30, 2025. The decrease in interest from investments was primarily the result of a decrease in reference rates for the three months ended September 30, 2025 compared to the same period in 2024. Paid- in-kind interest income increased from $6.2 million for the three months ended September 30, 2024 to $6.9 million for the three months ended September 30, 2025 due to increased PIK investments. Dividend income decreased from $3.3 million for the three months ended September 30, 2024 to $0.3 million for the three months ended September 30, 2025 due to the timing of dividend payments in 2025. Other income increased from $3.9 million for the three months ended September 30, 2024 to $7.4 million for the three months ended September 30, 2025, primarily due to increased miscellaneous fees earned during the three months ended September 30, 2025.</w:t>
      </w:r>
    </w:p>
    <w:p>
      <w:pPr>
        <w:spacing w:after="0" w:line="206"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decreased from $315.5 million for the nine months ended September 30, 2024 to $302.7 million for the nine months ended September 30, 2025. The decrease in interest from investments was primarily the result of a decrease in references rates for the nine months ended September 30, 2025 compared to the same period in 2024. Paid-in- kind interest income decreased from $23.8 million for the nine months ended September 30, 2024 to $ 18.0 million for the nine months ended September 30, 2025 due to decreased PIK investments. Dividend income decreased from $5.8 million for the nine months ended September 30, 2024 to $1.6 million for the nine months ended September 30, 2025 due to the timing of dividend payments in 2025. Other income increased from $13.7 million for the nine months ended September 30, 2024 to $18.5 million for the nine months ended September 30, 2025, primarily due to increased miscellaneous fees earned during the nine months ended September 30,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three and nine months ended September 30, 2025 and 2024 were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80" w:type="dxa"/>
            <w:vAlign w:val="bottom"/>
          </w:tcPr>
          <w:p>
            <w:pPr>
              <w:spacing w:after="0"/>
              <w:rPr>
                <w:sz w:val="13"/>
                <w:szCs w:val="13"/>
                <w:color w:val="auto"/>
              </w:rPr>
            </w:pPr>
          </w:p>
        </w:tc>
        <w:tc>
          <w:tcPr>
            <w:tcW w:w="22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4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fees (net of waivers)</w:t>
            </w: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investment income</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capital gains</w:t>
            </w:r>
          </w:p>
        </w:tc>
        <w:tc>
          <w:tcPr>
            <w:tcW w:w="80" w:type="dxa"/>
            <w:vAlign w:val="bottom"/>
          </w:tcPr>
          <w:p>
            <w:pPr>
              <w:spacing w:after="0"/>
              <w:rPr>
                <w:sz w:val="15"/>
                <w:szCs w:val="15"/>
                <w:color w:val="auto"/>
              </w:rPr>
            </w:pPr>
          </w:p>
        </w:tc>
        <w:tc>
          <w:tcPr>
            <w:tcW w:w="10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Professional fees</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Directors’ fees</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general and administrative</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Expenses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5"/>
                <w:szCs w:val="15"/>
                <w:color w:val="auto"/>
              </w:rPr>
            </w:pPr>
          </w:p>
        </w:tc>
        <w:tc>
          <w:tcPr>
            <w:tcW w:w="1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63.6</w:t>
            </w:r>
          </w:p>
        </w:tc>
        <w:tc>
          <w:tcPr>
            <w:tcW w:w="20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177.3</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94"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color w:val="auto"/>
        </w:rPr>
        <w:t>Interest expense, including other debt financing expenses, decreased from $38.5 million for the three months ended September 30, 2024 to $31.4 million for the three months ended September 30, 2025. This decrease was primarily due to a decrease in the average interest rate on our debt outstanding, which decreased from 7.7% for the three months ended September 30, 2024 to 6.3% for the three months ended September 30, 2025 due to a change in the mix of our debt financing sources and a change in SOFR rates.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2" w:name="page63"/>
    <w:bookmarkEnd w:id="62"/>
    <w:p>
      <w:pPr>
        <w:jc w:val="both"/>
        <w:ind w:firstLine="228"/>
        <w:spacing w:after="0" w:line="243" w:lineRule="auto"/>
        <w:rPr>
          <w:sz w:val="20"/>
          <w:szCs w:val="20"/>
          <w:color w:val="auto"/>
        </w:rPr>
      </w:pPr>
      <w:r>
        <w:rPr>
          <w:rFonts w:ascii="Times New Roman" w:cs="Times New Roman" w:eastAsia="Times New Roman" w:hAnsi="Times New Roman"/>
          <w:sz w:val="16"/>
          <w:szCs w:val="16"/>
          <w:color w:val="auto"/>
        </w:rPr>
        <w:t>Interest expense, including other debt financing expenses, decreased from $116.8 million for the nine months ended September 30, 2024 to $98.0 million for the nine months ended September 30, 2025. This decrease was primarily due to a decrease in the average interest rate on our debt outstanding, which decreased from 7.7% for the nine months ended September 30, 2024 to 6.3% for the nine months ended September 30, 2025 due to a change in the mix of our debt financing sources and a change in SOFR rates.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$13.0 million for the three months ended September 30, 2024 to $13.1 million for the three months ended September 30, 2025 due to an increase in average assets. Management Fees (net of waivers) increased from $12.7 million for the three months ended September 30, 2024 to $12.8 million for the three months ended September 30, 2025. Management Fees waived were $0.3 million for the three months ended September 30, 2025 and $0.3 million for the three months ended September 30, 2024, pursuant to the Leverage Waiver. Any waived management fees are not subject to recoupment by the Adviser.</w:t>
      </w:r>
    </w:p>
    <w:p>
      <w:pPr>
        <w:spacing w:after="0" w:line="73" w:lineRule="exact"/>
        <w:rPr>
          <w:sz w:val="20"/>
          <w:szCs w:val="20"/>
          <w:color w:val="auto"/>
        </w:rPr>
      </w:pPr>
    </w:p>
    <w:p>
      <w:pPr>
        <w:ind w:right="200"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$38.4 million for the nine months ended September 30, 2024 to $ 39.1 million for the nine months ended September 30, 2025 due to an increase in average assets. Management Fees (net of waivers) increased from $37.4 million for the nine months ended September 30, 2024 to $38.1 million for the nine months ended September 30, 2025. Management Fees waived were $1.0 million for the nine months ended September 30, 2025 and $1.0 million for the nine months ended September 30, 2024, pursuant to the Leverage Waiver. Any waived management fees are not subject to recoupment by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For the three months ended September 30, 2025 and 2024, Incentive Fees were $ 9.5 million and $8.9 million, respectively, of which $10.5 million and $11.2 million, respectively, were realized and payable to the Adviser. For the three months ended September 30, 2025 and 2024, $(1.1) million and $(2.2) million, respectively, of Incentive Fees were accrued related to Capital Gains Fees. As of September 30, 2025, these accrued Incentive Fees are not contractually payable to the Adviser.</w:t>
      </w:r>
    </w:p>
    <w:p>
      <w:pPr>
        <w:spacing w:after="0" w:line="71" w:lineRule="exact"/>
        <w:rPr>
          <w:sz w:val="20"/>
          <w:szCs w:val="20"/>
          <w:color w:val="auto"/>
        </w:rPr>
      </w:pPr>
    </w:p>
    <w:p>
      <w:pPr>
        <w:ind w:right="40" w:firstLine="228"/>
        <w:spacing w:after="0" w:line="299" w:lineRule="auto"/>
        <w:rPr>
          <w:sz w:val="20"/>
          <w:szCs w:val="20"/>
          <w:color w:val="auto"/>
        </w:rPr>
      </w:pPr>
      <w:r>
        <w:rPr>
          <w:rFonts w:ascii="Times New Roman" w:cs="Times New Roman" w:eastAsia="Times New Roman" w:hAnsi="Times New Roman"/>
          <w:sz w:val="14"/>
          <w:szCs w:val="14"/>
          <w:color w:val="auto"/>
        </w:rPr>
        <w:t>For the nine months ended September 30, 2025 and 2024, Incentive Fees were $ 29.8 million and $ 29.1 million, respectively, of which $33.1 million and $33.5 million, respectively, were realized and payable to the Adviser. For the nine months ended September 30, 2025 and 2024, $(3.3) million and $(4.4) million, respectively, of Incentive Fees were accrued related to Capital Gains Fees. As of September 30, 2025, these accrued Incentive Fees are not contractually payable to the Adviser.</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$1.9 million for the three months ended September 30, 2024 to $2.0 million for the three months ended September 30, 2025 due to higher legal and audit related fees. Other general and administrative fees were $1.3 million for the three months ended September 30, 2024 and $1.5 million for the three months ended September 30, 2025.</w:t>
      </w:r>
    </w:p>
    <w:p>
      <w:pPr>
        <w:spacing w:after="0" w:line="68"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$5.8 million for the nine months ended September 30, 2024 to $6.5 million for the nine months ended September 30, 2025 due to higher legal and audit related fees. Other general and administrative fees were $3.9 million for the nine months ended September 30, 2024 and $4.1 million for the nine months ended September 30,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360" w:firstLine="228"/>
        <w:spacing w:after="0" w:line="289" w:lineRule="auto"/>
        <w:rPr>
          <w:sz w:val="20"/>
          <w:szCs w:val="20"/>
          <w:color w:val="auto"/>
        </w:rPr>
      </w:pPr>
      <w:r>
        <w:rPr>
          <w:rFonts w:ascii="Times New Roman" w:cs="Times New Roman" w:eastAsia="Times New Roman" w:hAnsi="Times New Roman"/>
          <w:sz w:val="14"/>
          <w:szCs w:val="14"/>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RIC status, we, among other things, have made and intend to continue to make the requisite distributions to our stockholders, which generally relieve us from corporate-level U.S. federal income taxes.</w:t>
      </w:r>
    </w:p>
    <w:p>
      <w:pPr>
        <w:spacing w:after="0" w:line="137"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jc w:val="both"/>
        <w:ind w:right="180" w:firstLine="228"/>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2025, we recorded a net expense of $1.4 million and $4.0 million, respectively, for U.S. federal excise tax and other taxes. For the three and nine months ended September 30, 2024, we recorded a net expense of $0.7 million and $2.8 million, respectively, for U.S. federal excise tax and other taxes.</w:t>
      </w:r>
    </w:p>
    <w:p>
      <w:pPr>
        <w:spacing w:after="0" w:line="164" w:lineRule="exact"/>
        <w:rPr>
          <w:sz w:val="20"/>
          <w:szCs w:val="20"/>
          <w:color w:val="auto"/>
        </w:rPr>
      </w:pPr>
    </w:p>
    <w:p>
      <w:pPr>
        <w:ind w:right="120" w:firstLine="228"/>
        <w:spacing w:after="0" w:line="246" w:lineRule="auto"/>
        <w:rPr>
          <w:sz w:val="20"/>
          <w:szCs w:val="20"/>
          <w:color w:val="auto"/>
        </w:rPr>
      </w:pPr>
      <w:r>
        <w:rPr>
          <w:rFonts w:ascii="Times New Roman" w:cs="Times New Roman" w:eastAsia="Times New Roman" w:hAnsi="Times New Roman"/>
          <w:sz w:val="16"/>
          <w:szCs w:val="16"/>
          <w:color w:val="auto"/>
        </w:rPr>
        <w:t>For the three and nine months ended September 30, 2025, we recorded a deferred tax benefit of $0.6 million pertaining to net unrealized losses and we recognized a tax expense of $0.9 million pertaining to net realized gains. For the three and nine months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63" w:name="page64"/>
    <w:bookmarkEnd w:id="6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ended September 30, 2024, we recorded a deferred tax expense of $1.5 million pertaining to net unrealized gains, related to eight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net realized and unrealized gains (losses) for the three and nine months ended September 30, 2025 and 2024:</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80" w:type="dxa"/>
            <w:vAlign w:val="bottom"/>
          </w:tcPr>
          <w:p>
            <w:pPr>
              <w:spacing w:after="0"/>
              <w:rPr>
                <w:sz w:val="13"/>
                <w:szCs w:val="13"/>
                <w:color w:val="auto"/>
              </w:rPr>
            </w:pPr>
          </w:p>
        </w:tc>
        <w:tc>
          <w:tcPr>
            <w:tcW w:w="222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investments</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gridSpan w:val="2"/>
            <w:shd w:val="clear" w:color="auto" w:fill="CFF0FC"/>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transactions </w:t>
            </w:r>
            <w:r>
              <w:rPr>
                <w:rFonts w:ascii="Times New Roman" w:cs="Times New Roman" w:eastAsia="Times New Roman" w:hAnsi="Times New Roman"/>
                <w:sz w:val="20"/>
                <w:szCs w:val="20"/>
                <w:color w:val="auto"/>
                <w:vertAlign w:val="superscript"/>
              </w:rPr>
              <w:t>(2)(3)</w:t>
            </w:r>
          </w:p>
        </w:tc>
        <w:tc>
          <w:tcPr>
            <w:tcW w:w="80" w:type="dxa"/>
            <w:vAlign w:val="bottom"/>
          </w:tcPr>
          <w:p>
            <w:pPr>
              <w:spacing w:after="0"/>
              <w:rPr>
                <w:sz w:val="15"/>
                <w:szCs w:val="15"/>
                <w:color w:val="auto"/>
              </w:rPr>
            </w:pPr>
          </w:p>
        </w:tc>
        <w:tc>
          <w:tcPr>
            <w:tcW w:w="10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investments </w:t>
            </w:r>
            <w:r>
              <w:rPr>
                <w:rFonts w:ascii="Times New Roman" w:cs="Times New Roman" w:eastAsia="Times New Roman" w:hAnsi="Times New Roman"/>
                <w:sz w:val="20"/>
                <w:szCs w:val="20"/>
                <w:color w:val="auto"/>
                <w:vertAlign w:val="superscript"/>
              </w:rPr>
              <w:t>(3)</w:t>
            </w: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80" w:type="dxa"/>
            <w:vAlign w:val="bottom"/>
          </w:tcPr>
          <w:p>
            <w:pPr>
              <w:spacing w:after="0"/>
              <w:rPr>
                <w:sz w:val="15"/>
                <w:szCs w:val="15"/>
                <w:color w:val="auto"/>
              </w:rPr>
            </w:pPr>
          </w:p>
        </w:tc>
        <w:tc>
          <w:tcPr>
            <w:tcW w:w="1060" w:type="dxa"/>
            <w:vAlign w:val="bottom"/>
            <w:gridSpan w:val="2"/>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5"/>
                <w:szCs w:val="15"/>
                <w:color w:val="auto"/>
              </w:rPr>
            </w:pP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income tax provision</w:t>
            </w: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4"/>
        </w:trPr>
        <w:tc>
          <w:tcPr>
            <w:tcW w:w="4920" w:type="dxa"/>
            <w:vAlign w:val="bottom"/>
          </w:tcPr>
          <w:p>
            <w:pPr>
              <w:spacing w:after="0" w:line="144" w:lineRule="exact"/>
              <w:rPr>
                <w:sz w:val="20"/>
                <w:szCs w:val="20"/>
                <w:color w:val="auto"/>
              </w:rPr>
            </w:pPr>
            <w:r>
              <w:rPr>
                <w:rFonts w:ascii="Times New Roman" w:cs="Times New Roman" w:eastAsia="Times New Roman" w:hAnsi="Times New Roman"/>
                <w:sz w:val="12"/>
                <w:szCs w:val="12"/>
                <w:b w:val="1"/>
                <w:bCs w:val="1"/>
                <w:color w:val="auto"/>
              </w:rPr>
              <w:t xml:space="preserve">Net Realized Gains (Losses) </w:t>
            </w:r>
            <w:r>
              <w:rPr>
                <w:rFonts w:ascii="Times New Roman" w:cs="Times New Roman" w:eastAsia="Times New Roman" w:hAnsi="Times New Roman"/>
                <w:sz w:val="16"/>
                <w:szCs w:val="16"/>
                <w:b w:val="1"/>
                <w:bCs w:val="1"/>
                <w:color w:val="auto"/>
                <w:vertAlign w:val="superscript"/>
              </w:rPr>
              <w:t>(3)</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(0.5</w:t>
            </w:r>
          </w:p>
        </w:tc>
        <w:tc>
          <w:tcPr>
            <w:tcW w:w="180" w:type="dxa"/>
            <w:vAlign w:val="bottom"/>
            <w:vMerge w:val="restart"/>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gains on investments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18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112.7</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(losses) on investments</w:t>
            </w: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(59.6)</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165"/>
        </w:trPr>
        <w:tc>
          <w:tcPr>
            <w:tcW w:w="49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80" w:type="dxa"/>
            <w:vAlign w:val="bottom"/>
          </w:tcPr>
          <w:p>
            <w:pPr>
              <w:spacing w:after="0"/>
              <w:rPr>
                <w:sz w:val="15"/>
                <w:szCs w:val="15"/>
                <w:color w:val="auto"/>
              </w:rPr>
            </w:pPr>
          </w:p>
        </w:tc>
        <w:tc>
          <w:tcPr>
            <w:tcW w:w="10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Unrealized gains (losses) on foreign currency transactions </w:t>
            </w:r>
            <w:r>
              <w:rPr>
                <w:rFonts w:ascii="Times New Roman" w:cs="Times New Roman" w:eastAsia="Times New Roman" w:hAnsi="Times New Roman"/>
                <w:sz w:val="20"/>
                <w:szCs w:val="20"/>
                <w:color w:val="auto"/>
                <w:vertAlign w:val="superscript"/>
              </w:rPr>
              <w:t>(2)(3)</w:t>
            </w: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unrealized gains (losses)</w:t>
            </w:r>
          </w:p>
        </w:tc>
        <w:tc>
          <w:tcPr>
            <w:tcW w:w="80" w:type="dxa"/>
            <w:vAlign w:val="bottom"/>
          </w:tcPr>
          <w:p>
            <w:pPr>
              <w:spacing w:after="0"/>
              <w:rPr>
                <w:sz w:val="15"/>
                <w:szCs w:val="15"/>
                <w:color w:val="auto"/>
              </w:rPr>
            </w:pPr>
          </w:p>
        </w:tc>
        <w:tc>
          <w:tcPr>
            <w:tcW w:w="1060" w:type="dxa"/>
            <w:vAlign w:val="bottom"/>
            <w:gridSpan w:val="2"/>
          </w:tcPr>
          <w:p>
            <w:pPr>
              <w:jc w:val="right"/>
              <w:ind w:right="141"/>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5"/>
                <w:szCs w:val="15"/>
                <w:color w:val="auto"/>
              </w:rPr>
            </w:pPr>
          </w:p>
        </w:tc>
        <w:tc>
          <w:tcPr>
            <w:tcW w:w="11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5"/>
        </w:trPr>
        <w:tc>
          <w:tcPr>
            <w:tcW w:w="492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Income Tax Provision</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gridSpan w:val="2"/>
            <w:shd w:val="clear" w:color="auto" w:fill="CFF0FC"/>
          </w:tcPr>
          <w:p>
            <w:pPr>
              <w:jc w:val="right"/>
              <w:ind w:right="101"/>
              <w:spacing w:after="0" w:line="160" w:lineRule="exact"/>
              <w:rPr>
                <w:sz w:val="20"/>
                <w:szCs w:val="20"/>
                <w:color w:val="auto"/>
              </w:rPr>
            </w:pPr>
            <w:r>
              <w:rPr>
                <w:rFonts w:ascii="Times New Roman" w:cs="Times New Roman" w:eastAsia="Times New Roman" w:hAnsi="Times New Roman"/>
                <w:sz w:val="11"/>
                <w:szCs w:val="11"/>
                <w:color w:val="auto"/>
              </w:rPr>
              <w:t>(5.5</w:t>
            </w:r>
            <w:r>
              <w:rPr>
                <w:rFonts w:ascii="Times New Roman" w:cs="Times New Roman" w:eastAsia="Times New Roman" w:hAnsi="Times New Roman"/>
                <w:sz w:val="18"/>
                <w:szCs w:val="18"/>
                <w:color w:val="auto"/>
                <w:vertAlign w:val="subscript"/>
              </w:rPr>
              <w:t>)</w:t>
            </w: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(14.2</w:t>
            </w:r>
            <w:r>
              <w:rPr>
                <w:rFonts w:ascii="Times New Roman" w:cs="Times New Roman" w:eastAsia="Times New Roman" w:hAnsi="Times New Roman"/>
                <w:sz w:val="18"/>
                <w:szCs w:val="18"/>
                <w:color w:val="auto"/>
                <w:vertAlign w:val="subscript"/>
              </w:rPr>
              <w:t>)</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17.6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(30.7</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foreign exchange hedging activity.</w:t>
      </w:r>
    </w:p>
    <w:p>
      <w:pPr>
        <w:spacing w:after="0"/>
        <w:rPr>
          <w:sz w:val="20"/>
          <w:szCs w:val="20"/>
          <w:color w:val="auto"/>
        </w:rPr>
      </w:pPr>
      <w:r>
        <w:rPr>
          <w:rFonts w:ascii="Times New Roman" w:cs="Times New Roman" w:eastAsia="Times New Roman" w:hAnsi="Times New Roman"/>
          <w:sz w:val="16"/>
          <w:szCs w:val="16"/>
          <w:color w:val="auto"/>
        </w:rPr>
        <w:t>(3)Amounts round to less than $0.1 million.</w:t>
      </w:r>
    </w:p>
    <w:p>
      <w:pPr>
        <w:spacing w:after="0" w:line="158"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For the three and nine months ended September 30, 2025, we had net realized gains on investments of $0.8 million and net realized losses on investments of $34.9 million, respectively. For the three and nine months ended September 30, 2025, we had net realized losses of $0.2 and $0.3 million, respectively, on foreign currency transactions, primarily as a result of translating foreign currency related to our non-USD denominated investments. For the three and nine months ended September 30, 2025, we had net realized gains on foreign currency investments of less than $0.1 million and $0.8 million, respectively. For the three and nine months ended September 30, 2025, we had net realized losses on foreign currency borrowings of $0.2 million and $1.2 million, respectively. The net realized losses on foreign currency borrowings were a result of payments on our revolving credit facility. For both the three and nine months ended September 30, 2025, we had net realized losses of $0.9 million, related to tax expense.</w:t>
      </w:r>
    </w:p>
    <w:p>
      <w:pPr>
        <w:spacing w:after="0" w:line="170" w:lineRule="exact"/>
        <w:rPr>
          <w:sz w:val="20"/>
          <w:szCs w:val="20"/>
          <w:color w:val="auto"/>
        </w:rPr>
      </w:pPr>
    </w:p>
    <w:p>
      <w:pPr>
        <w:ind w:right="100" w:firstLine="228"/>
        <w:spacing w:after="0" w:line="237" w:lineRule="auto"/>
        <w:rPr>
          <w:sz w:val="20"/>
          <w:szCs w:val="20"/>
          <w:color w:val="auto"/>
        </w:rPr>
      </w:pPr>
      <w:r>
        <w:rPr>
          <w:rFonts w:ascii="Times New Roman" w:cs="Times New Roman" w:eastAsia="Times New Roman" w:hAnsi="Times New Roman"/>
          <w:sz w:val="16"/>
          <w:szCs w:val="16"/>
          <w:color w:val="auto"/>
        </w:rPr>
        <w:t>For the three months ended September 30, 2025, we had $14.8 million in unrealized gains on 49 portfolio company investments, which was offset by $21.8 million in unrealized losses on 100 portfolio company investments. Unrealized gains for the three months ended September 30, 2025 resulted from positive portfolio company specific developments, tightening credit spreads, and the reversal of prior period unrealized losses due to realizations. Unrealized losses for the three months ended September 30, 2025 resulted from negative credit-related adjustments and widening credit spreads. For the nine months ended September 30, 2025, we had $112.7 million in unrealized gains on 69 portfolio company investments, which was offset by $59.6 million in unrealized losses on 96 portfolio company investments. Unrealized gains for the nine months ended September 30, 2025 resulted from positive portfolio company specific developments, tightening credit spreads, and the reversal of prior period unrealized losses due to realizations. Unrealized losses for the nine months ended September 30, 2025 resulted from negative credit-related adjustments and the reversal of prior period unrealized gains due to realizations.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4" w:name="page65"/>
    <w:bookmarkEnd w:id="64"/>
    <w:p>
      <w:pPr>
        <w:spacing w:after="0" w:line="6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2025 we had unrealized gains on foreign currency borrowings of $0.7 million and unrealized losses on foreign currency borrowings of $36.0 million, respectively, on foreign currency borrowings, primarily as a result of fluctuations in the AUD, CAD, SEK, GBP and EUR exchange rates. For the three and nine months ended September 30, 2025, we had unrealized gains of less than $ 0.1 million and unrealized losses of less than $ 0.1 million, respectively, on foreign currency transactions. For both the three and nine months ended September 30, 2025, we had unrealized gains of $0.6 million, related to a deferred tax benefit.</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For the three and nine months ended September 30, 2024, we had net realized gains on investments of $0.1 million and $3.9 million, respectively, primarily driven by one investment and thirty-seven investments, respectively. For the three and nine months ended September 30, 2024, we had net realized losses of less than $0.1 million and $0.8 million, respectively on foreign currency transactions, primarily as a result of translating foreign currency related to our non-USD denominated investments. For the three and nine months ended September 30, 2024, we had net realized gains of less than $0.1 million and net realized losses of $2.3 million, respectively, on foreign currency investments. For the three and nine months ended September 30, 2024, we had net realized losses of $0.1 million and net realized gains of $3.1 million on foreign currency borrowing. The net realized gains and losses on foreign currency borrowings were a result of payments on our revolving credit facility.</w:t>
      </w:r>
    </w:p>
    <w:p>
      <w:pPr>
        <w:spacing w:after="0" w:line="170"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For the three months ended September 30, 2024, we had $25.0 million in unrealized gains on 68 portfolio company investments, which was offset by $27.4 million in unrealized losses on 48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 For the nine months ended September 30, 2024, we had $42.4 million in unrealized gains on 81 portfolio company investments, which was offset by $64.4 million in unrealized losses on 82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For the three and nine months ended September 30, 2024, we had unrealized losses on foreign currency borrowings of $10.3 million and $7.2 million, respectively, on foreign currency borrowings, as a result of fluctuations in the AUD, CAD, EUR, SEK and GBP exchange rates. For both the three and nine months ended September 30, 2024, we had unrealized losses on foreign currency transactions of less than $0.1 million. For both the three and nine months ended September 30, 2024, we had unrealized losses of $1.5 million, related to a deferred tax expense.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jc w:val="both"/>
        <w:ind w:right="46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September 30, 2025, weighted by capital invested, our exited investments have generated an average realized gross internal rate of return to us of 17.1% (based on total capital invested of $8.8 billion and total proceeds from these exited investments of $11.4 billion). Ninety-two percent of these exited investments resulted in a realized gross internal rate of return to us of 10% or greater.</w:t>
      </w:r>
    </w:p>
    <w:p>
      <w:pPr>
        <w:spacing w:after="0" w:line="164"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firstLine="228"/>
        <w:spacing w:after="0" w:line="246"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6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realized losses on hedging activity, with respect to an investment, which represents any inception-to-date realized losses on foreign currency forward contracts allocable to the investment, if any.</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nine months ended September 30, 2025 and 2024, we had $36.0 million and $7.2 million of unrealized losses, respectively, on the translation of our non-U.S. dollar denominated debt into U.S. dollars; such amounts approximate the corresponding unrealized gains and losses on the translation of our non-U.S. dollar denominated investments into U.S. dollars for the nine months ended September 30, 2025 and 2024. See Note 2 for additional disclosure regarding our accounting for foreign currency. See Note 7 for additional disclosure regarding the amounts of outstanding debt denominated in each foreign currency at September 30, 2025. See our Consolidated Schedule of Investments for additional disclosure regarding the foreign currency amounts (in both par and fair value) of our non-U.S. dollar denominated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6"/>
          <w:szCs w:val="16"/>
          <w:i w:val="1"/>
          <w:iCs w:val="1"/>
          <w:color w:val="auto"/>
        </w:rPr>
        <w:t>Key Components of Our Results of Operations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Leverage</w:t>
      </w:r>
      <w:r>
        <w:rPr>
          <w:rFonts w:ascii="Times New Roman" w:cs="Times New Roman" w:eastAsia="Times New Roman" w:hAnsi="Times New Roman"/>
          <w:sz w:val="16"/>
          <w:szCs w:val="16"/>
          <w:color w:val="auto"/>
        </w:rPr>
        <w:t>” above. As of September 30, 2025 and December 31, 2024, our asset coverage ratio was 187.5% and 182.5%, respectively. We carefully consider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September 30, 2025, taken together with cash available under our credit facilities, is expected to be sufficient for our investing activities and to conduct our operations in the near term. As of September 30, 2025, we had approximately $1.0 billion of availability on our Revolving Credit Facility, subject to asset coverage limitations.</w:t>
      </w:r>
    </w:p>
    <w:p>
      <w:pPr>
        <w:spacing w:after="0" w:line="164" w:lineRule="exact"/>
        <w:rPr>
          <w:sz w:val="20"/>
          <w:szCs w:val="20"/>
          <w:color w:val="auto"/>
        </w:rPr>
      </w:pPr>
    </w:p>
    <w:p>
      <w:pPr>
        <w:ind w:right="180" w:firstLine="228"/>
        <w:spacing w:after="0" w:line="273" w:lineRule="auto"/>
        <w:rPr>
          <w:sz w:val="20"/>
          <w:szCs w:val="20"/>
          <w:color w:val="auto"/>
        </w:rPr>
      </w:pPr>
      <w:r>
        <w:rPr>
          <w:rFonts w:ascii="Times New Roman" w:cs="Times New Roman" w:eastAsia="Times New Roman" w:hAnsi="Times New Roman"/>
          <w:sz w:val="14"/>
          <w:szCs w:val="14"/>
          <w:color w:val="auto"/>
        </w:rPr>
        <w:t>As of September 30, 2025, we had $83.2 million in cash and cash equivalents, including $20.1 million of restricted cash. During the nine months ended September 30, 2025, cash provided by operating activities was $327.5 million, primarily attributable to repayments and proceeds from investments of $1,048.0 million and an increase in net assets resulting from operations of $140.6 million, which was partially offset by funding portfolio investments of $848.4 million and cash used in other operating activities of $12.7 million. Cash used in financing activities was $271.7 million during the period due to paydowns on our Revolving Credit Facility of $1,249.6 million, dividends paid of $128.4 million and deferred financing costs of $7.3 million, which was partially offset by borrowings of $1,113.6 million.</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6" w:name="page67"/>
    <w:bookmarkEnd w:id="66"/>
    <w:p>
      <w:pPr>
        <w:spacing w:after="0" w:line="65"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As of September 30, 2024, we had $29.7 million in cash and cash equivalents, including $23.2 million of restricted cash. During the nine months ended September 30, 2024, cash used in operating activities was $14.8 million, primarily attributable to funding portfolio investments of $680.0 million and other operating activity of $10.6 million which was offset by an increase in net assets resulting from operations of $135.6 million and repayments and proceeds from investments of $540.3 million. Cash provided by financing activities was $19.3 million during the period, primarily attributable to borrowings of $1,107.1 million and proceeds from the issuance of common stock of $93.3 million which was offset by paydowns on our Revolving Credit Facility of $1,044.2 million, dividends paid to stockholders of $128.1 million and deferred financing costs of $8.8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On March 5, 2024, we issued a total of 4,000,000 shares of common stock at $20.52 per share. Net of underwriting fees and offering costs, we received total cash proceeds of $81.5 million. Subsequent to the offering, we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jc w:val="both"/>
        <w:ind w:right="160" w:firstLine="228"/>
        <w:spacing w:after="0" w:line="299" w:lineRule="auto"/>
        <w:rPr>
          <w:sz w:val="20"/>
          <w:szCs w:val="20"/>
          <w:color w:val="auto"/>
        </w:rPr>
      </w:pPr>
      <w:r>
        <w:rPr>
          <w:rFonts w:ascii="Times New Roman" w:cs="Times New Roman" w:eastAsia="Times New Roman" w:hAnsi="Times New Roman"/>
          <w:sz w:val="14"/>
          <w:szCs w:val="14"/>
          <w:color w:val="auto"/>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September 30, 2025.</w:t>
      </w:r>
    </w:p>
    <w:p>
      <w:pPr>
        <w:spacing w:after="0" w:line="131" w:lineRule="exact"/>
        <w:rPr>
          <w:sz w:val="20"/>
          <w:szCs w:val="20"/>
          <w:color w:val="auto"/>
        </w:rPr>
      </w:pPr>
    </w:p>
    <w:p>
      <w:pPr>
        <w:jc w:val="both"/>
        <w:ind w:right="160" w:firstLine="228"/>
        <w:spacing w:after="0" w:line="259" w:lineRule="auto"/>
        <w:rPr>
          <w:sz w:val="20"/>
          <w:szCs w:val="20"/>
          <w:color w:val="auto"/>
        </w:rPr>
      </w:pPr>
      <w:r>
        <w:rPr>
          <w:rFonts w:ascii="Times New Roman" w:cs="Times New Roman" w:eastAsia="Times New Roman" w:hAnsi="Times New Roman"/>
          <w:sz w:val="16"/>
          <w:szCs w:val="16"/>
          <w:color w:val="auto"/>
        </w:rPr>
        <w:t>During the nine months ended September 30, 2025 and 2024, we issued 832,489 and 888,122 shares of our common stock, respectively, to investors who have not opted out of our dividend reinvestment plan for proceeds of $18.2 million and $17.8 million, respectively.</w:t>
      </w:r>
    </w:p>
    <w:p>
      <w:pPr>
        <w:spacing w:after="0" w:line="155"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April 30, 2025 (effective May 31, 2025).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for the three and nine months ended September 30,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18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0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spacing w:after="0" w:line="167"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164" w:lineRule="exact"/>
        <w:rPr>
          <w:sz w:val="20"/>
          <w:szCs w:val="20"/>
          <w:color w:val="auto"/>
        </w:rPr>
      </w:pPr>
    </w:p>
    <w:p>
      <w:pPr>
        <w:ind w:right="20" w:firstLine="228"/>
        <w:spacing w:after="0" w:line="246"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September 30, 2025, we had outstanding debt denominated in Australian dollars (AUD) of 63.0 million, British pounds (GBP) of 70.8 million, Canadian dollars (CAD) of 5.0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7" w:name="page68"/>
    <w:bookmarkEnd w:id="67"/>
    <w:p>
      <w:pPr>
        <w:spacing w:after="0" w:line="65" w:lineRule="exact"/>
        <w:rPr>
          <w:sz w:val="20"/>
          <w:szCs w:val="20"/>
          <w:color w:val="auto"/>
        </w:rPr>
      </w:pPr>
    </w:p>
    <w:p>
      <w:pPr>
        <w:ind w:firstLine="39"/>
        <w:spacing w:after="0" w:line="243" w:lineRule="auto"/>
        <w:rPr>
          <w:sz w:val="20"/>
          <w:szCs w:val="20"/>
          <w:color w:val="auto"/>
        </w:rPr>
      </w:pPr>
      <w:r>
        <w:rPr>
          <w:rFonts w:ascii="Times New Roman" w:cs="Times New Roman" w:eastAsia="Times New Roman" w:hAnsi="Times New Roman"/>
          <w:sz w:val="16"/>
          <w:szCs w:val="16"/>
          <w:color w:val="auto"/>
        </w:rPr>
        <w:t>million, Swedish Krona (SEK) of 211.3 million and Euro (EUR) of 244.7 million on our Revolving Credit Facility, included in the Outstanding Principal amount in the table below.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w:t>
      </w:r>
    </w:p>
    <w:p>
      <w:pPr>
        <w:spacing w:after="0" w:line="167"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September 30, 2025 and December 31, 2024, we had $19.7 million and $21.8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64"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spacing w:after="0" w:line="17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240" w:right="2440"/>
        <w:spacing w:after="0" w:line="259" w:lineRule="auto"/>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59" w:lineRule="exact"/>
        <w:rPr>
          <w:sz w:val="20"/>
          <w:szCs w:val="20"/>
          <w:color w:val="auto"/>
        </w:rPr>
      </w:pPr>
    </w:p>
    <w:p>
      <w:pPr>
        <w:jc w:val="both"/>
        <w:ind w:left="240" w:right="20"/>
        <w:spacing w:after="0" w:line="247" w:lineRule="auto"/>
        <w:rPr>
          <w:sz w:val="20"/>
          <w:szCs w:val="20"/>
          <w:color w:val="auto"/>
        </w:rPr>
      </w:pPr>
      <w:r>
        <w:rPr>
          <w:rFonts w:ascii="Times New Roman" w:cs="Times New Roman" w:eastAsia="Times New Roman" w:hAnsi="Times New Roman"/>
          <w:sz w:val="16"/>
          <w:szCs w:val="16"/>
          <w:color w:val="auto"/>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spacing w:after="0" w:line="164"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proceeds received from the issuance of the 2030 Notes were used to pay down borrowings on the Revolving Credit Facility.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we were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69" w:lineRule="exact"/>
        <w:rPr>
          <w:sz w:val="20"/>
          <w:szCs w:val="20"/>
          <w:color w:val="auto"/>
        </w:rPr>
      </w:pPr>
    </w:p>
    <w:p>
      <w:pPr>
        <w:ind w:right="340" w:firstLine="228"/>
        <w:spacing w:after="0" w:line="246" w:lineRule="auto"/>
        <w:rPr>
          <w:sz w:val="20"/>
          <w:szCs w:val="20"/>
          <w:color w:val="auto"/>
        </w:rPr>
      </w:pPr>
      <w:r>
        <w:rPr>
          <w:rFonts w:ascii="Times New Roman" w:cs="Times New Roman" w:eastAsia="Times New Roman" w:hAnsi="Times New Roman"/>
          <w:sz w:val="16"/>
          <w:szCs w:val="16"/>
          <w:color w:val="auto"/>
        </w:rPr>
        <w:t>In February 2020, we issued an additional $50.0 million aggregate principal amount of unsecured notes that mature on November 1, 2024. The additional 2024 Notes are a further issuance of, fungible with, rank equally in right of payment with and have the same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8" w:name="page69"/>
    <w:bookmarkEnd w:id="68"/>
    <w:p>
      <w:pPr>
        <w:spacing w:after="0" w:line="6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64"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164"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The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69" w:lineRule="exact"/>
        <w:rPr>
          <w:sz w:val="20"/>
          <w:szCs w:val="20"/>
          <w:color w:val="auto"/>
        </w:rPr>
      </w:pPr>
    </w:p>
    <w:p>
      <w:pPr>
        <w:ind w:right="28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our Consolidated Statements of Operations. As of September 30, 2025 and December 31, 2024, the effective hedge interest rate swaps had a fair value of $(8.6) million and $(17.6)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69" w:lineRule="exact"/>
        <w:rPr>
          <w:sz w:val="20"/>
          <w:szCs w:val="20"/>
          <w:color w:val="auto"/>
        </w:rPr>
      </w:pPr>
    </w:p>
    <w:p>
      <w:pPr>
        <w:ind w:right="16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September 30, 2025 and December 31, 2024, the effective hedge interest rate swaps had a fair value of $4.6 million and $(1.4) million, respectively, which is offset within interest expense by an equal, but opposite, fair value change for the hedged risk on the 2028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spacing w:after="0" w:line="169"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color w:val="auto"/>
        </w:rPr>
        <w:t>In connection with the issuance of the 2029 Notes, we entered into an interest rate swap to align the interest rates of its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9" w:name="page70"/>
    <w:bookmarkEnd w:id="69"/>
    <w:p>
      <w:pPr>
        <w:spacing w:after="0" w:line="6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from the interest rate swaps designated as a hedge. The swap adjusted interest expense is included as a component of interest expense on our Consolidated Statements of Operations. As of September 30, 2025 and December 31, 2024, the effective hedge interest rate swaps had a fair value of $3.5 million and $(5.2) million, respectively, which is offset within interest expense by an equal, but opposite, fair value change for the hedged risk on the 2029 Notes.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2030 Notes</w:t>
      </w:r>
    </w:p>
    <w:p>
      <w:pPr>
        <w:spacing w:after="0" w:line="94" w:lineRule="exact"/>
        <w:rPr>
          <w:sz w:val="20"/>
          <w:szCs w:val="20"/>
          <w:color w:val="auto"/>
        </w:rPr>
      </w:pPr>
    </w:p>
    <w:p>
      <w:pPr>
        <w:ind w:right="180" w:firstLine="228"/>
        <w:spacing w:after="0" w:line="241" w:lineRule="auto"/>
        <w:rPr>
          <w:sz w:val="20"/>
          <w:szCs w:val="20"/>
          <w:color w:val="auto"/>
        </w:rPr>
      </w:pPr>
      <w:r>
        <w:rPr>
          <w:rFonts w:ascii="Times New Roman" w:cs="Times New Roman" w:eastAsia="Times New Roman" w:hAnsi="Times New Roman"/>
          <w:sz w:val="16"/>
          <w:szCs w:val="16"/>
          <w:color w:val="auto"/>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spacing w:after="0" w:line="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September 30, 2025, the effective hedge interest rate swaps had a fair value of $9.3 million which is offset within interest expense by an equal, but opposite, fair value change for the hedged risk on the 2030 Notes.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September 30, 2025 and December 31, 2024:</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right"/>
              <w:ind w:right="40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2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25"/>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Available </w:t>
            </w:r>
            <w:r>
              <w:rPr>
                <w:rFonts w:ascii="Times New Roman" w:cs="Times New Roman" w:eastAsia="Times New Roman" w:hAnsi="Times New Roman"/>
                <w:sz w:val="16"/>
                <w:szCs w:val="16"/>
                <w:b w:val="1"/>
                <w:bCs w:val="1"/>
                <w:color w:val="auto"/>
                <w:w w:val="99"/>
                <w:vertAlign w:val="superscript"/>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1,675.0</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608.7</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1,046.6</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592.6</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5"/>
                <w:szCs w:val="15"/>
                <w:color w:val="auto"/>
              </w:rPr>
            </w:pPr>
          </w:p>
        </w:tc>
        <w:tc>
          <w:tcPr>
            <w:tcW w:w="16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290.4</w:t>
            </w: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301.1</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5"/>
                <w:szCs w:val="15"/>
                <w:color w:val="auto"/>
              </w:rPr>
            </w:pPr>
          </w:p>
        </w:tc>
        <w:tc>
          <w:tcPr>
            <w:tcW w:w="16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347.8</w:t>
            </w: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302.4</w:t>
            </w:r>
          </w:p>
        </w:tc>
      </w:tr>
      <w:tr>
        <w:trPr>
          <w:trHeight w:val="180"/>
        </w:trPr>
        <w:tc>
          <w:tcPr>
            <w:tcW w:w="346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2,925.0</w:t>
            </w:r>
          </w:p>
        </w:tc>
        <w:tc>
          <w:tcPr>
            <w:tcW w:w="120" w:type="dxa"/>
            <w:vAlign w:val="bottom"/>
          </w:tcPr>
          <w:p>
            <w:pPr>
              <w:spacing w:after="0"/>
              <w:rPr>
                <w:sz w:val="15"/>
                <w:szCs w:val="15"/>
                <w:color w:val="auto"/>
              </w:rPr>
            </w:pPr>
          </w:p>
        </w:tc>
        <w:tc>
          <w:tcPr>
            <w:tcW w:w="2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1,858.7</w:t>
            </w:r>
          </w:p>
        </w:tc>
        <w:tc>
          <w:tcPr>
            <w:tcW w:w="100" w:type="dxa"/>
            <w:vAlign w:val="bottom"/>
          </w:tcPr>
          <w:p>
            <w:pPr>
              <w:spacing w:after="0"/>
              <w:rPr>
                <w:sz w:val="15"/>
                <w:szCs w:val="15"/>
                <w:color w:val="auto"/>
              </w:rPr>
            </w:pPr>
          </w:p>
        </w:tc>
        <w:tc>
          <w:tcPr>
            <w:tcW w:w="3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1,046.6</w:t>
            </w:r>
          </w:p>
        </w:tc>
        <w:tc>
          <w:tcPr>
            <w:tcW w:w="4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1,834.3</w:t>
            </w:r>
          </w:p>
        </w:tc>
        <w:tc>
          <w:tcPr>
            <w:tcW w:w="100" w:type="dxa"/>
            <w:vAlign w:val="bottom"/>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2029 Notes and 2030 Notes are presented net of the combination of deferred financing costs and original issue discounts totaling $16.0 million, $1.0 million, $3.6 million, $5.7 million and $6.9 million, respectively.</w:t>
      </w:r>
    </w:p>
    <w:p>
      <w:pPr>
        <w:spacing w:after="0" w:line="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6"/>
          <w:szCs w:val="16"/>
          <w:color w:val="auto"/>
        </w:rPr>
        <w:t>(3)The carrying values of the 2026 Notes, 2028 Notes, 2029 Notes and 2030 Notes are presented inclusive of an incremental $(8.6) million, $4.6 million, $3.5 million and $9.3 million, which represents an adjustment in the carrying values of the 2026 Notes, 2028 Notes, 2029 Notes and 2030 Notes, each resulting from a hedge accounting relationship.</w:t>
      </w: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1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674.2</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w:t>
            </w:r>
          </w:p>
        </w:tc>
        <w:tc>
          <w:tcPr>
            <w:tcW w:w="0" w:type="dxa"/>
            <w:vAlign w:val="bottom"/>
          </w:tcPr>
          <w:p>
            <w:pPr>
              <w:spacing w:after="0"/>
              <w:rPr>
                <w:sz w:val="1"/>
                <w:szCs w:val="1"/>
                <w:color w:val="auto"/>
              </w:rPr>
            </w:pPr>
          </w:p>
        </w:tc>
      </w:tr>
      <w:tr>
        <w:trPr>
          <w:trHeight w:val="203"/>
        </w:trPr>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2026 Notes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00"/>
        </w:trPr>
        <w:tc>
          <w:tcPr>
            <w:tcW w:w="266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1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2,650.0</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1,954.1</w:t>
            </w:r>
          </w:p>
        </w:tc>
        <w:tc>
          <w:tcPr>
            <w:tcW w:w="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674.2</w:t>
            </w:r>
          </w:p>
        </w:tc>
        <w:tc>
          <w:tcPr>
            <w:tcW w:w="3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1,901.1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0" w:name="page71"/>
    <w:bookmarkEnd w:id="70"/>
    <w:p>
      <w:pPr>
        <w:ind w:right="40"/>
        <w:spacing w:after="0" w:line="331" w:lineRule="auto"/>
        <w:rPr>
          <w:sz w:val="20"/>
          <w:szCs w:val="20"/>
          <w:color w:val="auto"/>
        </w:rPr>
      </w:pPr>
      <w:r>
        <w:rPr>
          <w:rFonts w:ascii="Times New Roman" w:cs="Times New Roman" w:eastAsia="Times New Roman" w:hAnsi="Times New Roman"/>
          <w:sz w:val="14"/>
          <w:szCs w:val="14"/>
          <w:color w:val="auto"/>
        </w:rPr>
        <w:t>(3)The carrying values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08" w:lineRule="exact"/>
        <w:rPr>
          <w:sz w:val="20"/>
          <w:szCs w:val="20"/>
          <w:color w:val="auto"/>
        </w:rPr>
      </w:pPr>
    </w:p>
    <w:p>
      <w:pPr>
        <w:ind w:right="400" w:firstLine="234"/>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73"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2025 and December 31, 2024, we had the following commitments to fund investments in current portfolio companies: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3" w:right="70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400" w:type="dxa"/>
            <w:vAlign w:val="bottom"/>
          </w:tcPr>
          <w:p>
            <w:pPr>
              <w:spacing w:after="0"/>
              <w:rPr>
                <w:sz w:val="14"/>
                <w:szCs w:val="14"/>
                <w:color w:val="auto"/>
              </w:rPr>
            </w:pPr>
          </w:p>
        </w:tc>
        <w:tc>
          <w:tcPr>
            <w:tcW w:w="15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20" w:type="dxa"/>
            <w:vAlign w:val="bottom"/>
          </w:tcPr>
          <w:p>
            <w:pPr>
              <w:spacing w:after="0"/>
              <w:rPr>
                <w:sz w:val="14"/>
                <w:szCs w:val="14"/>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Big Wombat Holdings,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40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60" w:type="dxa"/>
            <w:vAlign w:val="bottom"/>
          </w:tcPr>
          <w:p>
            <w:pPr>
              <w:spacing w:after="0"/>
              <w:rPr>
                <w:sz w:val="5"/>
                <w:szCs w:val="5"/>
                <w:color w:val="auto"/>
              </w:rPr>
            </w:pPr>
          </w:p>
        </w:tc>
        <w:tc>
          <w:tcPr>
            <w:tcW w:w="454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560" w:type="dxa"/>
            <w:vAlign w:val="bottom"/>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640" w:type="dxa"/>
            <w:vAlign w:val="bottom"/>
            <w:vMerge w:val="continue"/>
            <w:shd w:val="clear" w:color="auto" w:fill="CFF0FC"/>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Edge Bidco B.V. - Delayed Draw &amp; Revolver</w:t>
            </w:r>
          </w:p>
        </w:tc>
        <w:tc>
          <w:tcPr>
            <w:tcW w:w="4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7"/>
                <w:szCs w:val="17"/>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45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400" w:type="dxa"/>
            <w:vAlign w:val="bottom"/>
          </w:tcPr>
          <w:p>
            <w:pPr>
              <w:spacing w:after="0"/>
              <w:rPr>
                <w:sz w:val="17"/>
                <w:szCs w:val="17"/>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9.6</w:t>
            </w:r>
          </w:p>
        </w:tc>
        <w:tc>
          <w:tcPr>
            <w:tcW w:w="320" w:type="dxa"/>
            <w:vAlign w:val="bottom"/>
          </w:tcPr>
          <w:p>
            <w:pPr>
              <w:spacing w:after="0"/>
              <w:rPr>
                <w:sz w:val="17"/>
                <w:szCs w:val="17"/>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06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Kahua, Inc. - Delayed Draw</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40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4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54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72</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1"/>
        </w:trPr>
        <w:tc>
          <w:tcPr>
            <w:tcW w:w="1060" w:type="dxa"/>
            <w:vAlign w:val="bottom"/>
            <w:tcBorders>
              <w:bottom w:val="single" w:sz="8" w:color="EEEEEE"/>
            </w:tcBorders>
          </w:tcPr>
          <w:p>
            <w:pPr>
              <w:spacing w:after="0"/>
              <w:rPr>
                <w:sz w:val="24"/>
                <w:szCs w:val="24"/>
                <w:color w:val="auto"/>
              </w:rPr>
            </w:pPr>
          </w:p>
        </w:tc>
        <w:tc>
          <w:tcPr>
            <w:tcW w:w="45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72" w:name="page73"/>
    <w:bookmarkEnd w:id="72"/>
    <w:tbl>
      <w:tblPr>
        <w:tblLayout w:type="fixed"/>
        <w:tblInd w:w="1060" w:type="dxa"/>
        <w:tblCellMar>
          <w:top w:w="0" w:type="dxa"/>
          <w:left w:w="0" w:type="dxa"/>
          <w:bottom w:w="0" w:type="dxa"/>
          <w:right w:w="0" w:type="dxa"/>
        </w:tblCellMar>
      </w:tblPr>
      <w:tr>
        <w:trPr>
          <w:trHeight w:val="19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5"/>
                <w:szCs w:val="15"/>
                <w:color w:val="auto"/>
              </w:rPr>
            </w:pP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#2 -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TradingScreen, Inc. -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5"/>
                <w:szCs w:val="15"/>
                <w:color w:val="auto"/>
              </w:rPr>
            </w:pP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476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680" w:type="dxa"/>
            <w:vAlign w:val="bottom"/>
          </w:tcPr>
          <w:p>
            <w:pPr>
              <w:jc w:val="right"/>
              <w:ind w:right="5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337.3</w:t>
            </w:r>
          </w:p>
        </w:tc>
        <w:tc>
          <w:tcPr>
            <w:tcW w:w="96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356.3</w:t>
            </w:r>
          </w:p>
        </w:tc>
      </w:tr>
      <w:tr>
        <w:trPr>
          <w:trHeight w:val="20"/>
        </w:trPr>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did not have any unfunded commitments to fund investments to new borrowers that were not current portfolio companies as of such date.</w:t>
      </w:r>
    </w:p>
    <w:p>
      <w:pPr>
        <w:spacing w:after="0" w:line="59"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September 30, 2025, management is not aware of any material pending or threatened litigation that would require accounting recognition or financial statement disclosure.</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73" w:name="page74"/>
    <w:bookmarkEnd w:id="73"/>
    <w:p>
      <w:pPr>
        <w:spacing w:after="0" w:line="6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an estimated basis, to our business and affairs). Our Adviser also offers on our behalf significant managerial assistance to those portfolio companies to which we are required to offer to provide such assistance.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September 30, 2025 is as follows:</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1 year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608.7</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608.7</w:t>
            </w: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24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24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52"/>
        </w:trPr>
        <w:tc>
          <w:tcPr>
            <w:tcW w:w="3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1,858.7</w:t>
            </w:r>
          </w:p>
        </w:tc>
        <w:tc>
          <w:tcPr>
            <w:tcW w:w="10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1,258.7</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9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 exempt interest income over certain disallowed deductions) for such taxable year.</w:t>
      </w:r>
    </w:p>
    <w:p>
      <w:pPr>
        <w:spacing w:after="0" w:line="188"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firstLine="228"/>
        <w:spacing w:after="0" w:line="242"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4" w:name="page75"/>
    <w:bookmarkEnd w:id="74"/>
    <w:p>
      <w:pPr>
        <w:spacing w:after="0" w:line="65" w:lineRule="exact"/>
        <w:rPr>
          <w:sz w:val="20"/>
          <w:szCs w:val="20"/>
          <w:color w:val="auto"/>
        </w:rPr>
      </w:pPr>
    </w:p>
    <w:p>
      <w:pPr>
        <w:jc w:val="both"/>
        <w:ind w:right="20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7"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Our critical accounting policies and estimates, including those relating to the valuation of our investment portfolio, are described in our Annual Report on Form 10-K for the fiscal year ended December 31, 2024, filed with the SEC on February 13, 2025, and elsewhere in our filings with the SEC. The critical accounting policies and estimates should be read in connection with our risk factors discussed in Part I, “Item 1A. Risk Factors” in our Annual Report on Form 10-K for the fiscal year ended December 31, 2024.</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40" w:firstLine="228"/>
        <w:spacing w:after="0" w:line="242" w:lineRule="auto"/>
        <w:rPr>
          <w:sz w:val="20"/>
          <w:szCs w:val="20"/>
          <w:color w:val="auto"/>
        </w:rPr>
      </w:pPr>
      <w:r>
        <w:rPr>
          <w:rFonts w:ascii="Times New Roman" w:cs="Times New Roman" w:eastAsia="Times New Roman" w:hAnsi="Times New Roman"/>
          <w:sz w:val="16"/>
          <w:szCs w:val="16"/>
          <w:color w:val="auto"/>
        </w:rPr>
        <w:t>As of September 30, 2025, 96.3%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5" w:name="page76"/>
    <w:bookmarkEnd w:id="75"/>
    <w:p>
      <w:pPr>
        <w:spacing w:after="0" w:line="65" w:lineRule="exact"/>
        <w:rPr>
          <w:sz w:val="20"/>
          <w:szCs w:val="20"/>
          <w:color w:val="auto"/>
        </w:rPr>
      </w:pPr>
    </w:p>
    <w:p>
      <w:pPr>
        <w:ind w:right="48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September 30,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6" w:lineRule="exact"/>
        <w:rPr>
          <w:sz w:val="20"/>
          <w:szCs w:val="20"/>
          <w:color w:val="auto"/>
        </w:rPr>
      </w:pPr>
    </w:p>
    <w:tbl>
      <w:tblPr>
        <w:tblLayout w:type="fixed"/>
        <w:tblInd w:w="1220" w:type="dxa"/>
        <w:tblCellMar>
          <w:top w:w="0" w:type="dxa"/>
          <w:left w:w="0" w:type="dxa"/>
          <w:bottom w:w="0" w:type="dxa"/>
          <w:right w:w="0" w:type="dxa"/>
        </w:tblCellMar>
      </w:tblPr>
      <w:tr>
        <w:trPr>
          <w:trHeight w:val="154"/>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3380" w:type="dxa"/>
            <w:vAlign w:val="bottom"/>
          </w:tcPr>
          <w:p>
            <w:pPr>
              <w:ind w:left="1480"/>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88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60" w:type="dxa"/>
            <w:vAlign w:val="bottom"/>
          </w:tcPr>
          <w:p>
            <w:pPr>
              <w:spacing w:after="0"/>
              <w:rPr>
                <w:sz w:val="14"/>
                <w:szCs w:val="14"/>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w w:val="99"/>
              </w:rPr>
              <w:t>Interest Expense</w:t>
            </w:r>
          </w:p>
        </w:tc>
        <w:tc>
          <w:tcPr>
            <w:tcW w:w="16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300 basis points</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92.3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55.8</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36.5</w:t>
            </w: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Up 200 basis points</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61.5</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37.2</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24.3</w:t>
            </w: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100 basis points</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30.8</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12.2</w:t>
            </w: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25 basis points</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50 basis points</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75 basis points</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r>
      <w:tr>
        <w:trPr>
          <w:trHeight w:val="180"/>
        </w:trPr>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100 basis points</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r>
    </w:tbl>
    <w:p>
      <w:pPr>
        <w:spacing w:after="0" w:line="17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0" w:lineRule="exact"/>
        <w:rPr>
          <w:sz w:val="20"/>
          <w:szCs w:val="20"/>
          <w:color w:val="auto"/>
        </w:rPr>
      </w:pPr>
    </w:p>
    <w:p>
      <w:pPr>
        <w:ind w:right="120"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report, we carried out an evaluation, under the supervision and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8" w:lineRule="exact"/>
        <w:rPr>
          <w:sz w:val="20"/>
          <w:szCs w:val="20"/>
          <w:color w:val="auto"/>
        </w:rPr>
      </w:pPr>
    </w:p>
    <w:p>
      <w:pPr>
        <w:ind w:right="22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6" w:name="page77"/>
    <w:bookmarkEnd w:id="7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risk factors discussed in Part I, “Item 1A. Risk Factors” in our Annual Report on Form 10-K for the fiscal year ended December 31, 2024,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Rule 10b5-1 Trading Plans</w:t>
      </w:r>
    </w:p>
    <w:p>
      <w:pPr>
        <w:spacing w:after="0" w:line="94" w:lineRule="exact"/>
        <w:rPr>
          <w:sz w:val="20"/>
          <w:szCs w:val="20"/>
          <w:color w:val="auto"/>
        </w:rPr>
      </w:pPr>
    </w:p>
    <w:p>
      <w:pPr>
        <w:ind w:right="240" w:firstLine="228"/>
        <w:spacing w:after="0" w:line="331" w:lineRule="auto"/>
        <w:rPr>
          <w:sz w:val="20"/>
          <w:szCs w:val="20"/>
          <w:color w:val="auto"/>
        </w:rPr>
      </w:pPr>
      <w:r>
        <w:rPr>
          <w:rFonts w:ascii="Times New Roman" w:cs="Times New Roman" w:eastAsia="Times New Roman" w:hAnsi="Times New Roman"/>
          <w:sz w:val="14"/>
          <w:szCs w:val="14"/>
          <w:color w:val="auto"/>
        </w:rPr>
        <w:t>During the three months ended September 30, 2025, none of our directors or officers (as defined in Rule 16a-1(f) under the Exchange Act) adopted, modified or terminated any Rule 10b5-1 trading arrangement or non-Rule 10b5-1 trading arrangement (as such terms are defined in Item 408 of Regulation S-K).</w:t>
      </w: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77" w:name="page78"/>
    <w:bookmarkEnd w:id="77"/>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5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58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r:id="rId216">
              <w:r>
                <w:rPr>
                  <w:rFonts w:ascii="Times New Roman" w:cs="Times New Roman" w:eastAsia="Times New Roman" w:hAnsi="Times New Roman"/>
                  <w:sz w:val="16"/>
                  <w:szCs w:val="16"/>
                  <w:color w:val="0000FF"/>
                  <w:w w:val="97"/>
                </w:rPr>
                <w:t>Restated Certificate of Incorporation (incorporated by reference to Exhibit 3.2 to Amendment No. 1 to the Company’s Current Report on Form 8-K filed</w:t>
              </w:r>
            </w:hyperlink>
          </w:p>
        </w:tc>
      </w:tr>
      <w:tr>
        <w:trPr>
          <w:trHeight w:val="160"/>
        </w:trPr>
        <w:tc>
          <w:tcPr>
            <w:tcW w:w="920" w:type="dxa"/>
            <w:vAlign w:val="bottom"/>
          </w:tcPr>
          <w:p>
            <w:pPr>
              <w:spacing w:after="0"/>
              <w:rPr>
                <w:sz w:val="13"/>
                <w:szCs w:val="13"/>
                <w:color w:val="auto"/>
              </w:rPr>
            </w:pPr>
          </w:p>
        </w:tc>
        <w:tc>
          <w:tcPr>
            <w:tcW w:w="116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FF"/>
                <w:w w:val="96"/>
              </w:rPr>
            </w:pPr>
            <w:hyperlink r:id="rId216">
              <w:r>
                <w:rPr>
                  <w:rFonts w:ascii="Times New Roman" w:cs="Times New Roman" w:eastAsia="Times New Roman" w:hAnsi="Times New Roman"/>
                  <w:sz w:val="16"/>
                  <w:szCs w:val="16"/>
                  <w:color w:val="0000FF"/>
                  <w:w w:val="96"/>
                </w:rPr>
                <w:t>on June 19, 2020).</w:t>
              </w:r>
            </w:hyperlink>
          </w:p>
        </w:tc>
        <w:tc>
          <w:tcPr>
            <w:tcW w:w="8420" w:type="dxa"/>
            <w:vAlign w:val="bottom"/>
            <w:gridSpan w:val="4"/>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92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Third Amended and Restated Bylaws dated November 4, 2025</w:t>
              </w:r>
            </w:hyperlink>
          </w:p>
        </w:tc>
        <w:tc>
          <w:tcPr>
            <w:tcW w:w="5660" w:type="dxa"/>
            <w:vAlign w:val="bottom"/>
            <w:gridSpan w:val="3"/>
          </w:tcPr>
          <w:p>
            <w:pPr>
              <w:spacing w:after="0"/>
              <w:rPr>
                <w:sz w:val="24"/>
                <w:szCs w:val="24"/>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2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c>
          <w:tcPr>
            <w:tcW w:w="260" w:type="dxa"/>
            <w:vAlign w:val="bottom"/>
          </w:tcPr>
          <w:p>
            <w:pPr>
              <w:spacing w:after="0"/>
              <w:rPr>
                <w:sz w:val="24"/>
                <w:szCs w:val="24"/>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28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300" w:type="dxa"/>
            <w:vAlign w:val="bottom"/>
            <w:gridSpan w:val="2"/>
          </w:tcPr>
          <w:p>
            <w:pPr>
              <w:spacing w:after="0"/>
              <w:rPr>
                <w:sz w:val="24"/>
                <w:szCs w:val="24"/>
                <w:color w:val="auto"/>
              </w:rPr>
            </w:pPr>
          </w:p>
        </w:tc>
      </w:tr>
    </w:tbl>
    <w:p>
      <w:pPr>
        <w:spacing w:after="0" w:line="119" w:lineRule="exact"/>
        <w:rPr>
          <w:sz w:val="20"/>
          <w:szCs w:val="20"/>
          <w:color w:val="auto"/>
        </w:rPr>
      </w:pPr>
    </w:p>
    <w:p>
      <w:pPr>
        <w:ind w:left="920" w:hanging="914"/>
        <w:spacing w:after="0"/>
        <w:tabs>
          <w:tab w:leader="none" w:pos="920" w:val="left"/>
        </w:tabs>
        <w:numPr>
          <w:ilvl w:val="0"/>
          <w:numId w:val="10"/>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-8890</wp:posOffset>
            </wp:positionV>
            <wp:extent cx="55486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548630"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203"/>
        </w:trPr>
        <w:tc>
          <w:tcPr>
            <w:tcW w:w="740" w:type="dxa"/>
            <w:vAlign w:val="bottom"/>
          </w:tcPr>
          <w:p>
            <w:pPr>
              <w:spacing w:after="0"/>
              <w:rPr>
                <w:sz w:val="17"/>
                <w:szCs w:val="17"/>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73" w:lineRule="exact"/>
        <w:rPr>
          <w:sz w:val="20"/>
          <w:szCs w:val="20"/>
          <w:color w:val="auto"/>
        </w:rPr>
      </w:pPr>
    </w:p>
    <w:p>
      <w:pPr>
        <w:ind w:left="5200" w:right="4580" w:hanging="5194"/>
        <w:spacing w:after="0" w:line="509" w:lineRule="auto"/>
        <w:tabs>
          <w:tab w:leader="none" w:pos="90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624840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78" w:name="page79"/>
    <w:bookmarkEnd w:id="78"/>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6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ectPr>
          <w:pgSz w:w="11900" w:h="16840" w:orient="portrait"/>
          <w:cols w:equalWidth="0" w:num="1">
            <w:col w:w="9940"/>
          </w:cols>
          <w:pgMar w:left="660" w:top="1311" w:right="1300" w:bottom="1440" w:gutter="0" w:footer="0" w:header="0"/>
        </w:sect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November 4, 2025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Joshua Easterly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Joshua Easterly</w:t>
      </w: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ectPr>
          <w:pgSz w:w="11900" w:h="16840" w:orient="portrait"/>
          <w:cols w:equalWidth="0" w:num="2">
            <w:col w:w="4680" w:space="720"/>
            <w:col w:w="4540"/>
          </w:cols>
          <w:pgMar w:left="660" w:top="1311" w:right="1300" w:bottom="1440" w:gutter="0" w:footer="0" w:header="0"/>
          <w:type w:val="continuous"/>
        </w:sectPr>
      </w:pP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Date: November 4, 2025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Ian Simmonds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Ian Simmonds</w:t>
      </w:r>
    </w:p>
    <w:p>
      <w:pPr>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0" w:lineRule="exact"/>
        <w:rPr>
          <w:sz w:val="20"/>
          <w:szCs w:val="20"/>
          <w:color w:val="auto"/>
        </w:rPr>
      </w:pPr>
    </w:p>
    <w:p>
      <w:pPr>
        <w:sectPr>
          <w:pgSz w:w="11900" w:h="16840" w:orient="portrait"/>
          <w:cols w:equalWidth="0" w:num="2">
            <w:col w:w="4680" w:space="720"/>
            <w:col w:w="4540"/>
          </w:cols>
          <w:pgMar w:left="660" w:top="1311" w:right="13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40"/>
          </w:cols>
          <w:pgMar w:left="660" w:top="1311" w:right="1300" w:bottom="1440" w:gutter="0" w:footer="0" w:header="0"/>
          <w:type w:val="continuous"/>
        </w:sectPr>
      </w:pPr>
    </w:p>
    <w:bookmarkStart w:id="79" w:name="page80"/>
    <w:bookmarkEnd w:id="79"/>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THIRD AMENDED AND RESTATED BYLAWS</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OF</w:t>
      </w:r>
    </w:p>
    <w:p>
      <w:pPr>
        <w:spacing w:after="0" w:line="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SIXTH STREET SPECIALTY LENDING, INC.</w:t>
      </w:r>
    </w:p>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EFFECTIVE AS OF NOVEMBER 4,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[RESERVED]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MEETINGS OF STOCKHOLDERS</w:t>
      </w:r>
    </w:p>
    <w:p>
      <w:pPr>
        <w:spacing w:after="0" w:line="178" w:lineRule="exact"/>
        <w:rPr>
          <w:sz w:val="20"/>
          <w:szCs w:val="20"/>
          <w:color w:val="auto"/>
        </w:rPr>
      </w:pPr>
    </w:p>
    <w:p>
      <w:pPr>
        <w:jc w:val="both"/>
        <w:ind w:right="320" w:firstLine="696"/>
        <w:spacing w:after="0" w:line="269"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Place of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All meetings of the stockholders for the election of directors or for any other purpose shall be held 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such place, either within or outside the State of Delaware, as shall be designated from time to time by the Board of Directors and stated in the notice of meeting or in a duly executed waiver of notice thereof.</w:t>
      </w:r>
    </w:p>
    <w:p>
      <w:pPr>
        <w:spacing w:after="0" w:line="142"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Annual Meeting.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 annual meeting of stockholders shall be held each year and stated in a notice of meeting or in a duly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executed waiver 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49"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9"/>
          <w:szCs w:val="19"/>
          <w:color w:val="010000"/>
        </w:rPr>
        <w:t>(C)</w:t>
      </w:r>
      <w:r>
        <w:rPr>
          <w:rFonts w:ascii="Times New Roman" w:cs="Times New Roman" w:eastAsia="Times New Roman" w:hAnsi="Times New Roman"/>
          <w:sz w:val="19"/>
          <w:szCs w:val="19"/>
          <w:b w:val="1"/>
          <w:bCs w:val="1"/>
          <w:color w:val="000000"/>
        </w:rPr>
        <w:t>Notice of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Except as otherwise expressly required by statute, written notice of each annual and special meeting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stockholders 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w:t>
      </w:r>
    </w:p>
    <w:p>
      <w:pPr>
        <w:spacing w:after="0" w:line="4" w:lineRule="exact"/>
        <w:rPr>
          <w:sz w:val="20"/>
          <w:szCs w:val="20"/>
          <w:color w:val="auto"/>
        </w:rPr>
      </w:pPr>
    </w:p>
    <w:p>
      <w:pPr>
        <w:ind w:right="100" w:firstLine="6"/>
        <w:spacing w:after="0" w:line="256" w:lineRule="auto"/>
        <w:tabs>
          <w:tab w:leader="none" w:pos="272"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53" w:lineRule="exact"/>
        <w:rPr>
          <w:sz w:val="20"/>
          <w:szCs w:val="20"/>
          <w:color w:val="auto"/>
        </w:rPr>
      </w:pPr>
    </w:p>
    <w:p>
      <w:pPr>
        <w:ind w:right="80" w:firstLine="696"/>
        <w:spacing w:after="0" w:line="269" w:lineRule="auto"/>
        <w:rPr>
          <w:sz w:val="20"/>
          <w:szCs w:val="20"/>
          <w:color w:val="auto"/>
        </w:rPr>
      </w:pPr>
      <w:r>
        <w:rPr>
          <w:rFonts w:ascii="Times New Roman" w:cs="Times New Roman" w:eastAsia="Times New Roman" w:hAnsi="Times New Roman"/>
          <w:sz w:val="19"/>
          <w:szCs w:val="19"/>
          <w:color w:val="010000"/>
        </w:rPr>
        <w:t>(D)</w:t>
      </w:r>
      <w:r>
        <w:rPr>
          <w:rFonts w:ascii="Times New Roman" w:cs="Times New Roman" w:eastAsia="Times New Roman" w:hAnsi="Times New Roman"/>
          <w:sz w:val="19"/>
          <w:szCs w:val="19"/>
          <w:b w:val="1"/>
          <w:bCs w:val="1"/>
          <w:color w:val="000000"/>
        </w:rPr>
        <w:t>Special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Special meetings of stockholders may be called for any purpose by the Board of Directors, the Chairman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 the Board of Directors or the Chief Executive Officer and may be held on such date and at such time and place, either within or outside the State of Delaware, as shall be stated in a notice of meeting or in a duly executed waiver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879475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10000"/>
        </w:rPr>
        <w:t>(E)</w:t>
      </w:r>
      <w:r>
        <w:rPr>
          <w:rFonts w:ascii="Times New Roman" w:cs="Times New Roman" w:eastAsia="Times New Roman" w:hAnsi="Times New Roman"/>
          <w:sz w:val="19"/>
          <w:szCs w:val="19"/>
          <w:b w:val="1"/>
          <w:bCs w:val="1"/>
          <w:color w:val="000000"/>
        </w:rPr>
        <w:t>List of Stockholders.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officer who has charge of the stock ledger of the Corporation shall prepare and make, at least ten</w:t>
      </w:r>
    </w:p>
    <w:p>
      <w:pPr>
        <w:spacing w:after="0" w:line="34" w:lineRule="exact"/>
        <w:rPr>
          <w:sz w:val="20"/>
          <w:szCs w:val="20"/>
          <w:color w:val="auto"/>
        </w:rPr>
      </w:pPr>
    </w:p>
    <w:p>
      <w:pPr>
        <w:ind w:firstLine="6"/>
        <w:spacing w:after="0" w:line="250" w:lineRule="auto"/>
        <w:tabs>
          <w:tab w:leader="none" w:pos="36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before 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w:t>
      </w:r>
    </w:p>
    <w:p>
      <w:pPr>
        <w:spacing w:after="0" w:line="1" w:lineRule="exact"/>
        <w:rPr>
          <w:rFonts w:ascii="Times New Roman" w:cs="Times New Roman" w:eastAsia="Times New Roman" w:hAnsi="Times New Roman"/>
          <w:sz w:val="19"/>
          <w:szCs w:val="19"/>
          <w:color w:val="auto"/>
        </w:rPr>
      </w:pPr>
    </w:p>
    <w:p>
      <w:pPr>
        <w:ind w:right="20" w:firstLine="6"/>
        <w:spacing w:after="0" w:line="254" w:lineRule="auto"/>
        <w:tabs>
          <w:tab w:leader="none" w:pos="36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55"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010000"/>
        </w:rPr>
        <w:t xml:space="preserve">(F) </w:t>
      </w:r>
      <w:r>
        <w:rPr>
          <w:rFonts w:ascii="Times New Roman" w:cs="Times New Roman" w:eastAsia="Times New Roman" w:hAnsi="Times New Roman"/>
          <w:sz w:val="19"/>
          <w:szCs w:val="19"/>
          <w:b w:val="1"/>
          <w:bCs w:val="1"/>
          <w:color w:val="000000"/>
        </w:rPr>
        <w:t>Quorum; Adjournments.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holders of a majority of the voting power of the issued and outstanding stock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Corporation entitled to 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“Certificate of Incorporation”).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In addition,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It shall not be necessary to notify any stockholder of any adjournment if the time and place of the adjourned meeting are announced at the meeting at which adjournment is taken, unless a new record date is fixed for the meeting or if the adjournment is for more than thirty (30) days. At such adjourned or postponed meeting at which a quorum shall be present or represented by proxy, any business may be transacted which might have been transacted at the meeting as originally called.</w:t>
      </w:r>
    </w:p>
    <w:p>
      <w:pPr>
        <w:spacing w:after="0" w:line="163"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color w:val="010000"/>
        </w:rPr>
        <w:t>(G)</w:t>
      </w:r>
      <w:r>
        <w:rPr>
          <w:rFonts w:ascii="Times New Roman" w:cs="Times New Roman" w:eastAsia="Times New Roman" w:hAnsi="Times New Roman"/>
          <w:sz w:val="19"/>
          <w:szCs w:val="19"/>
          <w:b w:val="1"/>
          <w:bCs w:val="1"/>
          <w:color w:val="000000"/>
        </w:rPr>
        <w:t>Organization.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At each meeting of stockholders, the Chairman of the Board of Directors (if one shall have been elected,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his absence or if 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10000"/>
        </w:rPr>
        <w:t>(H)</w:t>
      </w:r>
      <w:r>
        <w:rPr>
          <w:rFonts w:ascii="Times New Roman" w:cs="Times New Roman" w:eastAsia="Times New Roman" w:hAnsi="Times New Roman"/>
          <w:sz w:val="19"/>
          <w:szCs w:val="19"/>
          <w:b w:val="1"/>
          <w:bCs w:val="1"/>
          <w:color w:val="000000"/>
        </w:rPr>
        <w:t>Order of Business.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order of business at all meetings of the stockholders shall be as determined by the chairman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meeting.</w:t>
      </w:r>
    </w:p>
    <w:p>
      <w:pPr>
        <w:spacing w:after="0" w:line="178"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color w:val="010000"/>
        </w:rPr>
        <w:t>(I)</w:t>
      </w:r>
      <w:r>
        <w:rPr>
          <w:rFonts w:ascii="Times New Roman" w:cs="Times New Roman" w:eastAsia="Times New Roman" w:hAnsi="Times New Roman"/>
          <w:sz w:val="19"/>
          <w:szCs w:val="19"/>
          <w:b w:val="1"/>
          <w:bCs w:val="1"/>
          <w:color w:val="000000"/>
        </w:rPr>
        <w:t>Voting.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Except as otherwise provided by the Certificate of Incorporation or the General Corporation Law of the State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Delaware, each 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1" w:name="page82"/>
    <w:bookmarkEnd w:id="81"/>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 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attorney-in- 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398"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010000"/>
        </w:rPr>
        <w:t>(J)</w:t>
      </w:r>
      <w:r>
        <w:rPr>
          <w:rFonts w:ascii="Times New Roman" w:cs="Times New Roman" w:eastAsia="Times New Roman" w:hAnsi="Times New Roman"/>
          <w:sz w:val="19"/>
          <w:szCs w:val="19"/>
          <w:b w:val="1"/>
          <w:bCs w:val="1"/>
          <w:color w:val="000000"/>
        </w:rPr>
        <w:t>Inspectors.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in advance of any meeting of stockholders, appoint one or more inspectors to act 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such meeting or 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57" w:lineRule="exact"/>
        <w:rPr>
          <w:sz w:val="20"/>
          <w:szCs w:val="20"/>
          <w:color w:val="auto"/>
        </w:rPr>
      </w:pPr>
    </w:p>
    <w:p>
      <w:pPr>
        <w:ind w:right="20" w:firstLine="696"/>
        <w:spacing w:after="0" w:line="260" w:lineRule="auto"/>
        <w:rPr>
          <w:sz w:val="20"/>
          <w:szCs w:val="20"/>
          <w:color w:val="auto"/>
        </w:rPr>
      </w:pPr>
      <w:r>
        <w:rPr>
          <w:rFonts w:ascii="Times New Roman" w:cs="Times New Roman" w:eastAsia="Times New Roman" w:hAnsi="Times New Roman"/>
          <w:sz w:val="19"/>
          <w:szCs w:val="19"/>
          <w:color w:val="010000"/>
        </w:rPr>
        <w:t>(K)</w:t>
      </w:r>
      <w:r>
        <w:rPr>
          <w:rFonts w:ascii="Times New Roman" w:cs="Times New Roman" w:eastAsia="Times New Roman" w:hAnsi="Times New Roman"/>
          <w:sz w:val="19"/>
          <w:szCs w:val="19"/>
          <w:b w:val="1"/>
          <w:bCs w:val="1"/>
          <w:color w:val="000000"/>
        </w:rPr>
        <w:t>Advance Notice Provisions for Election of Directors.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Only persons who are nominated in accordance with the following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procedures shall be 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883920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2" w:name="page83"/>
    <w:bookmarkEnd w:id="82"/>
    <w:p>
      <w:pPr>
        <w:spacing w:after="0" w:line="2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45" w:lineRule="exact"/>
        <w:rPr>
          <w:sz w:val="20"/>
          <w:szCs w:val="20"/>
          <w:color w:val="auto"/>
        </w:rPr>
      </w:pPr>
    </w:p>
    <w:p>
      <w:pPr>
        <w:ind w:firstLine="696"/>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38"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mailed and received at the principal executive offices of the Corporation (a) in the case of an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61" w:lineRule="exact"/>
        <w:rPr>
          <w:sz w:val="20"/>
          <w:szCs w:val="20"/>
          <w:color w:val="auto"/>
        </w:rPr>
      </w:pPr>
    </w:p>
    <w:p>
      <w:pPr>
        <w:ind w:right="60" w:firstLine="696"/>
        <w:spacing w:after="0" w:line="252"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4" w:lineRule="exact"/>
        <w:rPr>
          <w:sz w:val="20"/>
          <w:szCs w:val="20"/>
          <w:color w:val="auto"/>
        </w:rPr>
      </w:pPr>
    </w:p>
    <w:p>
      <w:pPr>
        <w:ind w:right="140" w:firstLine="696"/>
        <w:spacing w:after="0" w:line="266"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49"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color w:val="010000"/>
        </w:rPr>
        <w:t>(L)</w:t>
      </w:r>
      <w:r>
        <w:rPr>
          <w:rFonts w:ascii="Times New Roman" w:cs="Times New Roman" w:eastAsia="Times New Roman" w:hAnsi="Times New Roman"/>
          <w:sz w:val="19"/>
          <w:szCs w:val="19"/>
          <w:b w:val="1"/>
          <w:bCs w:val="1"/>
          <w:color w:val="000000"/>
        </w:rPr>
        <w:t>Advance Notice Provisions for Business to be Transacted at Annual Meeting.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 business may be transacted at 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annual meeting of stockholders, other than business that is either (a) specified in the notice of meeting (or any supplement thereto) given by or at the direction of the Board of Directors (or any duly authorized committee thereof), (b)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879475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3" w:name="page84"/>
    <w:bookmarkEnd w:id="8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properly brought before the annual meeting by or at the direction of the Board of Directors (or any duly authorized committee thereof) or</w:t>
      </w:r>
    </w:p>
    <w:p>
      <w:pPr>
        <w:spacing w:after="0" w:line="32" w:lineRule="exact"/>
        <w:rPr>
          <w:sz w:val="20"/>
          <w:szCs w:val="20"/>
          <w:color w:val="auto"/>
        </w:rPr>
      </w:pPr>
    </w:p>
    <w:p>
      <w:pPr>
        <w:ind w:right="80" w:firstLine="6"/>
        <w:spacing w:after="0" w:line="256" w:lineRule="auto"/>
        <w:tabs>
          <w:tab w:leader="none" w:pos="261"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properly brought before the annual meeting by any stockholder of the Corporation (i) 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56" w:lineRule="exact"/>
        <w:rPr>
          <w:sz w:val="20"/>
          <w:szCs w:val="20"/>
          <w:color w:val="auto"/>
        </w:rPr>
      </w:pPr>
    </w:p>
    <w:p>
      <w:pPr>
        <w:ind w:right="280" w:firstLine="696"/>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38"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64" w:lineRule="exact"/>
        <w:rPr>
          <w:sz w:val="20"/>
          <w:szCs w:val="20"/>
          <w:color w:val="auto"/>
        </w:rPr>
      </w:pPr>
    </w:p>
    <w:p>
      <w:pPr>
        <w:ind w:right="120" w:firstLine="696"/>
        <w:spacing w:after="0" w:line="255"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 interest of such stockholder in such business; and a representation that such stockholder intends to appear in person or by proxy at the annual meeting to bring such business before the meeting.</w:t>
      </w:r>
    </w:p>
    <w:p>
      <w:pPr>
        <w:spacing w:after="0" w:line="165"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8"/>
          <w:szCs w:val="18"/>
          <w:color w:val="auto"/>
        </w:rPr>
        <w:t>No business shall be conducted at the annual meeting of stockholders except business brought before the annual meeting in accordance with the procedures set forth in this Section (L); provided, however, that, once business has been properly 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III</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DIRECTORS</w:t>
      </w:r>
    </w:p>
    <w:p>
      <w:pPr>
        <w:spacing w:after="0" w:line="178"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General Powers.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business and affairs of the Corporation shall be managed by or under the direction of the Board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Directors. The Board of Directors may exercise all such authority and powers of the Corporation and do all such lawful acts and things as are not by statute or the Certificate of Incorporation directed or required to be exercised or done by the stockholders.</w:t>
      </w:r>
    </w:p>
    <w:p>
      <w:pPr>
        <w:spacing w:after="0" w:line="142" w:lineRule="exact"/>
        <w:rPr>
          <w:sz w:val="20"/>
          <w:szCs w:val="20"/>
          <w:color w:val="auto"/>
        </w:rPr>
      </w:pPr>
    </w:p>
    <w:p>
      <w:pPr>
        <w:ind w:right="120" w:firstLine="696"/>
        <w:spacing w:after="0" w:line="288"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Number and Election.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number of directors constituting the whole board as of the date of the approval of these Bylaws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be eleven (11) but may be increased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868045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4" w:name="page85"/>
    <w:bookmarkEnd w:id="84"/>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decreased from time to time by the Board of Directors; provided, however, that (a) the number of directors shall not be fewer than four</w:t>
      </w:r>
    </w:p>
    <w:p>
      <w:pPr>
        <w:spacing w:after="0" w:line="32" w:lineRule="exact"/>
        <w:rPr>
          <w:sz w:val="20"/>
          <w:szCs w:val="20"/>
          <w:color w:val="auto"/>
        </w:rPr>
      </w:pPr>
    </w:p>
    <w:p>
      <w:pPr>
        <w:ind w:right="80" w:firstLine="6"/>
        <w:spacing w:after="0" w:line="262" w:lineRule="auto"/>
        <w:tabs>
          <w:tab w:leader="none" w:pos="272"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greater than fifteen (15) and (b) no decrease in the number of directors shall shorten the term of any incumbent director. Except as otherwise provided by the Bylaws, the directors shall be elected at the annual meeting of stockholders.</w:t>
      </w:r>
    </w:p>
    <w:p>
      <w:pPr>
        <w:spacing w:after="0" w:line="147" w:lineRule="exact"/>
        <w:rPr>
          <w:sz w:val="20"/>
          <w:szCs w:val="20"/>
          <w:color w:val="auto"/>
        </w:rPr>
      </w:pPr>
    </w:p>
    <w:p>
      <w:pPr>
        <w:jc w:val="both"/>
        <w:ind w:right="20" w:firstLine="696"/>
        <w:spacing w:after="0" w:line="259" w:lineRule="auto"/>
        <w:rPr>
          <w:sz w:val="20"/>
          <w:szCs w:val="20"/>
          <w:color w:val="auto"/>
        </w:rPr>
      </w:pPr>
      <w:r>
        <w:rPr>
          <w:rFonts w:ascii="Times New Roman" w:cs="Times New Roman" w:eastAsia="Times New Roman" w:hAnsi="Times New Roman"/>
          <w:sz w:val="19"/>
          <w:szCs w:val="19"/>
          <w:color w:val="010000"/>
        </w:rPr>
        <w:t>(C)</w:t>
      </w:r>
      <w:r>
        <w:rPr>
          <w:rFonts w:ascii="Times New Roman" w:cs="Times New Roman" w:eastAsia="Times New Roman" w:hAnsi="Times New Roman"/>
          <w:sz w:val="19"/>
          <w:szCs w:val="19"/>
          <w:b w:val="1"/>
          <w:bCs w:val="1"/>
          <w:color w:val="000000"/>
        </w:rPr>
        <w:t>Resignations, Newly Created Directorships, Vacancies and Removals.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director of the Corporation may resign at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time by giving notice in writing or by electronic transmission of his resignation to the Corporation. Any such resignation shall take effect at the time specified therein or, if the time when it shall become effective shall not be specified therein, immediately upon its receipt.</w:t>
      </w:r>
    </w:p>
    <w:p>
      <w:pPr>
        <w:spacing w:after="0" w:line="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9"/>
          <w:szCs w:val="19"/>
          <w:color w:val="auto"/>
        </w:rPr>
        <w:t>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155"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color w:val="010000"/>
        </w:rPr>
        <w:t>(D)</w:t>
      </w:r>
      <w:r>
        <w:rPr>
          <w:rFonts w:ascii="Times New Roman" w:cs="Times New Roman" w:eastAsia="Times New Roman" w:hAnsi="Times New Roman"/>
          <w:sz w:val="19"/>
          <w:szCs w:val="19"/>
          <w:b w:val="1"/>
          <w:bCs w:val="1"/>
          <w:color w:val="000000"/>
        </w:rPr>
        <w:t>Place of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hold meetings, both regular and special, either within or without the State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Delaware.</w:t>
      </w:r>
    </w:p>
    <w:p>
      <w:pPr>
        <w:spacing w:after="0" w:line="124" w:lineRule="exact"/>
        <w:rPr>
          <w:sz w:val="20"/>
          <w:szCs w:val="20"/>
          <w:color w:val="auto"/>
        </w:rPr>
      </w:pPr>
    </w:p>
    <w:p>
      <w:pPr>
        <w:ind w:right="100" w:firstLine="696"/>
        <w:spacing w:after="0" w:line="260" w:lineRule="auto"/>
        <w:rPr>
          <w:sz w:val="20"/>
          <w:szCs w:val="20"/>
          <w:color w:val="auto"/>
        </w:rPr>
      </w:pPr>
      <w:r>
        <w:rPr>
          <w:rFonts w:ascii="Times New Roman" w:cs="Times New Roman" w:eastAsia="Times New Roman" w:hAnsi="Times New Roman"/>
          <w:sz w:val="19"/>
          <w:szCs w:val="19"/>
          <w:color w:val="010000"/>
        </w:rPr>
        <w:t>(E)</w:t>
      </w:r>
      <w:r>
        <w:rPr>
          <w:rFonts w:ascii="Times New Roman" w:cs="Times New Roman" w:eastAsia="Times New Roman" w:hAnsi="Times New Roman"/>
          <w:sz w:val="19"/>
          <w:szCs w:val="19"/>
          <w:b w:val="1"/>
          <w:bCs w:val="1"/>
          <w:color w:val="000000"/>
        </w:rPr>
        <w:t>Annual Meeting.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shall meet for the purpose of organization, the election of officers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transaction of other 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49"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color w:val="010000"/>
        </w:rPr>
        <w:t>(F)</w:t>
      </w:r>
      <w:r>
        <w:rPr>
          <w:rFonts w:ascii="Times New Roman" w:cs="Times New Roman" w:eastAsia="Times New Roman" w:hAnsi="Times New Roman"/>
          <w:sz w:val="19"/>
          <w:szCs w:val="19"/>
          <w:b w:val="1"/>
          <w:bCs w:val="1"/>
          <w:color w:val="000000"/>
        </w:rPr>
        <w:t>Regular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Regular meetings of the Board of Directors shall be held at such time and place as the Board of Directors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may fix. If any day fixed for a regular meeting shall be a legal holiday at the place where the meeting is to be held, then the meeting which would otherwise be held on that day shall be held at the same hour on the next succeeding business day.</w:t>
      </w:r>
    </w:p>
    <w:p>
      <w:pPr>
        <w:spacing w:after="0" w:line="142" w:lineRule="exact"/>
        <w:rPr>
          <w:sz w:val="20"/>
          <w:szCs w:val="20"/>
          <w:color w:val="auto"/>
        </w:rPr>
      </w:pPr>
    </w:p>
    <w:p>
      <w:pPr>
        <w:ind w:right="120" w:firstLine="696"/>
        <w:spacing w:after="0" w:line="288" w:lineRule="auto"/>
        <w:rPr>
          <w:sz w:val="20"/>
          <w:szCs w:val="20"/>
          <w:color w:val="auto"/>
        </w:rPr>
      </w:pPr>
      <w:r>
        <w:rPr>
          <w:rFonts w:ascii="Times New Roman" w:cs="Times New Roman" w:eastAsia="Times New Roman" w:hAnsi="Times New Roman"/>
          <w:sz w:val="19"/>
          <w:szCs w:val="19"/>
          <w:color w:val="010000"/>
        </w:rPr>
        <w:t>(G)</w:t>
      </w:r>
      <w:r>
        <w:rPr>
          <w:rFonts w:ascii="Times New Roman" w:cs="Times New Roman" w:eastAsia="Times New Roman" w:hAnsi="Times New Roman"/>
          <w:sz w:val="19"/>
          <w:szCs w:val="19"/>
          <w:b w:val="1"/>
          <w:bCs w:val="1"/>
          <w:color w:val="000000"/>
        </w:rPr>
        <w:t>Special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Special meetings of the Board of Directors may be called by the Chairman of the Board or by two (2)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more directors or by the Chief Executive Officer.</w:t>
      </w:r>
    </w:p>
    <w:p>
      <w:pPr>
        <w:spacing w:after="0" w:line="124"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color w:val="010000"/>
        </w:rPr>
        <w:t>(H)</w:t>
      </w:r>
      <w:r>
        <w:rPr>
          <w:rFonts w:ascii="Times New Roman" w:cs="Times New Roman" w:eastAsia="Times New Roman" w:hAnsi="Times New Roman"/>
          <w:sz w:val="19"/>
          <w:szCs w:val="19"/>
          <w:b w:val="1"/>
          <w:bCs w:val="1"/>
          <w:color w:val="000000"/>
        </w:rPr>
        <w:t>Notice of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Notice of regular meetings of the Board of Directors need not be given except as otherwise required by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law or these Bylaws. 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890905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5" w:name="page86"/>
    <w:bookmarkEnd w:id="85"/>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48"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9"/>
          <w:szCs w:val="19"/>
          <w:color w:val="010000"/>
        </w:rPr>
        <w:t xml:space="preserve">(I) </w:t>
      </w:r>
      <w:r>
        <w:rPr>
          <w:rFonts w:ascii="Times New Roman" w:cs="Times New Roman" w:eastAsia="Times New Roman" w:hAnsi="Times New Roman"/>
          <w:sz w:val="19"/>
          <w:szCs w:val="19"/>
          <w:b w:val="1"/>
          <w:bCs w:val="1"/>
          <w:color w:val="000000"/>
        </w:rPr>
        <w:t>Waiver of Notice and Presumption of Assent.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member of the Board of Directors or any committee thereof who 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57"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color w:val="010000"/>
        </w:rPr>
        <w:t>(J)</w:t>
      </w:r>
      <w:r>
        <w:rPr>
          <w:rFonts w:ascii="Times New Roman" w:cs="Times New Roman" w:eastAsia="Times New Roman" w:hAnsi="Times New Roman"/>
          <w:sz w:val="19"/>
          <w:szCs w:val="19"/>
          <w:b w:val="1"/>
          <w:bCs w:val="1"/>
          <w:color w:val="000000"/>
        </w:rPr>
        <w:t>Quorum; Manner of Action.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 majority of the entire Board of Directors shall constitute a quorum for the transaction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business at any 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55" w:lineRule="exact"/>
        <w:rPr>
          <w:sz w:val="20"/>
          <w:szCs w:val="20"/>
          <w:color w:val="auto"/>
        </w:rPr>
      </w:pPr>
    </w:p>
    <w:p>
      <w:pPr>
        <w:ind w:right="160" w:firstLine="696"/>
        <w:spacing w:after="0" w:line="260" w:lineRule="auto"/>
        <w:rPr>
          <w:sz w:val="20"/>
          <w:szCs w:val="20"/>
          <w:color w:val="auto"/>
        </w:rPr>
      </w:pPr>
      <w:r>
        <w:rPr>
          <w:rFonts w:ascii="Times New Roman" w:cs="Times New Roman" w:eastAsia="Times New Roman" w:hAnsi="Times New Roman"/>
          <w:sz w:val="19"/>
          <w:szCs w:val="19"/>
          <w:color w:val="010000"/>
        </w:rPr>
        <w:t>(K)</w:t>
      </w:r>
      <w:r>
        <w:rPr>
          <w:rFonts w:ascii="Times New Roman" w:cs="Times New Roman" w:eastAsia="Times New Roman" w:hAnsi="Times New Roman"/>
          <w:sz w:val="19"/>
          <w:szCs w:val="19"/>
          <w:b w:val="1"/>
          <w:bCs w:val="1"/>
          <w:color w:val="000000"/>
        </w:rPr>
        <w:t>Organization.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At each meeting of the Board of Directors, the Chairman of the Board of Directors, if one shall have been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elected, or, in the 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49" w:lineRule="exact"/>
        <w:rPr>
          <w:sz w:val="20"/>
          <w:szCs w:val="20"/>
          <w:color w:val="auto"/>
        </w:rPr>
      </w:pPr>
    </w:p>
    <w:p>
      <w:pPr>
        <w:ind w:right="240" w:firstLine="696"/>
        <w:spacing w:after="0" w:line="288" w:lineRule="auto"/>
        <w:rPr>
          <w:sz w:val="20"/>
          <w:szCs w:val="20"/>
          <w:color w:val="auto"/>
        </w:rPr>
      </w:pPr>
      <w:r>
        <w:rPr>
          <w:rFonts w:ascii="Times New Roman" w:cs="Times New Roman" w:eastAsia="Times New Roman" w:hAnsi="Times New Roman"/>
          <w:sz w:val="19"/>
          <w:szCs w:val="19"/>
          <w:color w:val="010000"/>
        </w:rPr>
        <w:t>(L)</w:t>
      </w:r>
      <w:r>
        <w:rPr>
          <w:rFonts w:ascii="Times New Roman" w:cs="Times New Roman" w:eastAsia="Times New Roman" w:hAnsi="Times New Roman"/>
          <w:sz w:val="19"/>
          <w:szCs w:val="19"/>
          <w:b w:val="1"/>
          <w:bCs w:val="1"/>
          <w:color w:val="000000"/>
        </w:rPr>
        <w:t>Compensation.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shall have authority to fix the compensation, including fees and reimbursement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expenses, of directors for services to the Corporation in any capacity.</w:t>
      </w:r>
    </w:p>
    <w:p>
      <w:pPr>
        <w:spacing w:after="0" w:line="124"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color w:val="010000"/>
        </w:rPr>
        <w:t>(M)</w:t>
      </w:r>
      <w:r>
        <w:rPr>
          <w:rFonts w:ascii="Times New Roman" w:cs="Times New Roman" w:eastAsia="Times New Roman" w:hAnsi="Times New Roman"/>
          <w:sz w:val="19"/>
          <w:szCs w:val="19"/>
          <w:b w:val="1"/>
          <w:bCs w:val="1"/>
          <w:color w:val="000000"/>
        </w:rPr>
        <w:t>Action by Consent.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Unless restricted by the Certificate of Incorporation, any action required or permitted to be taken by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Board of 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6" w:name="page87"/>
    <w:bookmarkEnd w:id="86"/>
    <w:p>
      <w:pPr>
        <w:spacing w:after="0" w:line="26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case may be. Such filing shall be in paper form if the minutes are maintained in paper form and shall be in electronic form if the minutes are maintained in electronic form.</w:t>
      </w:r>
    </w:p>
    <w:p>
      <w:pPr>
        <w:spacing w:after="0" w:line="125" w:lineRule="exact"/>
        <w:rPr>
          <w:sz w:val="20"/>
          <w:szCs w:val="20"/>
          <w:color w:val="auto"/>
        </w:rPr>
      </w:pPr>
    </w:p>
    <w:p>
      <w:pPr>
        <w:ind w:right="260" w:firstLine="696"/>
        <w:spacing w:after="0" w:line="263" w:lineRule="auto"/>
        <w:rPr>
          <w:sz w:val="20"/>
          <w:szCs w:val="20"/>
          <w:color w:val="auto"/>
        </w:rPr>
      </w:pPr>
      <w:r>
        <w:rPr>
          <w:rFonts w:ascii="Times New Roman" w:cs="Times New Roman" w:eastAsia="Times New Roman" w:hAnsi="Times New Roman"/>
          <w:sz w:val="19"/>
          <w:szCs w:val="19"/>
          <w:color w:val="010000"/>
        </w:rPr>
        <w:t>(N)</w:t>
      </w:r>
      <w:r>
        <w:rPr>
          <w:rFonts w:ascii="Times New Roman" w:cs="Times New Roman" w:eastAsia="Times New Roman" w:hAnsi="Times New Roman"/>
          <w:sz w:val="19"/>
          <w:szCs w:val="19"/>
          <w:b w:val="1"/>
          <w:bCs w:val="1"/>
          <w:color w:val="000000"/>
        </w:rPr>
        <w:t>Meetings by Telephone or Similar Communications.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Unless restricted by the Certificate of Incorporation, any one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more members of the 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COMMITTEES</w:t>
      </w:r>
    </w:p>
    <w:p>
      <w:pPr>
        <w:spacing w:after="0" w:line="178"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Committees.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by resolutions adopted by a majority of the whole Board, may appoint such committee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committees as 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147" w:lineRule="exact"/>
        <w:rPr>
          <w:sz w:val="20"/>
          <w:szCs w:val="20"/>
          <w:color w:val="auto"/>
        </w:rPr>
      </w:pPr>
    </w:p>
    <w:p>
      <w:pPr>
        <w:ind w:left="700" w:right="20" w:firstLine="744"/>
        <w:spacing w:after="0" w:line="255" w:lineRule="auto"/>
        <w:rPr>
          <w:sz w:val="20"/>
          <w:szCs w:val="20"/>
          <w:color w:val="auto"/>
        </w:rPr>
      </w:pPr>
      <w:r>
        <w:rPr>
          <w:rFonts w:ascii="Times New Roman" w:cs="Times New Roman" w:eastAsia="Times New Roman" w:hAnsi="Times New Roman"/>
          <w:sz w:val="19"/>
          <w:szCs w:val="19"/>
          <w:color w:val="010000"/>
        </w:rPr>
        <w:t>(1)</w:t>
      </w:r>
      <w:r>
        <w:rPr>
          <w:rFonts w:ascii="Times New Roman" w:cs="Times New Roman" w:eastAsia="Times New Roman" w:hAnsi="Times New Roman"/>
          <w:sz w:val="19"/>
          <w:szCs w:val="19"/>
          <w:b w:val="1"/>
          <w:bCs w:val="1"/>
          <w:color w:val="000000"/>
        </w:rPr>
        <w:t>Audit Committee</w:t>
      </w:r>
      <w:r>
        <w:rPr>
          <w:rFonts w:ascii="Times New Roman" w:cs="Times New Roman" w:eastAsia="Times New Roman" w:hAnsi="Times New Roman"/>
          <w:sz w:val="19"/>
          <w:szCs w:val="19"/>
          <w:color w:val="000000"/>
        </w:rPr>
        <w:t>. There shall be an Audit Committee composed of at least of three directors. The members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Audit Committee 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 -of-interest situations arising in respect of the Corporation’s affairs and involving the Corporation’s affiliates or employees, and to make a report, oral or written, to the full Board of Directors with recommendations for their resolutions.</w:t>
      </w:r>
    </w:p>
    <w:p>
      <w:pPr>
        <w:spacing w:after="0" w:line="155" w:lineRule="exact"/>
        <w:rPr>
          <w:sz w:val="20"/>
          <w:szCs w:val="20"/>
          <w:color w:val="auto"/>
        </w:rPr>
      </w:pPr>
    </w:p>
    <w:p>
      <w:pPr>
        <w:ind w:left="700" w:right="80" w:firstLine="744"/>
        <w:spacing w:after="0" w:line="231" w:lineRule="exact"/>
        <w:rPr>
          <w:sz w:val="20"/>
          <w:szCs w:val="20"/>
          <w:color w:val="auto"/>
        </w:rPr>
      </w:pPr>
      <w:r>
        <w:rPr>
          <w:rFonts w:ascii="Times New Roman" w:cs="Times New Roman" w:eastAsia="Times New Roman" w:hAnsi="Times New Roman"/>
          <w:sz w:val="19"/>
          <w:szCs w:val="19"/>
          <w:color w:val="010000"/>
        </w:rPr>
        <w:t>(2)</w:t>
      </w:r>
      <w:r>
        <w:rPr>
          <w:rFonts w:ascii="Times New Roman" w:cs="Times New Roman" w:eastAsia="Times New Roman" w:hAnsi="Times New Roman"/>
          <w:sz w:val="19"/>
          <w:szCs w:val="19"/>
          <w:b w:val="1"/>
          <w:bCs w:val="1"/>
          <w:color w:val="000000"/>
        </w:rPr>
        <w:t>IPO Committee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There shall be an IPO Committee composed of at least three directors. The IPO Committee shall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serve in an advisory capacity to 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 -1, with exhibits (the “Registration Statement”), including past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effective amendments, and any supplements to the prospectus or prospectuses contained therein as counsel for the Corporation may deem necessary or advisable or appropriate; (ii) the issuance and sale of shares of the Corporation’s common stock (the “Common Stock”), par value $ 0.01 per share, plus the grant of an option to purchase (and the issuance and sale upon exercise of such option) additional shares of Common Stock to cover over-allotments, if any, to a group of underwriters (the “Underwriters”); (iii) the negotiation and finalization of the terms and conditions of an Underwriting Agreement (the “Underwriting Agreement”) between the Corporation and the Underwriters relating to the public offering of shares of the Common Stock, including the determination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895985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7" w:name="page88"/>
    <w:bookmarkEnd w:id="87"/>
    <w:p>
      <w:pPr>
        <w:spacing w:after="0" w:line="269"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9"/>
          <w:szCs w:val="19"/>
          <w:color w:val="auto"/>
        </w:rPr>
        <w:t>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159" w:lineRule="exact"/>
        <w:rPr>
          <w:sz w:val="20"/>
          <w:szCs w:val="20"/>
          <w:color w:val="auto"/>
        </w:rPr>
      </w:pPr>
    </w:p>
    <w:p>
      <w:pPr>
        <w:ind w:left="700" w:firstLine="744"/>
        <w:spacing w:after="0" w:line="255" w:lineRule="auto"/>
        <w:rPr>
          <w:sz w:val="20"/>
          <w:szCs w:val="20"/>
          <w:color w:val="auto"/>
        </w:rPr>
      </w:pPr>
      <w:r>
        <w:rPr>
          <w:rFonts w:ascii="Times New Roman" w:cs="Times New Roman" w:eastAsia="Times New Roman" w:hAnsi="Times New Roman"/>
          <w:sz w:val="19"/>
          <w:szCs w:val="19"/>
          <w:color w:val="010000"/>
        </w:rPr>
        <w:t>(3)</w:t>
      </w:r>
      <w:r>
        <w:rPr>
          <w:rFonts w:ascii="Times New Roman" w:cs="Times New Roman" w:eastAsia="Times New Roman" w:hAnsi="Times New Roman"/>
          <w:sz w:val="19"/>
          <w:szCs w:val="19"/>
          <w:b w:val="1"/>
          <w:bCs w:val="1"/>
          <w:color w:val="000000"/>
        </w:rPr>
        <w:t>Other Committees</w:t>
      </w:r>
      <w:r>
        <w:rPr>
          <w:rFonts w:ascii="Times New Roman" w:cs="Times New Roman" w:eastAsia="Times New Roman" w:hAnsi="Times New Roman"/>
          <w:sz w:val="19"/>
          <w:szCs w:val="19"/>
          <w:color w:val="000000"/>
        </w:rPr>
        <w:t>. The Board of Directors, by resolution passed by a majority of the entire Board of Directors,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may designate one or more 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55"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Committee Rules.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Each committee of the Board of Directors may fix its own rules of procedure and shall hold its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as provided by such rules, 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890905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88" w:name="page89"/>
    <w:bookmarkEnd w:id="88"/>
    <w:p>
      <w:pPr>
        <w:spacing w:after="0" w:line="2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auto"/>
        </w:rPr>
        <w:t>ARTICLE V</w:t>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OFFICERS</w:t>
      </w:r>
    </w:p>
    <w:p>
      <w:pPr>
        <w:spacing w:after="0" w:line="178"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Number and Qualifications.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officers of the Corporation, who need not be employees of the Corporation, shall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elected by the Board of 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57"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Election and Term of Office.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officers of the Corporation shall be elected annually by the Board of Directors at its first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meeting held after each 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57"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color w:val="010000"/>
        </w:rPr>
        <w:t>(C)</w:t>
      </w:r>
      <w:r>
        <w:rPr>
          <w:rFonts w:ascii="Times New Roman" w:cs="Times New Roman" w:eastAsia="Times New Roman" w:hAnsi="Times New Roman"/>
          <w:sz w:val="19"/>
          <w:szCs w:val="19"/>
          <w:b w:val="1"/>
          <w:bCs w:val="1"/>
          <w:color w:val="000000"/>
        </w:rPr>
        <w:t>Resignations.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officer of the Corporation may resign at any time by giving written notice of his resignation to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Corporation. Any such 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47" w:lineRule="exact"/>
        <w:rPr>
          <w:sz w:val="20"/>
          <w:szCs w:val="20"/>
          <w:color w:val="auto"/>
        </w:rPr>
      </w:pPr>
    </w:p>
    <w:p>
      <w:pPr>
        <w:ind w:right="600" w:firstLine="696"/>
        <w:spacing w:after="0" w:line="288" w:lineRule="auto"/>
        <w:rPr>
          <w:sz w:val="20"/>
          <w:szCs w:val="20"/>
          <w:color w:val="auto"/>
        </w:rPr>
      </w:pPr>
      <w:r>
        <w:rPr>
          <w:rFonts w:ascii="Times New Roman" w:cs="Times New Roman" w:eastAsia="Times New Roman" w:hAnsi="Times New Roman"/>
          <w:sz w:val="19"/>
          <w:szCs w:val="19"/>
          <w:color w:val="010000"/>
        </w:rPr>
        <w:t>(D)</w:t>
      </w:r>
      <w:r>
        <w:rPr>
          <w:rFonts w:ascii="Times New Roman" w:cs="Times New Roman" w:eastAsia="Times New Roman" w:hAnsi="Times New Roman"/>
          <w:sz w:val="19"/>
          <w:szCs w:val="19"/>
          <w:b w:val="1"/>
          <w:bCs w:val="1"/>
          <w:color w:val="000000"/>
        </w:rPr>
        <w:t>Removal.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officer of the Corporation may be removed, either with or without cause, at any time, by the Board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Directors at any meeting thereof.</w:t>
      </w:r>
    </w:p>
    <w:p>
      <w:pPr>
        <w:spacing w:after="0" w:line="124" w:lineRule="exact"/>
        <w:rPr>
          <w:sz w:val="20"/>
          <w:szCs w:val="20"/>
          <w:color w:val="auto"/>
        </w:rPr>
      </w:pPr>
    </w:p>
    <w:p>
      <w:pPr>
        <w:ind w:right="160" w:firstLine="696"/>
        <w:spacing w:after="0" w:line="288" w:lineRule="auto"/>
        <w:rPr>
          <w:sz w:val="20"/>
          <w:szCs w:val="20"/>
          <w:color w:val="auto"/>
        </w:rPr>
      </w:pPr>
      <w:r>
        <w:rPr>
          <w:rFonts w:ascii="Times New Roman" w:cs="Times New Roman" w:eastAsia="Times New Roman" w:hAnsi="Times New Roman"/>
          <w:sz w:val="19"/>
          <w:szCs w:val="19"/>
          <w:color w:val="010000"/>
        </w:rPr>
        <w:t>(E)</w:t>
      </w:r>
      <w:r>
        <w:rPr>
          <w:rFonts w:ascii="Times New Roman" w:cs="Times New Roman" w:eastAsia="Times New Roman" w:hAnsi="Times New Roman"/>
          <w:sz w:val="19"/>
          <w:szCs w:val="19"/>
          <w:b w:val="1"/>
          <w:bCs w:val="1"/>
          <w:color w:val="000000"/>
        </w:rPr>
        <w:t>Vacancies.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vacancy occurring in any office because of death, resignation, removal, disqualification or otherwise, may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 filled by the Board of Directors for the unexpired portion of the term by the Board of Directors then in office.</w:t>
      </w:r>
    </w:p>
    <w:p>
      <w:pPr>
        <w:spacing w:after="0" w:line="124" w:lineRule="exact"/>
        <w:rPr>
          <w:sz w:val="20"/>
          <w:szCs w:val="20"/>
          <w:color w:val="auto"/>
        </w:rPr>
      </w:pPr>
    </w:p>
    <w:p>
      <w:pPr>
        <w:jc w:val="both"/>
        <w:ind w:right="80" w:firstLine="696"/>
        <w:spacing w:after="0" w:line="269" w:lineRule="auto"/>
        <w:rPr>
          <w:sz w:val="20"/>
          <w:szCs w:val="20"/>
          <w:color w:val="auto"/>
        </w:rPr>
      </w:pPr>
      <w:r>
        <w:rPr>
          <w:rFonts w:ascii="Times New Roman" w:cs="Times New Roman" w:eastAsia="Times New Roman" w:hAnsi="Times New Roman"/>
          <w:sz w:val="19"/>
          <w:szCs w:val="19"/>
          <w:color w:val="010000"/>
        </w:rPr>
        <w:t>(F)</w:t>
      </w:r>
      <w:r>
        <w:rPr>
          <w:rFonts w:ascii="Times New Roman" w:cs="Times New Roman" w:eastAsia="Times New Roman" w:hAnsi="Times New Roman"/>
          <w:sz w:val="19"/>
          <w:szCs w:val="19"/>
          <w:b w:val="1"/>
          <w:bCs w:val="1"/>
          <w:color w:val="000000"/>
        </w:rPr>
        <w:t>Chairman of the Board.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Chairman of the Board of Directors (if one is elected) shall, if present, preside at all meetings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 the Board of Directors and exercise and perform such other powers and duties as from time to time may be assigned to him or her by the Board of Directors or prescribed by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879475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9" w:name="page90"/>
    <w:bookmarkEnd w:id="89"/>
    <w:p>
      <w:pPr>
        <w:spacing w:after="0" w:line="267"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010000"/>
        </w:rPr>
        <w:t>(G)</w:t>
      </w:r>
      <w:r>
        <w:rPr>
          <w:rFonts w:ascii="Times New Roman" w:cs="Times New Roman" w:eastAsia="Times New Roman" w:hAnsi="Times New Roman"/>
          <w:sz w:val="19"/>
          <w:szCs w:val="19"/>
          <w:b w:val="1"/>
          <w:bCs w:val="1"/>
          <w:color w:val="000000"/>
        </w:rPr>
        <w:t>Chief Executive Officer.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Chief Executive Officer shall be the chief executive officer of the Corporation and shall have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powers and 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3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10000"/>
        </w:rPr>
        <w:t>(H)</w:t>
      </w:r>
      <w:r>
        <w:rPr>
          <w:rFonts w:ascii="Times New Roman" w:cs="Times New Roman" w:eastAsia="Times New Roman" w:hAnsi="Times New Roman"/>
          <w:sz w:val="19"/>
          <w:szCs w:val="19"/>
          <w:b w:val="1"/>
          <w:bCs w:val="1"/>
          <w:color w:val="000000"/>
        </w:rPr>
        <w:t>Chief Financial Officer; Treasurer</w:t>
      </w:r>
      <w:r>
        <w:rPr>
          <w:rFonts w:ascii="Times New Roman" w:cs="Times New Roman" w:eastAsia="Times New Roman" w:hAnsi="Times New Roman"/>
          <w:sz w:val="19"/>
          <w:szCs w:val="19"/>
          <w:color w:val="000000"/>
        </w:rPr>
        <w:t>. The Chief Financial Officer:</w:t>
      </w:r>
    </w:p>
    <w:p>
      <w:pPr>
        <w:spacing w:after="0" w:line="2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010000"/>
        </w:rPr>
        <w:t>(1)</w:t>
      </w:r>
      <w:r>
        <w:rPr>
          <w:rFonts w:ascii="Times New Roman" w:cs="Times New Roman" w:eastAsia="Times New Roman" w:hAnsi="Times New Roman"/>
          <w:sz w:val="19"/>
          <w:szCs w:val="19"/>
          <w:color w:val="000000"/>
        </w:rPr>
        <w:t>Shall have charge and custody of, and be responsible for, all the funds and securities of the Corporation;</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010000"/>
        </w:rPr>
        <w:t>(2)</w:t>
      </w:r>
      <w:r>
        <w:rPr>
          <w:rFonts w:ascii="Times New Roman" w:cs="Times New Roman" w:eastAsia="Times New Roman" w:hAnsi="Times New Roman"/>
          <w:sz w:val="19"/>
          <w:szCs w:val="19"/>
          <w:color w:val="000000"/>
        </w:rPr>
        <w:t>Shall keep full and accurate accounts of receipts and disbursements in books belonging to the Corporation;</w:t>
      </w:r>
    </w:p>
    <w:p>
      <w:pPr>
        <w:spacing w:after="0" w:line="202" w:lineRule="exact"/>
        <w:rPr>
          <w:sz w:val="20"/>
          <w:szCs w:val="20"/>
          <w:color w:val="auto"/>
        </w:rPr>
      </w:pPr>
    </w:p>
    <w:p>
      <w:pPr>
        <w:ind w:left="700" w:right="680" w:firstLine="744"/>
        <w:spacing w:after="0" w:line="286" w:lineRule="auto"/>
        <w:rPr>
          <w:sz w:val="20"/>
          <w:szCs w:val="20"/>
          <w:color w:val="auto"/>
        </w:rPr>
      </w:pPr>
      <w:r>
        <w:rPr>
          <w:rFonts w:ascii="Times New Roman" w:cs="Times New Roman" w:eastAsia="Times New Roman" w:hAnsi="Times New Roman"/>
          <w:sz w:val="19"/>
          <w:szCs w:val="19"/>
          <w:color w:val="010000"/>
        </w:rPr>
        <w:t>(3)</w:t>
      </w:r>
      <w:r>
        <w:rPr>
          <w:rFonts w:ascii="Times New Roman" w:cs="Times New Roman" w:eastAsia="Times New Roman" w:hAnsi="Times New Roman"/>
          <w:sz w:val="19"/>
          <w:szCs w:val="19"/>
          <w:color w:val="000000"/>
        </w:rPr>
        <w:t>Shall deposit all moneys and other valuables to the credit of the Corporation in such depositories as may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designated by the Board of Directors or pursuant to its direction;</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010000"/>
        </w:rPr>
        <w:t>(4)</w:t>
      </w:r>
      <w:r>
        <w:rPr>
          <w:rFonts w:ascii="Times New Roman" w:cs="Times New Roman" w:eastAsia="Times New Roman" w:hAnsi="Times New Roman"/>
          <w:sz w:val="19"/>
          <w:szCs w:val="19"/>
          <w:color w:val="000000"/>
        </w:rPr>
        <w:t>Shall receive, and give receipts for, moneys due and payable to the Corporation from any source whatsoever;</w:t>
      </w:r>
    </w:p>
    <w:p>
      <w:pPr>
        <w:spacing w:after="0" w:line="202" w:lineRule="exact"/>
        <w:rPr>
          <w:sz w:val="20"/>
          <w:szCs w:val="20"/>
          <w:color w:val="auto"/>
        </w:rPr>
      </w:pPr>
    </w:p>
    <w:p>
      <w:pPr>
        <w:ind w:left="700" w:right="500" w:firstLine="744"/>
        <w:spacing w:after="0" w:line="286" w:lineRule="auto"/>
        <w:rPr>
          <w:sz w:val="20"/>
          <w:szCs w:val="20"/>
          <w:color w:val="auto"/>
        </w:rPr>
      </w:pPr>
      <w:r>
        <w:rPr>
          <w:rFonts w:ascii="Times New Roman" w:cs="Times New Roman" w:eastAsia="Times New Roman" w:hAnsi="Times New Roman"/>
          <w:sz w:val="19"/>
          <w:szCs w:val="19"/>
          <w:color w:val="010000"/>
        </w:rPr>
        <w:t>(5)</w:t>
      </w:r>
      <w:r>
        <w:rPr>
          <w:rFonts w:ascii="Times New Roman" w:cs="Times New Roman" w:eastAsia="Times New Roman" w:hAnsi="Times New Roman"/>
          <w:sz w:val="19"/>
          <w:szCs w:val="19"/>
          <w:color w:val="000000"/>
        </w:rPr>
        <w:t>Shall disburse the funds of the Corporation and supervise the investments of its funds, taking proper vouchers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therefore;</w:t>
      </w:r>
    </w:p>
    <w:p>
      <w:pPr>
        <w:spacing w:after="0" w:line="127" w:lineRule="exact"/>
        <w:rPr>
          <w:sz w:val="20"/>
          <w:szCs w:val="20"/>
          <w:color w:val="auto"/>
        </w:rPr>
      </w:pPr>
    </w:p>
    <w:p>
      <w:pPr>
        <w:ind w:left="700" w:right="320" w:firstLine="744"/>
        <w:spacing w:after="0" w:line="286" w:lineRule="auto"/>
        <w:rPr>
          <w:sz w:val="20"/>
          <w:szCs w:val="20"/>
          <w:color w:val="auto"/>
        </w:rPr>
      </w:pPr>
      <w:r>
        <w:rPr>
          <w:rFonts w:ascii="Times New Roman" w:cs="Times New Roman" w:eastAsia="Times New Roman" w:hAnsi="Times New Roman"/>
          <w:sz w:val="19"/>
          <w:szCs w:val="19"/>
          <w:color w:val="010000"/>
        </w:rPr>
        <w:t xml:space="preserve">(6) </w:t>
      </w:r>
      <w:r>
        <w:rPr>
          <w:rFonts w:ascii="Times New Roman" w:cs="Times New Roman" w:eastAsia="Times New Roman" w:hAnsi="Times New Roman"/>
          <w:sz w:val="19"/>
          <w:szCs w:val="19"/>
          <w:color w:val="000000"/>
        </w:rPr>
        <w:t>Shall render to the Board of Directors, whenever the Board of Directors may require, an account of the financial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condition of the Corporation; and</w:t>
      </w:r>
    </w:p>
    <w:p>
      <w:pPr>
        <w:spacing w:after="0" w:line="127" w:lineRule="exact"/>
        <w:rPr>
          <w:sz w:val="20"/>
          <w:szCs w:val="20"/>
          <w:color w:val="auto"/>
        </w:rPr>
      </w:pPr>
    </w:p>
    <w:p>
      <w:pPr>
        <w:ind w:left="700" w:right="280" w:firstLine="744"/>
        <w:spacing w:after="0" w:line="286" w:lineRule="auto"/>
        <w:rPr>
          <w:sz w:val="20"/>
          <w:szCs w:val="20"/>
          <w:color w:val="auto"/>
        </w:rPr>
      </w:pPr>
      <w:r>
        <w:rPr>
          <w:rFonts w:ascii="Times New Roman" w:cs="Times New Roman" w:eastAsia="Times New Roman" w:hAnsi="Times New Roman"/>
          <w:sz w:val="19"/>
          <w:szCs w:val="19"/>
          <w:color w:val="010000"/>
        </w:rPr>
        <w:t xml:space="preserve">(7) </w:t>
      </w:r>
      <w:r>
        <w:rPr>
          <w:rFonts w:ascii="Times New Roman" w:cs="Times New Roman" w:eastAsia="Times New Roman" w:hAnsi="Times New Roman"/>
          <w:sz w:val="19"/>
          <w:szCs w:val="19"/>
          <w:color w:val="000000"/>
        </w:rPr>
        <w:t>Shall in general, perform all duties incident to the office of Chief Financial Officer and such other duties as from</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time to time may be assigned to him or her by the Board of Directors or the Chief Executive Officer.</w:t>
      </w:r>
    </w:p>
    <w:p>
      <w:pPr>
        <w:spacing w:after="0" w:line="128" w:lineRule="exact"/>
        <w:rPr>
          <w:sz w:val="20"/>
          <w:szCs w:val="20"/>
          <w:color w:val="auto"/>
        </w:rPr>
      </w:pPr>
    </w:p>
    <w:p>
      <w:pPr>
        <w:jc w:val="both"/>
        <w:ind w:right="40" w:firstLine="696"/>
        <w:spacing w:after="0" w:line="266" w:lineRule="auto"/>
        <w:rPr>
          <w:sz w:val="20"/>
          <w:szCs w:val="20"/>
          <w:color w:val="auto"/>
        </w:rPr>
      </w:pPr>
      <w:r>
        <w:rPr>
          <w:rFonts w:ascii="Times New Roman" w:cs="Times New Roman" w:eastAsia="Times New Roman" w:hAnsi="Times New Roman"/>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884555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0" w:name="page91"/>
    <w:bookmarkEnd w:id="90"/>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10000"/>
        </w:rPr>
        <w:t>(I)</w:t>
      </w:r>
      <w:r>
        <w:rPr>
          <w:rFonts w:ascii="Times New Roman" w:cs="Times New Roman" w:eastAsia="Times New Roman" w:hAnsi="Times New Roman"/>
          <w:sz w:val="19"/>
          <w:szCs w:val="19"/>
          <w:b w:val="1"/>
          <w:bCs w:val="1"/>
          <w:color w:val="000000"/>
        </w:rPr>
        <w:t>Secretary.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Secretary:</w:t>
      </w:r>
    </w:p>
    <w:p>
      <w:pPr>
        <w:spacing w:after="0" w:line="204" w:lineRule="exact"/>
        <w:rPr>
          <w:sz w:val="20"/>
          <w:szCs w:val="20"/>
          <w:color w:val="auto"/>
        </w:rPr>
      </w:pPr>
    </w:p>
    <w:p>
      <w:pPr>
        <w:ind w:left="700" w:right="300" w:firstLine="744"/>
        <w:spacing w:after="0" w:line="286" w:lineRule="auto"/>
        <w:rPr>
          <w:sz w:val="20"/>
          <w:szCs w:val="20"/>
          <w:color w:val="auto"/>
        </w:rPr>
      </w:pPr>
      <w:r>
        <w:rPr>
          <w:rFonts w:ascii="Times New Roman" w:cs="Times New Roman" w:eastAsia="Times New Roman" w:hAnsi="Times New Roman"/>
          <w:sz w:val="19"/>
          <w:szCs w:val="19"/>
          <w:color w:val="010000"/>
        </w:rPr>
        <w:t>(1)</w:t>
      </w:r>
      <w:r>
        <w:rPr>
          <w:rFonts w:ascii="Times New Roman" w:cs="Times New Roman" w:eastAsia="Times New Roman" w:hAnsi="Times New Roman"/>
          <w:sz w:val="19"/>
          <w:szCs w:val="19"/>
          <w:color w:val="000000"/>
        </w:rPr>
        <w:t>Shall keep or cause to be kept in one or more books provided for the purpose, the minutes of all meetings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Board of Directors, the committees of the Board of Directors and the stockholders;</w:t>
      </w:r>
    </w:p>
    <w:p>
      <w:pPr>
        <w:spacing w:after="0" w:line="1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010000"/>
        </w:rPr>
        <w:t>(2)</w:t>
      </w:r>
      <w:r>
        <w:rPr>
          <w:rFonts w:ascii="Times New Roman" w:cs="Times New Roman" w:eastAsia="Times New Roman" w:hAnsi="Times New Roman"/>
          <w:sz w:val="19"/>
          <w:szCs w:val="19"/>
          <w:color w:val="000000"/>
        </w:rPr>
        <w:t>Shall verify all notices are duly given in accordance with the provisions of these Bylaws and as required by law;</w:t>
      </w:r>
    </w:p>
    <w:p>
      <w:pPr>
        <w:spacing w:after="0" w:line="202" w:lineRule="exact"/>
        <w:rPr>
          <w:sz w:val="20"/>
          <w:szCs w:val="20"/>
          <w:color w:val="auto"/>
        </w:rPr>
      </w:pPr>
    </w:p>
    <w:p>
      <w:pPr>
        <w:jc w:val="both"/>
        <w:ind w:left="700" w:right="220" w:firstLine="744"/>
        <w:spacing w:after="0" w:line="268" w:lineRule="auto"/>
        <w:rPr>
          <w:sz w:val="20"/>
          <w:szCs w:val="20"/>
          <w:color w:val="auto"/>
        </w:rPr>
      </w:pPr>
      <w:r>
        <w:rPr>
          <w:rFonts w:ascii="Times New Roman" w:cs="Times New Roman" w:eastAsia="Times New Roman" w:hAnsi="Times New Roman"/>
          <w:sz w:val="19"/>
          <w:szCs w:val="19"/>
          <w:color w:val="010000"/>
        </w:rPr>
        <w:t xml:space="preserve">(3) </w:t>
      </w:r>
      <w:r>
        <w:rPr>
          <w:rFonts w:ascii="Times New Roman" w:cs="Times New Roman" w:eastAsia="Times New Roman" w:hAnsi="Times New Roman"/>
          <w:sz w:val="19"/>
          <w:szCs w:val="19"/>
          <w:color w:val="000000"/>
        </w:rPr>
        <w:t>Shall be custodian of the records and the seal of the Corporation and affix and attest the seal to all certificates for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shares of the Corporation (unless the seal of the Corporation on such certificates shall be a facsimile, as hereinafter provided) and affix and attest the seal to all other documents to be executed on behalf of the Corporation under its seal;</w:t>
      </w:r>
    </w:p>
    <w:p>
      <w:pPr>
        <w:spacing w:after="0" w:line="144" w:lineRule="exact"/>
        <w:rPr>
          <w:sz w:val="20"/>
          <w:szCs w:val="20"/>
          <w:color w:val="auto"/>
        </w:rPr>
      </w:pPr>
    </w:p>
    <w:p>
      <w:pPr>
        <w:ind w:left="700" w:right="120" w:firstLine="744"/>
        <w:spacing w:after="0" w:line="286" w:lineRule="auto"/>
        <w:rPr>
          <w:sz w:val="20"/>
          <w:szCs w:val="20"/>
          <w:color w:val="auto"/>
        </w:rPr>
      </w:pPr>
      <w:r>
        <w:rPr>
          <w:rFonts w:ascii="Times New Roman" w:cs="Times New Roman" w:eastAsia="Times New Roman" w:hAnsi="Times New Roman"/>
          <w:sz w:val="19"/>
          <w:szCs w:val="19"/>
          <w:color w:val="010000"/>
        </w:rPr>
        <w:t>(4)</w:t>
      </w:r>
      <w:r>
        <w:rPr>
          <w:rFonts w:ascii="Times New Roman" w:cs="Times New Roman" w:eastAsia="Times New Roman" w:hAnsi="Times New Roman"/>
          <w:sz w:val="19"/>
          <w:szCs w:val="19"/>
          <w:color w:val="000000"/>
        </w:rPr>
        <w:t>Shall verify that the books, reports, statements, certificates and other documents and records required by law to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kept and filed are properly kept and filed; and</w:t>
      </w:r>
    </w:p>
    <w:p>
      <w:pPr>
        <w:spacing w:after="0" w:line="127" w:lineRule="exact"/>
        <w:rPr>
          <w:sz w:val="20"/>
          <w:szCs w:val="20"/>
          <w:color w:val="auto"/>
        </w:rPr>
      </w:pPr>
    </w:p>
    <w:p>
      <w:pPr>
        <w:ind w:left="700" w:right="280" w:firstLine="744"/>
        <w:spacing w:after="0" w:line="286" w:lineRule="auto"/>
        <w:rPr>
          <w:sz w:val="20"/>
          <w:szCs w:val="20"/>
          <w:color w:val="auto"/>
        </w:rPr>
      </w:pPr>
      <w:r>
        <w:rPr>
          <w:rFonts w:ascii="Times New Roman" w:cs="Times New Roman" w:eastAsia="Times New Roman" w:hAnsi="Times New Roman"/>
          <w:sz w:val="19"/>
          <w:szCs w:val="19"/>
          <w:color w:val="010000"/>
        </w:rPr>
        <w:t>(5)</w:t>
      </w:r>
      <w:r>
        <w:rPr>
          <w:rFonts w:ascii="Times New Roman" w:cs="Times New Roman" w:eastAsia="Times New Roman" w:hAnsi="Times New Roman"/>
          <w:sz w:val="19"/>
          <w:szCs w:val="19"/>
          <w:color w:val="000000"/>
        </w:rPr>
        <w:t>Shall, in general, perform all duties incident to the office of Secretary and such other duties as from time to time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may be assigned to him or her by the Board of Directors or the Chief Executive Officer.</w:t>
      </w:r>
    </w:p>
    <w:p>
      <w:pPr>
        <w:spacing w:after="0" w:line="125" w:lineRule="exact"/>
        <w:rPr>
          <w:sz w:val="20"/>
          <w:szCs w:val="20"/>
          <w:color w:val="auto"/>
        </w:rPr>
      </w:pPr>
    </w:p>
    <w:p>
      <w:pPr>
        <w:ind w:right="260" w:firstLine="696"/>
        <w:spacing w:after="0" w:line="258" w:lineRule="auto"/>
        <w:rPr>
          <w:sz w:val="20"/>
          <w:szCs w:val="20"/>
          <w:color w:val="auto"/>
        </w:rPr>
      </w:pPr>
      <w:r>
        <w:rPr>
          <w:rFonts w:ascii="Times New Roman" w:cs="Times New Roman" w:eastAsia="Times New Roman" w:hAnsi="Times New Roman"/>
          <w:sz w:val="19"/>
          <w:szCs w:val="19"/>
          <w:color w:val="010000"/>
        </w:rPr>
        <w:t>(J)</w:t>
      </w:r>
      <w:r>
        <w:rPr>
          <w:rFonts w:ascii="Times New Roman" w:cs="Times New Roman" w:eastAsia="Times New Roman" w:hAnsi="Times New Roman"/>
          <w:sz w:val="19"/>
          <w:szCs w:val="19"/>
          <w:b w:val="1"/>
          <w:bCs w:val="1"/>
          <w:color w:val="000000"/>
        </w:rPr>
        <w:t>Chief Compliance Officer.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Chief Compliance Officer, subject to the direction of and reporting to the Board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Directors, shall be 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51" w:lineRule="exact"/>
        <w:rPr>
          <w:sz w:val="20"/>
          <w:szCs w:val="20"/>
          <w:color w:val="auto"/>
        </w:rPr>
      </w:pPr>
    </w:p>
    <w:p>
      <w:pPr>
        <w:jc w:val="both"/>
        <w:ind w:firstLine="696"/>
        <w:spacing w:after="0" w:line="269" w:lineRule="auto"/>
        <w:rPr>
          <w:sz w:val="20"/>
          <w:szCs w:val="20"/>
          <w:color w:val="auto"/>
        </w:rPr>
      </w:pPr>
      <w:r>
        <w:rPr>
          <w:rFonts w:ascii="Times New Roman" w:cs="Times New Roman" w:eastAsia="Times New Roman" w:hAnsi="Times New Roman"/>
          <w:sz w:val="19"/>
          <w:szCs w:val="19"/>
          <w:color w:val="010000"/>
        </w:rPr>
        <w:t>(K)</w:t>
      </w:r>
      <w:r>
        <w:rPr>
          <w:rFonts w:ascii="Times New Roman" w:cs="Times New Roman" w:eastAsia="Times New Roman" w:hAnsi="Times New Roman"/>
          <w:sz w:val="19"/>
          <w:szCs w:val="19"/>
          <w:b w:val="1"/>
          <w:bCs w:val="1"/>
          <w:color w:val="000000"/>
        </w:rPr>
        <w:t>Other Officers, Assistant Officers and Agents.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Officers, assistant officers and agents, if any, other than those whose duties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are provided for in these Bylaws, shall have such authority and perform such duties as may from time to time be prescribed by resolution of the Board of Directors.</w:t>
      </w:r>
    </w:p>
    <w:p>
      <w:pPr>
        <w:spacing w:after="0" w:line="142" w:lineRule="exact"/>
        <w:rPr>
          <w:sz w:val="20"/>
          <w:szCs w:val="20"/>
          <w:color w:val="auto"/>
        </w:rPr>
      </w:pPr>
    </w:p>
    <w:p>
      <w:pPr>
        <w:ind w:right="160" w:firstLine="696"/>
        <w:spacing w:after="0" w:line="288" w:lineRule="auto"/>
        <w:rPr>
          <w:sz w:val="20"/>
          <w:szCs w:val="20"/>
          <w:color w:val="auto"/>
        </w:rPr>
      </w:pPr>
      <w:r>
        <w:rPr>
          <w:rFonts w:ascii="Times New Roman" w:cs="Times New Roman" w:eastAsia="Times New Roman" w:hAnsi="Times New Roman"/>
          <w:sz w:val="19"/>
          <w:szCs w:val="19"/>
          <w:color w:val="010000"/>
        </w:rPr>
        <w:t>(L)</w:t>
      </w:r>
      <w:r>
        <w:rPr>
          <w:rFonts w:ascii="Times New Roman" w:cs="Times New Roman" w:eastAsia="Times New Roman" w:hAnsi="Times New Roman"/>
          <w:sz w:val="19"/>
          <w:szCs w:val="19"/>
          <w:b w:val="1"/>
          <w:bCs w:val="1"/>
          <w:color w:val="000000"/>
        </w:rPr>
        <w:t>Officers’ Bonds or Other Security.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If required by the Board of Directors, any officer of the Corporation shall give a bond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other security for the faithful performance of his duties, in such amount and with such surety as the Board of Directors may require.</w:t>
      </w:r>
    </w:p>
    <w:p>
      <w:pPr>
        <w:spacing w:after="0" w:line="124" w:lineRule="exact"/>
        <w:rPr>
          <w:sz w:val="20"/>
          <w:szCs w:val="20"/>
          <w:color w:val="auto"/>
        </w:rPr>
      </w:pPr>
    </w:p>
    <w:p>
      <w:pPr>
        <w:ind w:right="440" w:firstLine="696"/>
        <w:spacing w:after="0" w:line="263" w:lineRule="auto"/>
        <w:rPr>
          <w:sz w:val="20"/>
          <w:szCs w:val="20"/>
          <w:color w:val="auto"/>
        </w:rPr>
      </w:pPr>
      <w:r>
        <w:rPr>
          <w:rFonts w:ascii="Times New Roman" w:cs="Times New Roman" w:eastAsia="Times New Roman" w:hAnsi="Times New Roman"/>
          <w:sz w:val="19"/>
          <w:szCs w:val="19"/>
          <w:color w:val="010000"/>
        </w:rPr>
        <w:t>(M)</w:t>
      </w:r>
      <w:r>
        <w:rPr>
          <w:rFonts w:ascii="Times New Roman" w:cs="Times New Roman" w:eastAsia="Times New Roman" w:hAnsi="Times New Roman"/>
          <w:sz w:val="19"/>
          <w:szCs w:val="19"/>
          <w:b w:val="1"/>
          <w:bCs w:val="1"/>
          <w:color w:val="000000"/>
        </w:rPr>
        <w:t>Absence or Disability of Officers.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the case of the absence or disability of any officer of the Corporation and of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882650</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1" w:name="page92"/>
    <w:bookmarkEnd w:id="91"/>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INDEMNIFICATION EXCULPATION</w:t>
      </w:r>
    </w:p>
    <w:p>
      <w:pPr>
        <w:spacing w:after="0" w:line="178"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General.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Indemnification and the right to advancement of expenses of the officers and directors of the Corporation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Corporation’s investment adviser (Sixth Street Specialty Lending Advisers, LLC, and hereinafter, the “Adviser”)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153" w:lineRule="exact"/>
        <w:rPr>
          <w:sz w:val="20"/>
          <w:szCs w:val="20"/>
          <w:color w:val="auto"/>
        </w:rPr>
      </w:pPr>
    </w:p>
    <w:p>
      <w:pPr>
        <w:ind w:left="1420" w:firstLine="804"/>
        <w:spacing w:after="0" w:line="259" w:lineRule="auto"/>
        <w:rPr>
          <w:sz w:val="20"/>
          <w:szCs w:val="20"/>
          <w:color w:val="auto"/>
        </w:rPr>
      </w:pPr>
      <w:r>
        <w:rPr>
          <w:rFonts w:ascii="Times New Roman" w:cs="Times New Roman" w:eastAsia="Times New Roman" w:hAnsi="Times New Roman"/>
          <w:sz w:val="19"/>
          <w:szCs w:val="19"/>
          <w:color w:val="010000"/>
        </w:rPr>
        <w:t>(i)</w:t>
      </w:r>
      <w:r>
        <w:rPr>
          <w:rFonts w:ascii="Times New Roman" w:cs="Times New Roman" w:eastAsia="Times New Roman" w:hAnsi="Times New Roman"/>
          <w:sz w:val="19"/>
          <w:szCs w:val="19"/>
          <w:color w:val="000000"/>
        </w:rPr>
        <w:t>is or was an officer, director, or other corporate agent of the Adviser or its affiliates, including without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limitation the Administrator (as defined in the Administration Agreement between the Corporation and the Adviser, as amended from time to time), or is or was a member of the Adviser’s Investment Review Committee (as defined in the Investment Advisory and Management Agreement Between the Corporation and the Adviser, as amended from time to time);</w:t>
      </w:r>
    </w:p>
    <w:p>
      <w:pPr>
        <w:spacing w:after="0" w:line="154" w:lineRule="exact"/>
        <w:rPr>
          <w:sz w:val="20"/>
          <w:szCs w:val="20"/>
          <w:color w:val="auto"/>
        </w:rPr>
      </w:pPr>
    </w:p>
    <w:p>
      <w:pPr>
        <w:ind w:left="1420" w:right="40" w:firstLine="804"/>
        <w:spacing w:after="0" w:line="262" w:lineRule="auto"/>
        <w:rPr>
          <w:sz w:val="20"/>
          <w:szCs w:val="20"/>
          <w:color w:val="auto"/>
        </w:rPr>
      </w:pPr>
      <w:r>
        <w:rPr>
          <w:rFonts w:ascii="Times New Roman" w:cs="Times New Roman" w:eastAsia="Times New Roman" w:hAnsi="Times New Roman"/>
          <w:sz w:val="19"/>
          <w:szCs w:val="19"/>
          <w:color w:val="010000"/>
        </w:rPr>
        <w:t>(ii)</w:t>
      </w:r>
      <w:r>
        <w:rPr>
          <w:rFonts w:ascii="Times New Roman" w:cs="Times New Roman" w:eastAsia="Times New Roman" w:hAnsi="Times New Roman"/>
          <w:sz w:val="19"/>
          <w:szCs w:val="19"/>
          <w:color w:val="000000"/>
        </w:rPr>
        <w:t>is or was a director or officer of the Corporation, or is or was serving on behalf of the Corporation as a</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150" w:lineRule="exact"/>
        <w:rPr>
          <w:sz w:val="20"/>
          <w:szCs w:val="20"/>
          <w:color w:val="auto"/>
        </w:rPr>
      </w:pPr>
    </w:p>
    <w:p>
      <w:pPr>
        <w:ind w:left="1420" w:right="160" w:firstLine="804"/>
        <w:spacing w:after="0" w:line="268" w:lineRule="auto"/>
        <w:rPr>
          <w:sz w:val="20"/>
          <w:szCs w:val="20"/>
          <w:color w:val="auto"/>
        </w:rPr>
      </w:pPr>
      <w:r>
        <w:rPr>
          <w:rFonts w:ascii="Times New Roman" w:cs="Times New Roman" w:eastAsia="Times New Roman" w:hAnsi="Times New Roman"/>
          <w:sz w:val="19"/>
          <w:szCs w:val="19"/>
          <w:color w:val="010000"/>
        </w:rPr>
        <w:t>(iii)</w:t>
      </w:r>
      <w:r>
        <w:rPr>
          <w:rFonts w:ascii="Times New Roman" w:cs="Times New Roman" w:eastAsia="Times New Roman" w:hAnsi="Times New Roman"/>
          <w:sz w:val="19"/>
          <w:szCs w:val="19"/>
          <w:color w:val="000000"/>
        </w:rPr>
        <w:t>is or was serving as an employee or agent of the Corporation to whom the Corporation has granted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indemnification rights (each such person, an “Indemnitee”), on the same general terms set forth in Article VIII of the Certificate of Incorporation, the terms of which are incorporated herein </w:t>
      </w:r>
      <w:r>
        <w:rPr>
          <w:rFonts w:ascii="Times New Roman" w:cs="Times New Roman" w:eastAsia="Times New Roman" w:hAnsi="Times New Roman"/>
          <w:sz w:val="19"/>
          <w:szCs w:val="19"/>
          <w:i w:val="1"/>
          <w:iCs w:val="1"/>
          <w:color w:val="000000"/>
        </w:rPr>
        <w:t>mutatis mutandi</w:t>
      </w:r>
      <w:r>
        <w:rPr>
          <w:rFonts w:ascii="Times New Roman" w:cs="Times New Roman" w:eastAsia="Times New Roman" w:hAnsi="Times New Roman"/>
          <w:sz w:val="19"/>
          <w:szCs w:val="19"/>
          <w:color w:val="000000"/>
        </w:rPr>
        <w:t>.</w:t>
      </w:r>
    </w:p>
    <w:p>
      <w:pPr>
        <w:spacing w:after="0" w:line="145" w:lineRule="exact"/>
        <w:rPr>
          <w:sz w:val="20"/>
          <w:szCs w:val="20"/>
          <w:color w:val="auto"/>
        </w:rPr>
      </w:pPr>
    </w:p>
    <w:p>
      <w:pPr>
        <w:ind w:right="80" w:firstLine="696"/>
        <w:spacing w:after="0" w:line="266" w:lineRule="auto"/>
        <w:rPr>
          <w:sz w:val="20"/>
          <w:szCs w:val="20"/>
          <w:color w:val="auto"/>
        </w:rPr>
      </w:pPr>
      <w:r>
        <w:rPr>
          <w:rFonts w:ascii="Times New Roman" w:cs="Times New Roman" w:eastAsia="Times New Roman" w:hAnsi="Times New Roman"/>
          <w:sz w:val="18"/>
          <w:szCs w:val="18"/>
          <w:color w:val="auto"/>
        </w:rPr>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49" w:lineRule="exact"/>
        <w:rPr>
          <w:sz w:val="20"/>
          <w:szCs w:val="20"/>
          <w:color w:val="auto"/>
        </w:rPr>
      </w:pPr>
    </w:p>
    <w:p>
      <w:pPr>
        <w:ind w:right="140" w:firstLine="696"/>
        <w:spacing w:after="0" w:line="288"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Severability.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determination by any court of competent jurisdiction of the invalidity of any provision of this Article VI</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will not affect the validity of any other provision of this Article VI, which will remain in full force and effect.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STOCK CERTIFICATES AND THEIR TRANSFER</w:t>
      </w:r>
    </w:p>
    <w:p>
      <w:pPr>
        <w:spacing w:after="0" w:line="178"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Stock Certificates.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issue stock certificates, or may provide by resolution or resolutions that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some or all of any or all classes or series of stock of the Corporation shall be uncertificated shares of stock. Notwithstanding the adoption of such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879475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2" w:name="page93"/>
    <w:bookmarkEnd w:id="92"/>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55" w:lineRule="exact"/>
        <w:rPr>
          <w:sz w:val="20"/>
          <w:szCs w:val="20"/>
          <w:color w:val="auto"/>
        </w:rPr>
      </w:pPr>
    </w:p>
    <w:p>
      <w:pPr>
        <w:ind w:right="80" w:firstLine="696"/>
        <w:spacing w:after="0" w:line="263"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Facsimile Signatures.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or all of the signatures on a certificate may be a facsimile, engraved or printed. In case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47"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color w:val="010000"/>
        </w:rPr>
        <w:t>(C)</w:t>
      </w:r>
      <w:r>
        <w:rPr>
          <w:rFonts w:ascii="Times New Roman" w:cs="Times New Roman" w:eastAsia="Times New Roman" w:hAnsi="Times New Roman"/>
          <w:sz w:val="19"/>
          <w:szCs w:val="19"/>
          <w:b w:val="1"/>
          <w:bCs w:val="1"/>
          <w:color w:val="000000"/>
        </w:rPr>
        <w:t>Lost Certificates.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direct a new certificate or certificates to be issued in place of any certificate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certificates 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151" w:lineRule="exact"/>
        <w:rPr>
          <w:sz w:val="20"/>
          <w:szCs w:val="20"/>
          <w:color w:val="auto"/>
        </w:rPr>
      </w:pPr>
    </w:p>
    <w:p>
      <w:pPr>
        <w:ind w:right="100" w:firstLine="696"/>
        <w:spacing w:after="0" w:line="258" w:lineRule="auto"/>
        <w:rPr>
          <w:sz w:val="20"/>
          <w:szCs w:val="20"/>
          <w:color w:val="auto"/>
        </w:rPr>
      </w:pPr>
      <w:r>
        <w:rPr>
          <w:rFonts w:ascii="Times New Roman" w:cs="Times New Roman" w:eastAsia="Times New Roman" w:hAnsi="Times New Roman"/>
          <w:sz w:val="19"/>
          <w:szCs w:val="19"/>
          <w:color w:val="010000"/>
        </w:rPr>
        <w:t>(D)</w:t>
      </w:r>
      <w:r>
        <w:rPr>
          <w:rFonts w:ascii="Times New Roman" w:cs="Times New Roman" w:eastAsia="Times New Roman" w:hAnsi="Times New Roman"/>
          <w:sz w:val="19"/>
          <w:szCs w:val="19"/>
          <w:b w:val="1"/>
          <w:bCs w:val="1"/>
          <w:color w:val="000000"/>
        </w:rPr>
        <w:t>Transfers of Stock.</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Upon surrender to the Corporation or the transfer agent of the Corporation of a certificate for shares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duly endorsed or 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51"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color w:val="010000"/>
        </w:rPr>
        <w:t>(E)</w:t>
      </w:r>
      <w:r>
        <w:rPr>
          <w:rFonts w:ascii="Times New Roman" w:cs="Times New Roman" w:eastAsia="Times New Roman" w:hAnsi="Times New Roman"/>
          <w:sz w:val="19"/>
          <w:szCs w:val="19"/>
          <w:b w:val="1"/>
          <w:bCs w:val="1"/>
          <w:color w:val="000000"/>
        </w:rPr>
        <w:t>Transfer Agents and Registrars.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appoint, or authorize any officer or officers to appoint, one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more transfer agents and one or more registrars.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868045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3" w:name="page94"/>
    <w:bookmarkEnd w:id="93"/>
    <w:p>
      <w:pPr>
        <w:spacing w:after="0" w:line="267"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color w:val="010000"/>
        </w:rPr>
        <w:t>(F)</w:t>
      </w:r>
      <w:r>
        <w:rPr>
          <w:rFonts w:ascii="Times New Roman" w:cs="Times New Roman" w:eastAsia="Times New Roman" w:hAnsi="Times New Roman"/>
          <w:sz w:val="19"/>
          <w:szCs w:val="19"/>
          <w:b w:val="1"/>
          <w:bCs w:val="1"/>
          <w:color w:val="000000"/>
        </w:rPr>
        <w:t>Regulations.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make such additional rules and regulations, not inconsistent with these Bylaws, as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it may deem expedient concerning the issue, transfer and registration of certificates for shares of stock of the Corporation.</w:t>
      </w:r>
    </w:p>
    <w:p>
      <w:pPr>
        <w:spacing w:after="0" w:line="12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010000"/>
        </w:rPr>
        <w:t>(G)</w:t>
      </w:r>
      <w:r>
        <w:rPr>
          <w:rFonts w:ascii="Times New Roman" w:cs="Times New Roman" w:eastAsia="Times New Roman" w:hAnsi="Times New Roman"/>
          <w:sz w:val="19"/>
          <w:szCs w:val="19"/>
          <w:b w:val="1"/>
          <w:bCs w:val="1"/>
          <w:color w:val="000000"/>
        </w:rPr>
        <w:t>Fixing the Record Date.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order that the Corporation may determine the stockholders entitled to notice of or to vote at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0"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color w:val="010000"/>
        </w:rPr>
        <w:t>(H)</w:t>
      </w:r>
      <w:r>
        <w:rPr>
          <w:rFonts w:ascii="Times New Roman" w:cs="Times New Roman" w:eastAsia="Times New Roman" w:hAnsi="Times New Roman"/>
          <w:sz w:val="19"/>
          <w:szCs w:val="19"/>
          <w:b w:val="1"/>
          <w:bCs w:val="1"/>
          <w:color w:val="000000"/>
        </w:rPr>
        <w:t>Registered Stockholders.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Corporation shall be entitled to recognize the exclusive right of a person registered on its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ARTICLE VIII</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GENERAL PROVISIONS</w:t>
      </w:r>
    </w:p>
    <w:p>
      <w:pPr>
        <w:spacing w:after="0" w:line="178"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color w:val="010000"/>
        </w:rPr>
        <w:t>(A)</w:t>
      </w:r>
      <w:r>
        <w:rPr>
          <w:rFonts w:ascii="Times New Roman" w:cs="Times New Roman" w:eastAsia="Times New Roman" w:hAnsi="Times New Roman"/>
          <w:sz w:val="19"/>
          <w:szCs w:val="19"/>
          <w:b w:val="1"/>
          <w:bCs w:val="1"/>
          <w:color w:val="000000"/>
        </w:rPr>
        <w:t>Dividends.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the provisions of statutes and the Certificate of Incorporation, dividends upon the shares of capital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stock of the 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42" w:lineRule="exact"/>
        <w:rPr>
          <w:sz w:val="20"/>
          <w:szCs w:val="20"/>
          <w:color w:val="auto"/>
        </w:rPr>
      </w:pPr>
    </w:p>
    <w:p>
      <w:pPr>
        <w:ind w:right="120" w:firstLine="696"/>
        <w:spacing w:after="0" w:line="260" w:lineRule="auto"/>
        <w:rPr>
          <w:sz w:val="20"/>
          <w:szCs w:val="20"/>
          <w:color w:val="auto"/>
        </w:rPr>
      </w:pPr>
      <w:r>
        <w:rPr>
          <w:rFonts w:ascii="Times New Roman" w:cs="Times New Roman" w:eastAsia="Times New Roman" w:hAnsi="Times New Roman"/>
          <w:sz w:val="19"/>
          <w:szCs w:val="19"/>
          <w:color w:val="010000"/>
        </w:rPr>
        <w:t>(B)</w:t>
      </w:r>
      <w:r>
        <w:rPr>
          <w:rFonts w:ascii="Times New Roman" w:cs="Times New Roman" w:eastAsia="Times New Roman" w:hAnsi="Times New Roman"/>
          <w:sz w:val="19"/>
          <w:szCs w:val="19"/>
          <w:b w:val="1"/>
          <w:bCs w:val="1"/>
          <w:color w:val="000000"/>
        </w:rPr>
        <w:t>Reserves.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Before payment of any dividend, there may be set aside out of any funds of the Corporation available for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dividends such sum or 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49" w:lineRule="exact"/>
        <w:rPr>
          <w:sz w:val="20"/>
          <w:szCs w:val="20"/>
          <w:color w:val="auto"/>
        </w:rPr>
      </w:pPr>
    </w:p>
    <w:p>
      <w:pPr>
        <w:ind w:right="160" w:firstLine="696"/>
        <w:spacing w:after="0" w:line="288" w:lineRule="auto"/>
        <w:rPr>
          <w:sz w:val="20"/>
          <w:szCs w:val="20"/>
          <w:color w:val="auto"/>
        </w:rPr>
      </w:pPr>
      <w:r>
        <w:rPr>
          <w:rFonts w:ascii="Times New Roman" w:cs="Times New Roman" w:eastAsia="Times New Roman" w:hAnsi="Times New Roman"/>
          <w:sz w:val="19"/>
          <w:szCs w:val="19"/>
          <w:color w:val="010000"/>
        </w:rPr>
        <w:t>(C)</w:t>
      </w:r>
      <w:r>
        <w:rPr>
          <w:rFonts w:ascii="Times New Roman" w:cs="Times New Roman" w:eastAsia="Times New Roman" w:hAnsi="Times New Roman"/>
          <w:sz w:val="19"/>
          <w:szCs w:val="19"/>
          <w:b w:val="1"/>
          <w:bCs w:val="1"/>
          <w:color w:val="000000"/>
        </w:rPr>
        <w:t>Seal.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seal of the Corporation shall be in such form as shall be approved by the Board of Directors, which form may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changed by resolution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868045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94" w:name="page95"/>
    <w:bookmarkEnd w:id="94"/>
    <w:p>
      <w:pPr>
        <w:spacing w:after="0" w:line="267" w:lineRule="exact"/>
        <w:rPr>
          <w:sz w:val="20"/>
          <w:szCs w:val="20"/>
          <w:color w:val="auto"/>
        </w:rPr>
      </w:pPr>
    </w:p>
    <w:p>
      <w:pPr>
        <w:ind w:right="540" w:firstLine="696"/>
        <w:spacing w:after="0" w:line="288" w:lineRule="auto"/>
        <w:rPr>
          <w:sz w:val="20"/>
          <w:szCs w:val="20"/>
          <w:color w:val="auto"/>
        </w:rPr>
      </w:pPr>
      <w:r>
        <w:rPr>
          <w:rFonts w:ascii="Times New Roman" w:cs="Times New Roman" w:eastAsia="Times New Roman" w:hAnsi="Times New Roman"/>
          <w:sz w:val="19"/>
          <w:szCs w:val="19"/>
          <w:color w:val="010000"/>
        </w:rPr>
        <w:t>(D)</w:t>
      </w:r>
      <w:r>
        <w:rPr>
          <w:rFonts w:ascii="Times New Roman" w:cs="Times New Roman" w:eastAsia="Times New Roman" w:hAnsi="Times New Roman"/>
          <w:sz w:val="19"/>
          <w:szCs w:val="19"/>
          <w:b w:val="1"/>
          <w:bCs w:val="1"/>
          <w:color w:val="000000"/>
        </w:rPr>
        <w:t>Fiscal Year.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fiscal year of the Corporation shall end on December 31 of each calendar year and may thereafter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changed by resolution of the Board of Directors.</w:t>
      </w:r>
    </w:p>
    <w:p>
      <w:pPr>
        <w:spacing w:after="0" w:line="124" w:lineRule="exact"/>
        <w:rPr>
          <w:sz w:val="20"/>
          <w:szCs w:val="20"/>
          <w:color w:val="auto"/>
        </w:rPr>
      </w:pPr>
    </w:p>
    <w:p>
      <w:pPr>
        <w:ind w:right="220" w:firstLine="696"/>
        <w:spacing w:after="0" w:line="269" w:lineRule="auto"/>
        <w:rPr>
          <w:sz w:val="20"/>
          <w:szCs w:val="20"/>
          <w:color w:val="auto"/>
        </w:rPr>
      </w:pPr>
      <w:r>
        <w:rPr>
          <w:rFonts w:ascii="Times New Roman" w:cs="Times New Roman" w:eastAsia="Times New Roman" w:hAnsi="Times New Roman"/>
          <w:sz w:val="19"/>
          <w:szCs w:val="19"/>
          <w:color w:val="010000"/>
        </w:rPr>
        <w:t>(E)</w:t>
      </w:r>
      <w:r>
        <w:rPr>
          <w:rFonts w:ascii="Times New Roman" w:cs="Times New Roman" w:eastAsia="Times New Roman" w:hAnsi="Times New Roman"/>
          <w:sz w:val="19"/>
          <w:szCs w:val="19"/>
          <w:b w:val="1"/>
          <w:bCs w:val="1"/>
          <w:color w:val="000000"/>
        </w:rPr>
        <w:t>Checks, Notes, Drafts; Etc.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All checks, notes, drafts or other orders for the payment of money of the Corporation shall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signed, 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42" w:lineRule="exact"/>
        <w:rPr>
          <w:sz w:val="20"/>
          <w:szCs w:val="20"/>
          <w:color w:val="auto"/>
        </w:rPr>
      </w:pPr>
    </w:p>
    <w:p>
      <w:pPr>
        <w:ind w:right="280" w:firstLine="696"/>
        <w:spacing w:after="0" w:line="269" w:lineRule="auto"/>
        <w:rPr>
          <w:sz w:val="20"/>
          <w:szCs w:val="20"/>
          <w:color w:val="auto"/>
        </w:rPr>
      </w:pPr>
      <w:r>
        <w:rPr>
          <w:rFonts w:ascii="Times New Roman" w:cs="Times New Roman" w:eastAsia="Times New Roman" w:hAnsi="Times New Roman"/>
          <w:sz w:val="19"/>
          <w:szCs w:val="19"/>
          <w:color w:val="010000"/>
        </w:rPr>
        <w:t>(F)</w:t>
      </w:r>
      <w:r>
        <w:rPr>
          <w:rFonts w:ascii="Times New Roman" w:cs="Times New Roman" w:eastAsia="Times New Roman" w:hAnsi="Times New Roman"/>
          <w:sz w:val="19"/>
          <w:szCs w:val="19"/>
          <w:b w:val="1"/>
          <w:bCs w:val="1"/>
          <w:color w:val="000000"/>
        </w:rPr>
        <w:t>Execution of Contracts, Deeds, Etc.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Board of Directors may authorize any officer or officers, agent or agents, 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name and on behalf of the Corporation to enter into or execute and deliver any and all deeds, bonds, mortgages, contracts and other obligations or instruments, and such authority may be general or confined to specific instances.</w:t>
      </w:r>
    </w:p>
    <w:p>
      <w:pPr>
        <w:spacing w:after="0" w:line="142"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010000"/>
        </w:rPr>
        <w:t>(G)</w:t>
      </w:r>
      <w:r>
        <w:rPr>
          <w:rFonts w:ascii="Times New Roman" w:cs="Times New Roman" w:eastAsia="Times New Roman" w:hAnsi="Times New Roman"/>
          <w:sz w:val="19"/>
          <w:szCs w:val="19"/>
          <w:b w:val="1"/>
          <w:bCs w:val="1"/>
          <w:color w:val="000000"/>
        </w:rPr>
        <w:t>Inspection of Books and Records.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stockholder of record, in person or by attorney or other agent, shall, upon written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57"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color w:val="010000"/>
        </w:rPr>
        <w:t>(H)</w:t>
      </w:r>
      <w:r>
        <w:rPr>
          <w:rFonts w:ascii="Times New Roman" w:cs="Times New Roman" w:eastAsia="Times New Roman" w:hAnsi="Times New Roman"/>
          <w:sz w:val="19"/>
          <w:szCs w:val="19"/>
          <w:b w:val="1"/>
          <w:bCs w:val="1"/>
          <w:color w:val="000000"/>
        </w:rPr>
        <w:t>References to Days.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For purposes of these Bylaws, all references herein to “days” shall mean calendar days unless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otherwise expressly 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147"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color w:val="010000"/>
        </w:rPr>
        <w:t>(I)</w:t>
      </w:r>
      <w:r>
        <w:rPr>
          <w:rFonts w:ascii="Times New Roman" w:cs="Times New Roman" w:eastAsia="Times New Roman" w:hAnsi="Times New Roman"/>
          <w:sz w:val="19"/>
          <w:szCs w:val="19"/>
          <w:b w:val="1"/>
          <w:bCs w:val="1"/>
          <w:color w:val="000000"/>
        </w:rPr>
        <w:t>Inconsistent Provisions.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the event that any provision of these Bylaws is or becomes inconsistent with any provision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Certificate of 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IX</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AMENDMENTS</w:t>
      </w:r>
    </w:p>
    <w:p>
      <w:pPr>
        <w:spacing w:after="0" w:line="180" w:lineRule="exact"/>
        <w:rPr>
          <w:sz w:val="20"/>
          <w:szCs w:val="20"/>
          <w:color w:val="auto"/>
        </w:rPr>
      </w:pPr>
    </w:p>
    <w:p>
      <w:pPr>
        <w:ind w:right="560" w:firstLine="696"/>
        <w:spacing w:after="0" w:line="286" w:lineRule="auto"/>
        <w:rPr>
          <w:sz w:val="20"/>
          <w:szCs w:val="20"/>
          <w:color w:val="auto"/>
        </w:rPr>
      </w:pPr>
      <w:r>
        <w:rPr>
          <w:rFonts w:ascii="Times New Roman" w:cs="Times New Roman" w:eastAsia="Times New Roman" w:hAnsi="Times New Roman"/>
          <w:sz w:val="19"/>
          <w:szCs w:val="19"/>
          <w:color w:val="auto"/>
        </w:rPr>
        <w:t>Except as otherwise provided in these Bylaws, these Bylaws may be amended or repealed or new Bylaws adopted only in accordance with Article VI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869315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quarterly report on Form 10-Q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200" w:lineRule="exact"/>
        <w:rPr>
          <w:sz w:val="20"/>
          <w:szCs w:val="20"/>
          <w:color w:val="auto"/>
        </w:rPr>
      </w:pPr>
    </w:p>
    <w:p>
      <w:pPr>
        <w:jc w:val="center"/>
        <w:ind w:left="2800"/>
        <w:spacing w:after="0"/>
        <w:tabs>
          <w:tab w:leader="none" w:pos="120" w:val="left"/>
        </w:tabs>
        <w:rPr>
          <w:sz w:val="20"/>
          <w:szCs w:val="20"/>
          <w:color w:val="auto"/>
        </w:rPr>
      </w:pPr>
      <w:r>
        <w:rPr>
          <w:rFonts w:ascii="Times New Roman" w:cs="Times New Roman" w:eastAsia="Times New Roman" w:hAnsi="Times New Roman"/>
          <w:sz w:val="16"/>
          <w:szCs w:val="16"/>
          <w:color w:val="auto"/>
        </w:rPr>
        <w:t>By:</w:t>
        <w:tab/>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Joshua Easterly</w:t>
      </w:r>
    </w:p>
    <w:p>
      <w:pPr>
        <w:ind w:left="6180"/>
        <w:spacing w:after="0" w:line="234"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675005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CFO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quarterly report on Form 10-Q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200" w:lineRule="exact"/>
        <w:rPr>
          <w:sz w:val="20"/>
          <w:szCs w:val="20"/>
          <w:color w:val="auto"/>
        </w:rPr>
      </w:pPr>
    </w:p>
    <w:p>
      <w:pPr>
        <w:ind w:left="5820"/>
        <w:spacing w:after="0"/>
        <w:tabs>
          <w:tab w:leader="none" w:pos="6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IMMONDS</w:t>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Ian Simmonds</w:t>
      </w:r>
    </w:p>
    <w:p>
      <w:pPr>
        <w:ind w:left="6160"/>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720725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97" w:name="page98"/>
    <w:bookmarkEnd w:id="97"/>
    <w:p>
      <w:pPr>
        <w:ind w:left="988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CEO and CFO Pursuant to</w:t>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45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connection with the quarterly report on Form 10- Q of Sixth Street Specialty Lending, Inc. (the “Company”) for the quarterly period ended September 30, 2025,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as amended;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2"/>
          <w:szCs w:val="12"/>
          <w:color w:val="auto"/>
        </w:rPr>
        <w:t>ASTERLY</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Joshua Easterly</w:t>
      </w: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ind w:left="68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28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I</w:t>
      </w:r>
      <w:r>
        <w:rPr>
          <w:rFonts w:ascii="Times New Roman" w:cs="Times New Roman" w:eastAsia="Times New Roman" w:hAnsi="Times New Roman"/>
          <w:sz w:val="12"/>
          <w:szCs w:val="12"/>
          <w:color w:val="auto"/>
        </w:rPr>
        <w:t>AN</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2"/>
          <w:szCs w:val="12"/>
          <w:color w:val="auto"/>
        </w:rPr>
        <w:t>IMMONDS</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Ian Simmonds</w:t>
      </w: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ind w:left="68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4,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5" w:right="640" w:bottom="1440" w:gutter="0" w:footer="0" w:header="0"/>
        </w:sectPr>
      </w:pPr>
    </w:p>
    <w:bookmarkStart w:id="98" w:name="page99"/>
    <w:bookmarkEnd w:id="9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32"/>
    </w:lvl>
  </w:abstractNum>
  <w:abstractNum w:abstractNumId="10">
    <w:nsid w:val="109CF92E"/>
    <w:multiLevelType w:val="hybridMultilevel"/>
    <w:lvl w:ilvl="0">
      <w:lvlJc w:val="left"/>
      <w:lvlText w:val="%1"/>
      <w:numFmt w:val="decimal"/>
      <w:start w:val="104"/>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16" Type="http://schemas.openxmlformats.org/officeDocument/2006/relationships/hyperlink" Target="https://www.sec.gov/Archives/edgar/data/1508655/000119312520174009/d93608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2025-11-04T15:15:02Z</dcterms:created>
  <dcterms:modified xsi:type="dcterms:W3CDTF">2025-11-04T15:15:02Z</dcterms:modified>
</cp:coreProperties>
</file>