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158750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165100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90805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90170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9"/>
        </w:trPr>
        <w:tc>
          <w:tcPr>
            <w:tcW w:w="3760" w:type="dxa"/>
            <w:vAlign w:val="bottom"/>
          </w:tcPr>
          <w:p>
            <w:pPr>
              <w:jc w:val="center"/>
              <w:ind w:right="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00" w:type="dxa"/>
            <w:vAlign w:val="bottom"/>
          </w:tcPr>
          <w:p>
            <w:pPr>
              <w:jc w:val="center"/>
              <w:ind w:left="12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4"/>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71120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55"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43"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0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80" w:type="dxa"/>
            <w:vAlign w:val="bottom"/>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0"/>
        </w:trPr>
        <w:tc>
          <w:tcPr>
            <w:tcW w:w="350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TSLX</w:t>
            </w:r>
          </w:p>
        </w:tc>
        <w:tc>
          <w:tcPr>
            <w:tcW w:w="3580" w:type="dxa"/>
            <w:vAlign w:val="bottom"/>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34225" cy="216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216535"/>
                    </a:xfrm>
                    <a:prstGeom prst="rect">
                      <a:avLst/>
                    </a:prstGeom>
                    <a:noFill/>
                  </pic:spPr>
                </pic:pic>
              </a:graphicData>
            </a:graphic>
          </wp:anchor>
        </w:drawing>
      </w:r>
    </w:p>
    <w:p>
      <w:pPr>
        <w:spacing w:after="0" w:line="80" w:lineRule="exact"/>
        <w:rPr>
          <w:sz w:val="24"/>
          <w:szCs w:val="24"/>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May 5, 2026, Sixth Street Specialty Lending, Inc. (the “Company”) issued a press release announcing its financial results for the three months ended March 31, 2026. The text of the press release is included as Exhibit 99.1 to this Form 8-K.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5, 2026, the Company issued a press release, included herewith as Exhibit 99.1, announcing the declaration of a second quarter 2026 base dividend per share of $0.42 to shareholders of record as of June 15, 2026, payable on June 30, 2026.</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announced today that Michael Fishman has been appointed to serve as Chairman of the Company’s Board of Directors, effective as of the close of business on May 21, 2026.</w:t>
      </w:r>
    </w:p>
    <w:p>
      <w:pPr>
        <w:spacing w:after="0" w:line="5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Michael Fishman was elected a director of the Company in April 2011. From April 2011 to December 2013, he served as Chief Executive Officer, and from December 2013 to December 2017, he served as Co-Chief Executive Officer with Joshua Easterly. Mr. Fishman is a Vice President of the Company and is a Sixth Street Partner. He has been an executive in corporate lending for more than 30 years with senior management experience in credit, portfolio management and primary loan originations. Prior to joining Sixth Street, Mr. Fishman was the Executive Vice President and National Director of Loan Originations for WFCF, formerly known as Wells Fargo Foothill and Foothill Capital Corporation. Fishman has also contributed to various industry publications and panel discussions, and has sat on the Board of the American Bankruptcy Institute. He holds a Bachelor of Science in Finance from Rochester Institute of Technology.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9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9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tcBorders>
              <w:right w:val="single" w:sz="8" w:color="auto"/>
            </w:tcBorders>
            <w:shd w:val="clear" w:color="auto" w:fill="000000"/>
          </w:tcPr>
          <w:p>
            <w:pPr>
              <w:spacing w:after="0" w:line="20" w:lineRule="exact"/>
              <w:rPr>
                <w:sz w:val="1"/>
                <w:szCs w:val="1"/>
                <w:color w:val="auto"/>
              </w:rPr>
            </w:pPr>
          </w:p>
        </w:tc>
        <w:tc>
          <w:tcPr>
            <w:tcW w:w="7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May 5, 2026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EE"/>
            </w:tcBorders>
            <w:shd w:val="clear" w:color="auto" w:fill="0000FF"/>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of this Current Report on Form 8-K, formatted in Inline XBRL</w:t>
            </w:r>
          </w:p>
        </w:tc>
        <w:tc>
          <w:tcPr>
            <w:tcW w:w="0" w:type="dxa"/>
            <w:vAlign w:val="bottom"/>
          </w:tcPr>
          <w:p>
            <w:pPr>
              <w:spacing w:after="0"/>
              <w:rPr>
                <w:sz w:val="1"/>
                <w:szCs w:val="1"/>
                <w:color w:val="auto"/>
              </w:rPr>
            </w:pPr>
          </w:p>
        </w:tc>
      </w:tr>
      <w:tr>
        <w:trPr>
          <w:trHeight w:val="1627"/>
        </w:trPr>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SIXTH STREET SPECIALTY LENDING, INC.</w:t>
            </w:r>
          </w:p>
        </w:tc>
      </w:tr>
      <w:tr>
        <w:trPr>
          <w:trHeight w:val="234"/>
        </w:trPr>
        <w:tc>
          <w:tcPr>
            <w:tcW w:w="3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77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191"/>
        </w:trPr>
        <w:tc>
          <w:tcPr>
            <w:tcW w:w="35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35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194" w:lineRule="auto"/>
        <w:framePr w:w="1400" w:h="130" w:wrap="auto" w:vAnchor="page" w:hAnchor="page" w:x="9120" w:y="3560"/>
        <w:rPr>
          <w:rFonts w:ascii="Arial" w:cs="Arial" w:eastAsia="Arial" w:hAnsi="Arial"/>
          <w:sz w:val="14"/>
          <w:szCs w:val="14"/>
          <w:b w:val="1"/>
          <w:bCs w:val="1"/>
          <w:color w:val="FFFFFF"/>
        </w:rPr>
      </w:pPr>
      <w:r>
        <w:rPr>
          <w:rFonts w:ascii="Arial" w:cs="Arial" w:eastAsia="Arial" w:hAnsi="Arial"/>
          <w:sz w:val="14"/>
          <w:szCs w:val="14"/>
          <w:b w:val="1"/>
          <w:bCs w:val="1"/>
          <w:color w:val="FFFFFF"/>
        </w:rPr>
        <w:t>Net Loss Per Share</w:t>
      </w:r>
    </w:p>
    <w:p>
      <w:pPr>
        <w:spacing w:after="0" w:line="194" w:lineRule="auto"/>
        <w:framePr w:w="440" w:h="130" w:wrap="auto" w:vAnchor="page" w:hAnchor="page" w:x="11140" w:y="2804"/>
        <w:rPr>
          <w:rFonts w:ascii="Arial" w:cs="Arial" w:eastAsia="Arial" w:hAnsi="Arial"/>
          <w:sz w:val="14"/>
          <w:szCs w:val="14"/>
          <w:b w:val="1"/>
          <w:bCs w:val="1"/>
          <w:color w:val="FFFFFF"/>
        </w:rPr>
      </w:pPr>
      <w:r>
        <w:rPr>
          <w:rFonts w:ascii="Arial" w:cs="Arial" w:eastAsia="Arial" w:hAnsi="Arial"/>
          <w:sz w:val="14"/>
          <w:szCs w:val="14"/>
          <w:b w:val="1"/>
          <w:bCs w:val="1"/>
          <w:color w:val="FFFFFF"/>
        </w:rPr>
        <w:t>$0.42</w:t>
      </w:r>
    </w:p>
    <w:p>
      <w:pPr>
        <w:spacing w:after="0" w:line="194" w:lineRule="auto"/>
        <w:framePr w:w="680" w:h="130" w:wrap="auto" w:vAnchor="page" w:hAnchor="page" w:x="8060" w:y="2804"/>
        <w:rPr>
          <w:rFonts w:ascii="Arial" w:cs="Arial" w:eastAsia="Arial" w:hAnsi="Arial"/>
          <w:sz w:val="14"/>
          <w:szCs w:val="14"/>
          <w:b w:val="1"/>
          <w:bCs w:val="1"/>
          <w:color w:val="FFFFFF"/>
        </w:rPr>
      </w:pPr>
      <w:r>
        <w:rPr>
          <w:rFonts w:ascii="Arial" w:cs="Arial" w:eastAsia="Arial" w:hAnsi="Arial"/>
          <w:sz w:val="14"/>
          <w:szCs w:val="14"/>
          <w:b w:val="1"/>
          <w:bCs w:val="1"/>
          <w:color w:val="FFFFFF"/>
        </w:rPr>
        <w:t>Q1 2026</w:t>
      </w:r>
      <w:r>
        <w:rPr>
          <w:rFonts w:ascii="Arial" w:cs="Arial" w:eastAsia="Arial" w:hAnsi="Arial"/>
          <w:sz w:val="14"/>
          <w:szCs w:val="14"/>
          <w:color w:val="FFFFFF"/>
        </w:rPr>
        <w:t>:</w:t>
      </w:r>
    </w:p>
    <w:p>
      <w:pPr>
        <w:spacing w:after="0" w:line="194" w:lineRule="auto"/>
        <w:framePr w:w="2360" w:h="130" w:wrap="auto" w:vAnchor="page" w:hAnchor="page" w:x="8640" w:y="2534"/>
        <w:rPr>
          <w:rFonts w:ascii="Arial" w:cs="Arial" w:eastAsia="Arial" w:hAnsi="Arial"/>
          <w:sz w:val="14"/>
          <w:szCs w:val="14"/>
          <w:b w:val="1"/>
          <w:bCs w:val="1"/>
          <w:color w:val="FFFFFF"/>
        </w:rPr>
      </w:pPr>
      <w:r>
        <w:rPr>
          <w:rFonts w:ascii="Arial" w:cs="Arial" w:eastAsia="Arial" w:hAnsi="Arial"/>
          <w:sz w:val="14"/>
          <w:szCs w:val="14"/>
          <w:b w:val="1"/>
          <w:bCs w:val="1"/>
          <w:color w:val="FFFFFF"/>
        </w:rPr>
        <w:t>Net Investment Income Per Share</w:t>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rFonts w:ascii="Arial" w:cs="Arial" w:eastAsia="Arial" w:hAnsi="Arial"/>
          <w:sz w:val="14"/>
          <w:szCs w:val="14"/>
          <w:b w:val="1"/>
          <w:bCs w:val="1"/>
          <w:color w:val="FFFFFF"/>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7160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rFonts w:ascii="Arial" w:cs="Arial" w:eastAsia="Arial" w:hAnsi="Arial"/>
          <w:sz w:val="14"/>
          <w:szCs w:val="14"/>
          <w:b w:val="1"/>
          <w:bCs w:val="1"/>
          <w:color w:val="FFFFFF"/>
        </w:rPr>
      </w:pPr>
    </w:p>
    <w:p>
      <w:pPr>
        <w:spacing w:after="0" w:line="200" w:lineRule="exact"/>
        <w:rPr>
          <w:rFonts w:ascii="Arial" w:cs="Arial" w:eastAsia="Arial" w:hAnsi="Arial"/>
          <w:sz w:val="14"/>
          <w:szCs w:val="14"/>
          <w:b w:val="1"/>
          <w:bCs w:val="1"/>
          <w:color w:val="FFFFFF"/>
        </w:rPr>
      </w:pPr>
    </w:p>
    <w:p>
      <w:pPr>
        <w:spacing w:after="0" w:line="200" w:lineRule="exact"/>
        <w:rPr>
          <w:rFonts w:ascii="Arial" w:cs="Arial" w:eastAsia="Arial" w:hAnsi="Arial"/>
          <w:sz w:val="14"/>
          <w:szCs w:val="14"/>
          <w:b w:val="1"/>
          <w:bCs w:val="1"/>
          <w:color w:val="FFFFFF"/>
        </w:rPr>
      </w:pPr>
    </w:p>
    <w:p>
      <w:pPr>
        <w:spacing w:after="0" w:line="242" w:lineRule="exact"/>
        <w:rPr>
          <w:rFonts w:ascii="Arial" w:cs="Arial" w:eastAsia="Arial" w:hAnsi="Arial"/>
          <w:sz w:val="14"/>
          <w:szCs w:val="14"/>
          <w:b w:val="1"/>
          <w:bCs w:val="1"/>
          <w:color w:val="FFFFFF"/>
        </w:rPr>
      </w:pPr>
    </w:p>
    <w:p>
      <w:pPr>
        <w:spacing w:after="0"/>
        <w:rPr>
          <w:sz w:val="20"/>
          <w:szCs w:val="20"/>
          <w:color w:val="auto"/>
        </w:rPr>
      </w:pPr>
      <w:r>
        <w:rPr>
          <w:rFonts w:ascii="Arial" w:cs="Arial" w:eastAsia="Arial" w:hAnsi="Arial"/>
          <w:sz w:val="32"/>
          <w:szCs w:val="32"/>
          <w:b w:val="1"/>
          <w:bCs w:val="1"/>
          <w:color w:val="auto"/>
        </w:rPr>
        <w:t>FIRST QUARTER 2026 EARNINGS RESULTS</w:t>
      </w:r>
    </w:p>
    <w:p>
      <w:pPr>
        <w:spacing w:after="0" w:line="20" w:lineRule="exact"/>
        <w:rPr>
          <w:rFonts w:ascii="Arial" w:cs="Arial" w:eastAsia="Arial" w:hAnsi="Arial"/>
          <w:sz w:val="14"/>
          <w:szCs w:val="14"/>
          <w:b w:val="1"/>
          <w:bCs w:val="1"/>
          <w:color w:val="FFFFFF"/>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rFonts w:ascii="Arial" w:cs="Arial" w:eastAsia="Arial" w:hAnsi="Arial"/>
          <w:sz w:val="14"/>
          <w:szCs w:val="14"/>
          <w:b w:val="1"/>
          <w:bCs w:val="1"/>
          <w:color w:val="FFFFFF"/>
        </w:rPr>
      </w:pPr>
    </w:p>
    <w:p>
      <w:pPr>
        <w:ind w:right="360"/>
        <w:spacing w:after="0" w:line="194" w:lineRule="auto"/>
        <w:rPr>
          <w:sz w:val="20"/>
          <w:szCs w:val="20"/>
          <w:color w:val="auto"/>
        </w:rPr>
      </w:pPr>
      <w:r>
        <w:rPr>
          <w:rFonts w:ascii="Arial" w:cs="Arial" w:eastAsia="Arial" w:hAnsi="Arial"/>
          <w:sz w:val="13"/>
          <w:szCs w:val="13"/>
          <w:b w:val="1"/>
          <w:bCs w:val="1"/>
          <w:color w:val="auto"/>
        </w:rPr>
        <w:t xml:space="preserve">Sixth Street Specialty Lending, Inc. Reports First Quarter Results; Declares a Second Quarter Base Dividend Per Share of $0.42 </w:t>
      </w:r>
      <w:r>
        <w:rPr>
          <w:rFonts w:ascii="Arial" w:cs="Arial" w:eastAsia="Arial" w:hAnsi="Arial"/>
          <w:sz w:val="13"/>
          <w:szCs w:val="13"/>
          <w:color w:val="auto"/>
        </w:rPr>
        <w:t>NEW YORK — May 5, 2026 — Sixth Street Specialty Lending, Inc. (NYSE: TSLX, or the</w:t>
      </w:r>
    </w:p>
    <w:p>
      <w:pPr>
        <w:spacing w:after="0" w:line="20" w:lineRule="exact"/>
        <w:rPr>
          <w:rFonts w:ascii="Arial" w:cs="Arial" w:eastAsia="Arial" w:hAnsi="Arial"/>
          <w:sz w:val="14"/>
          <w:szCs w:val="14"/>
          <w:b w:val="1"/>
          <w:bCs w:val="1"/>
          <w:color w:val="FFFFFF"/>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column">
              <wp:posOffset>4933950</wp:posOffset>
            </wp:positionH>
            <wp:positionV relativeFrom="paragraph">
              <wp:posOffset>-23495</wp:posOffset>
            </wp:positionV>
            <wp:extent cx="220281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02815" cy="171450"/>
                    </a:xfrm>
                    <a:prstGeom prst="rect">
                      <a:avLst/>
                    </a:prstGeom>
                    <a:noFill/>
                  </pic:spPr>
                </pic:pic>
              </a:graphicData>
            </a:graphic>
          </wp:anchor>
        </w:drawing>
      </w:r>
    </w:p>
    <w:p>
      <w:pPr>
        <w:spacing w:after="0" w:line="125" w:lineRule="exact"/>
        <w:rPr>
          <w:rFonts w:ascii="Arial" w:cs="Arial" w:eastAsia="Arial" w:hAnsi="Arial"/>
          <w:sz w:val="14"/>
          <w:szCs w:val="14"/>
          <w:b w:val="1"/>
          <w:bCs w:val="1"/>
          <w:color w:val="FFFFFF"/>
        </w:rPr>
      </w:pPr>
    </w:p>
    <w:p>
      <w:pPr>
        <w:jc w:val="both"/>
        <w:ind w:right="3720"/>
        <w:spacing w:after="0" w:line="244" w:lineRule="auto"/>
        <w:rPr>
          <w:sz w:val="20"/>
          <w:szCs w:val="20"/>
          <w:color w:val="auto"/>
        </w:rPr>
      </w:pPr>
      <w:r>
        <w:rPr>
          <w:rFonts w:ascii="Arial" w:cs="Arial" w:eastAsia="Arial" w:hAnsi="Arial"/>
          <w:sz w:val="18"/>
          <w:szCs w:val="18"/>
          <w:color w:val="auto"/>
        </w:rPr>
        <w:t>“Company”) today reported net investment income of $0.42 per share and net loss of $0.27 per share for the first quarter ended March 31, 2026. These results correspond to an annualized return on equity (ROE) on net investment income and net income of 9.9% and -6.5%, respectively. Reported and adjusted metrics converged this quarter, as there was no impact related to capital gains incentive fees.</w:t>
      </w:r>
    </w:p>
    <w:p>
      <w:pPr>
        <w:spacing w:after="0" w:line="20" w:lineRule="exact"/>
        <w:rPr>
          <w:rFonts w:ascii="Arial" w:cs="Arial" w:eastAsia="Arial" w:hAnsi="Arial"/>
          <w:sz w:val="14"/>
          <w:szCs w:val="14"/>
          <w:b w:val="1"/>
          <w:bCs w:val="1"/>
          <w:color w:val="FFFFFF"/>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column">
              <wp:posOffset>4933950</wp:posOffset>
            </wp:positionH>
            <wp:positionV relativeFrom="paragraph">
              <wp:posOffset>-132715</wp:posOffset>
            </wp:positionV>
            <wp:extent cx="220281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02815" cy="17145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-441325</wp:posOffset>
            </wp:positionV>
            <wp:extent cx="2202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85" w:lineRule="exact"/>
        <w:rPr>
          <w:rFonts w:ascii="Arial" w:cs="Arial" w:eastAsia="Arial" w:hAnsi="Arial"/>
          <w:sz w:val="14"/>
          <w:szCs w:val="14"/>
          <w:b w:val="1"/>
          <w:bCs w:val="1"/>
          <w:color w:val="FFFFFF"/>
        </w:rPr>
      </w:pPr>
    </w:p>
    <w:tbl>
      <w:tblPr>
        <w:tblLayout w:type="fixed"/>
        <w:tblInd w:w="0" w:type="dxa"/>
        <w:tblCellMar>
          <w:top w:w="0" w:type="dxa"/>
          <w:left w:w="0" w:type="dxa"/>
          <w:bottom w:w="0" w:type="dxa"/>
          <w:right w:w="0" w:type="dxa"/>
        </w:tblCellMar>
      </w:tblPr>
      <w:tr>
        <w:trPr>
          <w:trHeight w:val="196"/>
        </w:trPr>
        <w:tc>
          <w:tcPr>
            <w:tcW w:w="7780" w:type="dxa"/>
            <w:vAlign w:val="bottom"/>
            <w:vMerge w:val="restart"/>
          </w:tcPr>
          <w:p>
            <w:pPr>
              <w:spacing w:after="0"/>
              <w:rPr>
                <w:sz w:val="20"/>
                <w:szCs w:val="20"/>
                <w:color w:val="auto"/>
              </w:rPr>
            </w:pPr>
            <w:r>
              <w:rPr>
                <w:rFonts w:ascii="Arial" w:cs="Arial" w:eastAsia="Arial" w:hAnsi="Arial"/>
                <w:sz w:val="18"/>
                <w:szCs w:val="18"/>
                <w:color w:val="auto"/>
              </w:rPr>
              <w:t>Reported net asset value (NAV) per share was $16.24 at March 31, 2026 as compared to</w:t>
            </w:r>
          </w:p>
        </w:tc>
        <w:tc>
          <w:tcPr>
            <w:tcW w:w="220" w:type="dxa"/>
            <w:vAlign w:val="bottom"/>
          </w:tcPr>
          <w:p>
            <w:pPr>
              <w:spacing w:after="0"/>
              <w:rPr>
                <w:sz w:val="20"/>
                <w:szCs w:val="20"/>
                <w:color w:val="auto"/>
              </w:rPr>
            </w:pPr>
            <w:r>
              <w:rPr>
                <w:rFonts w:ascii="Arial" w:cs="Arial" w:eastAsia="Arial" w:hAnsi="Arial"/>
                <w:sz w:val="14"/>
                <w:szCs w:val="14"/>
                <w:b w:val="1"/>
                <w:bCs w:val="1"/>
                <w:color w:val="auto"/>
              </w:rPr>
              <w:t>Q1</w:t>
            </w:r>
          </w:p>
        </w:tc>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2026:</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$0.27</w:t>
            </w:r>
          </w:p>
        </w:tc>
        <w:tc>
          <w:tcPr>
            <w:tcW w:w="0" w:type="dxa"/>
            <w:vAlign w:val="bottom"/>
          </w:tcPr>
          <w:p>
            <w:pPr>
              <w:spacing w:after="0"/>
              <w:rPr>
                <w:sz w:val="1"/>
                <w:szCs w:val="1"/>
                <w:color w:val="auto"/>
              </w:rPr>
            </w:pPr>
          </w:p>
        </w:tc>
      </w:tr>
      <w:tr>
        <w:trPr>
          <w:trHeight w:val="29"/>
        </w:trPr>
        <w:tc>
          <w:tcPr>
            <w:tcW w:w="7780" w:type="dxa"/>
            <w:vAlign w:val="bottom"/>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780" w:type="dxa"/>
            <w:vAlign w:val="bottom"/>
          </w:tcPr>
          <w:p>
            <w:pPr>
              <w:spacing w:after="0"/>
              <w:rPr>
                <w:sz w:val="20"/>
                <w:szCs w:val="20"/>
                <w:color w:val="auto"/>
              </w:rPr>
            </w:pPr>
            <w:r>
              <w:rPr>
                <w:rFonts w:ascii="Arial" w:cs="Arial" w:eastAsia="Arial" w:hAnsi="Arial"/>
                <w:sz w:val="18"/>
                <w:szCs w:val="18"/>
                <w:color w:val="auto"/>
              </w:rPr>
              <w:t>NAV per share of $16.98 or an adjusted NAV per share of $16.97 at December 31, 2025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(which accounts for the impact of the $0.01 per share fourth quarter 2025 supplemental</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7780" w:type="dxa"/>
            <w:vAlign w:val="bottom"/>
            <w:vMerge w:val="restart"/>
          </w:tcPr>
          <w:p>
            <w:pPr>
              <w:spacing w:after="0"/>
              <w:rPr>
                <w:sz w:val="20"/>
                <w:szCs w:val="20"/>
                <w:color w:val="auto"/>
              </w:rPr>
            </w:pPr>
            <w:r>
              <w:rPr>
                <w:rFonts w:ascii="Arial" w:cs="Arial" w:eastAsia="Arial" w:hAnsi="Arial"/>
                <w:sz w:val="18"/>
                <w:szCs w:val="18"/>
                <w:color w:val="auto"/>
              </w:rPr>
              <w:t>dividend). The main driver of this quarter’s NAV per share decline was $0.58 per share</w:t>
            </w: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780" w:type="dxa"/>
            <w:vAlign w:val="bottom"/>
            <w:vMerge w:val="continue"/>
          </w:tcPr>
          <w:p>
            <w:pPr>
              <w:spacing w:after="0"/>
              <w:rPr>
                <w:sz w:val="16"/>
                <w:szCs w:val="16"/>
                <w:color w:val="auto"/>
              </w:rPr>
            </w:pPr>
          </w:p>
        </w:tc>
        <w:tc>
          <w:tcPr>
            <w:tcW w:w="220" w:type="dxa"/>
            <w:vAlign w:val="bottom"/>
            <w:shd w:val="clear" w:color="auto" w:fill="0F2F50"/>
          </w:tcPr>
          <w:p>
            <w:pPr>
              <w:spacing w:after="0"/>
              <w:rPr>
                <w:sz w:val="16"/>
                <w:szCs w:val="16"/>
                <w:color w:val="auto"/>
              </w:rPr>
            </w:pPr>
          </w:p>
        </w:tc>
        <w:tc>
          <w:tcPr>
            <w:tcW w:w="360" w:type="dxa"/>
            <w:vAlign w:val="bottom"/>
            <w:shd w:val="clear" w:color="auto" w:fill="0F2F50"/>
          </w:tcPr>
          <w:p>
            <w:pPr>
              <w:spacing w:after="0"/>
              <w:rPr>
                <w:sz w:val="16"/>
                <w:szCs w:val="16"/>
                <w:color w:val="auto"/>
              </w:rPr>
            </w:pPr>
          </w:p>
        </w:tc>
        <w:tc>
          <w:tcPr>
            <w:tcW w:w="2260" w:type="dxa"/>
            <w:vAlign w:val="bottom"/>
            <w:shd w:val="clear" w:color="auto" w:fill="0F2F50"/>
          </w:tcPr>
          <w:p>
            <w:pPr>
              <w:jc w:val="center"/>
              <w:spacing w:after="0"/>
              <w:rPr>
                <w:sz w:val="20"/>
                <w:szCs w:val="20"/>
                <w:color w:val="auto"/>
              </w:rPr>
            </w:pPr>
            <w:r>
              <w:rPr>
                <w:rFonts w:ascii="Arial" w:cs="Arial" w:eastAsia="Arial" w:hAnsi="Arial"/>
                <w:sz w:val="14"/>
                <w:szCs w:val="14"/>
                <w:b w:val="1"/>
                <w:bCs w:val="1"/>
                <w:color w:val="FFFFFF"/>
              </w:rPr>
              <w:t>Return on Equity</w:t>
            </w:r>
          </w:p>
        </w:tc>
        <w:tc>
          <w:tcPr>
            <w:tcW w:w="620" w:type="dxa"/>
            <w:vAlign w:val="bottom"/>
            <w:shd w:val="clear" w:color="auto" w:fill="0F2F50"/>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780" w:type="dxa"/>
            <w:vAlign w:val="bottom"/>
            <w:vMerge w:val="restart"/>
          </w:tcPr>
          <w:p>
            <w:pPr>
              <w:spacing w:after="0" w:line="170" w:lineRule="exact"/>
              <w:rPr>
                <w:sz w:val="20"/>
                <w:szCs w:val="20"/>
                <w:color w:val="auto"/>
              </w:rPr>
            </w:pPr>
            <w:r>
              <w:rPr>
                <w:rFonts w:ascii="Arial" w:cs="Arial" w:eastAsia="Arial" w:hAnsi="Arial"/>
                <w:sz w:val="18"/>
                <w:szCs w:val="18"/>
                <w:color w:val="auto"/>
              </w:rPr>
              <w:t>attributable to movement in fair value from market inputs. This included $0.40 per share from</w:t>
            </w:r>
          </w:p>
        </w:tc>
        <w:tc>
          <w:tcPr>
            <w:tcW w:w="220" w:type="dxa"/>
            <w:vAlign w:val="bottom"/>
            <w:shd w:val="clear" w:color="auto" w:fill="0F2F50"/>
          </w:tcPr>
          <w:p>
            <w:pPr>
              <w:spacing w:after="0"/>
              <w:rPr>
                <w:sz w:val="7"/>
                <w:szCs w:val="7"/>
                <w:color w:val="auto"/>
              </w:rPr>
            </w:pPr>
          </w:p>
        </w:tc>
        <w:tc>
          <w:tcPr>
            <w:tcW w:w="360" w:type="dxa"/>
            <w:vAlign w:val="bottom"/>
            <w:shd w:val="clear" w:color="auto" w:fill="0F2F50"/>
          </w:tcPr>
          <w:p>
            <w:pPr>
              <w:spacing w:after="0"/>
              <w:rPr>
                <w:sz w:val="7"/>
                <w:szCs w:val="7"/>
                <w:color w:val="auto"/>
              </w:rPr>
            </w:pPr>
          </w:p>
        </w:tc>
        <w:tc>
          <w:tcPr>
            <w:tcW w:w="2260" w:type="dxa"/>
            <w:vAlign w:val="bottom"/>
            <w:shd w:val="clear" w:color="auto" w:fill="0F2F50"/>
          </w:tcPr>
          <w:p>
            <w:pPr>
              <w:spacing w:after="0"/>
              <w:rPr>
                <w:sz w:val="7"/>
                <w:szCs w:val="7"/>
                <w:color w:val="auto"/>
              </w:rPr>
            </w:pPr>
          </w:p>
        </w:tc>
        <w:tc>
          <w:tcPr>
            <w:tcW w:w="620" w:type="dxa"/>
            <w:vAlign w:val="bottom"/>
            <w:shd w:val="clear" w:color="auto" w:fill="0F2F50"/>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780" w:type="dxa"/>
            <w:vAlign w:val="bottom"/>
            <w:vMerge w:val="continue"/>
          </w:tcPr>
          <w:p>
            <w:pPr>
              <w:spacing w:after="0"/>
              <w:rPr>
                <w:sz w:val="7"/>
                <w:szCs w:val="7"/>
                <w:color w:val="auto"/>
              </w:rPr>
            </w:pPr>
          </w:p>
        </w:tc>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rPr>
              <w:t>Q1</w:t>
            </w: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2026</w:t>
            </w:r>
          </w:p>
        </w:tc>
        <w:tc>
          <w:tcPr>
            <w:tcW w:w="2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(NII):</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9.9%</w:t>
            </w:r>
          </w:p>
        </w:tc>
        <w:tc>
          <w:tcPr>
            <w:tcW w:w="0" w:type="dxa"/>
            <w:vAlign w:val="bottom"/>
          </w:tcPr>
          <w:p>
            <w:pPr>
              <w:spacing w:after="0"/>
              <w:rPr>
                <w:sz w:val="1"/>
                <w:szCs w:val="1"/>
                <w:color w:val="auto"/>
              </w:rPr>
            </w:pPr>
          </w:p>
        </w:tc>
      </w:tr>
      <w:tr>
        <w:trPr>
          <w:trHeight w:val="186"/>
        </w:trPr>
        <w:tc>
          <w:tcPr>
            <w:tcW w:w="7780" w:type="dxa"/>
            <w:vAlign w:val="bottom"/>
          </w:tcPr>
          <w:p>
            <w:pPr>
              <w:spacing w:after="0" w:line="161" w:lineRule="exact"/>
              <w:rPr>
                <w:sz w:val="20"/>
                <w:szCs w:val="20"/>
                <w:color w:val="auto"/>
              </w:rPr>
            </w:pPr>
            <w:r>
              <w:rPr>
                <w:rFonts w:ascii="Arial" w:cs="Arial" w:eastAsia="Arial" w:hAnsi="Arial"/>
                <w:sz w:val="18"/>
                <w:szCs w:val="18"/>
                <w:color w:val="auto"/>
              </w:rPr>
              <w:t>unrealized losses in the debt portfolio tied to credit spread widening seen in the broader</w:t>
            </w:r>
          </w:p>
        </w:tc>
        <w:tc>
          <w:tcPr>
            <w:tcW w:w="22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226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780" w:type="dxa"/>
            <w:vAlign w:val="bottom"/>
          </w:tcPr>
          <w:p>
            <w:pPr>
              <w:spacing w:after="0" w:line="204" w:lineRule="exact"/>
              <w:rPr>
                <w:sz w:val="20"/>
                <w:szCs w:val="20"/>
                <w:color w:val="auto"/>
              </w:rPr>
            </w:pPr>
            <w:r>
              <w:rPr>
                <w:rFonts w:ascii="Arial" w:cs="Arial" w:eastAsia="Arial" w:hAnsi="Arial"/>
                <w:sz w:val="18"/>
                <w:szCs w:val="18"/>
                <w:color w:val="auto"/>
              </w:rPr>
              <w:t>market and $0.18 per share from lower market valuations in the Company’s limited equity</w:t>
            </w:r>
          </w:p>
        </w:tc>
        <w:tc>
          <w:tcPr>
            <w:tcW w:w="220" w:type="dxa"/>
            <w:vAlign w:val="bottom"/>
          </w:tcPr>
          <w:p>
            <w:pPr>
              <w:spacing w:after="0"/>
              <w:rPr>
                <w:sz w:val="20"/>
                <w:szCs w:val="20"/>
                <w:color w:val="auto"/>
              </w:rPr>
            </w:pPr>
            <w:r>
              <w:rPr>
                <w:rFonts w:ascii="Arial" w:cs="Arial" w:eastAsia="Arial" w:hAnsi="Arial"/>
                <w:sz w:val="14"/>
                <w:szCs w:val="14"/>
                <w:b w:val="1"/>
                <w:bCs w:val="1"/>
                <w:color w:val="auto"/>
              </w:rPr>
              <w:t>Q1</w:t>
            </w: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2026</w:t>
            </w:r>
          </w:p>
        </w:tc>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(NI):</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59"/>
        </w:trPr>
        <w:tc>
          <w:tcPr>
            <w:tcW w:w="7780" w:type="dxa"/>
            <w:vAlign w:val="bottom"/>
            <w:vMerge w:val="restart"/>
          </w:tcPr>
          <w:p>
            <w:pPr>
              <w:spacing w:after="0"/>
              <w:rPr>
                <w:sz w:val="20"/>
                <w:szCs w:val="20"/>
                <w:color w:val="auto"/>
              </w:rPr>
            </w:pPr>
            <w:r>
              <w:rPr>
                <w:rFonts w:ascii="Arial" w:cs="Arial" w:eastAsia="Arial" w:hAnsi="Arial"/>
                <w:sz w:val="18"/>
                <w:szCs w:val="18"/>
                <w:color w:val="auto"/>
              </w:rPr>
              <w:t>portfolio.</w:t>
            </w: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77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9"/>
        </w:trPr>
        <w:tc>
          <w:tcPr>
            <w:tcW w:w="7780" w:type="dxa"/>
            <w:vAlign w:val="bottom"/>
          </w:tcPr>
          <w:p>
            <w:pPr>
              <w:spacing w:after="0"/>
              <w:rPr>
                <w:sz w:val="20"/>
                <w:szCs w:val="20"/>
                <w:color w:val="auto"/>
              </w:rPr>
            </w:pPr>
            <w:r>
              <w:rPr>
                <w:rFonts w:ascii="Arial" w:cs="Arial" w:eastAsia="Arial" w:hAnsi="Arial"/>
                <w:sz w:val="18"/>
                <w:szCs w:val="18"/>
                <w:color w:val="auto"/>
              </w:rPr>
              <w:t>The Company announced that its Board of Directors has declared a second quarter 2026</w:t>
            </w:r>
          </w:p>
        </w:tc>
        <w:tc>
          <w:tcPr>
            <w:tcW w:w="220" w:type="dxa"/>
            <w:vAlign w:val="bottom"/>
            <w:tcBorders>
              <w:bottom w:val="single" w:sz="8" w:color="0F2F50"/>
            </w:tcBorders>
          </w:tcPr>
          <w:p>
            <w:pPr>
              <w:spacing w:after="0"/>
              <w:rPr>
                <w:sz w:val="24"/>
                <w:szCs w:val="24"/>
                <w:color w:val="auto"/>
              </w:rPr>
            </w:pPr>
          </w:p>
        </w:tc>
        <w:tc>
          <w:tcPr>
            <w:tcW w:w="360" w:type="dxa"/>
            <w:vAlign w:val="bottom"/>
            <w:tcBorders>
              <w:bottom w:val="single" w:sz="8" w:color="0F2F50"/>
            </w:tcBorders>
          </w:tcPr>
          <w:p>
            <w:pPr>
              <w:spacing w:after="0"/>
              <w:rPr>
                <w:sz w:val="24"/>
                <w:szCs w:val="24"/>
                <w:color w:val="auto"/>
              </w:rPr>
            </w:pPr>
          </w:p>
        </w:tc>
        <w:tc>
          <w:tcPr>
            <w:tcW w:w="2260" w:type="dxa"/>
            <w:vAlign w:val="bottom"/>
            <w:tcBorders>
              <w:bottom w:val="single" w:sz="8" w:color="0F2F50"/>
            </w:tcBorders>
          </w:tcPr>
          <w:p>
            <w:pPr>
              <w:spacing w:after="0"/>
              <w:rPr>
                <w:sz w:val="24"/>
                <w:szCs w:val="24"/>
                <w:color w:val="auto"/>
              </w:rPr>
            </w:pPr>
          </w:p>
        </w:tc>
        <w:tc>
          <w:tcPr>
            <w:tcW w:w="620" w:type="dxa"/>
            <w:vAlign w:val="bottom"/>
            <w:tcBorders>
              <w:bottom w:val="single" w:sz="8" w:color="0F2F50"/>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80" w:type="dxa"/>
            <w:vAlign w:val="bottom"/>
          </w:tcPr>
          <w:p>
            <w:pPr>
              <w:spacing w:after="0" w:line="202" w:lineRule="exact"/>
              <w:rPr>
                <w:sz w:val="20"/>
                <w:szCs w:val="20"/>
                <w:color w:val="auto"/>
              </w:rPr>
            </w:pPr>
            <w:r>
              <w:rPr>
                <w:rFonts w:ascii="Arial" w:cs="Arial" w:eastAsia="Arial" w:hAnsi="Arial"/>
                <w:sz w:val="18"/>
                <w:szCs w:val="18"/>
                <w:color w:val="auto"/>
              </w:rPr>
              <w:t>base dividend of $0.42 per share to shareholders of record as of June 15, 2026, payable on</w:t>
            </w:r>
          </w:p>
        </w:tc>
        <w:tc>
          <w:tcPr>
            <w:tcW w:w="220" w:type="dxa"/>
            <w:vAlign w:val="bottom"/>
            <w:shd w:val="clear" w:color="auto" w:fill="0F2F50"/>
          </w:tcPr>
          <w:p>
            <w:pPr>
              <w:spacing w:after="0"/>
              <w:rPr>
                <w:sz w:val="19"/>
                <w:szCs w:val="19"/>
                <w:color w:val="auto"/>
              </w:rPr>
            </w:pPr>
          </w:p>
        </w:tc>
        <w:tc>
          <w:tcPr>
            <w:tcW w:w="360" w:type="dxa"/>
            <w:vAlign w:val="bottom"/>
            <w:shd w:val="clear" w:color="auto" w:fill="0F2F50"/>
          </w:tcPr>
          <w:p>
            <w:pPr>
              <w:spacing w:after="0"/>
              <w:rPr>
                <w:sz w:val="19"/>
                <w:szCs w:val="19"/>
                <w:color w:val="auto"/>
              </w:rPr>
            </w:pPr>
          </w:p>
        </w:tc>
        <w:tc>
          <w:tcPr>
            <w:tcW w:w="2260" w:type="dxa"/>
            <w:vAlign w:val="bottom"/>
            <w:shd w:val="clear" w:color="auto" w:fill="0F2F50"/>
          </w:tcPr>
          <w:p>
            <w:pPr>
              <w:jc w:val="center"/>
              <w:spacing w:after="0"/>
              <w:rPr>
                <w:sz w:val="20"/>
                <w:szCs w:val="20"/>
                <w:color w:val="auto"/>
              </w:rPr>
            </w:pPr>
            <w:r>
              <w:rPr>
                <w:rFonts w:ascii="Arial" w:cs="Arial" w:eastAsia="Arial" w:hAnsi="Arial"/>
                <w:sz w:val="14"/>
                <w:szCs w:val="14"/>
                <w:b w:val="1"/>
                <w:bCs w:val="1"/>
                <w:color w:val="FFFFFF"/>
              </w:rPr>
              <w:t>NAV</w:t>
            </w:r>
          </w:p>
        </w:tc>
        <w:tc>
          <w:tcPr>
            <w:tcW w:w="620" w:type="dxa"/>
            <w:vAlign w:val="bottom"/>
            <w:shd w:val="clear" w:color="auto" w:fill="0F2F50"/>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8"/>
                <w:szCs w:val="18"/>
                <w:color w:val="auto"/>
              </w:rPr>
              <w:t>June 30, 2026. The decision to revise the base dividend level was informed by what the</w:t>
            </w:r>
          </w:p>
        </w:tc>
        <w:tc>
          <w:tcPr>
            <w:tcW w:w="220" w:type="dxa"/>
            <w:vAlign w:val="bottom"/>
          </w:tcPr>
          <w:p>
            <w:pPr>
              <w:spacing w:after="0"/>
              <w:rPr>
                <w:sz w:val="20"/>
                <w:szCs w:val="20"/>
                <w:color w:val="auto"/>
              </w:rPr>
            </w:pPr>
            <w:r>
              <w:rPr>
                <w:rFonts w:ascii="Arial" w:cs="Arial" w:eastAsia="Arial" w:hAnsi="Arial"/>
                <w:sz w:val="14"/>
                <w:szCs w:val="14"/>
                <w:b w:val="1"/>
                <w:bCs w:val="1"/>
                <w:color w:val="auto"/>
              </w:rPr>
              <w:t>Q1</w:t>
            </w: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2026</w:t>
            </w:r>
          </w:p>
        </w:tc>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($MM):</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$1,542.7</w:t>
            </w:r>
          </w:p>
        </w:tc>
        <w:tc>
          <w:tcPr>
            <w:tcW w:w="0" w:type="dxa"/>
            <w:vAlign w:val="bottom"/>
          </w:tcPr>
          <w:p>
            <w:pPr>
              <w:spacing w:after="0"/>
              <w:rPr>
                <w:sz w:val="1"/>
                <w:szCs w:val="1"/>
                <w:color w:val="auto"/>
              </w:rPr>
            </w:pPr>
          </w:p>
        </w:tc>
      </w:tr>
      <w:tr>
        <w:trPr>
          <w:trHeight w:val="81"/>
        </w:trPr>
        <w:tc>
          <w:tcPr>
            <w:tcW w:w="7780" w:type="dxa"/>
            <w:vAlign w:val="bottom"/>
            <w:vMerge w:val="restart"/>
          </w:tcPr>
          <w:p>
            <w:pPr>
              <w:spacing w:after="0" w:line="197" w:lineRule="exact"/>
              <w:rPr>
                <w:sz w:val="20"/>
                <w:szCs w:val="20"/>
                <w:color w:val="auto"/>
              </w:rPr>
            </w:pPr>
            <w:r>
              <w:rPr>
                <w:rFonts w:ascii="Arial" w:cs="Arial" w:eastAsia="Arial" w:hAnsi="Arial"/>
                <w:sz w:val="18"/>
                <w:szCs w:val="18"/>
                <w:color w:val="auto"/>
              </w:rPr>
              <w:t>Company believes is a responsible and sustainable dividend policy. The supplemental</w:t>
            </w: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7780" w:type="dxa"/>
            <w:vAlign w:val="bottom"/>
            <w:vMerge w:val="continue"/>
          </w:tcPr>
          <w:p>
            <w:pPr>
              <w:spacing w:after="0"/>
              <w:rPr>
                <w:sz w:val="8"/>
                <w:szCs w:val="8"/>
                <w:color w:val="auto"/>
              </w:rPr>
            </w:pPr>
          </w:p>
        </w:tc>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rPr>
              <w:t>Q1</w:t>
            </w: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2026</w:t>
            </w:r>
          </w:p>
        </w:tc>
        <w:tc>
          <w:tcPr>
            <w:tcW w:w="2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 share):</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$16.24</w:t>
            </w:r>
          </w:p>
        </w:tc>
        <w:tc>
          <w:tcPr>
            <w:tcW w:w="0" w:type="dxa"/>
            <w:vAlign w:val="bottom"/>
          </w:tcPr>
          <w:p>
            <w:pPr>
              <w:spacing w:after="0"/>
              <w:rPr>
                <w:sz w:val="1"/>
                <w:szCs w:val="1"/>
                <w:color w:val="auto"/>
              </w:rPr>
            </w:pPr>
          </w:p>
        </w:tc>
      </w:tr>
      <w:tr>
        <w:trPr>
          <w:trHeight w:val="138"/>
        </w:trPr>
        <w:tc>
          <w:tcPr>
            <w:tcW w:w="7780" w:type="dxa"/>
            <w:vAlign w:val="bottom"/>
            <w:vMerge w:val="restart"/>
          </w:tcPr>
          <w:p>
            <w:pPr>
              <w:spacing w:after="0" w:line="161" w:lineRule="exact"/>
              <w:rPr>
                <w:sz w:val="20"/>
                <w:szCs w:val="20"/>
                <w:color w:val="auto"/>
              </w:rPr>
            </w:pPr>
            <w:r>
              <w:rPr>
                <w:rFonts w:ascii="Arial" w:cs="Arial" w:eastAsia="Arial" w:hAnsi="Arial"/>
                <w:sz w:val="18"/>
                <w:szCs w:val="18"/>
                <w:color w:val="auto"/>
              </w:rPr>
              <w:t>dividend policy remains in place to distribute over-earning to shareholders based on the</w:t>
            </w:r>
          </w:p>
        </w:tc>
        <w:tc>
          <w:tcPr>
            <w:tcW w:w="22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7780" w:type="dxa"/>
            <w:vAlign w:val="bottom"/>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Pr>
          <w:p>
            <w:pPr>
              <w:spacing w:after="0"/>
              <w:rPr>
                <w:sz w:val="20"/>
                <w:szCs w:val="20"/>
                <w:color w:val="auto"/>
              </w:rPr>
            </w:pPr>
            <w:r>
              <w:rPr>
                <w:rFonts w:ascii="Arial" w:cs="Arial" w:eastAsia="Arial" w:hAnsi="Arial"/>
                <w:sz w:val="18"/>
                <w:szCs w:val="18"/>
                <w:color w:val="auto"/>
              </w:rPr>
              <w:t>existing framework.</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780" w:type="dxa"/>
            <w:vAlign w:val="bottom"/>
            <w:vMerge w:val="restart"/>
          </w:tcPr>
          <w:p>
            <w:pPr>
              <w:spacing w:after="0"/>
              <w:rPr>
                <w:sz w:val="20"/>
                <w:szCs w:val="20"/>
                <w:color w:val="auto"/>
              </w:rPr>
            </w:pPr>
            <w:r>
              <w:rPr>
                <w:rFonts w:ascii="Arial" w:cs="Arial" w:eastAsia="Arial" w:hAnsi="Arial"/>
                <w:sz w:val="18"/>
                <w:szCs w:val="18"/>
                <w:color w:val="auto"/>
              </w:rPr>
              <w:t>On May 1, 2026, the Company completed an amendment to its Revolving Credit Facility,</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80" w:type="dxa"/>
            <w:vAlign w:val="bottom"/>
            <w:vMerge w:val="continue"/>
          </w:tcPr>
          <w:p>
            <w:pPr>
              <w:spacing w:after="0"/>
              <w:rPr>
                <w:sz w:val="16"/>
                <w:szCs w:val="16"/>
                <w:color w:val="auto"/>
              </w:rPr>
            </w:pPr>
          </w:p>
        </w:tc>
        <w:tc>
          <w:tcPr>
            <w:tcW w:w="220" w:type="dxa"/>
            <w:vAlign w:val="bottom"/>
            <w:shd w:val="clear" w:color="auto" w:fill="0F2F50"/>
          </w:tcPr>
          <w:p>
            <w:pPr>
              <w:spacing w:after="0"/>
              <w:rPr>
                <w:sz w:val="16"/>
                <w:szCs w:val="16"/>
                <w:color w:val="auto"/>
              </w:rPr>
            </w:pPr>
          </w:p>
        </w:tc>
        <w:tc>
          <w:tcPr>
            <w:tcW w:w="360" w:type="dxa"/>
            <w:vAlign w:val="bottom"/>
            <w:shd w:val="clear" w:color="auto" w:fill="0F2F50"/>
          </w:tcPr>
          <w:p>
            <w:pPr>
              <w:spacing w:after="0"/>
              <w:rPr>
                <w:sz w:val="16"/>
                <w:szCs w:val="16"/>
                <w:color w:val="auto"/>
              </w:rPr>
            </w:pPr>
          </w:p>
        </w:tc>
        <w:tc>
          <w:tcPr>
            <w:tcW w:w="2260" w:type="dxa"/>
            <w:vAlign w:val="bottom"/>
            <w:shd w:val="clear" w:color="auto" w:fill="0F2F50"/>
          </w:tcPr>
          <w:p>
            <w:pPr>
              <w:jc w:val="center"/>
              <w:spacing w:after="0"/>
              <w:rPr>
                <w:sz w:val="20"/>
                <w:szCs w:val="20"/>
                <w:color w:val="auto"/>
              </w:rPr>
            </w:pPr>
            <w:r>
              <w:rPr>
                <w:rFonts w:ascii="Arial" w:cs="Arial" w:eastAsia="Arial" w:hAnsi="Arial"/>
                <w:sz w:val="14"/>
                <w:szCs w:val="14"/>
                <w:b w:val="1"/>
                <w:bCs w:val="1"/>
                <w:color w:val="FFFFFF"/>
              </w:rPr>
              <w:t>Dividends Declared (per share)</w:t>
            </w:r>
          </w:p>
        </w:tc>
        <w:tc>
          <w:tcPr>
            <w:tcW w:w="620" w:type="dxa"/>
            <w:vAlign w:val="bottom"/>
            <w:shd w:val="clear" w:color="auto" w:fill="0F2F50"/>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780" w:type="dxa"/>
            <w:vAlign w:val="bottom"/>
            <w:vMerge w:val="restart"/>
          </w:tcPr>
          <w:p>
            <w:pPr>
              <w:spacing w:after="0" w:line="170" w:lineRule="exact"/>
              <w:rPr>
                <w:sz w:val="20"/>
                <w:szCs w:val="20"/>
                <w:color w:val="auto"/>
              </w:rPr>
            </w:pPr>
            <w:r>
              <w:rPr>
                <w:rFonts w:ascii="Arial" w:cs="Arial" w:eastAsia="Arial" w:hAnsi="Arial"/>
                <w:sz w:val="18"/>
                <w:szCs w:val="18"/>
                <w:color w:val="auto"/>
              </w:rPr>
              <w:t>which extended the stated maturity date to May 1, 2031 for $1.525 billion of commitments.</w:t>
            </w:r>
          </w:p>
        </w:tc>
        <w:tc>
          <w:tcPr>
            <w:tcW w:w="220" w:type="dxa"/>
            <w:vAlign w:val="bottom"/>
            <w:shd w:val="clear" w:color="auto" w:fill="0F2F50"/>
          </w:tcPr>
          <w:p>
            <w:pPr>
              <w:spacing w:after="0"/>
              <w:rPr>
                <w:sz w:val="7"/>
                <w:szCs w:val="7"/>
                <w:color w:val="auto"/>
              </w:rPr>
            </w:pPr>
          </w:p>
        </w:tc>
        <w:tc>
          <w:tcPr>
            <w:tcW w:w="360" w:type="dxa"/>
            <w:vAlign w:val="bottom"/>
            <w:shd w:val="clear" w:color="auto" w:fill="0F2F50"/>
          </w:tcPr>
          <w:p>
            <w:pPr>
              <w:spacing w:after="0"/>
              <w:rPr>
                <w:sz w:val="7"/>
                <w:szCs w:val="7"/>
                <w:color w:val="auto"/>
              </w:rPr>
            </w:pPr>
          </w:p>
        </w:tc>
        <w:tc>
          <w:tcPr>
            <w:tcW w:w="2260" w:type="dxa"/>
            <w:vAlign w:val="bottom"/>
            <w:shd w:val="clear" w:color="auto" w:fill="0F2F50"/>
          </w:tcPr>
          <w:p>
            <w:pPr>
              <w:spacing w:after="0"/>
              <w:rPr>
                <w:sz w:val="7"/>
                <w:szCs w:val="7"/>
                <w:color w:val="auto"/>
              </w:rPr>
            </w:pPr>
          </w:p>
        </w:tc>
        <w:tc>
          <w:tcPr>
            <w:tcW w:w="620" w:type="dxa"/>
            <w:vAlign w:val="bottom"/>
            <w:shd w:val="clear" w:color="auto" w:fill="0F2F50"/>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780" w:type="dxa"/>
            <w:vAlign w:val="bottom"/>
            <w:vMerge w:val="continue"/>
          </w:tcPr>
          <w:p>
            <w:pPr>
              <w:spacing w:after="0"/>
              <w:rPr>
                <w:sz w:val="7"/>
                <w:szCs w:val="7"/>
                <w:color w:val="auto"/>
              </w:rPr>
            </w:pPr>
          </w:p>
        </w:tc>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rPr>
              <w:t>Q1</w:t>
            </w: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2026</w:t>
            </w:r>
          </w:p>
        </w:tc>
        <w:tc>
          <w:tcPr>
            <w:tcW w:w="2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(Base):</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$0.46</w:t>
            </w:r>
          </w:p>
        </w:tc>
        <w:tc>
          <w:tcPr>
            <w:tcW w:w="0" w:type="dxa"/>
            <w:vAlign w:val="bottom"/>
          </w:tcPr>
          <w:p>
            <w:pPr>
              <w:spacing w:after="0"/>
              <w:rPr>
                <w:sz w:val="1"/>
                <w:szCs w:val="1"/>
                <w:color w:val="auto"/>
              </w:rPr>
            </w:pPr>
          </w:p>
        </w:tc>
      </w:tr>
      <w:tr>
        <w:trPr>
          <w:trHeight w:val="186"/>
        </w:trPr>
        <w:tc>
          <w:tcPr>
            <w:tcW w:w="7780" w:type="dxa"/>
            <w:vAlign w:val="bottom"/>
          </w:tcPr>
          <w:p>
            <w:pPr>
              <w:spacing w:after="0" w:line="161" w:lineRule="exact"/>
              <w:rPr>
                <w:sz w:val="20"/>
                <w:szCs w:val="20"/>
                <w:color w:val="auto"/>
              </w:rPr>
            </w:pPr>
            <w:r>
              <w:rPr>
                <w:rFonts w:ascii="Arial" w:cs="Arial" w:eastAsia="Arial" w:hAnsi="Arial"/>
                <w:sz w:val="18"/>
                <w:szCs w:val="18"/>
                <w:color w:val="auto"/>
              </w:rPr>
              <w:t>The pricing and other material terms of the facility remain unchanged.</w:t>
            </w:r>
          </w:p>
        </w:tc>
        <w:tc>
          <w:tcPr>
            <w:tcW w:w="22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226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7780" w:type="dxa"/>
            <w:vAlign w:val="bottom"/>
          </w:tcPr>
          <w:p>
            <w:pPr>
              <w:spacing w:after="0"/>
              <w:rPr>
                <w:sz w:val="20"/>
                <w:szCs w:val="20"/>
                <w:color w:val="auto"/>
              </w:rPr>
            </w:pPr>
          </w:p>
        </w:tc>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LTM Q1 2026 (Base):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$1.84</w:t>
            </w: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28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780" w:type="dxa"/>
            <w:vAlign w:val="bottom"/>
          </w:tcPr>
          <w:p>
            <w:pPr>
              <w:spacing w:after="0"/>
              <w:rPr>
                <w:sz w:val="20"/>
                <w:szCs w:val="20"/>
                <w:color w:val="auto"/>
              </w:rPr>
            </w:pPr>
          </w:p>
        </w:tc>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LTM Q1 2026 (Supplemental):</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$0.15</w:t>
            </w: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28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780" w:type="dxa"/>
            <w:vAlign w:val="bottom"/>
          </w:tcPr>
          <w:p>
            <w:pPr>
              <w:spacing w:after="0"/>
              <w:rPr>
                <w:sz w:val="20"/>
                <w:szCs w:val="20"/>
                <w:color w:val="auto"/>
              </w:rPr>
            </w:pPr>
          </w:p>
        </w:tc>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LTM Q1 2026 (Total):</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$1.99</w:t>
            </w:r>
          </w:p>
        </w:tc>
        <w:tc>
          <w:tcPr>
            <w:tcW w:w="0" w:type="dxa"/>
            <w:vAlign w:val="bottom"/>
          </w:tcPr>
          <w:p>
            <w:pPr>
              <w:spacing w:after="0"/>
              <w:rPr>
                <w:sz w:val="1"/>
                <w:szCs w:val="1"/>
                <w:color w:val="auto"/>
              </w:rPr>
            </w:pPr>
          </w:p>
        </w:tc>
      </w:tr>
    </w:tbl>
    <w:p>
      <w:pPr>
        <w:spacing w:after="0" w:line="200" w:lineRule="exact"/>
        <w:rPr>
          <w:rFonts w:ascii="Arial" w:cs="Arial" w:eastAsia="Arial" w:hAnsi="Arial"/>
          <w:sz w:val="14"/>
          <w:szCs w:val="14"/>
          <w:b w:val="1"/>
          <w:bCs w:val="1"/>
          <w:color w:val="FFFFFF"/>
        </w:rPr>
      </w:pPr>
    </w:p>
    <w:p>
      <w:pPr>
        <w:spacing w:after="0" w:line="200" w:lineRule="exact"/>
        <w:rPr>
          <w:rFonts w:ascii="Arial" w:cs="Arial" w:eastAsia="Arial" w:hAnsi="Arial"/>
          <w:sz w:val="14"/>
          <w:szCs w:val="14"/>
          <w:b w:val="1"/>
          <w:bCs w:val="1"/>
          <w:color w:val="FFFFFF"/>
        </w:rPr>
      </w:pPr>
    </w:p>
    <w:p>
      <w:pPr>
        <w:spacing w:after="0" w:line="200" w:lineRule="exact"/>
        <w:rPr>
          <w:rFonts w:ascii="Arial" w:cs="Arial" w:eastAsia="Arial" w:hAnsi="Arial"/>
          <w:sz w:val="14"/>
          <w:szCs w:val="14"/>
          <w:b w:val="1"/>
          <w:bCs w:val="1"/>
          <w:color w:val="FFFFFF"/>
        </w:rPr>
      </w:pPr>
    </w:p>
    <w:p>
      <w:pPr>
        <w:spacing w:after="0" w:line="342" w:lineRule="exact"/>
        <w:rPr>
          <w:rFonts w:ascii="Arial" w:cs="Arial" w:eastAsia="Arial" w:hAnsi="Arial"/>
          <w:sz w:val="14"/>
          <w:szCs w:val="14"/>
          <w:b w:val="1"/>
          <w:bCs w:val="1"/>
          <w:color w:val="FFFFFF"/>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rFonts w:ascii="Arial" w:cs="Arial" w:eastAsia="Arial" w:hAnsi="Arial"/>
          <w:sz w:val="14"/>
          <w:szCs w:val="14"/>
          <w:b w:val="1"/>
          <w:bCs w:val="1"/>
          <w:color w:val="FFFFFF"/>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auto"/>
        </w:rPr>
        <w:t>PORTFOLIO AND INVESTMENT ACTIVITY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ended March 31, 2026, new investment commitments totaled $338.1 million.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compares to $242.4 million for the quarter ended December 31, 2025.</w:t>
      </w:r>
    </w:p>
    <w:p>
      <w:pPr>
        <w:spacing w:after="0" w:line="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quarter ended March 31, 2026, the principal amount of new investments funded was $134.8 million across two new portfolio companies, four upsizes to existing portfolio companies and an initial investment in the previously announced joint venture, Structured Credit Partners. For this period, the Company had $ 113.0 million aggregate principal amount in exits and repayments. For the quarter ended December 31, 2025, the principal amount of new investments funded was</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$196.7 million across five new portfolio companies and four upsizes to existing portfolio companies. For this period, the Company had $234.9 million aggregate principal amount in exits and repayments.</w:t>
      </w:r>
    </w:p>
    <w:p>
      <w:pPr>
        <w:spacing w:after="0" w:line="14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Company had investments in 143</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portfolio companies as of March 31, 2026 and December 31, 2025 with an aggregate fair value of $3,313.4 million and $3,347.3 million, respectively. As of March 31, 2026, the average investment size in each portfolio company was $30.1 million based on fair value.</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March 31, 2026, the Company’s portfolio based on fair value consisted of 89.3% first-lien debt investments, 1.0% second-lien debt investments, 1.9% mezzanine debt investments, 4.6% equity investments, 2.8% structured credit investments and 0.4% joint venture investments. As of December 31, 2025, the Company’s portfolio based on fair value consisted of 89.2% first-lien debt investments, 0.9% second-lien debt investments, 1.8% mezzanine debt investments, 5.2% equity and other investments and 2.9% structured credit investments.</w:t>
      </w:r>
    </w:p>
    <w:p>
      <w:pPr>
        <w:spacing w:after="0" w:line="14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As of March 31, 2026, 96.3% of debt investments</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based on fair value in the portfolio bore interest at floating rates with 100.0% of these subject to reference rate floors. The Company’s credit facilities also bear interest at floating rates. In connection with the Company’s Unsecured Notes, which bear interest at fixed rates, the Company has entered into fixed-to-floating interest rate swaps in order to align the nature of the interest rates of its liabilities with its investment portfolio.</w:t>
      </w:r>
    </w:p>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March 31, 2026 and December 31, 2025, the weighted average total yield of debt and income-producing securities at fair value (which includes interest income and amortization of fees and discounts) was 11.1% and 11.1%, respectively, and the weighted average total yield of debt and income-producing securities at amortized cost (which includes interest income and amortization of fees and discounts) was 11.2% and 11.3% for the quarter ended March 31, 2026 and December 31, 2025, respectively.</w:t>
      </w:r>
    </w:p>
    <w:p>
      <w:pPr>
        <w:spacing w:after="0" w:line="16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As of March 31, 2026 and December 31, 2025, 1.4% and 0.6% of the portfolio at fair value was on non-accrual status, respectively. There was one addition and one removal from non-accrual status during the quarter, resulting in no change to the total number of investments on non-accrual at three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FFFFFF"/>
        </w:rPr>
        <w:t>Q1 2026 Origination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213423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4235" cy="128905"/>
                    </a:xfrm>
                    <a:prstGeom prst="rect">
                      <a:avLst/>
                    </a:prstGeom>
                    <a:noFill/>
                  </pic:spPr>
                </pic:pic>
              </a:graphicData>
            </a:graphic>
          </wp:anchor>
        </w:drawing>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740" w:type="dxa"/>
            <w:vAlign w:val="bottom"/>
          </w:tcPr>
          <w:p>
            <w:pPr>
              <w:spacing w:after="0"/>
              <w:rPr>
                <w:sz w:val="20"/>
                <w:szCs w:val="20"/>
                <w:color w:val="auto"/>
              </w:rPr>
            </w:pPr>
            <w:r>
              <w:rPr>
                <w:rFonts w:ascii="Arial" w:cs="Arial" w:eastAsia="Arial" w:hAnsi="Arial"/>
                <w:sz w:val="15"/>
                <w:szCs w:val="15"/>
                <w:b w:val="1"/>
                <w:bCs w:val="1"/>
                <w:color w:val="auto"/>
              </w:rPr>
              <w:t>Commitments:</w:t>
            </w:r>
          </w:p>
        </w:tc>
        <w:tc>
          <w:tcPr>
            <w:tcW w:w="1400" w:type="dxa"/>
            <w:vAlign w:val="bottom"/>
          </w:tcPr>
          <w:p>
            <w:pPr>
              <w:jc w:val="center"/>
              <w:ind w:left="604"/>
              <w:spacing w:after="0"/>
              <w:rPr>
                <w:sz w:val="20"/>
                <w:szCs w:val="20"/>
                <w:color w:val="auto"/>
              </w:rPr>
            </w:pPr>
            <w:r>
              <w:rPr>
                <w:rFonts w:ascii="Arial" w:cs="Arial" w:eastAsia="Arial" w:hAnsi="Arial"/>
                <w:sz w:val="15"/>
                <w:szCs w:val="15"/>
                <w:b w:val="1"/>
                <w:bCs w:val="1"/>
                <w:color w:val="auto"/>
              </w:rPr>
              <w:t>$338.1MM</w:t>
            </w:r>
          </w:p>
        </w:tc>
      </w:tr>
      <w:tr>
        <w:trPr>
          <w:trHeight w:val="203"/>
        </w:trPr>
        <w:tc>
          <w:tcPr>
            <w:tcW w:w="1740" w:type="dxa"/>
            <w:vAlign w:val="bottom"/>
          </w:tcPr>
          <w:p>
            <w:pPr>
              <w:spacing w:after="0"/>
              <w:rPr>
                <w:sz w:val="20"/>
                <w:szCs w:val="20"/>
                <w:color w:val="auto"/>
              </w:rPr>
            </w:pPr>
            <w:r>
              <w:rPr>
                <w:rFonts w:ascii="Arial" w:cs="Arial" w:eastAsia="Arial" w:hAnsi="Arial"/>
                <w:sz w:val="15"/>
                <w:szCs w:val="15"/>
                <w:b w:val="1"/>
                <w:bCs w:val="1"/>
                <w:color w:val="auto"/>
              </w:rPr>
              <w:t>Fundings:</w:t>
            </w:r>
          </w:p>
        </w:tc>
        <w:tc>
          <w:tcPr>
            <w:tcW w:w="1400" w:type="dxa"/>
            <w:vAlign w:val="bottom"/>
          </w:tcPr>
          <w:p>
            <w:pPr>
              <w:jc w:val="center"/>
              <w:ind w:left="604"/>
              <w:spacing w:after="0"/>
              <w:rPr>
                <w:sz w:val="20"/>
                <w:szCs w:val="20"/>
                <w:color w:val="auto"/>
              </w:rPr>
            </w:pPr>
            <w:r>
              <w:rPr>
                <w:rFonts w:ascii="Arial" w:cs="Arial" w:eastAsia="Arial" w:hAnsi="Arial"/>
                <w:sz w:val="15"/>
                <w:szCs w:val="15"/>
                <w:b w:val="1"/>
                <w:bCs w:val="1"/>
                <w:color w:val="auto"/>
              </w:rPr>
              <w:t>$134.8MM</w:t>
            </w:r>
          </w:p>
        </w:tc>
      </w:tr>
      <w:tr>
        <w:trPr>
          <w:trHeight w:val="210"/>
        </w:trPr>
        <w:tc>
          <w:tcPr>
            <w:tcW w:w="1740" w:type="dxa"/>
            <w:vAlign w:val="bottom"/>
          </w:tcPr>
          <w:p>
            <w:pPr>
              <w:spacing w:after="0"/>
              <w:rPr>
                <w:sz w:val="20"/>
                <w:szCs w:val="20"/>
                <w:color w:val="auto"/>
              </w:rPr>
            </w:pPr>
            <w:r>
              <w:rPr>
                <w:rFonts w:ascii="Arial" w:cs="Arial" w:eastAsia="Arial" w:hAnsi="Arial"/>
                <w:sz w:val="15"/>
                <w:szCs w:val="15"/>
                <w:b w:val="1"/>
                <w:bCs w:val="1"/>
                <w:color w:val="auto"/>
              </w:rPr>
              <w:t>Net Fundings:</w:t>
            </w:r>
          </w:p>
        </w:tc>
        <w:tc>
          <w:tcPr>
            <w:tcW w:w="1400" w:type="dxa"/>
            <w:vAlign w:val="bottom"/>
          </w:tcPr>
          <w:p>
            <w:pPr>
              <w:jc w:val="center"/>
              <w:ind w:left="604"/>
              <w:spacing w:after="0"/>
              <w:rPr>
                <w:sz w:val="20"/>
                <w:szCs w:val="20"/>
                <w:color w:val="auto"/>
              </w:rPr>
            </w:pPr>
            <w:r>
              <w:rPr>
                <w:rFonts w:ascii="Arial" w:cs="Arial" w:eastAsia="Arial" w:hAnsi="Arial"/>
                <w:sz w:val="15"/>
                <w:szCs w:val="15"/>
                <w:b w:val="1"/>
                <w:bCs w:val="1"/>
                <w:color w:val="auto"/>
              </w:rPr>
              <w:t>$21.8MM</w:t>
            </w:r>
          </w:p>
        </w:tc>
      </w:tr>
    </w:tbl>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FFFFFF"/>
        </w:rPr>
        <w:t>Average Investment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213423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34235" cy="128905"/>
                    </a:xfrm>
                    <a:prstGeom prst="rect">
                      <a:avLst/>
                    </a:prstGeom>
                    <a:noFill/>
                  </pic:spPr>
                </pic:pic>
              </a:graphicData>
            </a:graphic>
          </wp:anchor>
        </w:drawing>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$30.1MM</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(0.9% of the portfolio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FFFFFF"/>
        </w:rPr>
        <w:t>First Lien Debt Investments (% FV)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213423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4235" cy="128905"/>
                    </a:xfrm>
                    <a:prstGeom prst="rect">
                      <a:avLst/>
                    </a:prstGeom>
                    <a:noFill/>
                  </pic:spPr>
                </pic:pic>
              </a:graphicData>
            </a:graphic>
          </wp:anchor>
        </w:drawing>
      </w:r>
    </w:p>
    <w:p>
      <w:pPr>
        <w:spacing w:after="0" w:line="18"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auto"/>
        </w:rPr>
        <w:t>89.3%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772160</wp:posOffset>
            </wp:positionV>
            <wp:extent cx="2134235"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342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FFFFFF"/>
        </w:rPr>
        <w:t>Floating Rate Debt Investments</w:t>
      </w:r>
      <w:r>
        <w:rPr>
          <w:rFonts w:ascii="Arial" w:cs="Arial" w:eastAsia="Arial" w:hAnsi="Arial"/>
          <w:sz w:val="20"/>
          <w:szCs w:val="20"/>
          <w:b w:val="1"/>
          <w:bCs w:val="1"/>
          <w:color w:val="FFFFFF"/>
          <w:vertAlign w:val="superscript"/>
        </w:rPr>
        <w:t>2</w:t>
      </w:r>
    </w:p>
    <w:p>
      <w:pPr>
        <w:jc w:val="center"/>
        <w:ind w:right="20"/>
        <w:spacing w:after="0"/>
        <w:rPr>
          <w:sz w:val="20"/>
          <w:szCs w:val="20"/>
          <w:color w:val="auto"/>
        </w:rPr>
      </w:pPr>
      <w:r>
        <w:rPr>
          <w:rFonts w:ascii="Arial" w:cs="Arial" w:eastAsia="Arial" w:hAnsi="Arial"/>
          <w:sz w:val="15"/>
          <w:szCs w:val="15"/>
          <w:b w:val="1"/>
          <w:bCs w:val="1"/>
          <w:color w:val="FFFFFF"/>
        </w:rPr>
        <w:t>(% FV)</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auto"/>
        </w:rPr>
        <w:t>96.3%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0" w:right="400" w:hanging="203"/>
        <w:spacing w:after="0" w:line="245" w:lineRule="auto"/>
        <w:rPr>
          <w:sz w:val="20"/>
          <w:szCs w:val="20"/>
          <w:color w:val="auto"/>
        </w:rPr>
      </w:pPr>
      <w:r>
        <w:rPr>
          <w:rFonts w:ascii="Arial" w:cs="Arial" w:eastAsia="Arial" w:hAnsi="Arial"/>
          <w:sz w:val="15"/>
          <w:szCs w:val="15"/>
          <w:b w:val="1"/>
          <w:bCs w:val="1"/>
          <w:color w:val="FFFFFF"/>
        </w:rPr>
        <w:t>Weighted Average Yield of Debt and Incoming-Producing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-210820</wp:posOffset>
            </wp:positionV>
            <wp:extent cx="213423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34235" cy="2057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9"/>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Yield at Fair Value:</w:t>
            </w:r>
          </w:p>
        </w:tc>
        <w:tc>
          <w:tcPr>
            <w:tcW w:w="11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11.1%</w:t>
            </w:r>
          </w:p>
        </w:tc>
      </w:tr>
      <w:tr>
        <w:trPr>
          <w:trHeight w:val="204"/>
        </w:trPr>
        <w:tc>
          <w:tcPr>
            <w:tcW w:w="2180" w:type="dxa"/>
            <w:vAlign w:val="bottom"/>
          </w:tcPr>
          <w:p>
            <w:pPr>
              <w:ind w:left="20"/>
              <w:spacing w:after="0"/>
              <w:rPr>
                <w:sz w:val="20"/>
                <w:szCs w:val="20"/>
                <w:color w:val="auto"/>
              </w:rPr>
            </w:pPr>
            <w:r>
              <w:rPr>
                <w:rFonts w:ascii="Arial" w:cs="Arial" w:eastAsia="Arial" w:hAnsi="Arial"/>
                <w:sz w:val="15"/>
                <w:szCs w:val="15"/>
                <w:b w:val="1"/>
                <w:bCs w:val="1"/>
                <w:color w:val="auto"/>
              </w:rPr>
              <w:t>Yield at Amortized Cost:</w:t>
            </w:r>
          </w:p>
        </w:tc>
        <w:tc>
          <w:tcPr>
            <w:tcW w:w="1180" w:type="dxa"/>
            <w:vAlign w:val="bottom"/>
          </w:tcPr>
          <w:p>
            <w:pPr>
              <w:jc w:val="right"/>
              <w:ind w:right="264"/>
              <w:spacing w:after="0"/>
              <w:rPr>
                <w:sz w:val="20"/>
                <w:szCs w:val="20"/>
                <w:color w:val="auto"/>
              </w:rPr>
            </w:pPr>
            <w:r>
              <w:rPr>
                <w:rFonts w:ascii="Arial" w:cs="Arial" w:eastAsia="Arial" w:hAnsi="Arial"/>
                <w:sz w:val="15"/>
                <w:szCs w:val="15"/>
                <w:b w:val="1"/>
                <w:bCs w:val="1"/>
                <w:color w:val="auto"/>
              </w:rPr>
              <w:t>11.2%</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0" w:right="20" w:hanging="66"/>
        <w:spacing w:after="0" w:line="255" w:lineRule="auto"/>
        <w:rPr>
          <w:sz w:val="20"/>
          <w:szCs w:val="20"/>
          <w:color w:val="auto"/>
        </w:rPr>
      </w:pPr>
      <w:r>
        <w:rPr>
          <w:rFonts w:ascii="Times New Roman" w:cs="Times New Roman" w:eastAsia="Times New Roman" w:hAnsi="Times New Roman"/>
          <w:sz w:val="14"/>
          <w:szCs w:val="14"/>
          <w:color w:val="auto"/>
        </w:rPr>
        <w:t>1</w:t>
      </w:r>
      <w:r>
        <w:rPr>
          <w:rFonts w:ascii="Arial" w:cs="Arial" w:eastAsia="Arial" w:hAnsi="Arial"/>
          <w:sz w:val="14"/>
          <w:szCs w:val="14"/>
          <w:color w:val="auto"/>
        </w:rPr>
        <w:t>Includes</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36 structured credit investments with a</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total fair value as of March 31, 2026 and December 31, 2025 of $93.8 million and $97.9 million, respectively.</w:t>
      </w:r>
    </w:p>
    <w:p>
      <w:pPr>
        <w:spacing w:after="0" w:line="70" w:lineRule="exact"/>
        <w:rPr>
          <w:sz w:val="20"/>
          <w:szCs w:val="20"/>
          <w:color w:val="auto"/>
        </w:rPr>
      </w:pPr>
    </w:p>
    <w:p>
      <w:pPr>
        <w:jc w:val="both"/>
        <w:ind w:left="100" w:right="20" w:hanging="93"/>
        <w:spacing w:after="0" w:line="262" w:lineRule="auto"/>
        <w:rPr>
          <w:sz w:val="20"/>
          <w:szCs w:val="20"/>
          <w:color w:val="auto"/>
        </w:rPr>
      </w:pPr>
      <w:r>
        <w:rPr>
          <w:rFonts w:ascii="Calibri" w:cs="Calibri" w:eastAsia="Calibri" w:hAnsi="Calibri"/>
          <w:sz w:val="14"/>
          <w:szCs w:val="14"/>
          <w:color w:val="auto"/>
        </w:rPr>
        <w:t>2.</w:t>
      </w:r>
      <w:r>
        <w:rPr>
          <w:rFonts w:ascii="Arial" w:cs="Arial" w:eastAsia="Arial" w:hAnsi="Arial"/>
          <w:sz w:val="14"/>
          <w:szCs w:val="14"/>
          <w:color w:val="auto"/>
        </w:rPr>
        <w:t>Calculation</w:t>
      </w:r>
      <w:r>
        <w:rPr>
          <w:sz w:val="20"/>
          <w:szCs w:val="20"/>
          <w:color w:val="auto"/>
        </w:rPr>
        <w:t xml:space="preserve"> </w:t>
      </w:r>
      <w:r>
        <w:rPr>
          <w:rFonts w:ascii="Arial" w:cs="Arial" w:eastAsia="Arial" w:hAnsi="Arial"/>
          <w:sz w:val="14"/>
          <w:szCs w:val="14"/>
          <w:color w:val="auto"/>
        </w:rPr>
        <w:t>includes income earning debt investments only.</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640" w:space="240"/>
            <w:col w:w="3360"/>
          </w:cols>
          <w:pgMar w:left="320" w:top="1440" w:right="339" w:bottom="1440" w:gutter="0" w:footer="0" w:header="0"/>
          <w:type w:val="continuous"/>
        </w:sectPr>
      </w:pPr>
    </w:p>
    <w:bookmarkStart w:id="5" w:name="page6"/>
    <w:bookmarkEnd w:id="5"/>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auto"/>
        </w:rPr>
        <w:t>RESULTS OF OPERATIONS FOR THE THREE MONTHS ENDED MARCH 31, 2026</w:t>
      </w:r>
    </w:p>
    <w:p>
      <w:pPr>
        <w:sectPr>
          <w:pgSz w:w="11900" w:h="16838" w:orient="portrait"/>
          <w:cols w:equalWidth="0" w:num="1">
            <w:col w:w="11240"/>
          </w:cols>
          <w:pgMar w:left="320" w:top="1440" w:right="3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Investment Income</w:t>
      </w:r>
    </w:p>
    <w:p>
      <w:pPr>
        <w:spacing w:after="0" w:line="250"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For the three months ended March 31, 2026 and 2025, investment income was $93.4 million and $116.3 million, respectively. The decrease in investment income was primarily the result of a decrease in reference rates for the three months ended March 31, 2026 compared to the same period in 2025.</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Expenses</w:t>
      </w:r>
    </w:p>
    <w:p>
      <w:pPr>
        <w:spacing w:after="0" w:line="29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Net expenses totaled $52.4 million and $57.0 million for the three months ended March 31, 2026 and 2025, respectively. The decrease in net expenses was primarily due to a decrease in the average interest rate on our debt outstanding, which decreased from 6.4% for the three months ended March 31, 2025 to 5.5% for the three months ended March 31, 2026 due to a change in the mix of our debt financing sources and a change in SOFR rates.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and Capital Resources</w:t>
      </w:r>
    </w:p>
    <w:p>
      <w:pPr>
        <w:spacing w:after="0" w:line="2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of March 31, 2026, the Company had $29.2 million in cash and cash equivalents (including $28.1 million of restricted cash), total principal value of debt outstanding of $1,827.4 million, and $1,074.8 million of undrawn capacity on its revolving credit facility, subject to borrowing base and other limitations. The Company’s weighted average interest rate on debt outstanding was 5.5% and 6.0% for the three-month periods ended March 31, 2026 and December 31, 2025, respectively. At March 31, 2026, the Company’s debt to equity ratio was 1.18x, compared to 1.10x at December 31, 2025. Average debt to equity was 1.14x for the three-month period ended March 31, 2026, compared to 1.17x for the three-month period ended December 31, 2025.</w:t>
      </w:r>
    </w:p>
    <w:p>
      <w:pPr>
        <w:spacing w:after="0" w:line="85" w:lineRule="exact"/>
        <w:rPr>
          <w:sz w:val="20"/>
          <w:szCs w:val="20"/>
          <w:color w:val="auto"/>
        </w:rPr>
      </w:pPr>
    </w:p>
    <w:p>
      <w:pPr>
        <w:ind w:left="160" w:right="80" w:hanging="152"/>
        <w:spacing w:after="0" w:line="255" w:lineRule="auto"/>
        <w:tabs>
          <w:tab w:leader="none" w:pos="160" w:val="left"/>
        </w:tabs>
        <w:numPr>
          <w:ilvl w:val="0"/>
          <w:numId w:val="2"/>
        </w:numPr>
        <w:rPr>
          <w:rFonts w:ascii="Calibri" w:cs="Calibri" w:eastAsia="Calibri" w:hAnsi="Calibri"/>
          <w:sz w:val="14"/>
          <w:szCs w:val="14"/>
          <w:color w:val="auto"/>
        </w:rPr>
      </w:pPr>
      <w:r>
        <w:rPr>
          <w:rFonts w:ascii="Arial" w:cs="Arial" w:eastAsia="Arial" w:hAnsi="Arial"/>
          <w:sz w:val="14"/>
          <w:szCs w:val="14"/>
          <w:color w:val="auto"/>
        </w:rPr>
        <w:t>Daily average debt outstanding during the quarter divided by the average net assets during the quarter. Average net assets is calculated by starting with the prior quarter end net asset value and adjusting for capital activity during the quarter (adding common stock offerings / DRIP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2134235"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4235" cy="308610"/>
                    </a:xfrm>
                    <a:prstGeom prst="rect">
                      <a:avLst/>
                    </a:prstGeom>
                    <a:noFill/>
                  </pic:spPr>
                </pic:pic>
              </a:graphicData>
            </a:graphic>
          </wp:anchor>
        </w:drawing>
      </w:r>
    </w:p>
    <w:p>
      <w:pPr>
        <w:spacing w:after="0" w:line="294"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$93.4MM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408305</wp:posOffset>
            </wp:positionV>
            <wp:extent cx="2134235" cy="436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3423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FFFFFF"/>
        </w:rPr>
        <w:t>Net Expenses</w:t>
      </w:r>
    </w:p>
    <w:p>
      <w:pPr>
        <w:spacing w:after="0" w:line="200" w:lineRule="exact"/>
        <w:rPr>
          <w:sz w:val="20"/>
          <w:szCs w:val="20"/>
          <w:color w:val="auto"/>
        </w:rPr>
      </w:pPr>
    </w:p>
    <w:p>
      <w:pPr>
        <w:spacing w:after="0" w:line="222"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$52.4MM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FFFFFF"/>
        </w:rPr>
        <w:t>Total Principal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213423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4235" cy="128905"/>
                    </a:xfrm>
                    <a:prstGeom prst="rect">
                      <a:avLst/>
                    </a:prstGeom>
                    <a:noFill/>
                  </pic:spPr>
                </pic:pic>
              </a:graphicData>
            </a:graphic>
          </wp:anchor>
        </w:drawing>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5"/>
          <w:szCs w:val="15"/>
          <w:b w:val="1"/>
          <w:bCs w:val="1"/>
          <w:color w:val="auto"/>
        </w:rPr>
        <w:t>$1,827.4MM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shd w:val="clear" w:color="auto" w:fill="0F2F50"/>
          </w:tcPr>
          <w:p>
            <w:pPr>
              <w:spacing w:after="0"/>
              <w:rPr>
                <w:sz w:val="17"/>
                <w:szCs w:val="17"/>
                <w:color w:val="auto"/>
              </w:rPr>
            </w:pPr>
          </w:p>
        </w:tc>
        <w:tc>
          <w:tcPr>
            <w:tcW w:w="2060" w:type="dxa"/>
            <w:vAlign w:val="bottom"/>
            <w:shd w:val="clear" w:color="auto" w:fill="0F2F50"/>
          </w:tcPr>
          <w:p>
            <w:pPr>
              <w:ind w:left="320"/>
              <w:spacing w:after="0"/>
              <w:rPr>
                <w:sz w:val="20"/>
                <w:szCs w:val="20"/>
                <w:color w:val="auto"/>
              </w:rPr>
            </w:pPr>
            <w:r>
              <w:rPr>
                <w:rFonts w:ascii="Arial" w:cs="Arial" w:eastAsia="Arial" w:hAnsi="Arial"/>
                <w:sz w:val="15"/>
                <w:szCs w:val="15"/>
                <w:b w:val="1"/>
                <w:bCs w:val="1"/>
                <w:color w:val="FFFFFF"/>
              </w:rPr>
              <w:t>Debt-to-Equity Ratio</w:t>
            </w:r>
          </w:p>
        </w:tc>
        <w:tc>
          <w:tcPr>
            <w:tcW w:w="680" w:type="dxa"/>
            <w:vAlign w:val="bottom"/>
            <w:shd w:val="clear" w:color="auto" w:fill="0F2F50"/>
          </w:tcPr>
          <w:p>
            <w:pPr>
              <w:spacing w:after="0"/>
              <w:rPr>
                <w:sz w:val="17"/>
                <w:szCs w:val="17"/>
                <w:color w:val="auto"/>
              </w:rPr>
            </w:pPr>
          </w:p>
        </w:tc>
      </w:tr>
      <w:tr>
        <w:trPr>
          <w:trHeight w:val="167"/>
        </w:trPr>
        <w:tc>
          <w:tcPr>
            <w:tcW w:w="620" w:type="dxa"/>
            <w:vAlign w:val="bottom"/>
          </w:tcPr>
          <w:p>
            <w:pPr>
              <w:ind w:left="20"/>
              <w:spacing w:after="0" w:line="167" w:lineRule="exact"/>
              <w:rPr>
                <w:sz w:val="20"/>
                <w:szCs w:val="20"/>
                <w:color w:val="auto"/>
              </w:rPr>
            </w:pPr>
            <w:r>
              <w:rPr>
                <w:rFonts w:ascii="Arial" w:cs="Arial" w:eastAsia="Arial" w:hAnsi="Arial"/>
                <w:sz w:val="15"/>
                <w:szCs w:val="15"/>
                <w:b w:val="1"/>
                <w:bCs w:val="1"/>
                <w:color w:val="auto"/>
              </w:rPr>
              <w:t>Q1 2026</w:t>
            </w:r>
          </w:p>
        </w:tc>
        <w:tc>
          <w:tcPr>
            <w:tcW w:w="2060" w:type="dxa"/>
            <w:vAlign w:val="bottom"/>
          </w:tcPr>
          <w:p>
            <w:pPr>
              <w:ind w:left="20"/>
              <w:spacing w:after="0" w:line="167" w:lineRule="exact"/>
              <w:rPr>
                <w:sz w:val="20"/>
                <w:szCs w:val="20"/>
                <w:color w:val="auto"/>
              </w:rPr>
            </w:pPr>
            <w:r>
              <w:rPr>
                <w:rFonts w:ascii="Arial" w:cs="Arial" w:eastAsia="Arial" w:hAnsi="Arial"/>
                <w:sz w:val="15"/>
                <w:szCs w:val="15"/>
                <w:b w:val="1"/>
                <w:bCs w:val="1"/>
                <w:color w:val="auto"/>
              </w:rPr>
              <w:t>Quarter End:</w:t>
            </w:r>
          </w:p>
        </w:tc>
        <w:tc>
          <w:tcPr>
            <w:tcW w:w="680" w:type="dxa"/>
            <w:vAlign w:val="bottom"/>
          </w:tcPr>
          <w:p>
            <w:pPr>
              <w:ind w:left="280"/>
              <w:spacing w:after="0" w:line="167" w:lineRule="exact"/>
              <w:rPr>
                <w:sz w:val="20"/>
                <w:szCs w:val="20"/>
                <w:color w:val="auto"/>
              </w:rPr>
            </w:pPr>
            <w:r>
              <w:rPr>
                <w:rFonts w:ascii="Arial" w:cs="Arial" w:eastAsia="Arial" w:hAnsi="Arial"/>
                <w:sz w:val="15"/>
                <w:szCs w:val="15"/>
                <w:b w:val="1"/>
                <w:bCs w:val="1"/>
                <w:color w:val="auto"/>
              </w:rPr>
              <w:t>1.18x</w:t>
            </w:r>
          </w:p>
        </w:tc>
      </w:tr>
      <w:tr>
        <w:trPr>
          <w:trHeight w:val="280"/>
        </w:trPr>
        <w:tc>
          <w:tcPr>
            <w:tcW w:w="620" w:type="dxa"/>
            <w:vAlign w:val="bottom"/>
          </w:tcPr>
          <w:p>
            <w:pPr>
              <w:ind w:left="20"/>
              <w:spacing w:after="0"/>
              <w:rPr>
                <w:sz w:val="20"/>
                <w:szCs w:val="20"/>
                <w:color w:val="auto"/>
              </w:rPr>
            </w:pPr>
            <w:r>
              <w:rPr>
                <w:rFonts w:ascii="Arial" w:cs="Arial" w:eastAsia="Arial" w:hAnsi="Arial"/>
                <w:sz w:val="15"/>
                <w:szCs w:val="15"/>
                <w:b w:val="1"/>
                <w:bCs w:val="1"/>
                <w:color w:val="auto"/>
              </w:rPr>
              <w:t>Q1 2026</w:t>
            </w:r>
          </w:p>
        </w:tc>
        <w:tc>
          <w:tcPr>
            <w:tcW w:w="2060" w:type="dxa"/>
            <w:vAlign w:val="bottom"/>
          </w:tcPr>
          <w:p>
            <w:pPr>
              <w:ind w:left="20"/>
              <w:spacing w:after="0"/>
              <w:rPr>
                <w:sz w:val="20"/>
                <w:szCs w:val="20"/>
                <w:color w:val="auto"/>
              </w:rPr>
            </w:pPr>
            <w:r>
              <w:rPr>
                <w:rFonts w:ascii="Arial" w:cs="Arial" w:eastAsia="Arial" w:hAnsi="Arial"/>
                <w:sz w:val="15"/>
                <w:szCs w:val="15"/>
                <w:b w:val="1"/>
                <w:bCs w:val="1"/>
                <w:color w:val="auto"/>
              </w:rPr>
              <w:t>Average</w:t>
            </w:r>
            <w:r>
              <w:rPr>
                <w:rFonts w:ascii="Arial" w:cs="Arial" w:eastAsia="Arial" w:hAnsi="Arial"/>
                <w:sz w:val="20"/>
                <w:szCs w:val="20"/>
                <w:b w:val="1"/>
                <w:bCs w:val="1"/>
                <w:color w:val="auto"/>
                <w:vertAlign w:val="superscript"/>
              </w:rPr>
              <w:t>1</w:t>
            </w:r>
            <w:r>
              <w:rPr>
                <w:rFonts w:ascii="Arial" w:cs="Arial" w:eastAsia="Arial" w:hAnsi="Arial"/>
                <w:sz w:val="15"/>
                <w:szCs w:val="15"/>
                <w:b w:val="1"/>
                <w:bCs w:val="1"/>
                <w:color w:val="auto"/>
              </w:rPr>
              <w:t>:</w:t>
            </w:r>
          </w:p>
        </w:tc>
        <w:tc>
          <w:tcPr>
            <w:tcW w:w="680" w:type="dxa"/>
            <w:vAlign w:val="bottom"/>
          </w:tcPr>
          <w:p>
            <w:pPr>
              <w:ind w:left="280"/>
              <w:spacing w:after="0"/>
              <w:rPr>
                <w:sz w:val="20"/>
                <w:szCs w:val="20"/>
                <w:color w:val="auto"/>
              </w:rPr>
            </w:pPr>
            <w:r>
              <w:rPr>
                <w:rFonts w:ascii="Arial" w:cs="Arial" w:eastAsia="Arial" w:hAnsi="Arial"/>
                <w:sz w:val="15"/>
                <w:szCs w:val="15"/>
                <w:b w:val="1"/>
                <w:bCs w:val="1"/>
                <w:color w:val="auto"/>
              </w:rPr>
              <w:t>1.14x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7620" w:space="260"/>
            <w:col w:w="3360"/>
          </w:cols>
          <w:pgMar w:left="320" w:top="1440" w:right="339" w:bottom="1440" w:gutter="0" w:footer="0" w:header="0"/>
          <w:type w:val="continuous"/>
        </w:sectPr>
      </w:pPr>
    </w:p>
    <w:bookmarkStart w:id="6" w:name="page7"/>
    <w:bookmarkEnd w:id="6"/>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LIQUIDITY AND FUNDING PROFILE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10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tables summarize the Company’s liquidity at March 31, 2026 and changes to unfunded commitments since December 31, 2025.</w:t>
      </w:r>
    </w:p>
    <w:p>
      <w:pPr>
        <w:sectPr>
          <w:pgSz w:w="11900" w:h="16838" w:orient="portrait"/>
          <w:cols w:equalWidth="0" w:num="1">
            <w:col w:w="11240"/>
          </w:cols>
          <w:pgMar w:left="320" w:top="1440" w:right="339" w:bottom="1440" w:gutter="0" w:footer="0" w:header="0"/>
        </w:sectPr>
      </w:pP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Millions</w:t>
      </w:r>
    </w:p>
    <w:p>
      <w:pPr>
        <w:ind w:left="1700"/>
        <w:spacing w:after="0" w:line="233" w:lineRule="auto"/>
        <w:rPr>
          <w:sz w:val="20"/>
          <w:szCs w:val="20"/>
          <w:color w:val="auto"/>
        </w:rPr>
      </w:pPr>
      <w:r>
        <w:rPr>
          <w:rFonts w:ascii="Arial" w:cs="Arial" w:eastAsia="Arial" w:hAnsi="Arial"/>
          <w:sz w:val="18"/>
          <w:szCs w:val="18"/>
          <w:b w:val="1"/>
          <w:bCs w:val="1"/>
          <w:color w:val="FFFFFF"/>
        </w:rPr>
        <w:t>Revolving Credit Facility</w:t>
      </w:r>
      <w:r>
        <w:rPr>
          <w:rFonts w:ascii="Arial" w:cs="Arial" w:eastAsia="Arial" w:hAnsi="Arial"/>
          <w:sz w:val="24"/>
          <w:szCs w:val="24"/>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53187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31870"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464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Revolver Capacity</w:t>
            </w:r>
          </w:p>
        </w:tc>
        <w:tc>
          <w:tcPr>
            <w:tcW w:w="92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$1,525</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color w:val="auto"/>
              </w:rPr>
              <w:t>Drawn on Revolver</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color w:val="auto"/>
              </w:rPr>
              <w:t>($577)</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color w:val="auto"/>
              </w:rPr>
              <w:t>Unrestricted Cash Balance</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color w:val="auto"/>
              </w:rPr>
              <w:t>$1</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color w:val="auto"/>
              </w:rPr>
              <w:t>Issued Letters of Credit</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color w:val="auto"/>
              </w:rPr>
              <w:t>($23)</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b w:val="1"/>
                <w:bCs w:val="1"/>
                <w:color w:val="auto"/>
              </w:rPr>
              <w:t>Total Liquidity (Pre-Unfunded Commitments)</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b w:val="1"/>
                <w:bCs w:val="1"/>
                <w:color w:val="auto"/>
              </w:rPr>
              <w:t>$926</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color w:val="auto"/>
              </w:rPr>
              <w:t>Available Unfunded Commitments</w:t>
            </w:r>
            <w:r>
              <w:rPr>
                <w:rFonts w:ascii="Arial" w:cs="Arial" w:eastAsia="Arial" w:hAnsi="Arial"/>
                <w:sz w:val="21"/>
                <w:szCs w:val="21"/>
                <w:color w:val="auto"/>
                <w:vertAlign w:val="superscript"/>
              </w:rPr>
              <w:t>2</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color w:val="auto"/>
              </w:rPr>
              <w:t>($249)</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b w:val="1"/>
                <w:bCs w:val="1"/>
                <w:color w:val="auto"/>
              </w:rPr>
              <w:t>Total Liquidity (Burdened for Unfunded Commitments)</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b w:val="1"/>
                <w:bCs w:val="1"/>
                <w:color w:val="auto"/>
              </w:rPr>
              <w:t>$701</w:t>
            </w:r>
          </w:p>
        </w:tc>
      </w:tr>
    </w:tbl>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FFFFFF"/>
        </w:rPr>
        <w:t>Unfunded Commitment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345440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54400" cy="16319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40" w:type="dxa"/>
            <w:vAlign w:val="bottom"/>
            <w:tcBorders>
              <w:bottom w:val="single" w:sz="8" w:color="ECEEF0"/>
            </w:tcBorders>
          </w:tcPr>
          <w:p>
            <w:pPr>
              <w:spacing w:after="0"/>
              <w:rPr>
                <w:sz w:val="20"/>
                <w:szCs w:val="20"/>
                <w:color w:val="auto"/>
              </w:rPr>
            </w:pPr>
            <w:r>
              <w:rPr>
                <w:rFonts w:ascii="Arial" w:cs="Arial" w:eastAsia="Arial" w:hAnsi="Arial"/>
                <w:sz w:val="16"/>
                <w:szCs w:val="16"/>
                <w:b w:val="1"/>
                <w:bCs w:val="1"/>
                <w:color w:val="auto"/>
              </w:rPr>
              <w:t>Unfunded Commitments (See Note 8 in 12/31/25 10-K)</w:t>
            </w:r>
          </w:p>
        </w:tc>
        <w:tc>
          <w:tcPr>
            <w:tcW w:w="920" w:type="dxa"/>
            <w:vAlign w:val="bottom"/>
            <w:tcBorders>
              <w:bottom w:val="single" w:sz="8" w:color="ECEEF0"/>
            </w:tcBorders>
            <w:gridSpan w:val="2"/>
          </w:tcPr>
          <w:p>
            <w:pPr>
              <w:jc w:val="right"/>
              <w:ind w:right="20"/>
              <w:spacing w:after="0"/>
              <w:rPr>
                <w:sz w:val="20"/>
                <w:szCs w:val="20"/>
                <w:color w:val="auto"/>
              </w:rPr>
            </w:pPr>
            <w:r>
              <w:rPr>
                <w:rFonts w:ascii="Arial" w:cs="Arial" w:eastAsia="Arial" w:hAnsi="Arial"/>
                <w:sz w:val="16"/>
                <w:szCs w:val="16"/>
                <w:b w:val="1"/>
                <w:bCs w:val="1"/>
                <w:color w:val="auto"/>
              </w:rPr>
              <w:t>$339</w:t>
            </w:r>
          </w:p>
        </w:tc>
        <w:tc>
          <w:tcPr>
            <w:tcW w:w="20" w:type="dxa"/>
            <w:vAlign w:val="bottom"/>
          </w:tcPr>
          <w:p>
            <w:pPr>
              <w:spacing w:after="0"/>
              <w:rPr>
                <w:sz w:val="16"/>
                <w:szCs w:val="16"/>
                <w:color w:val="auto"/>
              </w:rPr>
            </w:pPr>
          </w:p>
        </w:tc>
      </w:tr>
      <w:tr>
        <w:trPr>
          <w:trHeight w:val="183"/>
        </w:trPr>
        <w:tc>
          <w:tcPr>
            <w:tcW w:w="4540" w:type="dxa"/>
            <w:vAlign w:val="bottom"/>
            <w:tcBorders>
              <w:bottom w:val="single" w:sz="8" w:color="ECEEF0"/>
            </w:tcBorders>
          </w:tcPr>
          <w:p>
            <w:pPr>
              <w:spacing w:after="0" w:line="183" w:lineRule="exact"/>
              <w:rPr>
                <w:sz w:val="20"/>
                <w:szCs w:val="20"/>
                <w:color w:val="auto"/>
              </w:rPr>
            </w:pPr>
            <w:r>
              <w:rPr>
                <w:rFonts w:ascii="Arial" w:cs="Arial" w:eastAsia="Arial" w:hAnsi="Arial"/>
                <w:sz w:val="16"/>
                <w:szCs w:val="16"/>
                <w:color w:val="auto"/>
              </w:rPr>
              <w:t>Extinguished Unfunded Commitments</w:t>
            </w:r>
          </w:p>
        </w:tc>
        <w:tc>
          <w:tcPr>
            <w:tcW w:w="920" w:type="dxa"/>
            <w:vAlign w:val="bottom"/>
            <w:tcBorders>
              <w:bottom w:val="single" w:sz="8" w:color="ECEEF0"/>
            </w:tcBorders>
            <w:gridSpan w:val="2"/>
          </w:tcPr>
          <w:p>
            <w:pPr>
              <w:jc w:val="right"/>
              <w:ind w:right="20"/>
              <w:spacing w:after="0" w:line="183" w:lineRule="exact"/>
              <w:rPr>
                <w:sz w:val="20"/>
                <w:szCs w:val="20"/>
                <w:color w:val="auto"/>
              </w:rPr>
            </w:pPr>
            <w:r>
              <w:rPr>
                <w:rFonts w:ascii="Arial" w:cs="Arial" w:eastAsia="Arial" w:hAnsi="Arial"/>
                <w:sz w:val="16"/>
                <w:szCs w:val="16"/>
                <w:color w:val="auto"/>
              </w:rPr>
              <w:t>($7)</w:t>
            </w:r>
          </w:p>
        </w:tc>
        <w:tc>
          <w:tcPr>
            <w:tcW w:w="20" w:type="dxa"/>
            <w:vAlign w:val="bottom"/>
          </w:tcPr>
          <w:p>
            <w:pPr>
              <w:spacing w:after="0"/>
              <w:rPr>
                <w:sz w:val="15"/>
                <w:szCs w:val="15"/>
                <w:color w:val="auto"/>
              </w:rPr>
            </w:pPr>
          </w:p>
        </w:tc>
      </w:tr>
      <w:tr>
        <w:trPr>
          <w:trHeight w:val="183"/>
        </w:trPr>
        <w:tc>
          <w:tcPr>
            <w:tcW w:w="4540" w:type="dxa"/>
            <w:vAlign w:val="bottom"/>
            <w:tcBorders>
              <w:bottom w:val="single" w:sz="8" w:color="ECEEF0"/>
            </w:tcBorders>
          </w:tcPr>
          <w:p>
            <w:pPr>
              <w:spacing w:after="0" w:line="183" w:lineRule="exact"/>
              <w:rPr>
                <w:sz w:val="20"/>
                <w:szCs w:val="20"/>
                <w:color w:val="auto"/>
              </w:rPr>
            </w:pPr>
            <w:r>
              <w:rPr>
                <w:rFonts w:ascii="Arial" w:cs="Arial" w:eastAsia="Arial" w:hAnsi="Arial"/>
                <w:sz w:val="16"/>
                <w:szCs w:val="16"/>
                <w:color w:val="auto"/>
              </w:rPr>
              <w:t>New Unfunded Commitments</w:t>
            </w:r>
          </w:p>
        </w:tc>
        <w:tc>
          <w:tcPr>
            <w:tcW w:w="920" w:type="dxa"/>
            <w:vAlign w:val="bottom"/>
            <w:tcBorders>
              <w:bottom w:val="single" w:sz="8" w:color="ECEEF0"/>
            </w:tcBorders>
            <w:gridSpan w:val="2"/>
          </w:tcPr>
          <w:p>
            <w:pPr>
              <w:jc w:val="right"/>
              <w:ind w:right="20"/>
              <w:spacing w:after="0" w:line="183" w:lineRule="exact"/>
              <w:rPr>
                <w:sz w:val="20"/>
                <w:szCs w:val="20"/>
                <w:color w:val="auto"/>
              </w:rPr>
            </w:pPr>
            <w:r>
              <w:rPr>
                <w:rFonts w:ascii="Arial" w:cs="Arial" w:eastAsia="Arial" w:hAnsi="Arial"/>
                <w:sz w:val="16"/>
                <w:szCs w:val="16"/>
                <w:color w:val="auto"/>
              </w:rPr>
              <w:t>$220</w:t>
            </w:r>
          </w:p>
        </w:tc>
        <w:tc>
          <w:tcPr>
            <w:tcW w:w="20" w:type="dxa"/>
            <w:vAlign w:val="bottom"/>
          </w:tcPr>
          <w:p>
            <w:pPr>
              <w:spacing w:after="0"/>
              <w:rPr>
                <w:sz w:val="15"/>
                <w:szCs w:val="15"/>
                <w:color w:val="auto"/>
              </w:rPr>
            </w:pPr>
          </w:p>
        </w:tc>
      </w:tr>
      <w:tr>
        <w:trPr>
          <w:trHeight w:val="183"/>
        </w:trPr>
        <w:tc>
          <w:tcPr>
            <w:tcW w:w="4540" w:type="dxa"/>
            <w:vAlign w:val="bottom"/>
            <w:tcBorders>
              <w:bottom w:val="single" w:sz="8" w:color="ECEEF0"/>
            </w:tcBorders>
          </w:tcPr>
          <w:p>
            <w:pPr>
              <w:spacing w:after="0" w:line="183" w:lineRule="exact"/>
              <w:rPr>
                <w:sz w:val="20"/>
                <w:szCs w:val="20"/>
                <w:color w:val="auto"/>
              </w:rPr>
            </w:pPr>
            <w:r>
              <w:rPr>
                <w:rFonts w:ascii="Arial" w:cs="Arial" w:eastAsia="Arial" w:hAnsi="Arial"/>
                <w:sz w:val="16"/>
                <w:szCs w:val="16"/>
                <w:color w:val="auto"/>
              </w:rPr>
              <w:t>Net Drawdown of Unfunded Commitments</w:t>
            </w:r>
          </w:p>
        </w:tc>
        <w:tc>
          <w:tcPr>
            <w:tcW w:w="920" w:type="dxa"/>
            <w:vAlign w:val="bottom"/>
            <w:tcBorders>
              <w:bottom w:val="single" w:sz="8" w:color="ECEEF0"/>
            </w:tcBorders>
            <w:gridSpan w:val="2"/>
          </w:tcPr>
          <w:p>
            <w:pPr>
              <w:jc w:val="right"/>
              <w:ind w:right="20"/>
              <w:spacing w:after="0" w:line="183" w:lineRule="exact"/>
              <w:rPr>
                <w:sz w:val="20"/>
                <w:szCs w:val="20"/>
                <w:color w:val="auto"/>
              </w:rPr>
            </w:pPr>
            <w:r>
              <w:rPr>
                <w:rFonts w:ascii="Arial" w:cs="Arial" w:eastAsia="Arial" w:hAnsi="Arial"/>
                <w:sz w:val="16"/>
                <w:szCs w:val="16"/>
                <w:color w:val="auto"/>
              </w:rPr>
              <w:t>($39)</w:t>
            </w:r>
          </w:p>
        </w:tc>
        <w:tc>
          <w:tcPr>
            <w:tcW w:w="20" w:type="dxa"/>
            <w:vAlign w:val="bottom"/>
          </w:tcPr>
          <w:p>
            <w:pPr>
              <w:spacing w:after="0"/>
              <w:rPr>
                <w:sz w:val="15"/>
                <w:szCs w:val="15"/>
                <w:color w:val="auto"/>
              </w:rPr>
            </w:pPr>
          </w:p>
        </w:tc>
      </w:tr>
      <w:tr>
        <w:trPr>
          <w:trHeight w:val="183"/>
        </w:trPr>
        <w:tc>
          <w:tcPr>
            <w:tcW w:w="4540" w:type="dxa"/>
            <w:vAlign w:val="bottom"/>
          </w:tcPr>
          <w:p>
            <w:pPr>
              <w:spacing w:after="0" w:line="183" w:lineRule="exact"/>
              <w:rPr>
                <w:sz w:val="20"/>
                <w:szCs w:val="20"/>
                <w:color w:val="auto"/>
              </w:rPr>
            </w:pPr>
            <w:r>
              <w:rPr>
                <w:rFonts w:ascii="Arial" w:cs="Arial" w:eastAsia="Arial" w:hAnsi="Arial"/>
                <w:sz w:val="16"/>
                <w:szCs w:val="16"/>
                <w:b w:val="1"/>
                <w:bCs w:val="1"/>
                <w:color w:val="auto"/>
              </w:rPr>
              <w:t>Total Unfunded Commitments</w:t>
            </w:r>
          </w:p>
        </w:tc>
        <w:tc>
          <w:tcPr>
            <w:tcW w:w="920" w:type="dxa"/>
            <w:vAlign w:val="bottom"/>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$512</w:t>
            </w:r>
          </w:p>
        </w:tc>
        <w:tc>
          <w:tcPr>
            <w:tcW w:w="20" w:type="dxa"/>
            <w:vAlign w:val="bottom"/>
          </w:tcPr>
          <w:p>
            <w:pPr>
              <w:spacing w:after="0"/>
              <w:rPr>
                <w:sz w:val="15"/>
                <w:szCs w:val="15"/>
                <w:color w:val="auto"/>
              </w:rPr>
            </w:pPr>
          </w:p>
        </w:tc>
      </w:tr>
      <w:tr>
        <w:trPr>
          <w:trHeight w:val="183"/>
        </w:trPr>
        <w:tc>
          <w:tcPr>
            <w:tcW w:w="4540" w:type="dxa"/>
            <w:vAlign w:val="bottom"/>
            <w:tcBorders>
              <w:top w:val="single" w:sz="8" w:color="ECEEF0"/>
              <w:bottom w:val="single" w:sz="8" w:color="ECEEF0"/>
            </w:tcBorders>
          </w:tcPr>
          <w:p>
            <w:pPr>
              <w:spacing w:after="0" w:line="183" w:lineRule="exact"/>
              <w:rPr>
                <w:sz w:val="20"/>
                <w:szCs w:val="20"/>
                <w:color w:val="auto"/>
              </w:rPr>
            </w:pPr>
            <w:r>
              <w:rPr>
                <w:rFonts w:ascii="Arial" w:cs="Arial" w:eastAsia="Arial" w:hAnsi="Arial"/>
                <w:sz w:val="16"/>
                <w:szCs w:val="16"/>
                <w:color w:val="auto"/>
              </w:rPr>
              <w:t>Unavailable Unfunded Commitments</w:t>
            </w:r>
            <w:r>
              <w:rPr>
                <w:rFonts w:ascii="Arial" w:cs="Arial" w:eastAsia="Arial" w:hAnsi="Arial"/>
                <w:sz w:val="21"/>
                <w:szCs w:val="21"/>
                <w:color w:val="auto"/>
                <w:vertAlign w:val="superscript"/>
              </w:rPr>
              <w:t>2</w:t>
            </w:r>
          </w:p>
        </w:tc>
        <w:tc>
          <w:tcPr>
            <w:tcW w:w="900" w:type="dxa"/>
            <w:vAlign w:val="bottom"/>
            <w:tcBorders>
              <w:top w:val="single" w:sz="8" w:color="ECEEF0"/>
              <w:bottom w:val="single" w:sz="8" w:color="ECEEF0"/>
            </w:tcBorders>
          </w:tcPr>
          <w:p>
            <w:pPr>
              <w:jc w:val="right"/>
              <w:spacing w:after="0" w:line="183" w:lineRule="exact"/>
              <w:rPr>
                <w:sz w:val="20"/>
                <w:szCs w:val="20"/>
                <w:color w:val="auto"/>
              </w:rPr>
            </w:pPr>
            <w:r>
              <w:rPr>
                <w:rFonts w:ascii="Arial" w:cs="Arial" w:eastAsia="Arial" w:hAnsi="Arial"/>
                <w:sz w:val="16"/>
                <w:szCs w:val="16"/>
                <w:color w:val="auto"/>
              </w:rPr>
              <w:t>($263)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540" w:type="dxa"/>
            <w:vAlign w:val="bottom"/>
            <w:tcBorders>
              <w:bottom w:val="single" w:sz="8" w:color="ECEEF0"/>
            </w:tcBorders>
          </w:tcPr>
          <w:p>
            <w:pPr>
              <w:spacing w:after="0" w:line="183" w:lineRule="exact"/>
              <w:rPr>
                <w:sz w:val="20"/>
                <w:szCs w:val="20"/>
                <w:color w:val="auto"/>
              </w:rPr>
            </w:pPr>
            <w:r>
              <w:rPr>
                <w:rFonts w:ascii="Arial" w:cs="Arial" w:eastAsia="Arial" w:hAnsi="Arial"/>
                <w:sz w:val="16"/>
                <w:szCs w:val="16"/>
                <w:b w:val="1"/>
                <w:bCs w:val="1"/>
                <w:color w:val="auto"/>
              </w:rPr>
              <w:t>Available Unfunded Commitments</w:t>
            </w:r>
            <w:r>
              <w:rPr>
                <w:rFonts w:ascii="Arial" w:cs="Arial" w:eastAsia="Arial" w:hAnsi="Arial"/>
                <w:sz w:val="21"/>
                <w:szCs w:val="21"/>
                <w:color w:val="auto"/>
                <w:vertAlign w:val="superscript"/>
              </w:rPr>
              <w:t>2</w:t>
            </w:r>
          </w:p>
        </w:tc>
        <w:tc>
          <w:tcPr>
            <w:tcW w:w="90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b w:val="1"/>
                <w:bCs w:val="1"/>
                <w:color w:val="auto"/>
              </w:rPr>
              <w:t>$249</w:t>
            </w:r>
          </w:p>
        </w:tc>
        <w:tc>
          <w:tcPr>
            <w:tcW w:w="20" w:type="dxa"/>
            <w:vAlign w:val="bottom"/>
            <w:tcBorders>
              <w:bottom w:val="single" w:sz="8" w:color="ECEEF0"/>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117" w:lineRule="exact"/>
        <w:rPr>
          <w:sz w:val="20"/>
          <w:szCs w:val="20"/>
          <w:color w:val="auto"/>
        </w:rPr>
      </w:pPr>
    </w:p>
    <w:p>
      <w:pPr>
        <w:sectPr>
          <w:pgSz w:w="11900" w:h="16838" w:orient="portrait"/>
          <w:cols w:equalWidth="0" w:num="2">
            <w:col w:w="5560" w:space="240"/>
            <w:col w:w="5440"/>
          </w:cols>
          <w:pgMar w:left="320" w:top="1440" w:right="339" w:bottom="1440" w:gutter="0" w:footer="0" w:header="0"/>
          <w:type w:val="continuous"/>
        </w:sectPr>
      </w:pPr>
    </w:p>
    <w:p>
      <w:pPr>
        <w:ind w:left="380" w:hanging="372"/>
        <w:spacing w:after="0" w:line="219" w:lineRule="auto"/>
        <w:tabs>
          <w:tab w:leader="none" w:pos="380" w:val="left"/>
        </w:tabs>
        <w:numPr>
          <w:ilvl w:val="0"/>
          <w:numId w:val="3"/>
        </w:numPr>
        <w:rPr>
          <w:rFonts w:ascii="Calibri" w:cs="Calibri" w:eastAsia="Calibri" w:hAnsi="Calibri"/>
          <w:sz w:val="13"/>
          <w:szCs w:val="13"/>
          <w:color w:val="auto"/>
        </w:rPr>
      </w:pPr>
      <w:r>
        <w:rPr>
          <w:rFonts w:ascii="Arial" w:cs="Arial" w:eastAsia="Arial" w:hAnsi="Arial"/>
          <w:sz w:val="13"/>
          <w:szCs w:val="13"/>
          <w:color w:val="auto"/>
        </w:rPr>
        <w:t>Adjusted for 17th amendment and extension to the revolving credit facility closed on May 1, 2026. As part of the transaction, $150 million of remaining non-extending commitments with a maturity of April 23, 2027 and a revolving period ending April 24, 2026 were terminated.</w:t>
      </w:r>
    </w:p>
    <w:p>
      <w:pPr>
        <w:ind w:left="380" w:hanging="372"/>
        <w:spacing w:after="0" w:line="210" w:lineRule="auto"/>
        <w:tabs>
          <w:tab w:leader="none" w:pos="380" w:val="left"/>
        </w:tabs>
        <w:numPr>
          <w:ilvl w:val="0"/>
          <w:numId w:val="3"/>
        </w:numPr>
        <w:rPr>
          <w:rFonts w:ascii="Calibri" w:cs="Calibri" w:eastAsia="Calibri" w:hAnsi="Calibri"/>
          <w:sz w:val="13"/>
          <w:szCs w:val="13"/>
          <w:color w:val="auto"/>
        </w:rPr>
      </w:pPr>
      <w:r>
        <w:rPr>
          <w:rFonts w:ascii="Arial" w:cs="Arial" w:eastAsia="Arial" w:hAnsi="Arial"/>
          <w:sz w:val="13"/>
          <w:szCs w:val="13"/>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rPr>
          <w:sz w:val="20"/>
          <w:szCs w:val="20"/>
          <w:color w:val="auto"/>
        </w:rPr>
      </w:pPr>
      <w:r>
        <w:rPr>
          <w:rFonts w:ascii="Arial" w:cs="Arial" w:eastAsia="Arial" w:hAnsi="Arial"/>
          <w:sz w:val="13"/>
          <w:szCs w:val="13"/>
          <w:color w:val="auto"/>
        </w:rPr>
        <w:t>Note: May not sum due to rounding.</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March 31, 2026, the Company’s funding mix was comprised of approximately 68% unsecured and 32% secured debt. As illustrated below, the Company’s nearest debt maturity is in August 2026 at $300 million, and the weighted average remaining life of investments funded with debt was ~2.5 years, compared to a weighted average remaining maturity on debt of ~3.9 years</w:t>
      </w:r>
      <w:r>
        <w:rPr>
          <w:rFonts w:ascii="Arial" w:cs="Arial" w:eastAsia="Arial" w:hAnsi="Arial"/>
          <w:sz w:val="24"/>
          <w:szCs w:val="24"/>
          <w:color w:val="auto"/>
          <w:vertAlign w:val="superscript"/>
        </w:rPr>
        <w:t>1,2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5795010" cy="1628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501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00" w:hanging="292"/>
        <w:spacing w:after="0" w:line="219" w:lineRule="auto"/>
        <w:tabs>
          <w:tab w:leader="none" w:pos="300" w:val="left"/>
        </w:tabs>
        <w:numPr>
          <w:ilvl w:val="0"/>
          <w:numId w:val="4"/>
        </w:numPr>
        <w:rPr>
          <w:rFonts w:ascii="Calibri" w:cs="Calibri" w:eastAsia="Calibri" w:hAnsi="Calibri"/>
          <w:sz w:val="13"/>
          <w:szCs w:val="13"/>
          <w:color w:val="auto"/>
        </w:rPr>
      </w:pPr>
      <w:r>
        <w:rPr>
          <w:rFonts w:ascii="Arial" w:cs="Arial" w:eastAsia="Arial" w:hAnsi="Arial"/>
          <w:sz w:val="13"/>
          <w:szCs w:val="13"/>
          <w:color w:val="auto"/>
        </w:rPr>
        <w:t>Adjusted for 17th amendment and extension to the revolving credit facility closed on May 1, 2026. As part of the transaction, $150 million of remaining non-extending commitments with a maturity of April 23, 2027 and a revolving period ending April 24, 2026 were terminated.</w:t>
      </w:r>
    </w:p>
    <w:p>
      <w:pPr>
        <w:ind w:left="300" w:hanging="292"/>
        <w:spacing w:after="0" w:line="232" w:lineRule="auto"/>
        <w:tabs>
          <w:tab w:leader="none" w:pos="300" w:val="left"/>
        </w:tabs>
        <w:numPr>
          <w:ilvl w:val="0"/>
          <w:numId w:val="4"/>
        </w:numPr>
        <w:rPr>
          <w:rFonts w:ascii="Calibri" w:cs="Calibri" w:eastAsia="Calibri" w:hAnsi="Calibri"/>
          <w:sz w:val="13"/>
          <w:szCs w:val="13"/>
          <w:color w:val="auto"/>
        </w:rPr>
      </w:pPr>
      <w:r>
        <w:rPr>
          <w:rFonts w:ascii="Arial" w:cs="Arial" w:eastAsia="Arial" w:hAnsi="Arial"/>
          <w:sz w:val="13"/>
          <w:szCs w:val="13"/>
          <w:color w:val="auto"/>
        </w:rPr>
        <w:t>Weighted by gross commitment amount.</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Note: Numbers may not sum due to rounding.</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auto"/>
        </w:rPr>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3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conference call to discuss the Company’s financial results will be held at 8:30 a.m. Eastern Time on May 6, 2026. The conference call will be broadcast live in listen-only mode on the Investor Resources section of TSLX’s website at https://sixthstreetspecialtylending.gcs-web.com/events-and-presentations. The Events &amp; Presentations page of the Investor Resources section of TSLX’s website also includes a slide presentation that complements the Earnings Conference Call. Please visit the website to test your connection before the webcast.</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analysts who wish to participate in the conference call must first register at https://register-conf.media-server.com/register/BI661ff50b864d41c7a257bed82c561eae. Upon registration, all telephone participants will receive a confirmation email detailing how to join the conference call, including the dial-in number along with a unique passcode and registrant ID that can be used to access the call.</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34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 recorded version will be available under the same webcast link (</w:t>
      </w:r>
      <w:r>
        <w:rPr>
          <w:rFonts w:ascii="Arial" w:cs="Arial" w:eastAsia="Arial" w:hAnsi="Arial"/>
          <w:sz w:val="18"/>
          <w:szCs w:val="18"/>
          <w:color w:val="0563C1"/>
        </w:rPr>
        <w:t>https://sixthstreetspecialtylending.gcs-web.com/events-and-presentations</w:t>
      </w:r>
      <w:r>
        <w:rPr>
          <w:rFonts w:ascii="Arial" w:cs="Arial" w:eastAsia="Arial" w:hAnsi="Arial"/>
          <w:sz w:val="18"/>
          <w:szCs w:val="18"/>
          <w:color w:val="auto"/>
        </w:rPr>
        <w:t>) following the conclusion of the conference call.</w:t>
      </w: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18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3,393.1</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3,421.7</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3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8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Dividend Per Share</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Asset Value Per Share </w:t>
            </w:r>
            <w:r>
              <w:rPr>
                <w:rFonts w:ascii="Times New Roman" w:cs="Times New Roman" w:eastAsia="Times New Roman" w:hAnsi="Times New Roman"/>
                <w:sz w:val="24"/>
                <w:szCs w:val="24"/>
                <w:color w:val="auto"/>
                <w:vertAlign w:val="superscript"/>
              </w:rPr>
              <w:t>(1)</w:t>
            </w:r>
          </w:p>
        </w:tc>
        <w:tc>
          <w:tcPr>
            <w:tcW w:w="3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2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Investment Income </w:t>
            </w:r>
            <w:r>
              <w:rPr>
                <w:rFonts w:ascii="Times New Roman" w:cs="Times New Roman" w:eastAsia="Times New Roman" w:hAnsi="Times New Roman"/>
                <w:sz w:val="24"/>
                <w:szCs w:val="24"/>
                <w:color w:val="auto"/>
                <w:vertAlign w:val="superscript"/>
              </w:rPr>
              <w:t>(2)</w:t>
            </w:r>
          </w:p>
        </w:tc>
        <w:tc>
          <w:tcPr>
            <w:tcW w:w="3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Adjusted Net Income (Loss) </w:t>
            </w:r>
            <w:r>
              <w:rPr>
                <w:rFonts w:ascii="Times New Roman" w:cs="Times New Roman" w:eastAsia="Times New Roman" w:hAnsi="Times New Roman"/>
                <w:sz w:val="24"/>
                <w:szCs w:val="24"/>
                <w:color w:val="auto"/>
                <w:vertAlign w:val="superscript"/>
              </w:rPr>
              <w:t>(2)</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 Per Share</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Investment Income Per Share </w:t>
            </w:r>
            <w:r>
              <w:rPr>
                <w:rFonts w:ascii="Times New Roman" w:cs="Times New Roman" w:eastAsia="Times New Roman" w:hAnsi="Times New Roman"/>
                <w:sz w:val="24"/>
                <w:szCs w:val="24"/>
                <w:color w:val="auto"/>
                <w:vertAlign w:val="superscript"/>
              </w:rPr>
              <w:t>(2)</w:t>
            </w:r>
          </w:p>
        </w:tc>
        <w:tc>
          <w:tcPr>
            <w:tcW w:w="3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Adjusted Net Income (Loss) Per Share </w:t>
            </w:r>
            <w:r>
              <w:rPr>
                <w:rFonts w:ascii="Times New Roman" w:cs="Times New Roman" w:eastAsia="Times New Roman" w:hAnsi="Times New Roman"/>
                <w:sz w:val="24"/>
                <w:szCs w:val="24"/>
                <w:color w:val="auto"/>
                <w:vertAlign w:val="superscript"/>
              </w:rPr>
              <w:t>(2)</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Annualized Return on Equity (Net Investment Income)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Annualized Return on Equity (Net Income (Loss)) </w:t>
            </w:r>
            <w:r>
              <w:rPr>
                <w:rFonts w:ascii="Times New Roman" w:cs="Times New Roman" w:eastAsia="Times New Roman" w:hAnsi="Times New Roman"/>
                <w:sz w:val="24"/>
                <w:szCs w:val="24"/>
                <w:color w:val="auto"/>
                <w:vertAlign w:val="superscript"/>
              </w:rPr>
              <w:t>(3)</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 xml:space="preserve">Annualized Return on Equity (Adjusted Net Investment Income) </w:t>
            </w:r>
            <w:r>
              <w:rPr>
                <w:rFonts w:ascii="Times New Roman" w:cs="Times New Roman" w:eastAsia="Times New Roman" w:hAnsi="Times New Roman"/>
                <w:sz w:val="18"/>
                <w:szCs w:val="18"/>
                <w:color w:val="auto"/>
                <w:vertAlign w:val="superscript"/>
              </w:rPr>
              <w:t>(2)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Annualized Return on Equity (Adjusted Net Income (Loss)) </w:t>
            </w:r>
            <w:r>
              <w:rPr>
                <w:rFonts w:ascii="Times New Roman" w:cs="Times New Roman" w:eastAsia="Times New Roman" w:hAnsi="Times New Roman"/>
                <w:sz w:val="24"/>
                <w:szCs w:val="24"/>
                <w:color w:val="auto"/>
                <w:vertAlign w:val="superscript"/>
              </w:rPr>
              <w:t>(2)(3)</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 Producing Securities</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0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at Fair Value</w:t>
            </w: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62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8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80" w:type="dxa"/>
            <w:vAlign w:val="bottom"/>
            <w:gridSpan w:val="3"/>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 Producing Securities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at Amortized Cost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of Debt Investment Commitments at Floating Rates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760" w:hanging="378"/>
        <w:spacing w:after="0"/>
        <w:tabs>
          <w:tab w:leader="none" w:pos="760" w:val="left"/>
        </w:tabs>
        <w:numPr>
          <w:ilvl w:val="0"/>
          <w:numId w:val="5"/>
        </w:numPr>
        <w:rPr>
          <w:rFonts w:ascii="Calibri" w:cs="Calibri" w:eastAsia="Calibri" w:hAnsi="Calibri"/>
          <w:sz w:val="14"/>
          <w:szCs w:val="14"/>
          <w:color w:val="auto"/>
        </w:rPr>
      </w:pPr>
      <w:r>
        <w:rPr>
          <w:rFonts w:ascii="Arial" w:cs="Arial" w:eastAsia="Arial" w:hAnsi="Arial"/>
          <w:sz w:val="14"/>
          <w:szCs w:val="14"/>
          <w:color w:val="auto"/>
        </w:rPr>
        <w:t>Adjusted net asset value per share gives effect to the supplemental dividend declared related to earnings or special dividend in the applicable period.</w:t>
      </w:r>
    </w:p>
    <w:p>
      <w:pPr>
        <w:spacing w:after="0" w:line="19" w:lineRule="exact"/>
        <w:rPr>
          <w:rFonts w:ascii="Calibri" w:cs="Calibri" w:eastAsia="Calibri" w:hAnsi="Calibri"/>
          <w:sz w:val="14"/>
          <w:szCs w:val="14"/>
          <w:color w:val="auto"/>
        </w:rPr>
      </w:pPr>
    </w:p>
    <w:p>
      <w:pPr>
        <w:ind w:left="760" w:right="20" w:hanging="378"/>
        <w:spacing w:after="0" w:line="243" w:lineRule="auto"/>
        <w:tabs>
          <w:tab w:leader="none" w:pos="760" w:val="left"/>
        </w:tabs>
        <w:numPr>
          <w:ilvl w:val="0"/>
          <w:numId w:val="5"/>
        </w:numPr>
        <w:rPr>
          <w:rFonts w:ascii="Calibri" w:cs="Calibri" w:eastAsia="Calibri" w:hAnsi="Calibri"/>
          <w:sz w:val="14"/>
          <w:szCs w:val="14"/>
          <w:color w:val="auto"/>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760" w:hanging="378"/>
        <w:spacing w:after="0"/>
        <w:tabs>
          <w:tab w:leader="none" w:pos="760" w:val="left"/>
        </w:tabs>
        <w:numPr>
          <w:ilvl w:val="0"/>
          <w:numId w:val="5"/>
        </w:numPr>
        <w:rPr>
          <w:rFonts w:ascii="Calibri" w:cs="Calibri" w:eastAsia="Calibri" w:hAnsi="Calibri"/>
          <w:sz w:val="14"/>
          <w:szCs w:val="14"/>
          <w:color w:val="auto"/>
        </w:rPr>
      </w:pPr>
      <w:r>
        <w:rPr>
          <w:rFonts w:ascii="Arial" w:cs="Arial" w:eastAsia="Arial" w:hAnsi="Arial"/>
          <w:sz w:val="14"/>
          <w:szCs w:val="14"/>
          <w:color w:val="auto"/>
        </w:rPr>
        <w:t>Return on equity is calculated using prior period’s ending net asset value per share.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auto"/>
        </w:rPr>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Sixth Street Specialty Lending, Inc.</w:t>
      </w:r>
    </w:p>
    <w:p>
      <w:pPr>
        <w:jc w:val="center"/>
        <w:spacing w:after="0" w:line="234" w:lineRule="auto"/>
        <w:rPr>
          <w:sz w:val="20"/>
          <w:szCs w:val="20"/>
          <w:color w:val="auto"/>
        </w:rPr>
      </w:pPr>
      <w:r>
        <w:rPr>
          <w:rFonts w:ascii="Arial" w:cs="Arial" w:eastAsia="Arial" w:hAnsi="Arial"/>
          <w:sz w:val="20"/>
          <w:szCs w:val="20"/>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7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FF0FC"/>
          </w:tcPr>
          <w:p>
            <w:pPr>
              <w:spacing w:after="0"/>
              <w:rPr>
                <w:sz w:val="12"/>
                <w:szCs w:val="12"/>
                <w:color w:val="auto"/>
              </w:rPr>
            </w:pPr>
          </w:p>
        </w:tc>
        <w:tc>
          <w:tcPr>
            <w:tcW w:w="1540" w:type="dxa"/>
            <w:vAlign w:val="bottom"/>
            <w:tcBorders>
              <w:top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at fair value</w:t>
            </w: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 (amortized cost of $3,228,777 and $3,244,762, respectively)</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3,240,271</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3,288,945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affiliated investments (amortized cost of $14,665, and $0, respectively)</w:t>
            </w:r>
          </w:p>
        </w:tc>
        <w:tc>
          <w:tcPr>
            <w:tcW w:w="24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14,665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3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Controlled, affiliated investments (amortized cost of $80,890 and $78,520, respectively)</w:t>
            </w:r>
          </w:p>
        </w:tc>
        <w:tc>
          <w:tcPr>
            <w:tcW w:w="24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58,505</w:t>
            </w:r>
          </w:p>
        </w:tc>
        <w:tc>
          <w:tcPr>
            <w:tcW w:w="3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58,372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investments at fair value (amortized cost of $3,324,332 and $3,323,282, respectively)</w:t>
            </w:r>
          </w:p>
        </w:tc>
        <w:tc>
          <w:tcPr>
            <w:tcW w:w="240" w:type="dxa"/>
            <w:vAlign w:val="bottom"/>
          </w:tcPr>
          <w:p>
            <w:pPr>
              <w:spacing w:after="0"/>
              <w:rPr>
                <w:sz w:val="12"/>
                <w:szCs w:val="12"/>
                <w:color w:val="auto"/>
              </w:rPr>
            </w:pPr>
          </w:p>
        </w:tc>
        <w:tc>
          <w:tcPr>
            <w:tcW w:w="1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3,313,441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3,347,317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(restricted cash of $28,072 and $16,727, respectively)</w:t>
            </w:r>
          </w:p>
        </w:tc>
        <w:tc>
          <w:tcPr>
            <w:tcW w:w="24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29,178</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receivable</w:t>
            </w:r>
          </w:p>
        </w:tc>
        <w:tc>
          <w:tcPr>
            <w:tcW w:w="24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34,547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15,983</w:t>
            </w:r>
          </w:p>
        </w:tc>
        <w:tc>
          <w:tcPr>
            <w:tcW w:w="3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20,544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3,393,149</w:t>
            </w:r>
          </w:p>
        </w:tc>
        <w:tc>
          <w:tcPr>
            <w:tcW w:w="300" w:type="dxa"/>
            <w:vAlign w:val="bottom"/>
          </w:tcPr>
          <w:p>
            <w:pPr>
              <w:spacing w:after="0"/>
              <w:rPr>
                <w:sz w:val="12"/>
                <w:szCs w:val="12"/>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3,421,655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Debt (net of deferred financing costs of $22,693 and $24,411, respectively)</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1,803,391</w:t>
            </w:r>
          </w:p>
        </w:tc>
        <w:tc>
          <w:tcPr>
            <w:tcW w:w="30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1,743,234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Management fees payable to affiliate</w:t>
            </w:r>
          </w:p>
        </w:tc>
        <w:tc>
          <w:tcPr>
            <w:tcW w:w="24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12,275</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24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8,451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240" w:type="dxa"/>
            <w:vAlign w:val="bottom"/>
            <w:shd w:val="clear" w:color="auto" w:fill="CFF0FC"/>
          </w:tcPr>
          <w:p>
            <w:pPr>
              <w:spacing w:after="0"/>
              <w:rPr>
                <w:sz w:val="12"/>
                <w:szCs w:val="12"/>
                <w:color w:val="auto"/>
              </w:rPr>
            </w:pPr>
          </w:p>
        </w:tc>
        <w:tc>
          <w:tcPr>
            <w:tcW w:w="1840" w:type="dxa"/>
            <w:vAlign w:val="bottom"/>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payables to affiliate</w:t>
            </w:r>
          </w:p>
        </w:tc>
        <w:tc>
          <w:tcPr>
            <w:tcW w:w="24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2,808</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23,551</w:t>
            </w:r>
          </w:p>
        </w:tc>
        <w:tc>
          <w:tcPr>
            <w:tcW w:w="3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44,404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1,850,476</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1,813,934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8)</w:t>
            </w:r>
          </w:p>
        </w:tc>
        <w:tc>
          <w:tcPr>
            <w:tcW w:w="2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Preferred stock, $0.01 par value; 100,000,000 shares authorized; no shares</w:t>
            </w:r>
          </w:p>
        </w:tc>
        <w:tc>
          <w:tcPr>
            <w:tcW w:w="240" w:type="dxa"/>
            <w:vAlign w:val="bottom"/>
            <w:shd w:val="clear" w:color="auto" w:fill="CFF0FC"/>
          </w:tcPr>
          <w:p>
            <w:pPr>
              <w:spacing w:after="0"/>
              <w:rPr>
                <w:sz w:val="10"/>
                <w:szCs w:val="10"/>
                <w:color w:val="auto"/>
              </w:rPr>
            </w:pPr>
          </w:p>
        </w:tc>
        <w:tc>
          <w:tcPr>
            <w:tcW w:w="184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1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issued and outstanding</w:t>
            </w:r>
          </w:p>
        </w:tc>
        <w:tc>
          <w:tcPr>
            <w:tcW w:w="240" w:type="dxa"/>
            <w:vAlign w:val="bottom"/>
            <w:shd w:val="clear" w:color="auto" w:fill="CFF0FC"/>
          </w:tcPr>
          <w:p>
            <w:pPr>
              <w:spacing w:after="0"/>
              <w:rPr>
                <w:sz w:val="14"/>
                <w:szCs w:val="14"/>
                <w:color w:val="auto"/>
              </w:rPr>
            </w:pPr>
          </w:p>
        </w:tc>
        <w:tc>
          <w:tcPr>
            <w:tcW w:w="184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$0.01 par value; 400,000,000 shares authorized, 95,683,850</w:t>
            </w:r>
          </w:p>
        </w:tc>
        <w:tc>
          <w:tcPr>
            <w:tcW w:w="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95,369,400 shares issued, respectively; and 95,019,600 and 94,705,150</w:t>
            </w:r>
          </w:p>
        </w:tc>
        <w:tc>
          <w:tcPr>
            <w:tcW w:w="2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outstanding, respectively</w:t>
            </w:r>
          </w:p>
        </w:tc>
        <w:tc>
          <w:tcPr>
            <w:tcW w:w="2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1,541,068</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1,535,583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Treasury stock at cost; 664,250 and 664,250 shares held, respectively</w:t>
            </w:r>
          </w:p>
        </w:tc>
        <w:tc>
          <w:tcPr>
            <w:tcW w:w="240" w:type="dxa"/>
            <w:vAlign w:val="bottom"/>
          </w:tcPr>
          <w:p>
            <w:pPr>
              <w:spacing w:after="0"/>
              <w:rPr>
                <w:sz w:val="12"/>
                <w:szCs w:val="12"/>
                <w:color w:val="auto"/>
              </w:rPr>
            </w:pPr>
          </w:p>
        </w:tc>
        <w:tc>
          <w:tcPr>
            <w:tcW w:w="1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(10,459)</w:t>
            </w:r>
          </w:p>
        </w:tc>
        <w:tc>
          <w:tcPr>
            <w:tcW w:w="180" w:type="dxa"/>
            <w:vAlign w:val="bottom"/>
          </w:tcPr>
          <w:p>
            <w:pPr>
              <w:spacing w:after="0"/>
              <w:rPr>
                <w:sz w:val="12"/>
                <w:szCs w:val="12"/>
                <w:color w:val="auto"/>
              </w:rPr>
            </w:pPr>
          </w:p>
        </w:tc>
        <w:tc>
          <w:tcPr>
            <w:tcW w:w="1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(10,459)</w:t>
            </w:r>
          </w:p>
        </w:tc>
        <w:tc>
          <w:tcPr>
            <w:tcW w:w="0" w:type="dxa"/>
            <w:vAlign w:val="bottom"/>
          </w:tcPr>
          <w:p>
            <w:pPr>
              <w:spacing w:after="0"/>
              <w:rPr>
                <w:sz w:val="1"/>
                <w:szCs w:val="1"/>
                <w:color w:val="auto"/>
              </w:rPr>
            </w:pPr>
          </w:p>
        </w:tc>
      </w:tr>
      <w:tr>
        <w:trPr>
          <w:trHeight w:val="148"/>
        </w:trPr>
        <w:tc>
          <w:tcPr>
            <w:tcW w:w="7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Distributable earnings</w:t>
            </w:r>
          </w:p>
        </w:tc>
        <w:tc>
          <w:tcPr>
            <w:tcW w:w="24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11,107</w:t>
            </w:r>
          </w:p>
        </w:tc>
        <w:tc>
          <w:tcPr>
            <w:tcW w:w="3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81,643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1,542,673</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1,607,721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30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3,393,149</w:t>
            </w:r>
          </w:p>
        </w:tc>
        <w:tc>
          <w:tcPr>
            <w:tcW w:w="3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3,421,655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300" w:type="dxa"/>
            <w:vAlign w:val="bottom"/>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16.24</w:t>
            </w:r>
          </w:p>
        </w:tc>
        <w:tc>
          <w:tcPr>
            <w:tcW w:w="300" w:type="dxa"/>
            <w:vAlign w:val="bottom"/>
          </w:tcPr>
          <w:p>
            <w:pPr>
              <w:spacing w:after="0"/>
              <w:rPr>
                <w:sz w:val="11"/>
                <w:szCs w:val="11"/>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948"/>
        </w:trPr>
        <w:tc>
          <w:tcPr>
            <w:tcW w:w="7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-3470910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-3085465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-2296795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-1242695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-1036320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-1019175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Sixth Street Specialty Lending, Inc.</w:t>
      </w:r>
    </w:p>
    <w:p>
      <w:pPr>
        <w:jc w:val="center"/>
        <w:spacing w:after="0" w:line="234" w:lineRule="auto"/>
        <w:rPr>
          <w:sz w:val="20"/>
          <w:szCs w:val="20"/>
          <w:color w:val="auto"/>
        </w:rPr>
      </w:pPr>
      <w:r>
        <w:rPr>
          <w:rFonts w:ascii="Arial" w:cs="Arial" w:eastAsia="Arial" w:hAnsi="Arial"/>
          <w:sz w:val="20"/>
          <w:szCs w:val="20"/>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760" w:type="dxa"/>
            <w:vAlign w:val="bottom"/>
            <w:gridSpan w:val="6"/>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5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gridSpan w:val="2"/>
          </w:tcPr>
          <w:p>
            <w:pPr>
              <w:spacing w:after="0"/>
              <w:rPr>
                <w:sz w:val="12"/>
                <w:szCs w:val="12"/>
                <w:color w:val="auto"/>
              </w:rPr>
            </w:pPr>
          </w:p>
        </w:tc>
      </w:tr>
      <w:tr>
        <w:trPr>
          <w:trHeight w:val="142"/>
        </w:trPr>
        <w:tc>
          <w:tcPr>
            <w:tcW w:w="5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6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16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81,807</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104,192</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Paid-in-kind interest income</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6,969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8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Dividend income</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908</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2,181</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3,459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860" w:type="dxa"/>
            <w:vAlign w:val="bottom"/>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investment income from non-controlled, non-affiliated investments</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91,194</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113,919</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non-controlled, affiliated investments: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86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Dividend income</w:t>
            </w:r>
          </w:p>
        </w:tc>
        <w:tc>
          <w:tcPr>
            <w:tcW w:w="14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2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86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investment income from non-controlled, affiliated investments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controlled, affiliated investments:</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86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4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86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investment income from controlled, affiliated investments</w:t>
            </w:r>
          </w:p>
        </w:tc>
        <w:tc>
          <w:tcPr>
            <w:tcW w:w="1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1,980</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2,430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860" w:type="dxa"/>
            <w:vAlign w:val="bottom"/>
            <w:tcBorders>
              <w:bottom w:val="single" w:sz="8" w:color="CFF0FC"/>
            </w:tcBorders>
            <w:shd w:val="clear" w:color="auto" w:fill="CFF0FC"/>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4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93,397</w:t>
            </w:r>
          </w:p>
        </w:tc>
        <w:tc>
          <w:tcPr>
            <w:tcW w:w="2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116,349</w:t>
            </w: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8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28,258</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32,971</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Management fees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12,593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8,451</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11,516</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(3,686)</w:t>
            </w:r>
          </w:p>
        </w:tc>
        <w:tc>
          <w:tcPr>
            <w:tcW w:w="20" w:type="dxa"/>
            <w:vAlign w:val="bottom"/>
          </w:tcPr>
          <w:p>
            <w:pPr>
              <w:spacing w:after="0"/>
              <w:rPr>
                <w:sz w:val="12"/>
                <w:szCs w:val="12"/>
                <w:color w:val="auto"/>
              </w:rPr>
            </w:pPr>
          </w:p>
        </w:tc>
      </w:tr>
      <w:tr>
        <w:trPr>
          <w:trHeight w:val="149"/>
        </w:trPr>
        <w:tc>
          <w:tcPr>
            <w:tcW w:w="5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1,743</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1,961</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Directors’ fees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general and administrative</w:t>
            </w:r>
          </w:p>
        </w:tc>
        <w:tc>
          <w:tcPr>
            <w:tcW w:w="14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w:t>
            </w:r>
          </w:p>
        </w:tc>
        <w:tc>
          <w:tcPr>
            <w:tcW w:w="2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w:t>
            </w: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86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expenses</w:t>
            </w:r>
          </w:p>
        </w:tc>
        <w:tc>
          <w:tcPr>
            <w:tcW w:w="1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52,668</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57,430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Management and incentive fees waived (Note 3)</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(317)</w:t>
            </w:r>
          </w:p>
        </w:tc>
        <w:tc>
          <w:tcPr>
            <w:tcW w:w="240" w:type="dxa"/>
            <w:vAlign w:val="bottom"/>
            <w:shd w:val="clear" w:color="auto" w:fill="CFF0FC"/>
          </w:tcPr>
          <w:p>
            <w:pPr>
              <w:spacing w:after="0"/>
              <w:rPr>
                <w:sz w:val="12"/>
                <w:szCs w:val="12"/>
                <w:color w:val="auto"/>
              </w:rPr>
            </w:pPr>
          </w:p>
        </w:tc>
        <w:tc>
          <w:tcPr>
            <w:tcW w:w="17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(409)</w:t>
            </w:r>
          </w:p>
        </w:tc>
        <w:tc>
          <w:tcPr>
            <w:tcW w:w="20" w:type="dxa"/>
            <w:vAlign w:val="bottom"/>
          </w:tcPr>
          <w:p>
            <w:pPr>
              <w:spacing w:after="0"/>
              <w:rPr>
                <w:sz w:val="12"/>
                <w:szCs w:val="12"/>
                <w:color w:val="auto"/>
              </w:rPr>
            </w:pPr>
          </w:p>
        </w:tc>
      </w:tr>
      <w:tr>
        <w:trPr>
          <w:trHeight w:val="142"/>
        </w:trPr>
        <w:tc>
          <w:tcPr>
            <w:tcW w:w="5860" w:type="dxa"/>
            <w:vAlign w:val="bottom"/>
            <w:tcBorders>
              <w:top w:val="single" w:sz="8" w:color="CFF0FC"/>
            </w:tcBorders>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Net Expenses</w:t>
            </w:r>
          </w:p>
        </w:tc>
        <w:tc>
          <w:tcPr>
            <w:tcW w:w="1400" w:type="dxa"/>
            <w:vAlign w:val="bottom"/>
            <w:tcBorders>
              <w:top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52,351</w:t>
            </w:r>
          </w:p>
        </w:tc>
        <w:tc>
          <w:tcPr>
            <w:tcW w:w="280" w:type="dxa"/>
            <w:vAlign w:val="bottom"/>
            <w:tcBorders>
              <w:top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57,021</w:t>
            </w:r>
          </w:p>
        </w:tc>
        <w:tc>
          <w:tcPr>
            <w:tcW w:w="100" w:type="dxa"/>
            <w:vAlign w:val="bottom"/>
            <w:tcBorders>
              <w:top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41,046</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59,328</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taxes, including excise taxes</w:t>
            </w:r>
          </w:p>
        </w:tc>
        <w:tc>
          <w:tcPr>
            <w:tcW w:w="1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39,842</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57,978</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(32,688)</w:t>
            </w:r>
          </w:p>
        </w:tc>
        <w:tc>
          <w:tcPr>
            <w:tcW w:w="240" w:type="dxa"/>
            <w:vAlign w:val="bottom"/>
          </w:tcPr>
          <w:p>
            <w:pPr>
              <w:spacing w:after="0"/>
              <w:rPr>
                <w:sz w:val="12"/>
                <w:szCs w:val="12"/>
                <w:color w:val="auto"/>
              </w:rPr>
            </w:pPr>
          </w:p>
        </w:tc>
        <w:tc>
          <w:tcPr>
            <w:tcW w:w="1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(9,438)</w:t>
            </w:r>
          </w:p>
        </w:tc>
        <w:tc>
          <w:tcPr>
            <w:tcW w:w="20" w:type="dxa"/>
            <w:vAlign w:val="bottom"/>
          </w:tcPr>
          <w:p>
            <w:pPr>
              <w:spacing w:after="0"/>
              <w:rPr>
                <w:sz w:val="12"/>
                <w:szCs w:val="12"/>
                <w:color w:val="auto"/>
              </w:rPr>
            </w:pPr>
          </w:p>
        </w:tc>
      </w:tr>
      <w:tr>
        <w:trPr>
          <w:trHeight w:val="149"/>
        </w:trPr>
        <w:tc>
          <w:tcPr>
            <w:tcW w:w="58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Controlled, affiliated investments</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(2,237)</w:t>
            </w:r>
          </w:p>
        </w:tc>
        <w:tc>
          <w:tcPr>
            <w:tcW w:w="240" w:type="dxa"/>
            <w:vAlign w:val="bottom"/>
            <w:shd w:val="clear" w:color="auto" w:fill="CFF0FC"/>
          </w:tcPr>
          <w:p>
            <w:pPr>
              <w:spacing w:after="0"/>
              <w:rPr>
                <w:sz w:val="12"/>
                <w:szCs w:val="12"/>
                <w:color w:val="auto"/>
              </w:rPr>
            </w:pPr>
          </w:p>
        </w:tc>
        <w:tc>
          <w:tcPr>
            <w:tcW w:w="1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(1,379)</w:t>
            </w:r>
          </w:p>
        </w:tc>
        <w:tc>
          <w:tcPr>
            <w:tcW w:w="20" w:type="dxa"/>
            <w:vAlign w:val="bottom"/>
          </w:tcPr>
          <w:p>
            <w:pPr>
              <w:spacing w:after="0"/>
              <w:rPr>
                <w:sz w:val="12"/>
                <w:szCs w:val="12"/>
                <w:color w:val="auto"/>
              </w:rPr>
            </w:pPr>
          </w:p>
        </w:tc>
      </w:tr>
      <w:tr>
        <w:trPr>
          <w:trHeight w:val="148"/>
        </w:trPr>
        <w:tc>
          <w:tcPr>
            <w:tcW w:w="5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8,401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(11,043)</w:t>
            </w:r>
          </w:p>
        </w:tc>
        <w:tc>
          <w:tcPr>
            <w:tcW w:w="20" w:type="dxa"/>
            <w:vAlign w:val="bottom"/>
          </w:tcPr>
          <w:p>
            <w:pPr>
              <w:spacing w:after="0"/>
              <w:rPr>
                <w:sz w:val="12"/>
                <w:szCs w:val="12"/>
                <w:color w:val="auto"/>
              </w:rPr>
            </w:pPr>
          </w:p>
        </w:tc>
      </w:tr>
      <w:tr>
        <w:trPr>
          <w:trHeight w:val="142"/>
        </w:trPr>
        <w:tc>
          <w:tcPr>
            <w:tcW w:w="5860" w:type="dxa"/>
            <w:vAlign w:val="bottom"/>
            <w:tcBorders>
              <w:top w:val="single" w:sz="8" w:color="CFF0FC"/>
              <w:bottom w:val="single" w:sz="8" w:color="CFF0FC"/>
            </w:tcBorders>
            <w:shd w:val="clear" w:color="auto" w:fill="CFF0FC"/>
          </w:tcPr>
          <w:p>
            <w:pPr>
              <w:ind w:left="400"/>
              <w:spacing w:after="0" w:line="142" w:lineRule="exact"/>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140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1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(26,524)</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1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(21,860)</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Realized gains (losses):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(39,257)</w:t>
            </w:r>
          </w:p>
        </w:tc>
        <w:tc>
          <w:tcPr>
            <w:tcW w:w="24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Foreign currency transactions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40" w:type="dxa"/>
            <w:vAlign w:val="bottom"/>
          </w:tcPr>
          <w:p>
            <w:pPr>
              <w:spacing w:after="0"/>
              <w:rPr>
                <w:sz w:val="12"/>
                <w:szCs w:val="12"/>
                <w:color w:val="auto"/>
              </w:rPr>
            </w:pPr>
          </w:p>
        </w:tc>
        <w:tc>
          <w:tcPr>
            <w:tcW w:w="1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20" w:type="dxa"/>
            <w:vAlign w:val="bottom"/>
          </w:tcPr>
          <w:p>
            <w:pPr>
              <w:spacing w:after="0"/>
              <w:rPr>
                <w:sz w:val="12"/>
                <w:szCs w:val="12"/>
                <w:color w:val="auto"/>
              </w:rPr>
            </w:pPr>
          </w:p>
        </w:tc>
      </w:tr>
      <w:tr>
        <w:trPr>
          <w:trHeight w:val="20"/>
        </w:trPr>
        <w:tc>
          <w:tcPr>
            <w:tcW w:w="5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860" w:type="dxa"/>
            <w:vAlign w:val="bottom"/>
            <w:shd w:val="clear" w:color="auto" w:fill="CFF0FC"/>
          </w:tcPr>
          <w:p>
            <w:pPr>
              <w:ind w:left="400"/>
              <w:spacing w:after="0" w:line="142" w:lineRule="exact"/>
              <w:rPr>
                <w:sz w:val="20"/>
                <w:szCs w:val="20"/>
                <w:color w:val="auto"/>
              </w:rPr>
            </w:pPr>
            <w:r>
              <w:rPr>
                <w:rFonts w:ascii="Times New Roman" w:cs="Times New Roman" w:eastAsia="Times New Roman" w:hAnsi="Times New Roman"/>
                <w:sz w:val="14"/>
                <w:szCs w:val="14"/>
                <w:color w:val="auto"/>
              </w:rPr>
              <w:t>Total net realized gains (losses)</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(39,343)</w:t>
            </w:r>
          </w:p>
        </w:tc>
        <w:tc>
          <w:tcPr>
            <w:tcW w:w="24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86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(65,867)</w:t>
            </w:r>
          </w:p>
        </w:tc>
        <w:tc>
          <w:tcPr>
            <w:tcW w:w="240" w:type="dxa"/>
            <w:vAlign w:val="bottom"/>
          </w:tcPr>
          <w:p>
            <w:pPr>
              <w:spacing w:after="0"/>
              <w:rPr>
                <w:sz w:val="12"/>
                <w:szCs w:val="12"/>
                <w:color w:val="auto"/>
              </w:rPr>
            </w:pPr>
          </w:p>
        </w:tc>
        <w:tc>
          <w:tcPr>
            <w:tcW w:w="17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(21,023)</w:t>
            </w:r>
          </w:p>
        </w:tc>
        <w:tc>
          <w:tcPr>
            <w:tcW w:w="20" w:type="dxa"/>
            <w:vAlign w:val="bottom"/>
          </w:tcPr>
          <w:p>
            <w:pPr>
              <w:spacing w:after="0"/>
              <w:rPr>
                <w:sz w:val="12"/>
                <w:szCs w:val="12"/>
                <w:color w:val="auto"/>
              </w:rPr>
            </w:pPr>
          </w:p>
        </w:tc>
      </w:tr>
      <w:tr>
        <w:trPr>
          <w:trHeight w:val="20"/>
        </w:trPr>
        <w:tc>
          <w:tcPr>
            <w:tcW w:w="5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5860" w:type="dxa"/>
            <w:vAlign w:val="bottom"/>
            <w:shd w:val="clear" w:color="auto" w:fill="CFF0FC"/>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16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(26,025)</w:t>
            </w: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36,955</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586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Earnings per common share—basic and diluted</w:t>
            </w:r>
          </w:p>
        </w:tc>
        <w:tc>
          <w:tcPr>
            <w:tcW w:w="16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(0.27)</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0.39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58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Weighted average shares of common stock outstanding—basic and diluted</w:t>
            </w:r>
          </w:p>
        </w:tc>
        <w:tc>
          <w:tcPr>
            <w:tcW w:w="14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1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94,709,407</w:t>
            </w:r>
          </w:p>
        </w:tc>
        <w:tc>
          <w:tcPr>
            <w:tcW w:w="2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1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93,669,671</w:t>
            </w: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430"/>
        </w:trPr>
        <w:tc>
          <w:tcPr>
            <w:tcW w:w="5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r>
      <w:tr>
        <w:trPr>
          <w:trHeight w:val="948"/>
        </w:trPr>
        <w:tc>
          <w:tcPr>
            <w:tcW w:w="58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-4259580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-4259580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-3874135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-3874135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-3668395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-2905125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-2699385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-1837690</wp:posOffset>
            </wp:positionV>
            <wp:extent cx="102870" cy="136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-1837690</wp:posOffset>
            </wp:positionV>
            <wp:extent cx="93980" cy="136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-1328420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-1122045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-1105535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-899795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ind w:right="20"/>
        <w:spacing w:after="0" w:line="271" w:lineRule="auto"/>
        <w:rPr>
          <w:sz w:val="20"/>
          <w:szCs w:val="20"/>
          <w:color w:val="auto"/>
        </w:rPr>
      </w:pPr>
      <w:r>
        <w:rPr>
          <w:rFonts w:ascii="Arial" w:cs="Arial" w:eastAsia="Arial" w:hAnsi="Arial"/>
          <w:sz w:val="18"/>
          <w:szCs w:val="18"/>
          <w:color w:val="auto"/>
        </w:rPr>
        <w:t>The Company’s investment activity for the quarter ended March 31, 2026 and 2026 presented below (information presented herein is at par value unless otherwise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80" w:type="dxa"/>
            <w:vAlign w:val="bottom"/>
          </w:tcPr>
          <w:p>
            <w:pPr>
              <w:spacing w:after="0"/>
              <w:rPr>
                <w:sz w:val="15"/>
                <w:szCs w:val="15"/>
                <w:color w:val="auto"/>
              </w:rPr>
            </w:pPr>
          </w:p>
        </w:tc>
        <w:tc>
          <w:tcPr>
            <w:tcW w:w="3600" w:type="dxa"/>
            <w:vAlign w:val="bottom"/>
            <w:gridSpan w:val="6"/>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46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1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Gross originations </w:t>
            </w:r>
            <w:r>
              <w:rPr>
                <w:rFonts w:ascii="Times New Roman" w:cs="Times New Roman" w:eastAsia="Times New Roman" w:hAnsi="Times New Roman"/>
                <w:sz w:val="24"/>
                <w:szCs w:val="24"/>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2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Borders>
              <w:bottom w:val="single" w:sz="8" w:color="CFF0FC"/>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Less: Syndications/sell downs </w:t>
            </w:r>
            <w:r>
              <w:rPr>
                <w:rFonts w:ascii="Times New Roman" w:cs="Times New Roman" w:eastAsia="Times New Roman" w:hAnsi="Times New Roman"/>
                <w:sz w:val="24"/>
                <w:szCs w:val="24"/>
                <w:color w:val="auto"/>
                <w:vertAlign w:val="superscript"/>
              </w:rPr>
              <w:t>(1)</w:t>
            </w: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First-lien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Second-lien</w:t>
            </w: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Mezzanine</w:t>
            </w:r>
          </w:p>
        </w:tc>
        <w:tc>
          <w:tcPr>
            <w:tcW w:w="18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Structured Credit</w:t>
            </w:r>
          </w:p>
        </w:tc>
        <w:tc>
          <w:tcPr>
            <w:tcW w:w="18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Joint Venture</w:t>
            </w: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1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First-lien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Second-lien</w:t>
            </w: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Mezzanine</w:t>
            </w:r>
          </w:p>
        </w:tc>
        <w:tc>
          <w:tcPr>
            <w:tcW w:w="18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Structured Credit</w:t>
            </w:r>
          </w:p>
        </w:tc>
        <w:tc>
          <w:tcPr>
            <w:tcW w:w="18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Joint Venture</w:t>
            </w: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180" w:type="dxa"/>
            <w:vAlign w:val="bottom"/>
            <w:tcBorders>
              <w:top w:val="single" w:sz="8" w:color="auto"/>
            </w:tcBorders>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50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4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7460" w:type="dxa"/>
            <w:vAlign w:val="bottom"/>
          </w:tcPr>
          <w:p>
            <w:pPr>
              <w:ind w:left="14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new portfolio companies </w:t>
            </w:r>
            <w:r>
              <w:rPr>
                <w:rFonts w:ascii="Times New Roman" w:cs="Times New Roman" w:eastAsia="Times New Roman" w:hAnsi="Times New Roman"/>
                <w:sz w:val="24"/>
                <w:szCs w:val="24"/>
                <w:b w:val="1"/>
                <w:bCs w:val="1"/>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40" w:type="dxa"/>
            <w:vAlign w:val="bottom"/>
          </w:tcPr>
          <w:p>
            <w:pPr>
              <w:spacing w:after="0"/>
              <w:rPr>
                <w:sz w:val="22"/>
                <w:szCs w:val="22"/>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74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1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6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460" w:type="dxa"/>
            <w:vAlign w:val="bottom"/>
            <w:shd w:val="clear" w:color="auto" w:fill="CFF0FC"/>
          </w:tcPr>
          <w:p>
            <w:pPr>
              <w:ind w:left="14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(in years) </w:t>
            </w:r>
            <w:r>
              <w:rPr>
                <w:rFonts w:ascii="Times New Roman" w:cs="Times New Roman" w:eastAsia="Times New Roman" w:hAnsi="Times New Roman"/>
                <w:sz w:val="24"/>
                <w:szCs w:val="24"/>
                <w:b w:val="1"/>
                <w:bCs w:val="1"/>
                <w:color w:val="auto"/>
                <w:vertAlign w:val="superscript"/>
              </w:rPr>
              <w:t>(2)</w:t>
            </w:r>
          </w:p>
        </w:tc>
        <w:tc>
          <w:tcPr>
            <w:tcW w:w="18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7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18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194"/>
        </w:trPr>
        <w:tc>
          <w:tcPr>
            <w:tcW w:w="74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1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94"/>
        </w:trPr>
        <w:tc>
          <w:tcPr>
            <w:tcW w:w="7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18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4"/>
        </w:trPr>
        <w:tc>
          <w:tcPr>
            <w:tcW w:w="74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spread over reference rate of new</w:t>
            </w:r>
          </w:p>
        </w:tc>
        <w:tc>
          <w:tcPr>
            <w:tcW w:w="1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1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4"/>
        </w:trPr>
        <w:tc>
          <w:tcPr>
            <w:tcW w:w="7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fully sold or paid down</w:t>
            </w:r>
          </w:p>
        </w:tc>
        <w:tc>
          <w:tcPr>
            <w:tcW w:w="18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-4705350</wp:posOffset>
            </wp:positionV>
            <wp:extent cx="111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-4705350</wp:posOffset>
            </wp:positionV>
            <wp:extent cx="1117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-3599815</wp:posOffset>
            </wp:positionV>
            <wp:extent cx="111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-3599815</wp:posOffset>
            </wp:positionV>
            <wp:extent cx="1117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-2485390</wp:posOffset>
            </wp:positionV>
            <wp:extent cx="1111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-2485390</wp:posOffset>
            </wp:positionV>
            <wp:extent cx="1117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92" w:lineRule="exact"/>
        <w:rPr>
          <w:sz w:val="20"/>
          <w:szCs w:val="20"/>
          <w:color w:val="auto"/>
        </w:rPr>
      </w:pPr>
    </w:p>
    <w:p>
      <w:pPr>
        <w:ind w:left="760" w:hanging="378"/>
        <w:spacing w:after="0"/>
        <w:tabs>
          <w:tab w:leader="none" w:pos="760" w:val="left"/>
        </w:tabs>
        <w:numPr>
          <w:ilvl w:val="0"/>
          <w:numId w:val="6"/>
        </w:numPr>
        <w:rPr>
          <w:rFonts w:ascii="Calibri" w:cs="Calibri" w:eastAsia="Calibri" w:hAnsi="Calibri"/>
          <w:sz w:val="14"/>
          <w:szCs w:val="14"/>
          <w:color w:val="auto"/>
        </w:rPr>
      </w:pPr>
      <w:r>
        <w:rPr>
          <w:rFonts w:ascii="Arial" w:cs="Arial" w:eastAsia="Arial" w:hAnsi="Arial"/>
          <w:sz w:val="14"/>
          <w:szCs w:val="14"/>
          <w:color w:val="auto"/>
        </w:rPr>
        <w:t>Includes affiliates of Sixth Street.</w:t>
      </w:r>
    </w:p>
    <w:p>
      <w:pPr>
        <w:spacing w:after="0" w:line="19" w:lineRule="exact"/>
        <w:rPr>
          <w:rFonts w:ascii="Calibri" w:cs="Calibri" w:eastAsia="Calibri" w:hAnsi="Calibri"/>
          <w:sz w:val="14"/>
          <w:szCs w:val="14"/>
          <w:color w:val="auto"/>
        </w:rPr>
      </w:pPr>
    </w:p>
    <w:p>
      <w:pPr>
        <w:ind w:left="760" w:right="2420" w:hanging="378"/>
        <w:spacing w:after="0" w:line="268" w:lineRule="auto"/>
        <w:tabs>
          <w:tab w:leader="none" w:pos="760" w:val="left"/>
        </w:tabs>
        <w:numPr>
          <w:ilvl w:val="0"/>
          <w:numId w:val="6"/>
        </w:numPr>
        <w:rPr>
          <w:rFonts w:ascii="Calibri" w:cs="Calibri" w:eastAsia="Calibri" w:hAnsi="Calibri"/>
          <w:sz w:val="14"/>
          <w:szCs w:val="14"/>
          <w:color w:val="auto"/>
        </w:rPr>
      </w:pPr>
      <w:r>
        <w:rPr>
          <w:rFonts w:ascii="Arial" w:cs="Arial" w:eastAsia="Arial" w:hAnsi="Arial"/>
          <w:sz w:val="14"/>
          <w:szCs w:val="14"/>
          <w:color w:val="auto"/>
        </w:rPr>
        <w:t>For three months ended March 31, 2026, includes the joint venture investment commitment of $200.0 million which is excluded from the calculation of weighted average term for new investment commitments in new portfolio companies.</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Sixth Street Specialty Lending</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 xml:space="preserve">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over $130 billion in assets under management and committed capital. For more information, visit the Company’s website at </w:t>
      </w:r>
      <w:r>
        <w:rPr>
          <w:rFonts w:ascii="Arial" w:cs="Arial" w:eastAsia="Arial" w:hAnsi="Arial"/>
          <w:sz w:val="18"/>
          <w:szCs w:val="18"/>
          <w:color w:val="0563C1"/>
        </w:rPr>
        <w:t>https://sixthstreetspecialtylending.com</w:t>
      </w: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Sixth Street is a global investment firm with over $130 billion in assets under management and committed capital. The firm uses its long-term flexible capital, data-enabled capabilities, and One Team culture to develop themes and offer solutions to companies across all stages of growth. Founded in 2009, Sixth Street has more than 750 team members including over 300 investment professionals around the world. For more information, visit https://sixthstreet.com or follow Sixth Street on LinkedIn.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Statements included herein may constitute “forward-looking statements,” within the meaning of the federal securities laws and the Private Securities Litigation Reform Act of 1995, which relate to future events or the Company’s future performance or financial condition. These forward-looking statements can be identified by the use of forward-looking terminology, such as “outlook,” “indicator,” “believes,” “expects,” “potential,” “continues,” “may,” “can,” “will,” “should,” “seeks,” “approximately,” “predicts,” “intends,” “plans,” “estimates,” “anticipates”, “confident,” “conviction,” “identified” or the negative versions of these words or other comparable words thereof.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which are accessible on the SEC’s website at www.sec.gov. Except as otherwise required by federal securities laws, the Company assumes no obligation to update any such forward-looking statements, whether as a result of new information, future developments or otherwise.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Adjusted net investment income and adjusted net income are each non-GAAP financial measures, which represent net investment income and net income, respectively, in each case less the impact of accrued capital gains incentive fee expenses. The Company believes that adjusted net investment income and adjusted net income provide useful information to investors regarding the fundamental earnings power of the business, and these figures are used by the Company to measure its financial condition and results of operations. The presentation of this additional information is not meant to be considered in isolation or as a substitute for financial results prepared in accordance with GAAP.</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Cami Senatore, 469-621-2033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rPr>
          <w:sz w:val="20"/>
          <w:szCs w:val="20"/>
          <w:color w:val="auto"/>
        </w:rPr>
      </w:pPr>
      <w:r>
        <w:rPr>
          <w:rFonts w:ascii="Arial" w:cs="Arial" w:eastAsia="Arial" w:hAnsi="Arial"/>
          <w:sz w:val="18"/>
          <w:szCs w:val="18"/>
          <w:color w:val="auto"/>
        </w:rPr>
        <w:t>IRTSLX@sixthstreet.com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234" w:lineRule="auto"/>
        <w:rPr>
          <w:sz w:val="20"/>
          <w:szCs w:val="20"/>
          <w:color w:val="auto"/>
        </w:rPr>
      </w:pPr>
      <w:r>
        <w:rPr>
          <w:rFonts w:ascii="Arial" w:cs="Arial" w:eastAsia="Arial" w:hAnsi="Arial"/>
          <w:sz w:val="18"/>
          <w:szCs w:val="18"/>
          <w:color w:val="auto"/>
        </w:rPr>
        <w:t>PClifford@sixthstreet.com</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2026-05-05T15:19:04Z</dcterms:created>
  <dcterms:modified xsi:type="dcterms:W3CDTF">2026-05-05T15:19:04Z</dcterms:modified>
</cp:coreProperties>
</file>