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w:t>
      </w:r>
    </w:p>
    <w:p>
      <w:pPr>
        <w:jc w:val="center"/>
        <w:ind w:right="-79"/>
        <w:spacing w:after="0" w:line="218" w:lineRule="auto"/>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13G/A</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TPG SPECIALTY LENDING INC. (TSLX)</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COM</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87265K102</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12/31/2016</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820" w:firstLine="8"/>
        <w:spacing w:after="0" w:line="504"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6" w:lineRule="exact"/>
        <w:rPr>
          <w:sz w:val="24"/>
          <w:szCs w:val="24"/>
          <w:color w:val="auto"/>
        </w:rPr>
      </w:pPr>
    </w:p>
    <w:p>
      <w:pPr>
        <w:ind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00"/>
        <w:spacing w:after="0" w:line="219"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1) Names of Reporting Persons, IRS Identification Nos. of Above Persons:</w:t>
      </w:r>
    </w:p>
    <w:p>
      <w:pPr>
        <w:spacing w:after="0" w:line="160"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OTR - Nominee Name for The State Teachers Retirement Board of Ohio, 31640-1810</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spacing w:after="0"/>
        <w:tabs>
          <w:tab w:leader="none" w:pos="5640" w:val="left"/>
        </w:tabs>
        <w:rPr>
          <w:sz w:val="20"/>
          <w:szCs w:val="20"/>
          <w:color w:val="auto"/>
        </w:rPr>
      </w:pPr>
      <w:r>
        <w:rPr>
          <w:rFonts w:ascii="Arial" w:cs="Arial" w:eastAsia="Arial" w:hAnsi="Arial"/>
          <w:sz w:val="22"/>
          <w:szCs w:val="22"/>
          <w:color w:val="auto"/>
        </w:rPr>
        <w:t>2) Check the appropriate box if a member of a group* (a) [_]</w:t>
      </w:r>
      <w:r>
        <w:rPr>
          <w:sz w:val="20"/>
          <w:szCs w:val="20"/>
          <w:color w:val="auto"/>
        </w:rPr>
        <w:tab/>
      </w:r>
      <w:r>
        <w:rPr>
          <w:rFonts w:ascii="Arial" w:cs="Arial" w:eastAsia="Arial" w:hAnsi="Arial"/>
          <w:sz w:val="21"/>
          <w:szCs w:val="21"/>
          <w:color w:val="auto"/>
        </w:rPr>
        <w:t>(b) [_]</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rFonts w:ascii="Arial" w:cs="Arial" w:eastAsia="Arial" w:hAnsi="Arial"/>
          <w:sz w:val="22"/>
          <w:szCs w:val="22"/>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22"/>
                <w:szCs w:val="22"/>
                <w:color w:val="auto"/>
              </w:rPr>
              <w:t>Columbus, Ohio</w:t>
            </w:r>
          </w:p>
        </w:tc>
        <w:tc>
          <w:tcPr>
            <w:tcW w:w="4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5"/>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438"/>
        </w:trPr>
        <w:tc>
          <w:tcPr>
            <w:tcW w:w="6280" w:type="dxa"/>
            <w:vAlign w:val="bottom"/>
            <w:gridSpan w:val="4"/>
          </w:tcPr>
          <w:p>
            <w:pPr>
              <w:spacing w:after="0"/>
              <w:rPr>
                <w:sz w:val="20"/>
                <w:szCs w:val="20"/>
                <w:color w:val="auto"/>
              </w:rPr>
            </w:pPr>
            <w:r>
              <w:rPr>
                <w:rFonts w:ascii="Arial" w:cs="Arial" w:eastAsia="Arial" w:hAnsi="Arial"/>
                <w:sz w:val="22"/>
                <w:szCs w:val="22"/>
                <w:color w:val="auto"/>
                <w:w w:val="91"/>
              </w:rPr>
              <w:t>Number of Shares Beneficially Owned by Each Reporting Person With</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5)</w:t>
            </w:r>
          </w:p>
        </w:tc>
        <w:tc>
          <w:tcPr>
            <w:tcW w:w="18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4200" w:type="dxa"/>
            <w:vAlign w:val="bottom"/>
            <w:gridSpan w:val="2"/>
          </w:tcPr>
          <w:p>
            <w:pPr>
              <w:jc w:val="right"/>
              <w:ind w:right="2792"/>
              <w:spacing w:after="0"/>
              <w:rPr>
                <w:sz w:val="20"/>
                <w:szCs w:val="20"/>
                <w:color w:val="auto"/>
              </w:rPr>
            </w:pPr>
            <w:r>
              <w:rPr>
                <w:rFonts w:ascii="Arial" w:cs="Arial" w:eastAsia="Arial" w:hAnsi="Arial"/>
                <w:sz w:val="22"/>
                <w:szCs w:val="22"/>
                <w:color w:val="auto"/>
                <w:w w:val="87"/>
              </w:rPr>
              <w:t>4,357,09 0.000</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6)</w:t>
            </w:r>
          </w:p>
        </w:tc>
        <w:tc>
          <w:tcPr>
            <w:tcW w:w="1860" w:type="dxa"/>
            <w:vAlign w:val="bottom"/>
          </w:tcPr>
          <w:p>
            <w:pPr>
              <w:ind w:left="20"/>
              <w:spacing w:after="0"/>
              <w:rPr>
                <w:sz w:val="20"/>
                <w:szCs w:val="20"/>
                <w:color w:val="auto"/>
              </w:rPr>
            </w:pPr>
            <w:r>
              <w:rPr>
                <w:rFonts w:ascii="Arial" w:cs="Arial" w:eastAsia="Arial" w:hAnsi="Arial"/>
                <w:sz w:val="22"/>
                <w:szCs w:val="22"/>
                <w:color w:val="auto"/>
                <w:w w:val="87"/>
              </w:rPr>
              <w:t>Shared Voting Power</w:t>
            </w:r>
          </w:p>
        </w:tc>
        <w:tc>
          <w:tcPr>
            <w:tcW w:w="400" w:type="dxa"/>
            <w:vAlign w:val="bottom"/>
          </w:tcPr>
          <w:p>
            <w:pPr>
              <w:jc w:val="right"/>
              <w:spacing w:after="0"/>
              <w:rPr>
                <w:sz w:val="20"/>
                <w:szCs w:val="20"/>
                <w:color w:val="auto"/>
              </w:rPr>
            </w:pPr>
            <w:r>
              <w:rPr>
                <w:rFonts w:ascii="Arial" w:cs="Arial" w:eastAsia="Arial" w:hAnsi="Arial"/>
                <w:sz w:val="22"/>
                <w:szCs w:val="22"/>
                <w:color w:val="auto"/>
              </w:rPr>
              <w:t>0</w:t>
            </w:r>
          </w:p>
        </w:tc>
        <w:tc>
          <w:tcPr>
            <w:tcW w:w="38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7)</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98"/>
              </w:rPr>
              <w:t>Sole Dispositive Power</w:t>
            </w:r>
          </w:p>
        </w:tc>
        <w:tc>
          <w:tcPr>
            <w:tcW w:w="3800" w:type="dxa"/>
            <w:vAlign w:val="bottom"/>
          </w:tcPr>
          <w:p>
            <w:pPr>
              <w:jc w:val="right"/>
              <w:ind w:right="2392"/>
              <w:spacing w:after="0"/>
              <w:rPr>
                <w:sz w:val="20"/>
                <w:szCs w:val="20"/>
                <w:color w:val="auto"/>
              </w:rPr>
            </w:pPr>
            <w:r>
              <w:rPr>
                <w:rFonts w:ascii="Arial" w:cs="Arial" w:eastAsia="Arial" w:hAnsi="Arial"/>
                <w:sz w:val="22"/>
                <w:szCs w:val="22"/>
                <w:color w:val="auto"/>
                <w:w w:val="87"/>
              </w:rPr>
              <w:t>4,357,09 0.000</w:t>
            </w:r>
          </w:p>
        </w:tc>
        <w:tc>
          <w:tcPr>
            <w:tcW w:w="2420" w:type="dxa"/>
            <w:vAlign w:val="bottom"/>
          </w:tcPr>
          <w:p>
            <w:pPr>
              <w:spacing w:after="0"/>
              <w:rPr>
                <w:sz w:val="24"/>
                <w:szCs w:val="24"/>
                <w:color w:val="auto"/>
              </w:rPr>
            </w:pPr>
          </w:p>
        </w:tc>
      </w:tr>
      <w:tr>
        <w:trPr>
          <w:trHeight w:val="395"/>
        </w:trPr>
        <w:tc>
          <w:tcPr>
            <w:tcW w:w="220" w:type="dxa"/>
            <w:vAlign w:val="bottom"/>
          </w:tcPr>
          <w:p>
            <w:pPr>
              <w:spacing w:after="0"/>
              <w:rPr>
                <w:sz w:val="20"/>
                <w:szCs w:val="20"/>
                <w:color w:val="auto"/>
              </w:rPr>
            </w:pPr>
            <w:r>
              <w:rPr>
                <w:rFonts w:ascii="Arial" w:cs="Arial" w:eastAsia="Arial" w:hAnsi="Arial"/>
                <w:sz w:val="22"/>
                <w:szCs w:val="22"/>
                <w:color w:val="auto"/>
              </w:rPr>
              <w:t>8)</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88"/>
              </w:rPr>
              <w:t>Shared Dispositive Power</w:t>
            </w:r>
          </w:p>
        </w:tc>
        <w:tc>
          <w:tcPr>
            <w:tcW w:w="3800" w:type="dxa"/>
            <w:vAlign w:val="bottom"/>
          </w:tcPr>
          <w:p>
            <w:pPr>
              <w:jc w:val="right"/>
              <w:ind w:right="3352"/>
              <w:spacing w:after="0"/>
              <w:rPr>
                <w:sz w:val="20"/>
                <w:szCs w:val="20"/>
                <w:color w:val="auto"/>
              </w:rPr>
            </w:pPr>
            <w:r>
              <w:rPr>
                <w:rFonts w:ascii="Arial" w:cs="Arial" w:eastAsia="Arial" w:hAnsi="Arial"/>
                <w:sz w:val="22"/>
                <w:szCs w:val="22"/>
                <w:color w:val="auto"/>
              </w:rPr>
              <w:t>0</w:t>
            </w:r>
          </w:p>
        </w:tc>
        <w:tc>
          <w:tcPr>
            <w:tcW w:w="2420" w:type="dxa"/>
            <w:vAlign w:val="bottom"/>
          </w:tcPr>
          <w:p>
            <w:pPr>
              <w:spacing w:after="0"/>
              <w:rPr>
                <w:sz w:val="24"/>
                <w:szCs w:val="24"/>
                <w:color w:val="auto"/>
              </w:rPr>
            </w:pPr>
          </w:p>
        </w:tc>
      </w:tr>
      <w:tr>
        <w:trPr>
          <w:trHeight w:val="275"/>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370"/>
        </w:trPr>
        <w:tc>
          <w:tcPr>
            <w:tcW w:w="220" w:type="dxa"/>
            <w:vAlign w:val="bottom"/>
          </w:tcPr>
          <w:p>
            <w:pPr>
              <w:spacing w:after="0"/>
              <w:rPr>
                <w:sz w:val="20"/>
                <w:szCs w:val="20"/>
                <w:color w:val="auto"/>
              </w:rPr>
            </w:pPr>
            <w:r>
              <w:rPr>
                <w:rFonts w:ascii="Arial" w:cs="Arial" w:eastAsia="Arial" w:hAnsi="Arial"/>
                <w:sz w:val="22"/>
                <w:szCs w:val="22"/>
                <w:color w:val="auto"/>
              </w:rPr>
              <w:t>9)</w:t>
            </w:r>
          </w:p>
        </w:tc>
        <w:tc>
          <w:tcPr>
            <w:tcW w:w="6060" w:type="dxa"/>
            <w:vAlign w:val="bottom"/>
            <w:gridSpan w:val="3"/>
          </w:tcPr>
          <w:p>
            <w:pPr>
              <w:ind w:left="20"/>
              <w:spacing w:after="0"/>
              <w:rPr>
                <w:sz w:val="20"/>
                <w:szCs w:val="20"/>
                <w:color w:val="auto"/>
              </w:rPr>
            </w:pPr>
            <w:r>
              <w:rPr>
                <w:rFonts w:ascii="Arial" w:cs="Arial" w:eastAsia="Arial" w:hAnsi="Arial"/>
                <w:sz w:val="22"/>
                <w:szCs w:val="22"/>
                <w:color w:val="auto"/>
                <w:w w:val="94"/>
              </w:rPr>
              <w:t>Aggregate Amount Beneficially Owned by Each Reporting Person</w:t>
            </w:r>
          </w:p>
        </w:tc>
        <w:tc>
          <w:tcPr>
            <w:tcW w:w="2420" w:type="dxa"/>
            <w:vAlign w:val="bottom"/>
          </w:tcPr>
          <w:p>
            <w:pPr>
              <w:jc w:val="right"/>
              <w:ind w:right="912"/>
              <w:spacing w:after="0"/>
              <w:rPr>
                <w:sz w:val="20"/>
                <w:szCs w:val="20"/>
                <w:color w:val="auto"/>
              </w:rPr>
            </w:pPr>
            <w:r>
              <w:rPr>
                <w:rFonts w:ascii="Arial" w:cs="Arial" w:eastAsia="Arial" w:hAnsi="Arial"/>
                <w:sz w:val="22"/>
                <w:szCs w:val="22"/>
                <w:color w:val="auto"/>
                <w:w w:val="93"/>
              </w:rPr>
              <w:t>4,357,09 0.000</w:t>
            </w:r>
          </w:p>
        </w:tc>
      </w:tr>
    </w:tbl>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[_]</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tabs>
          <w:tab w:leader="none" w:pos="5240" w:val="left"/>
        </w:tabs>
        <w:rPr>
          <w:sz w:val="20"/>
          <w:szCs w:val="20"/>
          <w:color w:val="auto"/>
        </w:rPr>
      </w:pPr>
      <w:r>
        <w:rPr>
          <w:rFonts w:ascii="Arial" w:cs="Arial" w:eastAsia="Arial" w:hAnsi="Arial"/>
          <w:sz w:val="22"/>
          <w:szCs w:val="22"/>
          <w:color w:val="auto"/>
        </w:rPr>
        <w:t>11) Percent of Class Represented by Amount in Row (9)</w:t>
      </w:r>
      <w:r>
        <w:rPr>
          <w:sz w:val="20"/>
          <w:szCs w:val="20"/>
          <w:color w:val="auto"/>
        </w:rPr>
        <w:tab/>
      </w:r>
      <w:r>
        <w:rPr>
          <w:rFonts w:ascii="Arial" w:cs="Arial" w:eastAsia="Arial" w:hAnsi="Arial"/>
          <w:sz w:val="19"/>
          <w:szCs w:val="19"/>
          <w:color w:val="auto"/>
        </w:rPr>
        <w:t>7.296%</w:t>
      </w:r>
    </w:p>
    <w:p>
      <w:pPr>
        <w:sectPr>
          <w:pgSz w:w="11900" w:h="16872" w:orient="portrait"/>
          <w:cols w:equalWidth="0" w:num="1">
            <w:col w:w="11360"/>
          </w:cols>
          <w:pgMar w:left="240" w:top="436" w:right="299" w:bottom="0" w:gutter="0" w:footer="0" w:header="0"/>
        </w:sectPr>
      </w:pPr>
    </w:p>
    <w:bookmarkStart w:id="1" w:name="page2"/>
    <w:bookmarkEnd w:id="1"/>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61" w:lineRule="exact"/>
        <w:rPr>
          <w:sz w:val="20"/>
          <w:szCs w:val="20"/>
          <w:color w:val="auto"/>
        </w:rPr>
      </w:pPr>
    </w:p>
    <w:p>
      <w:pPr>
        <w:spacing w:after="0"/>
        <w:tabs>
          <w:tab w:leader="none" w:pos="3040" w:val="left"/>
        </w:tabs>
        <w:rPr>
          <w:sz w:val="20"/>
          <w:szCs w:val="20"/>
          <w:color w:val="auto"/>
        </w:rPr>
      </w:pPr>
      <w:r>
        <w:rPr>
          <w:rFonts w:ascii="Arial" w:cs="Arial" w:eastAsia="Arial" w:hAnsi="Arial"/>
          <w:sz w:val="22"/>
          <w:szCs w:val="22"/>
          <w:color w:val="auto"/>
        </w:rPr>
        <w:t>12) Type of Reporting Person*</w:t>
      </w:r>
      <w:r>
        <w:rPr>
          <w:sz w:val="20"/>
          <w:szCs w:val="20"/>
          <w:color w:val="auto"/>
        </w:rPr>
        <w:tab/>
      </w:r>
      <w:r>
        <w:rPr>
          <w:rFonts w:ascii="Arial" w:cs="Arial" w:eastAsia="Arial" w:hAnsi="Arial"/>
          <w:sz w:val="18"/>
          <w:szCs w:val="18"/>
          <w:color w:val="auto"/>
        </w:rPr>
        <w:t>EP</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(1) Includes 0.000 shares of common stock reserved for issuance upon exercise of stock options which are exercisable as of the</w:t>
      </w:r>
    </w:p>
    <w:p>
      <w:pPr>
        <w:spacing w:after="0" w:line="219" w:lineRule="auto"/>
        <w:rPr>
          <w:sz w:val="20"/>
          <w:szCs w:val="20"/>
          <w:color w:val="auto"/>
        </w:rPr>
      </w:pPr>
      <w:r>
        <w:rPr>
          <w:rFonts w:ascii="Arial" w:cs="Arial" w:eastAsia="Arial" w:hAnsi="Arial"/>
          <w:sz w:val="22"/>
          <w:szCs w:val="22"/>
          <w:color w:val="auto"/>
        </w:rPr>
        <w:t>date of filing of this Schedule 13G.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SCHEDULE 13G</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Name of Issuer</w:t>
      </w:r>
    </w:p>
    <w:p>
      <w:pPr>
        <w:spacing w:after="0" w:line="22" w:lineRule="exact"/>
        <w:rPr>
          <w:sz w:val="20"/>
          <w:szCs w:val="20"/>
          <w:color w:val="auto"/>
        </w:rPr>
      </w:pPr>
    </w:p>
    <w:p>
      <w:pPr>
        <w:ind w:left="1080" w:right="4460"/>
        <w:spacing w:after="0" w:line="246" w:lineRule="auto"/>
        <w:rPr>
          <w:sz w:val="20"/>
          <w:szCs w:val="20"/>
          <w:color w:val="auto"/>
        </w:rPr>
      </w:pPr>
      <w:r>
        <w:rPr>
          <w:rFonts w:ascii="Arial" w:cs="Arial" w:eastAsia="Arial" w:hAnsi="Arial"/>
          <w:sz w:val="22"/>
          <w:szCs w:val="22"/>
          <w:color w:val="auto"/>
        </w:rPr>
        <w:t>This Statement on Schedule 13G relates to the shares of Instrument TPG SPECIALTY LENDING INC.</w:t>
      </w:r>
    </w:p>
    <w:p>
      <w:pPr>
        <w:spacing w:after="0" w:line="179" w:lineRule="exact"/>
        <w:rPr>
          <w:sz w:val="20"/>
          <w:szCs w:val="20"/>
          <w:color w:val="auto"/>
        </w:rPr>
      </w:pPr>
    </w:p>
    <w:p>
      <w:pPr>
        <w:ind w:left="1080" w:right="6400" w:hanging="532"/>
        <w:spacing w:after="0" w:line="251" w:lineRule="auto"/>
        <w:tabs>
          <w:tab w:leader="none" w:pos="846" w:val="left"/>
        </w:tabs>
        <w:numPr>
          <w:ilvl w:val="0"/>
          <w:numId w:val="5"/>
        </w:numPr>
        <w:rPr>
          <w:rFonts w:ascii="Arial" w:cs="Arial" w:eastAsia="Arial" w:hAnsi="Arial"/>
          <w:sz w:val="22"/>
          <w:szCs w:val="22"/>
          <w:color w:val="auto"/>
        </w:rPr>
      </w:pPr>
      <w:r>
        <w:rPr>
          <w:rFonts w:ascii="Arial" w:cs="Arial" w:eastAsia="Arial" w:hAnsi="Arial"/>
          <w:sz w:val="22"/>
          <w:szCs w:val="22"/>
          <w:color w:val="auto"/>
        </w:rPr>
        <w:t>Address of Issuer's Principal Executive Offices: 301 Commerce Street</w:t>
      </w:r>
    </w:p>
    <w:p>
      <w:pPr>
        <w:spacing w:after="0" w:line="2" w:lineRule="exact"/>
        <w:rPr>
          <w:rFonts w:ascii="Arial" w:cs="Arial" w:eastAsia="Arial" w:hAnsi="Arial"/>
          <w:sz w:val="22"/>
          <w:szCs w:val="22"/>
          <w:color w:val="auto"/>
        </w:rPr>
      </w:pPr>
    </w:p>
    <w:p>
      <w:pPr>
        <w:ind w:left="1080"/>
        <w:spacing w:after="0"/>
        <w:rPr>
          <w:rFonts w:ascii="Arial" w:cs="Arial" w:eastAsia="Arial" w:hAnsi="Arial"/>
          <w:sz w:val="22"/>
          <w:szCs w:val="22"/>
          <w:color w:val="auto"/>
        </w:rPr>
      </w:pPr>
      <w:r>
        <w:rPr>
          <w:rFonts w:ascii="Arial" w:cs="Arial" w:eastAsia="Arial" w:hAnsi="Arial"/>
          <w:sz w:val="22"/>
          <w:szCs w:val="22"/>
          <w:color w:val="auto"/>
        </w:rPr>
        <w:t>Suite 3300</w:t>
      </w:r>
    </w:p>
    <w:p>
      <w:pPr>
        <w:ind w:left="1080"/>
        <w:spacing w:after="0" w:line="182" w:lineRule="auto"/>
        <w:rPr>
          <w:sz w:val="20"/>
          <w:szCs w:val="20"/>
          <w:color w:val="auto"/>
        </w:rPr>
      </w:pPr>
      <w:r>
        <w:rPr>
          <w:rFonts w:ascii="Arial" w:cs="Arial" w:eastAsia="Arial" w:hAnsi="Arial"/>
          <w:sz w:val="22"/>
          <w:szCs w:val="22"/>
          <w:color w:val="auto"/>
        </w:rPr>
        <w:t>Fort Worth , TX 76102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080" w:right="8080" w:hanging="532"/>
        <w:spacing w:after="0" w:line="291" w:lineRule="auto"/>
        <w:tabs>
          <w:tab w:leader="none" w:pos="834"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Person Filing: This Statement is filed by</w:t>
      </w:r>
    </w:p>
    <w:p>
      <w:pPr>
        <w:spacing w:after="0" w:line="1"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22"/>
          <w:szCs w:val="22"/>
          <w:color w:val="auto"/>
        </w:rPr>
        <w:t>OTR - Nominee Name for The State Teachers Retirement Board of Ohio</w:t>
      </w:r>
    </w:p>
    <w:p>
      <w:pPr>
        <w:spacing w:after="0" w:line="188" w:lineRule="exact"/>
        <w:rPr>
          <w:rFonts w:ascii="Arial" w:cs="Arial" w:eastAsia="Arial" w:hAnsi="Arial"/>
          <w:sz w:val="19"/>
          <w:szCs w:val="19"/>
          <w:color w:val="auto"/>
        </w:rPr>
      </w:pPr>
    </w:p>
    <w:p>
      <w:pPr>
        <w:ind w:left="860" w:hanging="312"/>
        <w:spacing w:after="0"/>
        <w:tabs>
          <w:tab w:leader="none" w:pos="8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Address of Principal Business Office:</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business address of OTR - Nominee Name for The State Teachers Retirement Board of Ohio is</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275 East Broad Street</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Columbus, Ohio 43215</w:t>
      </w:r>
    </w:p>
    <w:p>
      <w:pPr>
        <w:spacing w:after="0" w:line="188" w:lineRule="exact"/>
        <w:rPr>
          <w:sz w:val="20"/>
          <w:szCs w:val="20"/>
          <w:color w:val="auto"/>
        </w:rPr>
      </w:pPr>
    </w:p>
    <w:p>
      <w:pPr>
        <w:ind w:left="840" w:hanging="292"/>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Not Applicable</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securities are shares of 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 CUSIP No.:</w:t>
      </w:r>
    </w:p>
    <w:p>
      <w:pPr>
        <w:ind w:left="1080"/>
        <w:spacing w:after="0" w:line="199" w:lineRule="auto"/>
        <w:rPr>
          <w:sz w:val="20"/>
          <w:szCs w:val="20"/>
          <w:color w:val="auto"/>
        </w:rPr>
      </w:pPr>
      <w:r>
        <w:rPr>
          <w:rFonts w:ascii="Arial" w:cs="Arial" w:eastAsia="Arial" w:hAnsi="Arial"/>
          <w:sz w:val="22"/>
          <w:szCs w:val="22"/>
          <w:color w:val="auto"/>
        </w:rPr>
        <w:t>The CUSIP Number for the investment is 87265K102.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Type of Person Filing:</w:t>
      </w:r>
    </w:p>
    <w:p>
      <w:pPr>
        <w:spacing w:after="0" w:line="206" w:lineRule="exact"/>
        <w:rPr>
          <w:sz w:val="20"/>
          <w:szCs w:val="20"/>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90a-8)</w:t>
      </w:r>
    </w:p>
    <w:p>
      <w:pPr>
        <w:spacing w:after="0" w:line="217" w:lineRule="exact"/>
        <w:rPr>
          <w:rFonts w:ascii="Arial" w:cs="Arial" w:eastAsia="Arial" w:hAnsi="Arial"/>
          <w:sz w:val="21"/>
          <w:szCs w:val="21"/>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An employee benefit plan or endowment fund in accordance with 240.13d-1(b)(1)(ii)(F);</w:t>
      </w:r>
    </w:p>
    <w:p>
      <w:pPr>
        <w:spacing w:after="0" w:line="206" w:lineRule="exact"/>
        <w:rPr>
          <w:sz w:val="20"/>
          <w:szCs w:val="20"/>
          <w:color w:val="auto"/>
        </w:rPr>
      </w:pPr>
    </w:p>
    <w:p>
      <w:pPr>
        <w:jc w:val="both"/>
        <w:ind w:left="1080" w:right="1460"/>
        <w:spacing w:after="0"/>
        <w:rPr>
          <w:sz w:val="20"/>
          <w:szCs w:val="20"/>
          <w:color w:val="auto"/>
        </w:rPr>
      </w:pPr>
      <w:r>
        <w:rPr>
          <w:rFonts w:ascii="Arial" w:cs="Arial" w:eastAsia="Arial" w:hAnsi="Arial"/>
          <w:sz w:val="22"/>
          <w:szCs w:val="22"/>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186" w:lineRule="exact"/>
        <w:rPr>
          <w:sz w:val="20"/>
          <w:szCs w:val="20"/>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206" w:lineRule="exact"/>
        <w:rPr>
          <w:rFonts w:ascii="Arial" w:cs="Arial" w:eastAsia="Arial" w:hAnsi="Arial"/>
          <w:sz w:val="22"/>
          <w:szCs w:val="22"/>
          <w:color w:val="auto"/>
        </w:rPr>
      </w:pPr>
    </w:p>
    <w:p>
      <w:pPr>
        <w:ind w:left="800" w:hanging="252"/>
        <w:spacing w:after="0"/>
        <w:tabs>
          <w:tab w:leader="none" w:pos="80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w:t>
      </w:r>
    </w:p>
    <w:p>
      <w:pPr>
        <w:ind w:left="540"/>
        <w:spacing w:after="0" w:line="187" w:lineRule="auto"/>
        <w:rPr>
          <w:sz w:val="20"/>
          <w:szCs w:val="20"/>
          <w:color w:val="auto"/>
        </w:rPr>
      </w:pPr>
      <w:r>
        <w:rPr>
          <w:rFonts w:ascii="Arial" w:cs="Arial" w:eastAsia="Arial" w:hAnsi="Arial"/>
          <w:sz w:val="22"/>
          <w:szCs w:val="22"/>
          <w:color w:val="auto"/>
        </w:rPr>
        <w:t>Investment Company Act of 1940 (15 U.S.C. 80a-3)</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ectPr>
          <w:pgSz w:w="11900" w:h="16838" w:orient="portrait"/>
          <w:cols w:equalWidth="0" w:num="1">
            <w:col w:w="11380"/>
          </w:cols>
          <w:pgMar w:left="240" w:top="118" w:right="279" w:bottom="0" w:gutter="0" w:footer="0" w:header="0"/>
        </w:sectPr>
      </w:pPr>
    </w:p>
    <w:bookmarkStart w:id="2" w:name="page3"/>
    <w:bookmarkEnd w:id="2"/>
    <w:p>
      <w:pPr>
        <w:spacing w:after="0"/>
        <w:tabs>
          <w:tab w:leader="none" w:pos="9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OWNERSHIP</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Amount Beneficially Owned:</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STRS owns 4,357,09 0.000 shares of TPG SPECIALTY LENDING INC.</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(b) Percent of Class:</w:t>
      </w:r>
    </w:p>
    <w:p>
      <w:pPr>
        <w:spacing w:after="0" w:line="22" w:lineRule="exact"/>
        <w:rPr>
          <w:sz w:val="20"/>
          <w:szCs w:val="20"/>
          <w:color w:val="auto"/>
        </w:rPr>
      </w:pPr>
    </w:p>
    <w:p>
      <w:pPr>
        <w:ind w:left="1080" w:right="1240"/>
        <w:spacing w:after="0" w:line="234" w:lineRule="auto"/>
        <w:rPr>
          <w:sz w:val="20"/>
          <w:szCs w:val="20"/>
          <w:color w:val="auto"/>
        </w:rPr>
      </w:pPr>
      <w:r>
        <w:rPr>
          <w:rFonts w:ascii="Arial" w:cs="Arial" w:eastAsia="Arial" w:hAnsi="Arial"/>
          <w:sz w:val="22"/>
          <w:szCs w:val="22"/>
          <w:color w:val="auto"/>
        </w:rPr>
        <w:t>STRS believes that there are presently 59,716,20 5.000 outstanding shares of TPG SPECIALTY LENDING INC.; therefore, STRS' ownership of 4,357,09 0.000 shares of TPG SPECIALTY LENDING INC. stock is 7.296% of this class.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 Number of Shares As To Which Such Person Has Power:</w:t>
      </w:r>
    </w:p>
    <w:p>
      <w:pPr>
        <w:spacing w:after="0" w:line="206" w:lineRule="exact"/>
        <w:rPr>
          <w:sz w:val="20"/>
          <w:szCs w:val="20"/>
          <w:color w:val="auto"/>
        </w:rPr>
      </w:pPr>
    </w:p>
    <w:p>
      <w:pPr>
        <w:ind w:left="1080"/>
        <w:spacing w:after="0"/>
        <w:tabs>
          <w:tab w:leader="none" w:pos="4920" w:val="left"/>
        </w:tabs>
        <w:rPr>
          <w:sz w:val="20"/>
          <w:szCs w:val="20"/>
          <w:color w:val="auto"/>
        </w:rPr>
      </w:pPr>
      <w:r>
        <w:rPr>
          <w:rFonts w:ascii="Arial" w:cs="Arial" w:eastAsia="Arial" w:hAnsi="Arial"/>
          <w:sz w:val="22"/>
          <w:szCs w:val="22"/>
          <w:color w:val="auto"/>
        </w:rPr>
        <w:t>(i) Sole power to vote or to direct the vote</w:t>
      </w:r>
      <w:r>
        <w:rPr>
          <w:sz w:val="20"/>
          <w:szCs w:val="20"/>
          <w:color w:val="auto"/>
        </w:rPr>
        <w:tab/>
      </w:r>
      <w:r>
        <w:rPr>
          <w:rFonts w:ascii="Arial" w:cs="Arial" w:eastAsia="Arial" w:hAnsi="Arial"/>
          <w:sz w:val="19"/>
          <w:szCs w:val="19"/>
          <w:color w:val="auto"/>
        </w:rPr>
        <w:t>4,357,09 0.000</w:t>
      </w:r>
    </w:p>
    <w:p>
      <w:pPr>
        <w:spacing w:after="0" w:line="206" w:lineRule="exact"/>
        <w:rPr>
          <w:sz w:val="20"/>
          <w:szCs w:val="20"/>
          <w:color w:val="auto"/>
        </w:rPr>
      </w:pPr>
    </w:p>
    <w:p>
      <w:pPr>
        <w:ind w:left="1080"/>
        <w:spacing w:after="0"/>
        <w:tabs>
          <w:tab w:leader="none" w:pos="5200" w:val="left"/>
        </w:tabs>
        <w:rPr>
          <w:sz w:val="20"/>
          <w:szCs w:val="20"/>
          <w:color w:val="auto"/>
        </w:rPr>
      </w:pPr>
      <w:r>
        <w:rPr>
          <w:rFonts w:ascii="Arial" w:cs="Arial" w:eastAsia="Arial" w:hAnsi="Arial"/>
          <w:sz w:val="21"/>
          <w:szCs w:val="21"/>
          <w:color w:val="auto"/>
        </w:rPr>
        <w:t>(ii) Shared power to vote or to direct the vote</w:t>
      </w:r>
      <w:r>
        <w:rPr>
          <w:sz w:val="20"/>
          <w:szCs w:val="20"/>
          <w:color w:val="auto"/>
        </w:rPr>
        <w:tab/>
      </w:r>
      <w:r>
        <w:rPr>
          <w:rFonts w:ascii="Arial" w:cs="Arial" w:eastAsia="Arial" w:hAnsi="Arial"/>
          <w:sz w:val="17"/>
          <w:szCs w:val="17"/>
          <w:color w:val="auto"/>
        </w:rPr>
        <w:t>0</w:t>
      </w:r>
    </w:p>
    <w:p>
      <w:pPr>
        <w:spacing w:after="0" w:line="218" w:lineRule="exact"/>
        <w:rPr>
          <w:sz w:val="20"/>
          <w:szCs w:val="20"/>
          <w:color w:val="auto"/>
        </w:rPr>
      </w:pPr>
    </w:p>
    <w:p>
      <w:pPr>
        <w:ind w:left="1080"/>
        <w:spacing w:after="0"/>
        <w:tabs>
          <w:tab w:leader="none" w:pos="6180" w:val="left"/>
        </w:tabs>
        <w:rPr>
          <w:sz w:val="20"/>
          <w:szCs w:val="20"/>
          <w:color w:val="auto"/>
        </w:rPr>
      </w:pPr>
      <w:r>
        <w:rPr>
          <w:rFonts w:ascii="Arial" w:cs="Arial" w:eastAsia="Arial" w:hAnsi="Arial"/>
          <w:sz w:val="22"/>
          <w:szCs w:val="22"/>
          <w:color w:val="auto"/>
        </w:rPr>
        <w:t>(iii) Sole power to dispose or to direct the disposition of</w:t>
      </w:r>
      <w:r>
        <w:rPr>
          <w:sz w:val="20"/>
          <w:szCs w:val="20"/>
          <w:color w:val="auto"/>
        </w:rPr>
        <w:tab/>
      </w:r>
      <w:r>
        <w:rPr>
          <w:rFonts w:ascii="Arial" w:cs="Arial" w:eastAsia="Arial" w:hAnsi="Arial"/>
          <w:sz w:val="19"/>
          <w:szCs w:val="19"/>
          <w:color w:val="auto"/>
        </w:rPr>
        <w:t>4,357,09 0.000</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(iv) Shared power to dispose or to direct the disposition of 4,357,09 0.000 shares of TPG SPECIALTY</w:t>
      </w:r>
    </w:p>
    <w:p>
      <w:pPr>
        <w:ind w:left="1080"/>
        <w:spacing w:after="0" w:line="187" w:lineRule="auto"/>
        <w:rPr>
          <w:sz w:val="20"/>
          <w:szCs w:val="20"/>
          <w:color w:val="auto"/>
        </w:rPr>
      </w:pPr>
      <w:r>
        <w:rPr>
          <w:rFonts w:ascii="Arial" w:cs="Arial" w:eastAsia="Arial" w:hAnsi="Arial"/>
          <w:sz w:val="22"/>
          <w:szCs w:val="22"/>
          <w:color w:val="auto"/>
        </w:rPr>
        <w:t>LENDING INC. stock.</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left="540" w:right="920"/>
        <w:spacing w:after="0" w:line="223" w:lineRule="auto"/>
        <w:rPr>
          <w:sz w:val="20"/>
          <w:szCs w:val="20"/>
          <w:color w:val="auto"/>
        </w:rPr>
      </w:pPr>
      <w:r>
        <w:rPr>
          <w:rFonts w:ascii="Arial" w:cs="Arial" w:eastAsia="Arial" w:hAnsi="Arial"/>
          <w:sz w:val="21"/>
          <w:szCs w:val="21"/>
          <w:color w:val="auto"/>
        </w:rPr>
        <w:t>If this statements is being filed to report the fact that as of the date hereof the reporting person has ceased to be the beneficial owner of more than five (5) percent of the class of securities, check the following [ ].</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Item 7 IDENTIFICATION AND CLASSIFICATION OF SUBSIDIARY WHICH ACQUIRED THE SECURITY BEING REPORTED ON BY THE PARENT HOLDING COMPANY.</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spacing w:after="0" w:line="22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DATED:</w:t>
        <w:tab/>
        <w:t>1/25/2017</w:t>
      </w:r>
    </w:p>
    <w:p>
      <w:pPr>
        <w:spacing w:after="0" w:line="395" w:lineRule="exact"/>
        <w:rPr>
          <w:sz w:val="20"/>
          <w:szCs w:val="20"/>
          <w:color w:val="auto"/>
        </w:rPr>
      </w:pPr>
    </w:p>
    <w:p>
      <w:pPr>
        <w:ind w:right="5060"/>
        <w:spacing w:after="0" w:line="187" w:lineRule="auto"/>
        <w:rPr>
          <w:sz w:val="20"/>
          <w:szCs w:val="20"/>
          <w:color w:val="auto"/>
        </w:rPr>
      </w:pPr>
      <w:r>
        <w:rPr>
          <w:rFonts w:ascii="Arial" w:cs="Arial" w:eastAsia="Arial" w:hAnsi="Arial"/>
          <w:sz w:val="22"/>
          <w:szCs w:val="22"/>
          <w:color w:val="auto"/>
        </w:rPr>
        <w:t>OTR - Nominee Name for The State Teachers Retirement Board of Ohio 275 East Broad Street</w:t>
      </w:r>
    </w:p>
    <w:p>
      <w:pPr>
        <w:spacing w:after="0" w:line="181" w:lineRule="auto"/>
        <w:rPr>
          <w:sz w:val="20"/>
          <w:szCs w:val="20"/>
          <w:color w:val="auto"/>
        </w:rPr>
      </w:pPr>
      <w:r>
        <w:rPr>
          <w:rFonts w:ascii="Arial" w:cs="Arial" w:eastAsia="Arial" w:hAnsi="Arial"/>
          <w:sz w:val="22"/>
          <w:szCs w:val="22"/>
          <w:color w:val="auto"/>
        </w:rPr>
        <w:t>Columbus, Ohio 43215</w:t>
      </w:r>
    </w:p>
    <w:p>
      <w:pPr>
        <w:spacing w:after="0" w:line="188" w:lineRule="auto"/>
        <w:rPr>
          <w:sz w:val="20"/>
          <w:szCs w:val="20"/>
          <w:color w:val="auto"/>
        </w:rPr>
      </w:pPr>
      <w:r>
        <w:rPr>
          <w:rFonts w:ascii="Arial" w:cs="Arial" w:eastAsia="Arial" w:hAnsi="Arial"/>
          <w:sz w:val="21"/>
          <w:szCs w:val="21"/>
          <w:color w:val="auto"/>
        </w:rPr>
        <w:t>John D. Morrow</w:t>
      </w:r>
    </w:p>
    <w:p>
      <w:pPr>
        <w:spacing w:after="0"/>
        <w:rPr>
          <w:sz w:val="20"/>
          <w:szCs w:val="20"/>
          <w:color w:val="auto"/>
        </w:rPr>
      </w:pPr>
      <w:r>
        <w:rPr>
          <w:rFonts w:ascii="Arial" w:cs="Arial" w:eastAsia="Arial" w:hAnsi="Arial"/>
          <w:sz w:val="22"/>
          <w:szCs w:val="22"/>
          <w:color w:val="auto"/>
        </w:rPr>
        <w:t>/s/John. D. Morrow</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John. D. Morrow</w:t>
      </w:r>
    </w:p>
    <w:p>
      <w:pPr>
        <w:sectPr>
          <w:pgSz w:w="11900" w:h="16838" w:orient="portrait"/>
          <w:cols w:equalWidth="0" w:num="1">
            <w:col w:w="11360"/>
          </w:cols>
          <w:pgMar w:left="240" w:top="118" w:right="299" w:bottom="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Deputy Executive Director, Investments</w:t>
      </w:r>
    </w:p>
    <w:p>
      <w:pPr>
        <w:spacing w:after="0"/>
        <w:rPr>
          <w:sz w:val="20"/>
          <w:szCs w:val="20"/>
          <w:color w:val="auto"/>
        </w:rPr>
      </w:pPr>
      <w:r>
        <w:rPr>
          <w:rFonts w:ascii="Arial" w:cs="Arial" w:eastAsia="Arial" w:hAnsi="Arial"/>
          <w:sz w:val="22"/>
          <w:szCs w:val="22"/>
          <w:color w:val="auto"/>
        </w:rPr>
        <w:t>614-227-8617</w:t>
      </w:r>
    </w:p>
    <w:sectPr>
      <w:pgSz w:w="11900" w:h="16838" w:orient="portrait"/>
      <w:cols w:equalWidth="0" w:num="1">
        <w:col w:w="10219"/>
      </w:cols>
      <w:pgMar w:left="24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2019-12-07T14:06:10Z</dcterms:created>
  <dcterms:modified xsi:type="dcterms:W3CDTF">2019-12-07T14:06:10Z</dcterms:modified>
</cp:coreProperties>
</file>