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214630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39"/>
        <w:spacing w:after="0"/>
        <w:rPr>
          <w:sz w:val="20"/>
          <w:szCs w:val="20"/>
          <w:color w:val="auto"/>
        </w:rPr>
      </w:pPr>
      <w:r>
        <w:rPr>
          <w:rFonts w:ascii="Arial" w:cs="Arial" w:eastAsia="Arial" w:hAnsi="Arial"/>
          <w:sz w:val="31"/>
          <w:szCs w:val="31"/>
          <w:b w:val="1"/>
          <w:bCs w:val="1"/>
          <w:color w:val="auto"/>
        </w:rPr>
        <w:t>SCHEDULE 14A INFORMATION</w:t>
      </w:r>
    </w:p>
    <w:p>
      <w:pPr>
        <w:spacing w:after="0" w:line="220"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8"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line="196" w:lineRule="exact"/>
        <w:tabs>
          <w:tab w:leader="none" w:pos="222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32" w:lineRule="exact"/>
        <w:rPr>
          <w:sz w:val="24"/>
          <w:szCs w:val="24"/>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18" w:lineRule="exact"/>
        <w:rPr>
          <w:rFonts w:ascii="MS PGothic" w:cs="MS PGothic" w:eastAsia="MS PGothic" w:hAnsi="MS PGothic"/>
          <w:sz w:val="17"/>
          <w:szCs w:val="17"/>
          <w:color w:val="auto"/>
        </w:rPr>
      </w:pPr>
    </w:p>
    <w:p>
      <w:pPr>
        <w:ind w:left="460" w:hanging="455"/>
        <w:spacing w:after="0"/>
        <w:tabs>
          <w:tab w:leader="none" w:pos="4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460" w:hanging="455"/>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60" w:hanging="455"/>
        <w:spacing w:after="0"/>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38"/>
          <w:szCs w:val="38"/>
          <w:b w:val="1"/>
          <w:bCs w:val="1"/>
          <w:color w:val="auto"/>
        </w:rPr>
        <w:t>TICC CAPITAL CORP.</w:t>
      </w:r>
    </w:p>
    <w:p>
      <w:pPr>
        <w:spacing w:after="0" w:line="43"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308"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TPG Specialty Lending, Inc.</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not required.</w:t>
      </w:r>
    </w:p>
    <w:p>
      <w:pPr>
        <w:spacing w:after="0" w:line="224" w:lineRule="exact"/>
        <w:rPr>
          <w:sz w:val="24"/>
          <w:szCs w:val="24"/>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23"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line="289" w:lineRule="auto"/>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480" w:hanging="475"/>
        <w:spacing w:after="0"/>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8" w:lineRule="exact"/>
        <w:rPr>
          <w:rFonts w:ascii="MS PGothic" w:cs="MS PGothic" w:eastAsia="MS PGothic" w:hAnsi="MS PGothic"/>
          <w:sz w:val="17"/>
          <w:szCs w:val="17"/>
          <w:color w:val="auto"/>
        </w:rPr>
      </w:pPr>
    </w:p>
    <w:p>
      <w:pPr>
        <w:ind w:left="480" w:right="600" w:hanging="475"/>
        <w:spacing w:after="0" w:line="289"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2" w:lineRule="exact"/>
        <w:rPr>
          <w:rFonts w:ascii="MS PGothic" w:cs="MS PGothic" w:eastAsia="MS PGothic" w:hAnsi="MS PGothic"/>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920" w:hanging="444"/>
        <w:spacing w:after="0"/>
        <w:tabs>
          <w:tab w:leader="none" w:pos="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-4290060</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-3857625</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-3291840</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-2859405</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-2426970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-996950</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-564515</wp:posOffset>
            </wp:positionV>
            <wp:extent cx="666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-132080</wp:posOffset>
            </wp:positionV>
            <wp:extent cx="6668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8770" cy="8255"/>
                    </a:xfrm>
                    <a:prstGeom prst="rect">
                      <a:avLst/>
                    </a:prstGeom>
                    <a:noFill/>
                  </pic:spPr>
                </pic:pic>
              </a:graphicData>
            </a:graphic>
          </wp:anchor>
        </w:drawing>
      </w:r>
    </w:p>
    <w:p>
      <w:pPr>
        <w:sectPr>
          <w:pgSz w:w="11900" w:h="16838" w:orient="portrait"/>
          <w:cols w:equalWidth="0" w:num="1">
            <w:col w:w="11280"/>
          </w:cols>
          <w:pgMar w:left="240" w:top="504" w:right="37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737235</wp:posOffset>
            </wp:positionH>
            <wp:positionV relativeFrom="page">
              <wp:posOffset>371475</wp:posOffset>
            </wp:positionV>
            <wp:extent cx="6668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554355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596265</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TPG Specialty Lending, Inc. (“TSLX”) has filed a definitive proxy statement with the Securities and Exchange Commission (the “SEC”) and an accompanying GOLD proxy card to be used to solicit votes against TICC Capital Corp.’s (the “Company”) proposal to approve a new advisory agreement between the Company and TICC Management, LLC, to take effect upon a change of control of TICC Management, LLC, and certain related proposals, at a special meeting of stockholders of the Company scheduled to be held on October 27, 2015.</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As part of the above-referenced solicitation, TSLX updated certain pages of its website, </w:t>
      </w:r>
      <w:r>
        <w:rPr>
          <w:rFonts w:ascii="Arial" w:cs="Arial" w:eastAsia="Arial" w:hAnsi="Arial"/>
          <w:sz w:val="17"/>
          <w:szCs w:val="17"/>
          <w:u w:val="single" w:color="auto"/>
          <w:color w:val="auto"/>
        </w:rPr>
        <w:t>http://www.changeticcnow.com/</w:t>
      </w:r>
      <w:r>
        <w:rPr>
          <w:rFonts w:ascii="Arial" w:cs="Arial" w:eastAsia="Arial" w:hAnsi="Arial"/>
          <w:sz w:val="17"/>
          <w:szCs w:val="17"/>
          <w:color w:val="auto"/>
        </w:rPr>
        <w:t>, a website established by TSLX that contains information regarding the solicitation. This Schedule 14A filing consists of the following screenshots, which reflect the content of pages not previously filed with the SEC.</w:t>
      </w:r>
    </w:p>
    <w:p>
      <w:pPr>
        <w:sectPr>
          <w:pgSz w:w="11900" w:h="16838" w:orient="portrait"/>
          <w:cols w:equalWidth="0" w:num="1">
            <w:col w:w="11340"/>
          </w:cols>
          <w:pgMar w:left="240" w:top="271" w:right="3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36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536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20"/>
                <w:szCs w:val="20"/>
                <w:color w:val="auto"/>
              </w:rPr>
            </w:pPr>
            <w:r>
              <w:rPr>
                <w:rFonts w:ascii="Arial" w:cs="Arial" w:eastAsia="Arial" w:hAnsi="Arial"/>
                <w:sz w:val="13"/>
                <w:szCs w:val="13"/>
                <w:color w:val="FFFFFF"/>
              </w:rPr>
              <w:t>TPG</w:t>
            </w:r>
          </w:p>
        </w:tc>
        <w:tc>
          <w:tcPr>
            <w:tcW w:w="2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11400" w:type="dxa"/>
            <w:vAlign w:val="bottom"/>
            <w:gridSpan w:val="4"/>
          </w:tcPr>
          <w:p>
            <w:pPr>
              <w:spacing w:after="0" w:line="40" w:lineRule="exact"/>
              <w:rPr>
                <w:sz w:val="20"/>
                <w:szCs w:val="20"/>
                <w:color w:val="auto"/>
              </w:rPr>
            </w:pPr>
            <w:r>
              <w:rPr>
                <w:rFonts w:ascii="Arial" w:cs="Arial" w:eastAsia="Arial" w:hAnsi="Arial"/>
                <w:sz w:val="4"/>
                <w:szCs w:val="4"/>
                <w:color w:val="FFFFFF"/>
              </w:rPr>
              <w:t>HOME NEWS &amp; FILINGS HOW TO VOTE ABOUT TPG SPECIALTY LENDING WHAT PEOPLE ARE SAYING CONTACT INFORMATION</w:t>
            </w:r>
          </w:p>
        </w:tc>
        <w:tc>
          <w:tcPr>
            <w:tcW w:w="0" w:type="dxa"/>
            <w:vAlign w:val="bottom"/>
          </w:tcPr>
          <w:p>
            <w:pPr>
              <w:spacing w:after="0" w:line="20" w:lineRule="exact"/>
              <w:rPr>
                <w:sz w:val="1"/>
                <w:szCs w:val="1"/>
                <w:color w:val="auto"/>
              </w:rPr>
            </w:pPr>
          </w:p>
        </w:tc>
      </w:tr>
      <w:tr>
        <w:trPr>
          <w:trHeight w:val="39"/>
        </w:trPr>
        <w:tc>
          <w:tcPr>
            <w:tcW w:w="3900" w:type="dxa"/>
            <w:vAlign w:val="bottom"/>
            <w:gridSpan w:val="2"/>
          </w:tcPr>
          <w:p>
            <w:pPr>
              <w:spacing w:after="0" w:line="40" w:lineRule="exact"/>
              <w:rPr>
                <w:sz w:val="20"/>
                <w:szCs w:val="20"/>
                <w:color w:val="auto"/>
              </w:rPr>
            </w:pPr>
            <w:r>
              <w:rPr>
                <w:rFonts w:ascii="Arial" w:cs="Arial" w:eastAsia="Arial" w:hAnsi="Arial"/>
                <w:sz w:val="4"/>
                <w:szCs w:val="4"/>
                <w:color w:val="FFFFFF"/>
              </w:rPr>
              <w:t>Institutional Shareholder Services Inc. – October 16, 2015</w:t>
            </w:r>
          </w:p>
        </w:tc>
        <w:tc>
          <w:tcPr>
            <w:tcW w:w="104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00" w:type="dxa"/>
            <w:vAlign w:val="bottom"/>
            <w:gridSpan w:val="4"/>
          </w:tcPr>
          <w:p>
            <w:pPr>
              <w:spacing w:after="0" w:line="40" w:lineRule="exact"/>
              <w:rPr>
                <w:sz w:val="20"/>
                <w:szCs w:val="20"/>
                <w:color w:val="auto"/>
              </w:rPr>
            </w:pPr>
            <w:r>
              <w:rPr>
                <w:rFonts w:ascii="Arial" w:cs="Arial" w:eastAsia="Arial" w:hAnsi="Arial"/>
                <w:sz w:val="4"/>
                <w:szCs w:val="4"/>
                <w:color w:val="FFFFFF"/>
              </w:rPr>
              <w:t>“[T]he prudent strategy may be to send the [TICC] board back to the drawing board, and ask it to run the process it does not appear to have run when first presented with the opportunity. A vote AGAINST [the BSP</w:t>
            </w:r>
          </w:p>
        </w:tc>
        <w:tc>
          <w:tcPr>
            <w:tcW w:w="0" w:type="dxa"/>
            <w:vAlign w:val="bottom"/>
          </w:tcPr>
          <w:p>
            <w:pPr>
              <w:spacing w:after="0" w:line="20" w:lineRule="exact"/>
              <w:rPr>
                <w:sz w:val="1"/>
                <w:szCs w:val="1"/>
                <w:color w:val="auto"/>
              </w:rPr>
            </w:pPr>
          </w:p>
        </w:tc>
      </w:tr>
      <w:tr>
        <w:trPr>
          <w:trHeight w:val="39"/>
        </w:trPr>
        <w:tc>
          <w:tcPr>
            <w:tcW w:w="1120" w:type="dxa"/>
            <w:vAlign w:val="bottom"/>
          </w:tcPr>
          <w:p>
            <w:pPr>
              <w:spacing w:after="0" w:line="40" w:lineRule="exact"/>
              <w:rPr>
                <w:sz w:val="20"/>
                <w:szCs w:val="20"/>
                <w:color w:val="auto"/>
              </w:rPr>
            </w:pPr>
            <w:r>
              <w:rPr>
                <w:rFonts w:ascii="Arial" w:cs="Arial" w:eastAsia="Arial" w:hAnsi="Arial"/>
                <w:sz w:val="4"/>
                <w:szCs w:val="4"/>
                <w:color w:val="FFFFFF"/>
              </w:rPr>
              <w:t>transaction],</w:t>
            </w:r>
          </w:p>
        </w:tc>
        <w:tc>
          <w:tcPr>
            <w:tcW w:w="2780" w:type="dxa"/>
            <w:vAlign w:val="bottom"/>
          </w:tcPr>
          <w:p>
            <w:pPr>
              <w:ind w:left="100"/>
              <w:spacing w:after="0" w:line="40" w:lineRule="exact"/>
              <w:rPr>
                <w:sz w:val="20"/>
                <w:szCs w:val="20"/>
                <w:color w:val="auto"/>
              </w:rPr>
            </w:pPr>
            <w:r>
              <w:rPr>
                <w:rFonts w:ascii="Arial" w:cs="Arial" w:eastAsia="Arial" w:hAnsi="Arial"/>
                <w:sz w:val="4"/>
                <w:szCs w:val="4"/>
                <w:color w:val="FFFFFF"/>
              </w:rPr>
              <w:t>is warranted at this point.”</w:t>
            </w:r>
          </w:p>
        </w:tc>
        <w:tc>
          <w:tcPr>
            <w:tcW w:w="1040" w:type="dxa"/>
            <w:vAlign w:val="bottom"/>
          </w:tcPr>
          <w:p>
            <w:pPr>
              <w:spacing w:after="0"/>
              <w:rPr>
                <w:sz w:val="3"/>
                <w:szCs w:val="3"/>
                <w:color w:val="auto"/>
              </w:rPr>
            </w:pPr>
          </w:p>
        </w:tc>
        <w:tc>
          <w:tcPr>
            <w:tcW w:w="6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900" w:type="dxa"/>
            <w:vAlign w:val="bottom"/>
            <w:gridSpan w:val="2"/>
          </w:tcPr>
          <w:p>
            <w:pPr>
              <w:spacing w:after="0" w:line="40" w:lineRule="exact"/>
              <w:rPr>
                <w:sz w:val="20"/>
                <w:szCs w:val="20"/>
                <w:color w:val="auto"/>
              </w:rPr>
            </w:pPr>
            <w:r>
              <w:rPr>
                <w:rFonts w:ascii="Arial" w:cs="Arial" w:eastAsia="Arial" w:hAnsi="Arial"/>
                <w:sz w:val="4"/>
                <w:szCs w:val="4"/>
                <w:color w:val="FFFFFF"/>
              </w:rPr>
              <w:t>Glass, Lewis therefore,&amp;Co.LLC – October 14, 2015</w:t>
            </w:r>
          </w:p>
        </w:tc>
        <w:tc>
          <w:tcPr>
            <w:tcW w:w="1040" w:type="dxa"/>
            <w:vAlign w:val="bottom"/>
          </w:tcPr>
          <w:p>
            <w:pPr>
              <w:spacing w:after="0"/>
              <w:rPr>
                <w:sz w:val="3"/>
                <w:szCs w:val="3"/>
                <w:color w:val="auto"/>
              </w:rPr>
            </w:pPr>
          </w:p>
        </w:tc>
        <w:tc>
          <w:tcPr>
            <w:tcW w:w="6460" w:type="dxa"/>
            <w:vAlign w:val="bottom"/>
            <w:vMerge w:val="restart"/>
          </w:tcPr>
          <w:p>
            <w:pPr>
              <w:ind w:left="260"/>
              <w:spacing w:after="0" w:line="79" w:lineRule="exact"/>
              <w:rPr>
                <w:sz w:val="20"/>
                <w:szCs w:val="20"/>
                <w:color w:val="auto"/>
              </w:rPr>
            </w:pPr>
            <w:r>
              <w:rPr>
                <w:rFonts w:ascii="Arial" w:cs="Arial" w:eastAsia="Arial" w:hAnsi="Arial"/>
                <w:sz w:val="9"/>
                <w:szCs w:val="9"/>
                <w:color w:val="FFFFFF"/>
              </w:rPr>
              <w:t>the most attractive alternative available to [TICC’s] unaffiliated investor base at this time. … [T]he expeditiously</w:t>
            </w:r>
          </w:p>
        </w:tc>
        <w:tc>
          <w:tcPr>
            <w:tcW w:w="0" w:type="dxa"/>
            <w:vAlign w:val="bottom"/>
          </w:tcPr>
          <w:p>
            <w:pPr>
              <w:spacing w:after="0" w:line="20" w:lineRule="exact"/>
              <w:rPr>
                <w:sz w:val="1"/>
                <w:szCs w:val="1"/>
                <w:color w:val="auto"/>
              </w:rPr>
            </w:pPr>
          </w:p>
        </w:tc>
      </w:tr>
      <w:tr>
        <w:trPr>
          <w:trHeight w:val="39"/>
        </w:trPr>
        <w:tc>
          <w:tcPr>
            <w:tcW w:w="4940" w:type="dxa"/>
            <w:vAlign w:val="bottom"/>
            <w:gridSpan w:val="3"/>
          </w:tcPr>
          <w:p>
            <w:pPr>
              <w:spacing w:after="0" w:line="40" w:lineRule="exact"/>
              <w:rPr>
                <w:sz w:val="20"/>
                <w:szCs w:val="20"/>
                <w:color w:val="auto"/>
              </w:rPr>
            </w:pPr>
            <w:r>
              <w:rPr>
                <w:rFonts w:ascii="Arial" w:cs="Arial" w:eastAsia="Arial" w:hAnsi="Arial"/>
                <w:sz w:val="4"/>
                <w:szCs w:val="4"/>
                <w:color w:val="FFFFFF"/>
              </w:rPr>
              <w:t>“[T]here are very few definitive reasons to suggest the arrangement with BSP is likely to</w:t>
            </w:r>
          </w:p>
        </w:tc>
        <w:tc>
          <w:tcPr>
            <w:tcW w:w="64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00" w:type="dxa"/>
            <w:vAlign w:val="bottom"/>
            <w:gridSpan w:val="4"/>
          </w:tcPr>
          <w:p>
            <w:pPr>
              <w:spacing w:after="0" w:line="40" w:lineRule="exact"/>
              <w:rPr>
                <w:sz w:val="20"/>
                <w:szCs w:val="20"/>
                <w:color w:val="auto"/>
              </w:rPr>
            </w:pPr>
            <w:r>
              <w:rPr>
                <w:rFonts w:ascii="Arial" w:cs="Arial" w:eastAsia="Arial" w:hAnsi="Arial"/>
                <w:sz w:val="4"/>
                <w:szCs w:val="4"/>
                <w:color w:val="FFFFFF"/>
              </w:rPr>
              <w:t>negotiated management arrangement creates an undisclosed wealth transfer in favor of TICC’representunderperforming adviser and shifts management of [TICC] to an entity that has been unable or unwilling to fully match</w:t>
            </w:r>
          </w:p>
        </w:tc>
        <w:tc>
          <w:tcPr>
            <w:tcW w:w="0" w:type="dxa"/>
            <w:vAlign w:val="bottom"/>
          </w:tcPr>
          <w:p>
            <w:pPr>
              <w:spacing w:after="0" w:line="20" w:lineRule="exact"/>
              <w:rPr>
                <w:sz w:val="1"/>
                <w:szCs w:val="1"/>
                <w:color w:val="auto"/>
              </w:rPr>
            </w:pPr>
          </w:p>
        </w:tc>
      </w:tr>
      <w:tr>
        <w:trPr>
          <w:trHeight w:val="39"/>
        </w:trPr>
        <w:tc>
          <w:tcPr>
            <w:tcW w:w="4940" w:type="dxa"/>
            <w:vAlign w:val="bottom"/>
            <w:gridSpan w:val="3"/>
          </w:tcPr>
          <w:p>
            <w:pPr>
              <w:spacing w:after="0" w:line="40" w:lineRule="exact"/>
              <w:rPr>
                <w:sz w:val="20"/>
                <w:szCs w:val="20"/>
                <w:color w:val="auto"/>
              </w:rPr>
            </w:pPr>
            <w:r>
              <w:rPr>
                <w:rFonts w:ascii="Arial" w:cs="Arial" w:eastAsia="Arial" w:hAnsi="Arial"/>
                <w:sz w:val="4"/>
                <w:szCs w:val="4"/>
                <w:color w:val="FFFFFF"/>
              </w:rPr>
              <w:t>seemingly superior arrangements available through alternative transaction partners.”</w:t>
            </w:r>
          </w:p>
        </w:tc>
        <w:tc>
          <w:tcPr>
            <w:tcW w:w="6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900" w:type="dxa"/>
            <w:vAlign w:val="bottom"/>
            <w:gridSpan w:val="2"/>
          </w:tcPr>
          <w:p>
            <w:pPr>
              <w:spacing w:after="0" w:line="40" w:lineRule="exact"/>
              <w:rPr>
                <w:sz w:val="20"/>
                <w:szCs w:val="20"/>
                <w:color w:val="auto"/>
              </w:rPr>
            </w:pPr>
            <w:r>
              <w:rPr>
                <w:rFonts w:ascii="Arial" w:cs="Arial" w:eastAsia="Arial" w:hAnsi="Arial"/>
                <w:sz w:val="4"/>
                <w:szCs w:val="4"/>
                <w:color w:val="FFFFFF"/>
              </w:rPr>
              <w:t>Egan-Jones Ratings Company – October 13, 2015</w:t>
            </w:r>
          </w:p>
        </w:tc>
        <w:tc>
          <w:tcPr>
            <w:tcW w:w="7500" w:type="dxa"/>
            <w:vAlign w:val="bottom"/>
            <w:gridSpan w:val="2"/>
            <w:vMerge w:val="restart"/>
          </w:tcPr>
          <w:p>
            <w:pPr>
              <w:ind w:left="60"/>
              <w:spacing w:after="0" w:line="79" w:lineRule="exact"/>
              <w:rPr>
                <w:sz w:val="20"/>
                <w:szCs w:val="20"/>
                <w:color w:val="auto"/>
              </w:rPr>
            </w:pPr>
            <w:r>
              <w:rPr>
                <w:rFonts w:ascii="Arial" w:cs="Arial" w:eastAsia="Arial" w:hAnsi="Arial"/>
                <w:sz w:val="9"/>
                <w:szCs w:val="9"/>
                <w:color w:val="FFFFFF"/>
              </w:rPr>
              <w:t>a manner that is in the best long term interest of shareholders. We are also concerned that at least some of the independent members of that</w:t>
            </w:r>
          </w:p>
        </w:tc>
        <w:tc>
          <w:tcPr>
            <w:tcW w:w="0" w:type="dxa"/>
            <w:vAlign w:val="bottom"/>
          </w:tcPr>
          <w:p>
            <w:pPr>
              <w:spacing w:after="0" w:line="20" w:lineRule="exact"/>
              <w:rPr>
                <w:sz w:val="1"/>
                <w:szCs w:val="1"/>
                <w:color w:val="auto"/>
              </w:rPr>
            </w:pPr>
          </w:p>
        </w:tc>
      </w:tr>
      <w:tr>
        <w:trPr>
          <w:trHeight w:val="39"/>
        </w:trPr>
        <w:tc>
          <w:tcPr>
            <w:tcW w:w="1120" w:type="dxa"/>
            <w:vAlign w:val="bottom"/>
          </w:tcPr>
          <w:p>
            <w:pPr>
              <w:spacing w:after="0" w:line="40" w:lineRule="exact"/>
              <w:rPr>
                <w:sz w:val="20"/>
                <w:szCs w:val="20"/>
                <w:color w:val="auto"/>
              </w:rPr>
            </w:pPr>
            <w:r>
              <w:rPr>
                <w:rFonts w:ascii="Arial" w:cs="Arial" w:eastAsia="Arial" w:hAnsi="Arial"/>
                <w:sz w:val="4"/>
                <w:szCs w:val="4"/>
                <w:color w:val="FFFFFF"/>
              </w:rPr>
              <w:t>“We are concerned</w:t>
            </w:r>
          </w:p>
        </w:tc>
        <w:tc>
          <w:tcPr>
            <w:tcW w:w="2780" w:type="dxa"/>
            <w:vAlign w:val="bottom"/>
          </w:tcPr>
          <w:p>
            <w:pPr>
              <w:ind w:left="140"/>
              <w:spacing w:after="0" w:line="40" w:lineRule="exact"/>
              <w:rPr>
                <w:sz w:val="20"/>
                <w:szCs w:val="20"/>
                <w:color w:val="auto"/>
              </w:rPr>
            </w:pPr>
            <w:r>
              <w:rPr>
                <w:rFonts w:ascii="Arial" w:cs="Arial" w:eastAsia="Arial" w:hAnsi="Arial"/>
                <w:sz w:val="4"/>
                <w:szCs w:val="4"/>
                <w:color w:val="FFFFFF"/>
              </w:rPr>
              <w:t>the current Board of TICC may not be operating</w:t>
            </w:r>
          </w:p>
        </w:tc>
        <w:tc>
          <w:tcPr>
            <w:tcW w:w="75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4940" w:type="dxa"/>
            <w:vAlign w:val="bottom"/>
            <w:gridSpan w:val="3"/>
          </w:tcPr>
          <w:p>
            <w:pPr>
              <w:spacing w:after="0" w:line="40" w:lineRule="exact"/>
              <w:rPr>
                <w:sz w:val="20"/>
                <w:szCs w:val="20"/>
                <w:color w:val="auto"/>
              </w:rPr>
            </w:pPr>
            <w:r>
              <w:rPr>
                <w:rFonts w:ascii="Arial" w:cs="Arial" w:eastAsia="Arial" w:hAnsi="Arial"/>
                <w:sz w:val="4"/>
                <w:szCs w:val="4"/>
                <w:color w:val="FFFFFF"/>
              </w:rPr>
              <w:t>board may have for thatvariety of reasons, lost their ability to be truly independent.”</w:t>
            </w:r>
          </w:p>
        </w:tc>
        <w:tc>
          <w:tcPr>
            <w:tcW w:w="6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3900" w:type="dxa"/>
            <w:vAlign w:val="bottom"/>
            <w:gridSpan w:val="2"/>
          </w:tcPr>
          <w:p>
            <w:pPr>
              <w:spacing w:after="0" w:line="40" w:lineRule="exact"/>
              <w:rPr>
                <w:sz w:val="20"/>
                <w:szCs w:val="20"/>
                <w:color w:val="auto"/>
              </w:rPr>
            </w:pPr>
            <w:r>
              <w:rPr>
                <w:rFonts w:ascii="Arial" w:cs="Arial" w:eastAsia="Arial" w:hAnsi="Arial"/>
                <w:sz w:val="4"/>
                <w:szCs w:val="4"/>
                <w:color w:val="FFFFFF"/>
              </w:rPr>
              <w:t>Wells Fargo – October 9, 2015</w:t>
            </w:r>
          </w:p>
        </w:tc>
        <w:tc>
          <w:tcPr>
            <w:tcW w:w="7500" w:type="dxa"/>
            <w:vAlign w:val="bottom"/>
            <w:gridSpan w:val="2"/>
            <w:vMerge w:val="restart"/>
          </w:tcPr>
          <w:p>
            <w:pPr>
              <w:ind w:left="60"/>
              <w:spacing w:after="0" w:line="38" w:lineRule="exact"/>
              <w:rPr>
                <w:sz w:val="20"/>
                <w:szCs w:val="20"/>
                <w:color w:val="auto"/>
              </w:rPr>
            </w:pPr>
            <w:r>
              <w:rPr>
                <w:rFonts w:ascii="Arial" w:cs="Arial" w:eastAsia="Arial" w:hAnsi="Arial"/>
                <w:sz w:val="4"/>
                <w:szCs w:val="4"/>
                <w:color w:val="FFFFFF"/>
              </w:rPr>
              <w:t>vote in favor of the BSP transaction will ’protect’ the distribution, but we believe this statement only gives false hope to investors. We believe</w:t>
            </w:r>
          </w:p>
        </w:tc>
        <w:tc>
          <w:tcPr>
            <w:tcW w:w="0" w:type="dxa"/>
            <w:vAlign w:val="bottom"/>
          </w:tcPr>
          <w:p>
            <w:pPr>
              <w:spacing w:after="0" w:line="20" w:lineRule="exact"/>
              <w:rPr>
                <w:sz w:val="1"/>
                <w:szCs w:val="1"/>
                <w:color w:val="auto"/>
              </w:rPr>
            </w:pPr>
          </w:p>
        </w:tc>
      </w:tr>
      <w:tr>
        <w:trPr>
          <w:trHeight w:val="0"/>
        </w:trPr>
        <w:tc>
          <w:tcPr>
            <w:tcW w:w="3900" w:type="dxa"/>
            <w:vAlign w:val="bottom"/>
            <w:gridSpan w:val="2"/>
          </w:tcPr>
          <w:p>
            <w:pPr>
              <w:spacing w:after="0" w:line="78" w:lineRule="exact"/>
              <w:rPr>
                <w:sz w:val="20"/>
                <w:szCs w:val="20"/>
                <w:color w:val="auto"/>
              </w:rPr>
            </w:pPr>
            <w:r>
              <w:rPr>
                <w:rFonts w:ascii="Arial" w:cs="Arial" w:eastAsia="Arial" w:hAnsi="Arial"/>
                <w:sz w:val="8"/>
                <w:szCs w:val="8"/>
                <w:color w:val="FFFFFF"/>
              </w:rPr>
              <w:t>“A Vote for TICC does not ’Protect’ The Distribution. TICC outlines that</w:t>
            </w:r>
          </w:p>
        </w:tc>
        <w:tc>
          <w:tcPr>
            <w:tcW w:w="75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auto"/>
        <w:rPr>
          <w:sz w:val="20"/>
          <w:szCs w:val="20"/>
          <w:color w:val="auto"/>
        </w:rPr>
      </w:pPr>
      <w:r>
        <w:rPr>
          <w:rFonts w:ascii="Arial" w:cs="Arial" w:eastAsia="Arial" w:hAnsi="Arial"/>
          <w:sz w:val="13"/>
          <w:szCs w:val="13"/>
          <w:color w:val="FFFFFF"/>
        </w:rPr>
        <w:t>this dividend will get cut regardless as TICC does not have the operating earnings to support the dividend at all—and this will not change under BSP.”</w:t>
      </w:r>
    </w:p>
    <w:p>
      <w:pPr>
        <w:sectPr>
          <w:pgSz w:w="11900" w:h="16838" w:orient="portrait"/>
          <w:cols w:equalWidth="0" w:num="1">
            <w:col w:w="11400"/>
          </w:cols>
          <w:pgMar w:left="240" w:top="1440" w:right="2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338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533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320" w:type="dxa"/>
            <w:vAlign w:val="bottom"/>
            <w:gridSpan w:val="2"/>
          </w:tcPr>
          <w:p>
            <w:pPr>
              <w:spacing w:after="0"/>
              <w:rPr>
                <w:sz w:val="20"/>
                <w:szCs w:val="20"/>
                <w:color w:val="auto"/>
              </w:rPr>
            </w:pPr>
            <w:r>
              <w:rPr>
                <w:rFonts w:ascii="Arial" w:cs="Arial" w:eastAsia="Arial" w:hAnsi="Arial"/>
                <w:sz w:val="13"/>
                <w:szCs w:val="13"/>
                <w:color w:val="FFFFFF"/>
              </w:rPr>
              <w:t>Chris DeMuth, Jr., Rangeley Capital – October 7, 2015</w:t>
            </w:r>
          </w:p>
        </w:tc>
      </w:tr>
      <w:tr>
        <w:trPr>
          <w:trHeight w:val="39"/>
        </w:trPr>
        <w:tc>
          <w:tcPr>
            <w:tcW w:w="11320" w:type="dxa"/>
            <w:vAlign w:val="bottom"/>
            <w:gridSpan w:val="2"/>
          </w:tcPr>
          <w:p>
            <w:pPr>
              <w:spacing w:after="0" w:line="40" w:lineRule="exact"/>
              <w:rPr>
                <w:sz w:val="20"/>
                <w:szCs w:val="20"/>
                <w:color w:val="auto"/>
              </w:rPr>
            </w:pPr>
            <w:r>
              <w:rPr>
                <w:rFonts w:ascii="Arial" w:cs="Arial" w:eastAsia="Arial" w:hAnsi="Arial"/>
                <w:sz w:val="4"/>
                <w:szCs w:val="4"/>
                <w:color w:val="FFFFFF"/>
              </w:rPr>
              <w:t>“[S]hareholders could choose to accept an immediate event to close the gap between the share price and NAV, in which case TSLX’s offer or potentially liquidating the company is superior to BSP’s offer.”</w:t>
            </w:r>
          </w:p>
        </w:tc>
      </w:tr>
      <w:tr>
        <w:trPr>
          <w:trHeight w:val="39"/>
        </w:trPr>
        <w:tc>
          <w:tcPr>
            <w:tcW w:w="2260" w:type="dxa"/>
            <w:vAlign w:val="bottom"/>
          </w:tcPr>
          <w:p>
            <w:pPr>
              <w:spacing w:after="0" w:line="40" w:lineRule="exact"/>
              <w:rPr>
                <w:sz w:val="20"/>
                <w:szCs w:val="20"/>
                <w:color w:val="auto"/>
              </w:rPr>
            </w:pPr>
            <w:r>
              <w:rPr>
                <w:rFonts w:ascii="Arial" w:cs="Arial" w:eastAsia="Arial" w:hAnsi="Arial"/>
                <w:sz w:val="4"/>
                <w:szCs w:val="4"/>
                <w:color w:val="FFFFFF"/>
              </w:rPr>
              <w:t>Wells Fargo – October 7, 2015</w:t>
            </w:r>
          </w:p>
        </w:tc>
        <w:tc>
          <w:tcPr>
            <w:tcW w:w="9060" w:type="dxa"/>
            <w:vAlign w:val="bottom"/>
          </w:tcPr>
          <w:p>
            <w:pPr>
              <w:spacing w:after="0"/>
              <w:rPr>
                <w:sz w:val="3"/>
                <w:szCs w:val="3"/>
                <w:color w:val="auto"/>
              </w:rPr>
            </w:pPr>
          </w:p>
        </w:tc>
      </w:tr>
      <w:tr>
        <w:trPr>
          <w:trHeight w:val="39"/>
        </w:trPr>
        <w:tc>
          <w:tcPr>
            <w:tcW w:w="11320" w:type="dxa"/>
            <w:vAlign w:val="bottom"/>
            <w:gridSpan w:val="2"/>
          </w:tcPr>
          <w:p>
            <w:pPr>
              <w:spacing w:after="0" w:line="40" w:lineRule="exact"/>
              <w:rPr>
                <w:sz w:val="20"/>
                <w:szCs w:val="20"/>
                <w:color w:val="auto"/>
              </w:rPr>
            </w:pPr>
            <w:r>
              <w:rPr>
                <w:rFonts w:ascii="Arial" w:cs="Arial" w:eastAsia="Arial" w:hAnsi="Arial"/>
                <w:sz w:val="4"/>
                <w:szCs w:val="4"/>
                <w:color w:val="FFFFFF"/>
              </w:rPr>
              <w:t>“TICC’s Presentation of the ‘Simple Facts’ just makes us sad for the industry. . . . The ’Independent’ Special Committee is not as ‘independent’ as it appears—an independent board member derives over $280k a year</w:t>
            </w:r>
          </w:p>
        </w:tc>
      </w:tr>
      <w:tr>
        <w:trPr>
          <w:trHeight w:val="39"/>
        </w:trPr>
        <w:tc>
          <w:tcPr>
            <w:tcW w:w="11320" w:type="dxa"/>
            <w:vAlign w:val="bottom"/>
            <w:gridSpan w:val="2"/>
          </w:tcPr>
          <w:p>
            <w:pPr>
              <w:spacing w:after="0" w:line="40" w:lineRule="exact"/>
              <w:rPr>
                <w:sz w:val="20"/>
                <w:szCs w:val="20"/>
                <w:color w:val="auto"/>
              </w:rPr>
            </w:pPr>
            <w:r>
              <w:rPr>
                <w:rFonts w:ascii="Arial" w:cs="Arial" w:eastAsia="Arial" w:hAnsi="Arial"/>
                <w:sz w:val="4"/>
                <w:szCs w:val="4"/>
                <w:color w:val="FFFFFF"/>
              </w:rPr>
              <w:t>from Royce Funds (note the founder of Royce Funds is an owner of the BDC external manager…and is slated to receive $60MM on the external manager sale).”</w:t>
            </w:r>
          </w:p>
        </w:tc>
      </w:tr>
      <w:tr>
        <w:trPr>
          <w:trHeight w:val="39"/>
        </w:trPr>
        <w:tc>
          <w:tcPr>
            <w:tcW w:w="2260" w:type="dxa"/>
            <w:vAlign w:val="bottom"/>
          </w:tcPr>
          <w:p>
            <w:pPr>
              <w:spacing w:after="0" w:line="40" w:lineRule="exact"/>
              <w:rPr>
                <w:sz w:val="20"/>
                <w:szCs w:val="20"/>
                <w:color w:val="auto"/>
              </w:rPr>
            </w:pPr>
            <w:r>
              <w:rPr>
                <w:rFonts w:ascii="Arial" w:cs="Arial" w:eastAsia="Arial" w:hAnsi="Arial"/>
                <w:sz w:val="4"/>
                <w:szCs w:val="4"/>
                <w:color w:val="FFFFFF"/>
              </w:rPr>
              <w:t>Barclays – October 6, 2015</w:t>
            </w:r>
          </w:p>
        </w:tc>
        <w:tc>
          <w:tcPr>
            <w:tcW w:w="9060" w:type="dxa"/>
            <w:vAlign w:val="bottom"/>
          </w:tcPr>
          <w:p>
            <w:pPr>
              <w:spacing w:after="0"/>
              <w:rPr>
                <w:sz w:val="3"/>
                <w:szCs w:val="3"/>
                <w:color w:val="auto"/>
              </w:rPr>
            </w:pPr>
          </w:p>
        </w:tc>
      </w:tr>
      <w:tr>
        <w:trPr>
          <w:trHeight w:val="39"/>
        </w:trPr>
        <w:tc>
          <w:tcPr>
            <w:tcW w:w="11320" w:type="dxa"/>
            <w:vAlign w:val="bottom"/>
            <w:gridSpan w:val="2"/>
          </w:tcPr>
          <w:p>
            <w:pPr>
              <w:spacing w:after="0" w:line="40" w:lineRule="exact"/>
              <w:rPr>
                <w:sz w:val="20"/>
                <w:szCs w:val="20"/>
                <w:color w:val="auto"/>
              </w:rPr>
            </w:pPr>
            <w:r>
              <w:rPr>
                <w:rFonts w:ascii="Arial" w:cs="Arial" w:eastAsia="Arial" w:hAnsi="Arial"/>
                <w:sz w:val="4"/>
                <w:szCs w:val="4"/>
                <w:color w:val="FFFFFF"/>
              </w:rPr>
              <w:t>“[W]e believe TSLX’s offer represents the best value out of the three and can potentially deliver to current TICC shareholders a combination of upfront return on shares, participation in future upside of a combined</w:t>
            </w:r>
          </w:p>
        </w:tc>
      </w:tr>
      <w:tr>
        <w:trPr>
          <w:trHeight w:val="39"/>
        </w:trPr>
        <w:tc>
          <w:tcPr>
            <w:tcW w:w="11320" w:type="dxa"/>
            <w:vAlign w:val="bottom"/>
            <w:gridSpan w:val="2"/>
          </w:tcPr>
          <w:p>
            <w:pPr>
              <w:spacing w:after="0" w:line="40" w:lineRule="exact"/>
              <w:rPr>
                <w:sz w:val="20"/>
                <w:szCs w:val="20"/>
                <w:color w:val="auto"/>
              </w:rPr>
            </w:pPr>
            <w:r>
              <w:rPr>
                <w:rFonts w:ascii="Arial" w:cs="Arial" w:eastAsia="Arial" w:hAnsi="Arial"/>
                <w:sz w:val="4"/>
                <w:szCs w:val="4"/>
                <w:color w:val="FFFFFF"/>
              </w:rPr>
              <w:t>BDC, and access to a broader platform and quality management.”</w:t>
            </w:r>
          </w:p>
        </w:tc>
      </w:tr>
      <w:tr>
        <w:trPr>
          <w:trHeight w:val="39"/>
        </w:trPr>
        <w:tc>
          <w:tcPr>
            <w:tcW w:w="2260" w:type="dxa"/>
            <w:vAlign w:val="bottom"/>
          </w:tcPr>
          <w:p>
            <w:pPr>
              <w:spacing w:after="0" w:line="40" w:lineRule="exact"/>
              <w:rPr>
                <w:sz w:val="20"/>
                <w:szCs w:val="20"/>
                <w:color w:val="auto"/>
              </w:rPr>
            </w:pPr>
            <w:r>
              <w:rPr>
                <w:rFonts w:ascii="Arial" w:cs="Arial" w:eastAsia="Arial" w:hAnsi="Arial"/>
                <w:sz w:val="4"/>
                <w:szCs w:val="4"/>
                <w:color w:val="FFFFFF"/>
              </w:rPr>
              <w:t>Antoine Gara, Forbes – October 2, 2015</w:t>
            </w:r>
          </w:p>
        </w:tc>
        <w:tc>
          <w:tcPr>
            <w:tcW w:w="9060" w:type="dxa"/>
            <w:vAlign w:val="bottom"/>
          </w:tcPr>
          <w:p>
            <w:pPr>
              <w:spacing w:after="0"/>
              <w:rPr>
                <w:sz w:val="3"/>
                <w:szCs w:val="3"/>
                <w:color w:val="auto"/>
              </w:rPr>
            </w:pPr>
          </w:p>
        </w:tc>
      </w:tr>
      <w:tr>
        <w:trPr>
          <w:trHeight w:val="39"/>
        </w:trPr>
        <w:tc>
          <w:tcPr>
            <w:tcW w:w="11320" w:type="dxa"/>
            <w:vAlign w:val="bottom"/>
            <w:gridSpan w:val="2"/>
          </w:tcPr>
          <w:p>
            <w:pPr>
              <w:spacing w:after="0" w:line="40" w:lineRule="exact"/>
              <w:rPr>
                <w:sz w:val="20"/>
                <w:szCs w:val="20"/>
                <w:color w:val="auto"/>
              </w:rPr>
            </w:pPr>
            <w:r>
              <w:rPr>
                <w:rFonts w:ascii="Arial" w:cs="Arial" w:eastAsia="Arial" w:hAnsi="Arial"/>
                <w:sz w:val="4"/>
                <w:szCs w:val="4"/>
                <w:color w:val="FFFFFF"/>
              </w:rPr>
              <w:t>“Who wins the battle for TICC Capital or what a fair price for the BDC is remains in question. One thing is clear; investors lured by the promise of high yields should tread carefully. It turns out some companies are</w:t>
            </w:r>
          </w:p>
        </w:tc>
      </w:tr>
      <w:tr>
        <w:trPr>
          <w:trHeight w:val="39"/>
        </w:trPr>
        <w:tc>
          <w:tcPr>
            <w:tcW w:w="11320" w:type="dxa"/>
            <w:vAlign w:val="bottom"/>
            <w:gridSpan w:val="2"/>
          </w:tcPr>
          <w:p>
            <w:pPr>
              <w:spacing w:after="0" w:line="40" w:lineRule="exact"/>
              <w:rPr>
                <w:sz w:val="20"/>
                <w:szCs w:val="20"/>
                <w:color w:val="auto"/>
              </w:rPr>
            </w:pPr>
            <w:r>
              <w:rPr>
                <w:rFonts w:ascii="Arial" w:cs="Arial" w:eastAsia="Arial" w:hAnsi="Arial"/>
                <w:sz w:val="4"/>
                <w:szCs w:val="4"/>
                <w:color w:val="FFFFFF"/>
              </w:rPr>
              <w:t>reaching into investors’ own pockets to make fat dividend payments.”</w:t>
            </w:r>
          </w:p>
        </w:tc>
      </w:tr>
      <w:tr>
        <w:trPr>
          <w:trHeight w:val="39"/>
        </w:trPr>
        <w:tc>
          <w:tcPr>
            <w:tcW w:w="11320" w:type="dxa"/>
            <w:vAlign w:val="bottom"/>
            <w:gridSpan w:val="2"/>
          </w:tcPr>
          <w:p>
            <w:pPr>
              <w:spacing w:after="0" w:line="40" w:lineRule="exact"/>
              <w:rPr>
                <w:sz w:val="20"/>
                <w:szCs w:val="20"/>
                <w:color w:val="auto"/>
              </w:rPr>
            </w:pPr>
            <w:r>
              <w:rPr>
                <w:rFonts w:ascii="Arial" w:cs="Arial" w:eastAsia="Arial" w:hAnsi="Arial"/>
                <w:sz w:val="4"/>
                <w:szCs w:val="4"/>
                <w:color w:val="FFFFFF"/>
              </w:rPr>
              <w:t>Top 5 TICC stockholder Muzinich &amp; Co. letter to TICC Board of Directors – September 25, 2015</w:t>
            </w:r>
          </w:p>
        </w:tc>
      </w:tr>
      <w:tr>
        <w:trPr>
          <w:trHeight w:val="0"/>
        </w:trPr>
        <w:tc>
          <w:tcPr>
            <w:tcW w:w="2260" w:type="dxa"/>
            <w:vAlign w:val="bottom"/>
          </w:tcPr>
          <w:p>
            <w:pPr>
              <w:spacing w:after="0" w:line="78" w:lineRule="exact"/>
              <w:rPr>
                <w:sz w:val="20"/>
                <w:szCs w:val="20"/>
                <w:color w:val="auto"/>
              </w:rPr>
            </w:pPr>
            <w:r>
              <w:rPr>
                <w:rFonts w:ascii="Arial" w:cs="Arial" w:eastAsia="Arial" w:hAnsi="Arial"/>
                <w:sz w:val="8"/>
                <w:szCs w:val="8"/>
                <w:color w:val="FFFFFF"/>
              </w:rPr>
              <w:t>“W were surprised when the [TICC]</w:t>
            </w:r>
          </w:p>
        </w:tc>
        <w:tc>
          <w:tcPr>
            <w:tcW w:w="9060" w:type="dxa"/>
            <w:vAlign w:val="bottom"/>
          </w:tcPr>
          <w:p>
            <w:pPr>
              <w:ind w:left="160"/>
              <w:spacing w:after="0" w:line="78" w:lineRule="exact"/>
              <w:rPr>
                <w:sz w:val="20"/>
                <w:szCs w:val="20"/>
                <w:color w:val="auto"/>
              </w:rPr>
            </w:pPr>
            <w:r>
              <w:rPr>
                <w:rFonts w:ascii="Arial" w:cs="Arial" w:eastAsia="Arial" w:hAnsi="Arial"/>
                <w:sz w:val="8"/>
                <w:szCs w:val="8"/>
                <w:color w:val="FFFFFF"/>
              </w:rPr>
              <w:t>Committee released a statement on September 21, 2015 reaffirming its initial position and, we believe, premature decision to pursue the Benefit Street Partners’ (“Benefit</w:t>
            </w:r>
          </w:p>
        </w:tc>
      </w:tr>
    </w:tbl>
    <w:p>
      <w:pPr>
        <w:jc w:val="both"/>
        <w:ind w:right="40"/>
        <w:spacing w:after="0" w:line="211" w:lineRule="auto"/>
        <w:rPr>
          <w:sz w:val="20"/>
          <w:szCs w:val="20"/>
          <w:color w:val="auto"/>
        </w:rPr>
      </w:pPr>
      <w:r>
        <w:rPr>
          <w:rFonts w:ascii="Arial" w:cs="Arial" w:eastAsia="Arial" w:hAnsi="Arial"/>
          <w:sz w:val="4"/>
          <w:szCs w:val="4"/>
          <w:color w:val="FFFFFF"/>
        </w:rPr>
        <w:t>Street”) offer over competing offers. WSpecialbelieve, based on public disclosure, this decision was made without the benefit of appropriate advice and necessary deliberation, especially as the Benefit Street offer does not expire. We were further disappointed by the letter from the Special Committee to stockholders of September 24, 2015, again rejecting a competing offer without due consideration or process.”</w:t>
      </w:r>
    </w:p>
    <w:p>
      <w:pPr>
        <w:spacing w:after="0" w:line="205" w:lineRule="auto"/>
        <w:rPr>
          <w:sz w:val="20"/>
          <w:szCs w:val="20"/>
          <w:color w:val="auto"/>
        </w:rPr>
      </w:pPr>
      <w:r>
        <w:rPr>
          <w:rFonts w:ascii="Arial" w:cs="Arial" w:eastAsia="Arial" w:hAnsi="Arial"/>
          <w:sz w:val="4"/>
          <w:szCs w:val="4"/>
          <w:color w:val="FFFFFF"/>
        </w:rPr>
        <w:t>Wells Fargo Securities Research report – September 22, 2015</w:t>
      </w:r>
    </w:p>
    <w:p>
      <w:pPr>
        <w:spacing w:after="0" w:line="205" w:lineRule="auto"/>
        <w:rPr>
          <w:sz w:val="20"/>
          <w:szCs w:val="20"/>
          <w:color w:val="auto"/>
        </w:rPr>
      </w:pPr>
      <w:r>
        <w:rPr>
          <w:rFonts w:ascii="Arial" w:cs="Arial" w:eastAsia="Arial" w:hAnsi="Arial"/>
          <w:sz w:val="2"/>
          <w:szCs w:val="2"/>
          <w:color w:val="FFFFFF"/>
        </w:rPr>
        <w:t>“Unfortunately for TICC shareholders, as we examine TICC’</w:t>
      </w:r>
      <w:r>
        <w:rPr>
          <w:rFonts w:ascii="Arial" w:cs="Arial" w:eastAsia="Arial" w:hAnsi="Arial"/>
          <w:sz w:val="4"/>
          <w:szCs w:val="4"/>
          <w:color w:val="FFFFFF"/>
          <w:vertAlign w:val="superscript"/>
        </w:rPr>
        <w:t>assets</w:t>
      </w:r>
      <w:r>
        <w:rPr>
          <w:rFonts w:ascii="Arial" w:cs="Arial" w:eastAsia="Arial" w:hAnsi="Arial"/>
          <w:sz w:val="2"/>
          <w:szCs w:val="2"/>
          <w:color w:val="FFFFFF"/>
        </w:rPr>
        <w:t>collateral (which is nearly void of real proprietary transactions), we find that investors have been paying nearly 6x the normal fee that should be charged</w:t>
      </w:r>
    </w:p>
    <w:p>
      <w:pPr>
        <w:spacing w:after="0"/>
        <w:tabs>
          <w:tab w:leader="none" w:pos="3300" w:val="left"/>
        </w:tabs>
        <w:rPr>
          <w:sz w:val="20"/>
          <w:szCs w:val="20"/>
          <w:color w:val="auto"/>
        </w:rPr>
      </w:pPr>
      <w:r>
        <w:rPr>
          <w:rFonts w:ascii="Arial" w:cs="Arial" w:eastAsia="Arial" w:hAnsi="Arial"/>
          <w:sz w:val="13"/>
          <w:szCs w:val="13"/>
          <w:color w:val="FFFFFF"/>
        </w:rPr>
        <w:t>on these large/liquid/BSL (broadly syndicated loan) type</w:t>
      </w:r>
      <w:r>
        <w:rPr>
          <w:sz w:val="20"/>
          <w:szCs w:val="20"/>
          <w:color w:val="auto"/>
        </w:rPr>
        <w:tab/>
      </w:r>
      <w:r>
        <w:rPr>
          <w:rFonts w:ascii="Arial" w:cs="Arial" w:eastAsia="Arial" w:hAnsi="Arial"/>
          <w:sz w:val="13"/>
          <w:szCs w:val="13"/>
          <w:color w:val="FFFFFF"/>
        </w:rPr>
        <w:t>.”</w:t>
      </w:r>
    </w:p>
    <w:p>
      <w:pPr>
        <w:sectPr>
          <w:pgSz w:w="11900" w:h="16838" w:orient="portrait"/>
          <w:cols w:equalWidth="0" w:num="1">
            <w:col w:w="11320"/>
          </w:cols>
          <w:pgMar w:left="24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637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4725" cy="563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20"/>
                <w:szCs w:val="20"/>
                <w:color w:val="auto"/>
              </w:rPr>
            </w:pPr>
            <w:r>
              <w:rPr>
                <w:rFonts w:ascii="Arial" w:cs="Arial" w:eastAsia="Arial" w:hAnsi="Arial"/>
                <w:sz w:val="13"/>
                <w:szCs w:val="13"/>
                <w:color w:val="FFFFFF"/>
              </w:rPr>
              <w:t>One of the largest TICC stockholders, Raging Capital Management, LLC letter to TICC Board of</w:t>
            </w:r>
          </w:p>
        </w:tc>
        <w:tc>
          <w:tcPr>
            <w:tcW w:w="5780" w:type="dxa"/>
            <w:vAlign w:val="bottom"/>
          </w:tcPr>
          <w:p>
            <w:pPr>
              <w:ind w:left="20"/>
              <w:spacing w:after="0"/>
              <w:rPr>
                <w:sz w:val="20"/>
                <w:szCs w:val="20"/>
                <w:color w:val="auto"/>
              </w:rPr>
            </w:pPr>
            <w:r>
              <w:rPr>
                <w:rFonts w:ascii="Arial" w:cs="Arial" w:eastAsia="Arial" w:hAnsi="Arial"/>
                <w:sz w:val="13"/>
                <w:szCs w:val="13"/>
                <w:color w:val="FFFFFF"/>
              </w:rPr>
              <w:t>– September 21, 2015</w:t>
            </w:r>
          </w:p>
        </w:tc>
        <w:tc>
          <w:tcPr>
            <w:tcW w:w="0" w:type="dxa"/>
            <w:vAlign w:val="bottom"/>
          </w:tcPr>
          <w:p>
            <w:pPr>
              <w:spacing w:after="0"/>
              <w:rPr>
                <w:sz w:val="1"/>
                <w:szCs w:val="1"/>
                <w:color w:val="auto"/>
              </w:rPr>
            </w:pPr>
          </w:p>
        </w:tc>
      </w:tr>
      <w:tr>
        <w:trPr>
          <w:trHeight w:val="39"/>
        </w:trPr>
        <w:tc>
          <w:tcPr>
            <w:tcW w:w="11420" w:type="dxa"/>
            <w:vAlign w:val="bottom"/>
            <w:gridSpan w:val="2"/>
          </w:tcPr>
          <w:p>
            <w:pPr>
              <w:spacing w:after="0" w:line="40" w:lineRule="exact"/>
              <w:rPr>
                <w:sz w:val="20"/>
                <w:szCs w:val="20"/>
                <w:color w:val="auto"/>
              </w:rPr>
            </w:pPr>
            <w:r>
              <w:rPr>
                <w:rFonts w:ascii="Arial" w:cs="Arial" w:eastAsia="Arial" w:hAnsi="Arial"/>
                <w:sz w:val="4"/>
                <w:szCs w:val="4"/>
                <w:color w:val="FFFFFF"/>
              </w:rPr>
              <w:t>“Now, we want to ensure that the TICC Board is acting in accordance with its fiduciary obligations…DirectorsWfind ourselves at a critical juncture in TICC’s history where the Board’s decisions and actions over the next few</w:t>
            </w:r>
          </w:p>
        </w:tc>
        <w:tc>
          <w:tcPr>
            <w:tcW w:w="0" w:type="dxa"/>
            <w:vAlign w:val="bottom"/>
          </w:tcPr>
          <w:p>
            <w:pPr>
              <w:spacing w:after="0" w:line="20" w:lineRule="exact"/>
              <w:rPr>
                <w:sz w:val="1"/>
                <w:szCs w:val="1"/>
                <w:color w:val="auto"/>
              </w:rPr>
            </w:pPr>
          </w:p>
        </w:tc>
      </w:tr>
      <w:tr>
        <w:trPr>
          <w:trHeight w:val="39"/>
        </w:trPr>
        <w:tc>
          <w:tcPr>
            <w:tcW w:w="5640" w:type="dxa"/>
            <w:vAlign w:val="bottom"/>
          </w:tcPr>
          <w:p>
            <w:pPr>
              <w:spacing w:after="0" w:line="40" w:lineRule="exact"/>
              <w:rPr>
                <w:sz w:val="20"/>
                <w:szCs w:val="20"/>
                <w:color w:val="auto"/>
              </w:rPr>
            </w:pPr>
            <w:r>
              <w:rPr>
                <w:rFonts w:ascii="Arial" w:cs="Arial" w:eastAsia="Arial" w:hAnsi="Arial"/>
                <w:sz w:val="4"/>
                <w:szCs w:val="4"/>
                <w:color w:val="FFFFFF"/>
              </w:rPr>
              <w:t>weeks will have significant ramifications to stockholders.”</w:t>
            </w:r>
          </w:p>
        </w:tc>
        <w:tc>
          <w:tcPr>
            <w:tcW w:w="5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640" w:type="dxa"/>
            <w:vAlign w:val="bottom"/>
          </w:tcPr>
          <w:p>
            <w:pPr>
              <w:spacing w:after="0" w:line="40" w:lineRule="exact"/>
              <w:rPr>
                <w:sz w:val="20"/>
                <w:szCs w:val="20"/>
                <w:color w:val="auto"/>
              </w:rPr>
            </w:pPr>
            <w:r>
              <w:rPr>
                <w:rFonts w:ascii="Arial" w:cs="Arial" w:eastAsia="Arial" w:hAnsi="Arial"/>
                <w:sz w:val="4"/>
                <w:szCs w:val="4"/>
                <w:color w:val="FFFFFF"/>
              </w:rPr>
              <w:t>JMP Securities Research report – September 17, 2015</w:t>
            </w:r>
          </w:p>
        </w:tc>
        <w:tc>
          <w:tcPr>
            <w:tcW w:w="5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2"/>
          </w:tcPr>
          <w:p>
            <w:pPr>
              <w:spacing w:after="0" w:line="40" w:lineRule="exact"/>
              <w:rPr>
                <w:sz w:val="20"/>
                <w:szCs w:val="20"/>
                <w:color w:val="auto"/>
              </w:rPr>
            </w:pPr>
            <w:r>
              <w:rPr>
                <w:rFonts w:ascii="Arial" w:cs="Arial" w:eastAsia="Arial" w:hAnsi="Arial"/>
                <w:sz w:val="4"/>
                <w:szCs w:val="4"/>
                <w:color w:val="FFFFFF"/>
              </w:rPr>
              <w:t>“[W]e believe the action taken by [TSLX] management highlights our favorable perception of the company’s leading governance practices and focus on creating shareholder value.”</w:t>
            </w:r>
          </w:p>
        </w:tc>
        <w:tc>
          <w:tcPr>
            <w:tcW w:w="0" w:type="dxa"/>
            <w:vAlign w:val="bottom"/>
          </w:tcPr>
          <w:p>
            <w:pPr>
              <w:spacing w:after="0" w:line="20" w:lineRule="exact"/>
              <w:rPr>
                <w:sz w:val="1"/>
                <w:szCs w:val="1"/>
                <w:color w:val="auto"/>
              </w:rPr>
            </w:pPr>
          </w:p>
        </w:tc>
      </w:tr>
      <w:tr>
        <w:trPr>
          <w:trHeight w:val="39"/>
        </w:trPr>
        <w:tc>
          <w:tcPr>
            <w:tcW w:w="5640" w:type="dxa"/>
            <w:vAlign w:val="bottom"/>
          </w:tcPr>
          <w:p>
            <w:pPr>
              <w:spacing w:after="0" w:line="40" w:lineRule="exact"/>
              <w:rPr>
                <w:sz w:val="20"/>
                <w:szCs w:val="20"/>
                <w:color w:val="auto"/>
              </w:rPr>
            </w:pPr>
            <w:r>
              <w:rPr>
                <w:rFonts w:ascii="Arial" w:cs="Arial" w:eastAsia="Arial" w:hAnsi="Arial"/>
                <w:sz w:val="4"/>
                <w:szCs w:val="4"/>
                <w:color w:val="FFFFFF"/>
              </w:rPr>
              <w:t>Keefe, Bruyette &amp; Woods Securities Research report – September 16, 2015</w:t>
            </w:r>
          </w:p>
        </w:tc>
        <w:tc>
          <w:tcPr>
            <w:tcW w:w="5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2"/>
          </w:tcPr>
          <w:p>
            <w:pPr>
              <w:spacing w:after="0" w:line="40" w:lineRule="exact"/>
              <w:rPr>
                <w:sz w:val="20"/>
                <w:szCs w:val="20"/>
                <w:color w:val="auto"/>
              </w:rPr>
            </w:pPr>
            <w:r>
              <w:rPr>
                <w:rFonts w:ascii="Arial" w:cs="Arial" w:eastAsia="Arial" w:hAnsi="Arial"/>
                <w:sz w:val="4"/>
                <w:szCs w:val="4"/>
                <w:color w:val="FFFFFF"/>
              </w:rPr>
              <w:t>“The $0.29 [TICC] dividend is not sustainable, and we expect it will be cut regardless of what happens. We have been talking about  dividend cut for over a year now…Now TSLX provides an interesting offer and the</w:t>
            </w:r>
          </w:p>
        </w:tc>
        <w:tc>
          <w:tcPr>
            <w:tcW w:w="0" w:type="dxa"/>
            <w:vAlign w:val="bottom"/>
          </w:tcPr>
          <w:p>
            <w:pPr>
              <w:spacing w:after="0" w:line="20" w:lineRule="exact"/>
              <w:rPr>
                <w:sz w:val="1"/>
                <w:szCs w:val="1"/>
                <w:color w:val="auto"/>
              </w:rPr>
            </w:pPr>
          </w:p>
        </w:tc>
      </w:tr>
      <w:tr>
        <w:trPr>
          <w:trHeight w:val="39"/>
        </w:trPr>
        <w:tc>
          <w:tcPr>
            <w:tcW w:w="11420" w:type="dxa"/>
            <w:vAlign w:val="bottom"/>
            <w:gridSpan w:val="2"/>
          </w:tcPr>
          <w:p>
            <w:pPr>
              <w:spacing w:after="0" w:line="40" w:lineRule="exact"/>
              <w:rPr>
                <w:sz w:val="20"/>
                <w:szCs w:val="20"/>
                <w:color w:val="auto"/>
              </w:rPr>
            </w:pPr>
            <w:r>
              <w:rPr>
                <w:rFonts w:ascii="Arial" w:cs="Arial" w:eastAsia="Arial" w:hAnsi="Arial"/>
                <w:sz w:val="4"/>
                <w:szCs w:val="4"/>
                <w:color w:val="FFFFFF"/>
              </w:rPr>
              <w:t>[TICC] Board rejects it without negotiating with TSLX. As the title of our note implies, we are questioning whether the [TICC] Board is really doing all they can to maximize shareholder value.”</w:t>
            </w:r>
          </w:p>
        </w:tc>
        <w:tc>
          <w:tcPr>
            <w:tcW w:w="0" w:type="dxa"/>
            <w:vAlign w:val="bottom"/>
          </w:tcPr>
          <w:p>
            <w:pPr>
              <w:spacing w:after="0" w:line="20" w:lineRule="exact"/>
              <w:rPr>
                <w:sz w:val="1"/>
                <w:szCs w:val="1"/>
                <w:color w:val="auto"/>
              </w:rPr>
            </w:pPr>
          </w:p>
        </w:tc>
      </w:tr>
      <w:tr>
        <w:trPr>
          <w:trHeight w:val="39"/>
        </w:trPr>
        <w:tc>
          <w:tcPr>
            <w:tcW w:w="5640" w:type="dxa"/>
            <w:vAlign w:val="bottom"/>
          </w:tcPr>
          <w:p>
            <w:pPr>
              <w:spacing w:after="0" w:line="40" w:lineRule="exact"/>
              <w:rPr>
                <w:sz w:val="20"/>
                <w:szCs w:val="20"/>
                <w:color w:val="auto"/>
              </w:rPr>
            </w:pPr>
            <w:r>
              <w:rPr>
                <w:rFonts w:ascii="Arial" w:cs="Arial" w:eastAsia="Arial" w:hAnsi="Arial"/>
                <w:sz w:val="4"/>
                <w:szCs w:val="4"/>
                <w:color w:val="FFFFFF"/>
              </w:rPr>
              <w:t>Ladenburg Thalmann Securities Research report – September 16, 2015</w:t>
            </w:r>
          </w:p>
        </w:tc>
        <w:tc>
          <w:tcPr>
            <w:tcW w:w="5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1420" w:type="dxa"/>
            <w:vAlign w:val="bottom"/>
            <w:gridSpan w:val="2"/>
          </w:tcPr>
          <w:p>
            <w:pPr>
              <w:spacing w:after="0" w:line="40" w:lineRule="exact"/>
              <w:rPr>
                <w:sz w:val="20"/>
                <w:szCs w:val="20"/>
                <w:color w:val="auto"/>
              </w:rPr>
            </w:pPr>
            <w:r>
              <w:rPr>
                <w:rFonts w:ascii="Arial" w:cs="Arial" w:eastAsia="Arial" w:hAnsi="Arial"/>
                <w:sz w:val="4"/>
                <w:szCs w:val="4"/>
                <w:color w:val="FFFFFF"/>
              </w:rPr>
              <w:t>“As part of TPG, TICC shareholders would benefit from access to its broad platform including a direct origination team. Over the last year TSLX has outperformed our BDC index by about 12% and [outperformed]</w:t>
            </w:r>
          </w:p>
        </w:tc>
        <w:tc>
          <w:tcPr>
            <w:tcW w:w="0" w:type="dxa"/>
            <w:vAlign w:val="bottom"/>
          </w:tcPr>
          <w:p>
            <w:pPr>
              <w:spacing w:after="0" w:line="20" w:lineRule="exact"/>
              <w:rPr>
                <w:sz w:val="1"/>
                <w:szCs w:val="1"/>
                <w:color w:val="auto"/>
              </w:rPr>
            </w:pPr>
          </w:p>
        </w:tc>
      </w:tr>
      <w:tr>
        <w:trPr>
          <w:trHeight w:val="39"/>
        </w:trPr>
        <w:tc>
          <w:tcPr>
            <w:tcW w:w="5640" w:type="dxa"/>
            <w:vAlign w:val="bottom"/>
          </w:tcPr>
          <w:p>
            <w:pPr>
              <w:spacing w:after="0" w:line="40" w:lineRule="exact"/>
              <w:rPr>
                <w:sz w:val="20"/>
                <w:szCs w:val="20"/>
                <w:color w:val="auto"/>
              </w:rPr>
            </w:pPr>
            <w:r>
              <w:rPr>
                <w:rFonts w:ascii="Arial" w:cs="Arial" w:eastAsia="Arial" w:hAnsi="Arial"/>
                <w:sz w:val="4"/>
                <w:szCs w:val="4"/>
                <w:color w:val="FFFFFF"/>
              </w:rPr>
              <w:t>TICC by about 24% on a total return basis.”</w:t>
            </w:r>
          </w:p>
        </w:tc>
        <w:tc>
          <w:tcPr>
            <w:tcW w:w="5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5640" w:type="dxa"/>
            <w:vAlign w:val="bottom"/>
          </w:tcPr>
          <w:p>
            <w:pPr>
              <w:spacing w:after="0" w:line="40" w:lineRule="exact"/>
              <w:rPr>
                <w:sz w:val="20"/>
                <w:szCs w:val="20"/>
                <w:color w:val="auto"/>
              </w:rPr>
            </w:pPr>
            <w:r>
              <w:rPr>
                <w:rFonts w:ascii="Arial" w:cs="Arial" w:eastAsia="Arial" w:hAnsi="Arial"/>
                <w:sz w:val="4"/>
                <w:szCs w:val="4"/>
                <w:color w:val="FFFFFF"/>
              </w:rPr>
              <w:t>Cantor Fitzgerald – September 16, 2015</w:t>
            </w:r>
          </w:p>
        </w:tc>
        <w:tc>
          <w:tcPr>
            <w:tcW w:w="5780" w:type="dxa"/>
            <w:vAlign w:val="bottom"/>
            <w:vMerge w:val="restart"/>
          </w:tcPr>
          <w:p>
            <w:pPr>
              <w:ind w:left="100"/>
              <w:spacing w:after="0" w:line="38" w:lineRule="exact"/>
              <w:rPr>
                <w:sz w:val="20"/>
                <w:szCs w:val="20"/>
                <w:color w:val="auto"/>
              </w:rPr>
            </w:pPr>
            <w:r>
              <w:rPr>
                <w:rFonts w:ascii="Arial" w:cs="Arial" w:eastAsia="Arial" w:hAnsi="Arial"/>
                <w:sz w:val="4"/>
                <w:szCs w:val="4"/>
                <w:color w:val="FFFFFF"/>
              </w:rPr>
              <w:t>20% premium to TICC shareholders.“1</w:t>
            </w:r>
          </w:p>
        </w:tc>
        <w:tc>
          <w:tcPr>
            <w:tcW w:w="0" w:type="dxa"/>
            <w:vAlign w:val="bottom"/>
          </w:tcPr>
          <w:p>
            <w:pPr>
              <w:spacing w:after="0" w:line="20" w:lineRule="exact"/>
              <w:rPr>
                <w:sz w:val="1"/>
                <w:szCs w:val="1"/>
                <w:color w:val="auto"/>
              </w:rPr>
            </w:pPr>
          </w:p>
        </w:tc>
      </w:tr>
      <w:tr>
        <w:trPr>
          <w:trHeight w:val="0"/>
        </w:trPr>
        <w:tc>
          <w:tcPr>
            <w:tcW w:w="5640" w:type="dxa"/>
            <w:vAlign w:val="bottom"/>
          </w:tcPr>
          <w:p>
            <w:pPr>
              <w:spacing w:after="0" w:line="78" w:lineRule="exact"/>
              <w:rPr>
                <w:sz w:val="20"/>
                <w:szCs w:val="20"/>
                <w:color w:val="auto"/>
              </w:rPr>
            </w:pPr>
            <w:r>
              <w:rPr>
                <w:rFonts w:ascii="Arial" w:cs="Arial" w:eastAsia="Arial" w:hAnsi="Arial"/>
                <w:sz w:val="8"/>
                <w:szCs w:val="8"/>
                <w:color w:val="FFFFFF"/>
              </w:rPr>
              <w:t>“TSLX trumped [BSP’s] offer, in our view, by presenting TICC’s board with a proposal that would provide</w:t>
            </w:r>
          </w:p>
        </w:tc>
        <w:tc>
          <w:tcPr>
            <w:tcW w:w="5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740"/>
        <w:spacing w:after="0" w:line="211" w:lineRule="auto"/>
        <w:rPr>
          <w:sz w:val="20"/>
          <w:szCs w:val="20"/>
          <w:color w:val="auto"/>
        </w:rPr>
      </w:pPr>
      <w:r>
        <w:rPr>
          <w:rFonts w:ascii="Arial" w:cs="Arial" w:eastAsia="Arial" w:hAnsi="Arial"/>
          <w:sz w:val="2"/>
          <w:szCs w:val="2"/>
          <w:color w:val="FFFFFF"/>
        </w:rPr>
        <w:t xml:space="preserve">1 For reference, the TSLX Proposal represents a 12.8% discount to TICC’s NAV as of June 30, 2015, a narrower discount than the price at which the shares have traded since June 30th. </w:t>
      </w:r>
      <w:r>
        <w:rPr>
          <w:rFonts w:ascii="Arial" w:cs="Arial" w:eastAsia="Arial" w:hAnsi="Arial"/>
          <w:sz w:val="4"/>
          <w:szCs w:val="4"/>
          <w:color w:val="FFFFFF"/>
          <w:vertAlign w:val="subscript"/>
        </w:rPr>
        <w:t>Keefe,</w:t>
      </w:r>
      <w:r>
        <w:rPr>
          <w:rFonts w:ascii="Arial" w:cs="Arial" w:eastAsia="Arial" w:hAnsi="Arial"/>
          <w:sz w:val="2"/>
          <w:szCs w:val="2"/>
          <w:color w:val="FFFFFF"/>
        </w:rPr>
        <w:t xml:space="preserve"> Bruyette &amp; Woods – August 31, 2015</w:t>
      </w:r>
    </w:p>
    <w:p>
      <w:pPr>
        <w:ind w:right="140"/>
        <w:spacing w:after="0"/>
        <w:rPr>
          <w:sz w:val="20"/>
          <w:szCs w:val="20"/>
          <w:color w:val="auto"/>
        </w:rPr>
      </w:pPr>
      <w:r>
        <w:rPr>
          <w:rFonts w:ascii="Arial" w:cs="Arial" w:eastAsia="Arial" w:hAnsi="Arial"/>
          <w:sz w:val="11"/>
          <w:szCs w:val="11"/>
          <w:color w:val="FFFFFF"/>
        </w:rPr>
        <w:t>“W fail to see how the board of directors at TICC can fulfill their legal fiduciary responsibility to TICC shareholders and not [meaningfully] explore the potential for a transaction with an existing quality manager in the BDC sector.”</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2019-12-20T22:31:39Z</dcterms:created>
  <dcterms:modified xsi:type="dcterms:W3CDTF">2019-12-20T22:31:39Z</dcterms:modified>
</cp:coreProperties>
</file>