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8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$.01 par value per share, outstanding at May 2, 2018 was 64,887,471.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760095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2018 (Unaudited) and December 31,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75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months ended March 31, 2018 and 2017 (Unaudited)</w:t>
              </w:r>
            </w:hyperlink>
          </w:p>
        </w:tc>
        <w:tc>
          <w:tcPr>
            <w:tcW w:w="18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March 31, 2018 (Unaudited) and December 31,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Consolidated Statements of Changes in Net Assets for the three months ended March 31, 2018 and 2017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8380" w:type="dxa"/>
            <w:vAlign w:val="bottom"/>
            <w:tcBorders>
              <w:top w:val="single" w:sz="8" w:color="0000EE"/>
            </w:tcBorders>
            <w:gridSpan w:val="19"/>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Consolidated Statements of Cash Flows for the three months ended March 31, 2018 and 2017 (Unaudited)</w:t>
              </w:r>
            </w:hyperlink>
          </w:p>
        </w:tc>
        <w:tc>
          <w:tcPr>
            <w:tcW w:w="10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Notes to Consolidated Financial Statements (Unaudited)</w:t>
              </w:r>
            </w:hyperlink>
          </w:p>
        </w:tc>
        <w:tc>
          <w:tcPr>
            <w:tcW w:w="3580" w:type="dxa"/>
            <w:vAlign w:val="bottom"/>
            <w:tcBorders>
              <w:top w:val="single" w:sz="8" w:color="0000EE"/>
            </w:tcBorders>
            <w:gridSpan w:val="7"/>
          </w:tcPr>
          <w:p>
            <w:pPr>
              <w:spacing w:after="0"/>
              <w:rPr>
                <w:sz w:val="24"/>
                <w:szCs w:val="24"/>
                <w:color w:val="auto"/>
              </w:rPr>
            </w:pPr>
          </w:p>
        </w:tc>
        <w:tc>
          <w:tcPr>
            <w:tcW w:w="18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3">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40" w:hanging="255"/>
        <w:spacing w:after="0" w:line="308"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in our Annual Report on Form 10-K for the year ended December 31, 2017, filed with the SEC on February 21, 2018, and elsewhere in our filings with the SEC.</w:t>
      </w:r>
    </w:p>
    <w:p>
      <w:pPr>
        <w:spacing w:after="0" w:line="14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$1,729,452</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$1,523,844, respectively)</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1,771,750</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$167,427 and $162,406,</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$1,896,879 and $1,686,250,</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1,909,320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Cash and cash equivalents (restricted cash of $5,697 and $3,150, respectively)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1,930,144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Debt (net of deferred financing costs of $16,512 and $11,770, respectively)</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835,914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payable to affiliate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750,954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and outstanding</w:t>
            </w:r>
          </w:p>
        </w:tc>
        <w:tc>
          <w:tcPr>
            <w:tcW w:w="2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64,256,031 and</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60,336,281 shares issued, respectively; and 64,166,951 and 60,247,201 shares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971,843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906,521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Undistributed net realized gains (losses)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1,043,967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1,930,144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6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53,981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57,767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Management fees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 (Note 3)</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32,036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31,186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16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(3,371)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other assets and liabilities in foreign currencies</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(4,194)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losses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Realized gains (losses):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transactions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realized gains</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tcBorders>
              <w:bottom w:val="single" w:sz="8" w:color="CFF0FC"/>
            </w:tcBorders>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60,840,459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59,796,731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March 31,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Reference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6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Rate and</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Interest Rate</w:t>
            </w:r>
          </w:p>
        </w:tc>
        <w:tc>
          <w:tcPr>
            <w:tcW w:w="6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3"/>
                <w:szCs w:val="13"/>
                <w:color w:val="auto"/>
              </w:rPr>
            </w:pPr>
          </w:p>
        </w:tc>
        <w:tc>
          <w:tcPr>
            <w:tcW w:w="9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15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Spread</w:t>
            </w: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(2)(7)</w:t>
            </w:r>
          </w:p>
        </w:tc>
        <w:tc>
          <w:tcPr>
            <w:tcW w:w="960" w:type="dxa"/>
            <w:vAlign w:val="bottom"/>
            <w:gridSpan w:val="2"/>
          </w:tcPr>
          <w:p>
            <w:pPr>
              <w:jc w:val="right"/>
              <w:ind w:right="234"/>
              <w:spacing w:after="0"/>
              <w:rPr>
                <w:sz w:val="20"/>
                <w:szCs w:val="20"/>
                <w:color w:val="auto"/>
              </w:rPr>
            </w:pPr>
            <w:r>
              <w:rPr>
                <w:rFonts w:ascii="Arial" w:cs="Arial" w:eastAsia="Arial" w:hAnsi="Arial"/>
                <w:sz w:val="12"/>
                <w:szCs w:val="12"/>
                <w:b w:val="1"/>
                <w:bCs w:val="1"/>
                <w:color w:val="auto"/>
              </w:rPr>
              <w:t>(9)</w:t>
            </w:r>
          </w:p>
        </w:tc>
        <w:tc>
          <w:tcPr>
            <w:tcW w:w="20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Beverage, food and tobacco</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(3)(6)</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Second-lien loan ($59,621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59,621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57,981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9/2021)</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Business services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($53,595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6/12/2017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+ 9.25%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51,851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55,337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($33,221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6/30/2014</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32,910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33,309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($69,400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+ 6.75%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67,711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68,012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1/2024)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revolving loan ($393</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1/17/2018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+ 6.75%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par, due 1/2023)</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($65,000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3/30/2018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+ 6.75%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63,376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63,375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4/2024)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($42,800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+ 7.75%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41,960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42,442</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($34,236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34,431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($49,953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6/16/2017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+ 8.50%</w:t>
            </w:r>
          </w:p>
        </w:tc>
        <w:tc>
          <w:tcPr>
            <w:tcW w:w="940" w:type="dxa"/>
            <w:vAlign w:val="bottom"/>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48,258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49,204</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(incl. 0.50%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PIK)</w:t>
            </w: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340,125</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346,391</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4/2018)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5"/>
              </w:rPr>
              <w:t>Second-lien loan ($3,341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+ 12.00%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3,383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10/2021)</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Communications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iHeart Communications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FILO term loan ($117,465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+ 4.75%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114,343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117,758</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11/2020)</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Education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 xml:space="preserve">Curriculum Associates, LLC </w:t>
            </w:r>
            <w:r>
              <w:rPr>
                <w:rFonts w:ascii="Arial" w:cs="Arial" w:eastAsia="Arial" w:hAnsi="Arial"/>
                <w:sz w:val="15"/>
                <w:szCs w:val="15"/>
                <w:color w:val="auto"/>
                <w:w w:val="99"/>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($50,000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2/28/2018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48,467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48,500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2/2024)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($45,000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8/31/2016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44,079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45,563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8/2022)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Frontline Technologies Group,</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($47,584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9/18/2017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+ 6.50%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46,945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47,299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9/2023)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($56,900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8/25/2017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55,825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56,281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8/2022)</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195,316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197,643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Financial services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($19,914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8/18/2015</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19,652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20,187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600" w:type="dxa"/>
            <w:vAlign w:val="bottom"/>
          </w:tcPr>
          <w:p>
            <w:pPr>
              <w:ind w:left="160"/>
              <w:spacing w:after="0"/>
              <w:rPr>
                <w:sz w:val="20"/>
                <w:szCs w:val="20"/>
                <w:color w:val="auto"/>
              </w:rPr>
            </w:pPr>
            <w:r>
              <w:rPr>
                <w:rFonts w:ascii="Arial" w:cs="Arial" w:eastAsia="Arial" w:hAnsi="Arial"/>
                <w:sz w:val="18"/>
                <w:szCs w:val="18"/>
                <w:color w:val="auto"/>
                <w:w w:val="94"/>
              </w:rPr>
              <w:t>First-lien loan ($54,449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8/7/2015</w:t>
            </w:r>
          </w:p>
        </w:tc>
        <w:tc>
          <w:tcPr>
            <w:tcW w:w="1100" w:type="dxa"/>
            <w:vAlign w:val="bottom"/>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11.44%</w:t>
            </w:r>
          </w:p>
        </w:tc>
        <w:tc>
          <w:tcPr>
            <w:tcW w:w="760" w:type="dxa"/>
            <w:vAlign w:val="bottom"/>
          </w:tcPr>
          <w:p>
            <w:pPr>
              <w:jc w:val="right"/>
              <w:spacing w:after="0"/>
              <w:rPr>
                <w:sz w:val="20"/>
                <w:szCs w:val="20"/>
                <w:color w:val="auto"/>
              </w:rPr>
            </w:pPr>
            <w:r>
              <w:rPr>
                <w:rFonts w:ascii="Arial" w:cs="Arial" w:eastAsia="Arial" w:hAnsi="Arial"/>
                <w:sz w:val="18"/>
                <w:szCs w:val="18"/>
                <w:color w:val="auto"/>
              </w:rPr>
              <w:t>53,927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55,402</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8/2020)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Government Brands, LLC </w:t>
            </w:r>
            <w:r>
              <w:rPr>
                <w:rFonts w:ascii="Arial" w:cs="Arial" w:eastAsia="Arial" w:hAnsi="Arial"/>
                <w:sz w:val="15"/>
                <w:szCs w:val="15"/>
                <w:color w:val="auto"/>
              </w:rPr>
              <w:t>(3)</w:t>
            </w: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($35,034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3/15/2018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11.06%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34,233</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18"/>
                <w:szCs w:val="18"/>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3/2023)</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2.50%</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600" w:type="dxa"/>
            <w:vAlign w:val="bottom"/>
          </w:tcPr>
          <w:p>
            <w:pPr>
              <w:ind w:left="160"/>
              <w:spacing w:after="0"/>
              <w:rPr>
                <w:sz w:val="20"/>
                <w:szCs w:val="20"/>
                <w:color w:val="auto"/>
              </w:rPr>
            </w:pPr>
            <w:r>
              <w:rPr>
                <w:rFonts w:ascii="Arial" w:cs="Arial" w:eastAsia="Arial" w:hAnsi="Arial"/>
                <w:sz w:val="18"/>
                <w:szCs w:val="18"/>
                <w:color w:val="auto"/>
                <w:w w:val="94"/>
              </w:rPr>
              <w:t>First-lien loan ($56,383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7/28/2017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8.88%</w:t>
            </w:r>
          </w:p>
        </w:tc>
        <w:tc>
          <w:tcPr>
            <w:tcW w:w="760" w:type="dxa"/>
            <w:vAlign w:val="bottom"/>
          </w:tcPr>
          <w:p>
            <w:pPr>
              <w:jc w:val="right"/>
              <w:spacing w:after="0"/>
              <w:rPr>
                <w:sz w:val="20"/>
                <w:szCs w:val="20"/>
                <w:color w:val="auto"/>
              </w:rPr>
            </w:pPr>
            <w:r>
              <w:rPr>
                <w:rFonts w:ascii="Arial" w:cs="Arial" w:eastAsia="Arial" w:hAnsi="Arial"/>
                <w:sz w:val="18"/>
                <w:szCs w:val="18"/>
                <w:color w:val="auto"/>
              </w:rPr>
              <w:t>55,325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55,935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7/2022)</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w:t>
            </w: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($50,822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10.56%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50,568</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18"/>
                <w:szCs w:val="18"/>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3/2022)</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1.75%</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w w:val="96"/>
              </w:rPr>
              <w:t>First-lien revolving loan ($2,500</w:t>
            </w:r>
          </w:p>
        </w:tc>
        <w:tc>
          <w:tcPr>
            <w:tcW w:w="980" w:type="dxa"/>
            <w:vAlign w:val="bottom"/>
          </w:tcPr>
          <w:p>
            <w:pPr>
              <w:jc w:val="right"/>
              <w:spacing w:after="0"/>
              <w:rPr>
                <w:sz w:val="20"/>
                <w:szCs w:val="20"/>
                <w:color w:val="auto"/>
              </w:rPr>
            </w:pPr>
            <w:r>
              <w:rPr>
                <w:rFonts w:ascii="Arial" w:cs="Arial" w:eastAsia="Arial" w:hAnsi="Arial"/>
                <w:sz w:val="18"/>
                <w:szCs w:val="18"/>
                <w:color w:val="auto"/>
              </w:rPr>
              <w:t>3/7/2017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+ 9.25%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14.00%</w:t>
            </w:r>
          </w:p>
        </w:tc>
        <w:tc>
          <w:tcPr>
            <w:tcW w:w="760" w:type="dxa"/>
            <w:vAlign w:val="bottom"/>
          </w:tcPr>
          <w:p>
            <w:pPr>
              <w:jc w:val="right"/>
              <w:spacing w:after="0"/>
              <w:rPr>
                <w:sz w:val="20"/>
                <w:szCs w:val="20"/>
                <w:color w:val="auto"/>
              </w:rPr>
            </w:pPr>
            <w:r>
              <w:rPr>
                <w:rFonts w:ascii="Arial" w:cs="Arial" w:eastAsia="Arial" w:hAnsi="Arial"/>
                <w:sz w:val="18"/>
                <w:szCs w:val="18"/>
                <w:color w:val="auto"/>
              </w:rPr>
              <w:t>2,421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par, due 3/2022)</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($29,094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7/31/2017</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1/2022)</w:t>
            </w: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243,985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248,330</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r>
      <w:tr>
        <w:trPr>
          <w:trHeight w:val="22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6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000" w:type="dxa"/>
            <w:vAlign w:val="bottom"/>
            <w:gridSpan w:val="2"/>
          </w:tcPr>
          <w:p>
            <w:pPr>
              <w:spacing w:after="0"/>
              <w:rPr>
                <w:sz w:val="20"/>
                <w:szCs w:val="20"/>
                <w:color w:val="auto"/>
              </w:rPr>
            </w:pPr>
            <w:r>
              <w:rPr>
                <w:rFonts w:ascii="Arial" w:cs="Arial" w:eastAsia="Arial" w:hAnsi="Arial"/>
                <w:sz w:val="18"/>
                <w:szCs w:val="18"/>
                <w:color w:val="auto"/>
                <w:w w:val="94"/>
              </w:rPr>
              <w:t>Integrated Practice Solutions, Inc. First-lien loan ($32,256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6/30/2017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760" w:type="dxa"/>
            <w:vAlign w:val="bottom"/>
          </w:tcPr>
          <w:p>
            <w:pPr>
              <w:jc w:val="right"/>
              <w:spacing w:after="0"/>
              <w:rPr>
                <w:sz w:val="20"/>
                <w:szCs w:val="20"/>
                <w:color w:val="auto"/>
              </w:rPr>
            </w:pPr>
            <w:r>
              <w:rPr>
                <w:rFonts w:ascii="Arial" w:cs="Arial" w:eastAsia="Arial" w:hAnsi="Arial"/>
                <w:sz w:val="18"/>
                <w:szCs w:val="18"/>
                <w:color w:val="auto"/>
              </w:rPr>
              <w:t>31,445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31,853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5"/>
                <w:szCs w:val="15"/>
                <w:color w:val="auto"/>
              </w:rPr>
              <w:t>(3)(5)</w:t>
            </w:r>
          </w:p>
        </w:tc>
        <w:tc>
          <w:tcPr>
            <w:tcW w:w="2600" w:type="dxa"/>
            <w:vAlign w:val="bottom"/>
          </w:tcPr>
          <w:p>
            <w:pPr>
              <w:ind w:left="160"/>
              <w:spacing w:after="0"/>
              <w:rPr>
                <w:sz w:val="20"/>
                <w:szCs w:val="20"/>
                <w:color w:val="auto"/>
              </w:rPr>
            </w:pPr>
            <w:r>
              <w:rPr>
                <w:rFonts w:ascii="Arial" w:cs="Arial" w:eastAsia="Arial" w:hAnsi="Arial"/>
                <w:sz w:val="18"/>
                <w:szCs w:val="18"/>
                <w:color w:val="auto"/>
              </w:rPr>
              <w:t>6/2022)</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5"/>
              </w:rPr>
              <w:t>First-lien loan (EUR 36,340 par,</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42,519</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45,252</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due 9/2018)</w:t>
            </w: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(EUR 36,795)</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First-lien revolving loan (EUR</w:t>
            </w:r>
          </w:p>
        </w:tc>
        <w:tc>
          <w:tcPr>
            <w:tcW w:w="980" w:type="dxa"/>
            <w:vAlign w:val="bottom"/>
          </w:tcPr>
          <w:p>
            <w:pPr>
              <w:jc w:val="right"/>
              <w:spacing w:after="0"/>
              <w:rPr>
                <w:sz w:val="20"/>
                <w:szCs w:val="20"/>
                <w:color w:val="auto"/>
              </w:rPr>
            </w:pPr>
            <w:r>
              <w:rPr>
                <w:rFonts w:ascii="Arial" w:cs="Arial" w:eastAsia="Arial" w:hAnsi="Arial"/>
                <w:sz w:val="18"/>
                <w:szCs w:val="18"/>
                <w:color w:val="auto"/>
              </w:rPr>
              <w:t>9/30/2014</w:t>
            </w:r>
          </w:p>
        </w:tc>
        <w:tc>
          <w:tcPr>
            <w:tcW w:w="1100" w:type="dxa"/>
            <w:vAlign w:val="bottom"/>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300 par, due 9/2018)</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(EUR 350)</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($57,159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12/17/2015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+ 5.25%</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56,357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57,731</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12/2021)</w:t>
            </w: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600" w:type="dxa"/>
            <w:vAlign w:val="bottom"/>
          </w:tcPr>
          <w:p>
            <w:pPr>
              <w:ind w:left="160"/>
              <w:spacing w:after="0"/>
              <w:rPr>
                <w:sz w:val="20"/>
                <w:szCs w:val="20"/>
                <w:color w:val="auto"/>
              </w:rPr>
            </w:pPr>
            <w:r>
              <w:rPr>
                <w:rFonts w:ascii="Arial" w:cs="Arial" w:eastAsia="Arial" w:hAnsi="Arial"/>
                <w:sz w:val="18"/>
                <w:szCs w:val="18"/>
                <w:color w:val="auto"/>
                <w:w w:val="94"/>
              </w:rPr>
              <w:t>First-lien loan ($42,705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9/30/2015</w:t>
            </w:r>
          </w:p>
        </w:tc>
        <w:tc>
          <w:tcPr>
            <w:tcW w:w="1100" w:type="dxa"/>
            <w:vAlign w:val="bottom"/>
          </w:tcPr>
          <w:p>
            <w:pPr>
              <w:jc w:val="right"/>
              <w:spacing w:after="0"/>
              <w:rPr>
                <w:sz w:val="20"/>
                <w:szCs w:val="20"/>
                <w:color w:val="auto"/>
              </w:rPr>
            </w:pPr>
            <w:r>
              <w:rPr>
                <w:rFonts w:ascii="Arial" w:cs="Arial" w:eastAsia="Arial" w:hAnsi="Arial"/>
                <w:sz w:val="18"/>
                <w:szCs w:val="18"/>
                <w:color w:val="auto"/>
              </w:rPr>
              <w:t>L + 8.50%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760" w:type="dxa"/>
            <w:vAlign w:val="bottom"/>
          </w:tcPr>
          <w:p>
            <w:pPr>
              <w:jc w:val="right"/>
              <w:spacing w:after="0"/>
              <w:rPr>
                <w:sz w:val="20"/>
                <w:szCs w:val="20"/>
                <w:color w:val="auto"/>
              </w:rPr>
            </w:pPr>
            <w:r>
              <w:rPr>
                <w:rFonts w:ascii="Arial" w:cs="Arial" w:eastAsia="Arial" w:hAnsi="Arial"/>
                <w:sz w:val="18"/>
                <w:szCs w:val="18"/>
                <w:color w:val="auto"/>
              </w:rPr>
              <w:t>42,000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43,133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9/2020)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($29,100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2/29/2016</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+ 7.75%</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29,828</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2/2021)</w:t>
            </w: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201,092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208,227</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r>
      <w:tr>
        <w:trPr>
          <w:trHeight w:val="22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6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(3)(6)</w:t>
            </w:r>
          </w:p>
        </w:tc>
        <w:tc>
          <w:tcPr>
            <w:tcW w:w="2600" w:type="dxa"/>
            <w:vAlign w:val="bottom"/>
          </w:tcPr>
          <w:p>
            <w:pPr>
              <w:ind w:left="160"/>
              <w:spacing w:after="0"/>
              <w:rPr>
                <w:sz w:val="20"/>
                <w:szCs w:val="20"/>
                <w:color w:val="auto"/>
              </w:rPr>
            </w:pPr>
            <w:r>
              <w:rPr>
                <w:rFonts w:ascii="Arial" w:cs="Arial" w:eastAsia="Arial" w:hAnsi="Arial"/>
                <w:sz w:val="18"/>
                <w:szCs w:val="18"/>
                <w:color w:val="auto"/>
                <w:w w:val="94"/>
              </w:rPr>
              <w:t>First-lien loan ($22,695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9/29/2015</w:t>
            </w:r>
          </w:p>
        </w:tc>
        <w:tc>
          <w:tcPr>
            <w:tcW w:w="1100" w:type="dxa"/>
            <w:vAlign w:val="bottom"/>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11.80%</w:t>
            </w:r>
          </w:p>
        </w:tc>
        <w:tc>
          <w:tcPr>
            <w:tcW w:w="760" w:type="dxa"/>
            <w:vAlign w:val="bottom"/>
          </w:tcPr>
          <w:p>
            <w:pPr>
              <w:jc w:val="right"/>
              <w:spacing w:after="0"/>
              <w:rPr>
                <w:sz w:val="20"/>
                <w:szCs w:val="20"/>
                <w:color w:val="auto"/>
              </w:rPr>
            </w:pPr>
            <w:r>
              <w:rPr>
                <w:rFonts w:ascii="Arial" w:cs="Arial" w:eastAsia="Arial" w:hAnsi="Arial"/>
                <w:sz w:val="18"/>
                <w:szCs w:val="18"/>
                <w:color w:val="auto"/>
              </w:rPr>
              <w:t>22,695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17,078</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9/2019)</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9"/>
              </w:rPr>
              <w:t>(incl. 5.00%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18"/>
                <w:szCs w:val="18"/>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First-lien revolving loan</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11.80%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17,704</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18"/>
                <w:szCs w:val="18"/>
                <w:color w:val="auto"/>
              </w:rPr>
            </w:pPr>
          </w:p>
        </w:tc>
        <w:tc>
          <w:tcPr>
            <w:tcW w:w="2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($23,527 par, due 9/2019)</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5.00%</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Borders>
              <w:bottom w:val="single" w:sz="8" w:color="CFF0FC"/>
            </w:tcBorders>
          </w:tcPr>
          <w:p>
            <w:pPr>
              <w:spacing w:after="0"/>
              <w:rPr>
                <w:sz w:val="19"/>
                <w:szCs w:val="19"/>
                <w:color w:val="auto"/>
              </w:rPr>
            </w:pPr>
          </w:p>
        </w:tc>
        <w:tc>
          <w:tcPr>
            <w:tcW w:w="26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46,222</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34,782</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05"/>
        </w:trPr>
        <w:tc>
          <w:tcPr>
            <w:tcW w:w="24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2600" w:type="dxa"/>
            <w:vAlign w:val="bottom"/>
          </w:tcPr>
          <w:p>
            <w:pPr>
              <w:ind w:left="160"/>
              <w:spacing w:after="0"/>
              <w:rPr>
                <w:sz w:val="20"/>
                <w:szCs w:val="20"/>
                <w:color w:val="auto"/>
              </w:rPr>
            </w:pPr>
            <w:r>
              <w:rPr>
                <w:rFonts w:ascii="Arial" w:cs="Arial" w:eastAsia="Arial" w:hAnsi="Arial"/>
                <w:sz w:val="18"/>
                <w:szCs w:val="18"/>
                <w:color w:val="auto"/>
                <w:w w:val="95"/>
              </w:rPr>
              <w:t>First-lien loan (AUD 46,092 par,</w:t>
            </w:r>
          </w:p>
        </w:tc>
        <w:tc>
          <w:tcPr>
            <w:tcW w:w="980" w:type="dxa"/>
            <w:vAlign w:val="bottom"/>
          </w:tcPr>
          <w:p>
            <w:pPr>
              <w:jc w:val="right"/>
              <w:spacing w:after="0"/>
              <w:rPr>
                <w:sz w:val="20"/>
                <w:szCs w:val="20"/>
                <w:color w:val="auto"/>
              </w:rPr>
            </w:pPr>
            <w:r>
              <w:rPr>
                <w:rFonts w:ascii="Arial" w:cs="Arial" w:eastAsia="Arial" w:hAnsi="Arial"/>
                <w:sz w:val="18"/>
                <w:szCs w:val="18"/>
                <w:color w:val="auto"/>
              </w:rPr>
              <w:t>1/11/2018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B + 7.25%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11.27%</w:t>
            </w:r>
          </w:p>
        </w:tc>
        <w:tc>
          <w:tcPr>
            <w:tcW w:w="760" w:type="dxa"/>
            <w:vAlign w:val="bottom"/>
          </w:tcPr>
          <w:p>
            <w:pPr>
              <w:jc w:val="right"/>
              <w:spacing w:after="0"/>
              <w:rPr>
                <w:sz w:val="20"/>
                <w:szCs w:val="20"/>
                <w:color w:val="auto"/>
              </w:rPr>
            </w:pPr>
            <w:r>
              <w:rPr>
                <w:rFonts w:ascii="Arial" w:cs="Arial" w:eastAsia="Arial" w:hAnsi="Arial"/>
                <w:sz w:val="18"/>
                <w:szCs w:val="18"/>
                <w:color w:val="auto"/>
              </w:rPr>
              <w:t>35,518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34,669</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due 12/2022)</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9"/>
              </w:rPr>
              <w:t>(incl. 2.25%</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(AUD 45,198)</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Insurance</w:t>
            </w: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600" w:type="dxa"/>
            <w:vAlign w:val="bottom"/>
          </w:tcPr>
          <w:p>
            <w:pPr>
              <w:ind w:left="160"/>
              <w:spacing w:after="0"/>
              <w:rPr>
                <w:sz w:val="20"/>
                <w:szCs w:val="20"/>
                <w:color w:val="auto"/>
              </w:rPr>
            </w:pPr>
            <w:r>
              <w:rPr>
                <w:rFonts w:ascii="Arial" w:cs="Arial" w:eastAsia="Arial" w:hAnsi="Arial"/>
                <w:sz w:val="18"/>
                <w:szCs w:val="18"/>
                <w:color w:val="auto"/>
                <w:w w:val="94"/>
              </w:rPr>
              <w:t>First-lien loan ($62,907 par, due</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10/31/2014</w:t>
            </w:r>
          </w:p>
        </w:tc>
        <w:tc>
          <w:tcPr>
            <w:tcW w:w="1100" w:type="dxa"/>
            <w:vAlign w:val="bottom"/>
          </w:tcPr>
          <w:p>
            <w:pPr>
              <w:jc w:val="right"/>
              <w:spacing w:after="0"/>
              <w:rPr>
                <w:sz w:val="20"/>
                <w:szCs w:val="20"/>
                <w:color w:val="auto"/>
              </w:rPr>
            </w:pPr>
            <w:r>
              <w:rPr>
                <w:rFonts w:ascii="Arial" w:cs="Arial" w:eastAsia="Arial" w:hAnsi="Arial"/>
                <w:sz w:val="18"/>
                <w:szCs w:val="18"/>
                <w:color w:val="auto"/>
              </w:rPr>
              <w:t>L + 6.75%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760" w:type="dxa"/>
            <w:vAlign w:val="bottom"/>
          </w:tcPr>
          <w:p>
            <w:pPr>
              <w:jc w:val="right"/>
              <w:spacing w:after="0"/>
              <w:rPr>
                <w:sz w:val="20"/>
                <w:szCs w:val="20"/>
                <w:color w:val="auto"/>
              </w:rPr>
            </w:pPr>
            <w:r>
              <w:rPr>
                <w:rFonts w:ascii="Arial" w:cs="Arial" w:eastAsia="Arial" w:hAnsi="Arial"/>
                <w:sz w:val="18"/>
                <w:szCs w:val="18"/>
                <w:color w:val="auto"/>
              </w:rPr>
              <w:t>62,520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64,323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10/2020)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Internet services</w:t>
            </w: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600" w:type="dxa"/>
            <w:vAlign w:val="bottom"/>
          </w:tcPr>
          <w:p>
            <w:pPr>
              <w:ind w:left="160"/>
              <w:spacing w:after="0"/>
              <w:rPr>
                <w:sz w:val="20"/>
                <w:szCs w:val="20"/>
                <w:color w:val="auto"/>
              </w:rPr>
            </w:pPr>
            <w:r>
              <w:rPr>
                <w:rFonts w:ascii="Arial" w:cs="Arial" w:eastAsia="Arial" w:hAnsi="Arial"/>
                <w:sz w:val="18"/>
                <w:szCs w:val="18"/>
                <w:color w:val="auto"/>
                <w:w w:val="94"/>
              </w:rPr>
              <w:t>First-lien loan ($50,000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10/3/2017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9.79%</w:t>
            </w:r>
          </w:p>
        </w:tc>
        <w:tc>
          <w:tcPr>
            <w:tcW w:w="760" w:type="dxa"/>
            <w:vAlign w:val="bottom"/>
          </w:tcPr>
          <w:p>
            <w:pPr>
              <w:jc w:val="right"/>
              <w:spacing w:after="0"/>
              <w:rPr>
                <w:sz w:val="20"/>
                <w:szCs w:val="20"/>
                <w:color w:val="auto"/>
              </w:rPr>
            </w:pPr>
            <w:r>
              <w:rPr>
                <w:rFonts w:ascii="Arial" w:cs="Arial" w:eastAsia="Arial" w:hAnsi="Arial"/>
                <w:sz w:val="18"/>
                <w:szCs w:val="18"/>
                <w:color w:val="auto"/>
              </w:rPr>
              <w:t>48,890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49,329</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10/2022)</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Manufacturing</w:t>
            </w: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Industrial Physics, LLC </w:t>
            </w:r>
            <w:r>
              <w:rPr>
                <w:rFonts w:ascii="Arial" w:cs="Arial" w:eastAsia="Arial" w:hAnsi="Arial"/>
                <w:sz w:val="15"/>
                <w:szCs w:val="15"/>
                <w:color w:val="auto"/>
              </w:rPr>
              <w:t>(3)</w:t>
            </w:r>
          </w:p>
        </w:tc>
        <w:tc>
          <w:tcPr>
            <w:tcW w:w="2600" w:type="dxa"/>
            <w:vAlign w:val="bottom"/>
          </w:tcPr>
          <w:p>
            <w:pPr>
              <w:ind w:left="160"/>
              <w:spacing w:after="0"/>
              <w:rPr>
                <w:sz w:val="20"/>
                <w:szCs w:val="20"/>
                <w:color w:val="auto"/>
              </w:rPr>
            </w:pPr>
            <w:r>
              <w:rPr>
                <w:rFonts w:ascii="Arial" w:cs="Arial" w:eastAsia="Arial" w:hAnsi="Arial"/>
                <w:sz w:val="18"/>
                <w:szCs w:val="18"/>
                <w:color w:val="auto"/>
                <w:w w:val="98"/>
              </w:rPr>
              <w:t>First-lien loan ($9,950 par, due</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10/23/2017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8.88%</w:t>
            </w:r>
          </w:p>
        </w:tc>
        <w:tc>
          <w:tcPr>
            <w:tcW w:w="760" w:type="dxa"/>
            <w:vAlign w:val="bottom"/>
          </w:tcPr>
          <w:p>
            <w:pPr>
              <w:jc w:val="right"/>
              <w:spacing w:after="0"/>
              <w:rPr>
                <w:sz w:val="20"/>
                <w:szCs w:val="20"/>
                <w:color w:val="auto"/>
              </w:rPr>
            </w:pPr>
            <w:r>
              <w:rPr>
                <w:rFonts w:ascii="Arial" w:cs="Arial" w:eastAsia="Arial" w:hAnsi="Arial"/>
                <w:sz w:val="18"/>
                <w:szCs w:val="18"/>
                <w:color w:val="auto"/>
              </w:rPr>
              <w:t>9,765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10/2022)</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2520" w:type="dxa"/>
            <w:vAlign w:val="bottom"/>
            <w:shd w:val="clear" w:color="auto" w:fill="CFF0FC"/>
          </w:tcPr>
          <w:p>
            <w:pPr>
              <w:spacing w:after="0"/>
              <w:rPr>
                <w:sz w:val="18"/>
                <w:szCs w:val="18"/>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(EUR 21,012 par,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10/23/2017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E + 7.00%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24,221</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25,518</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10/2022)</w:t>
            </w:r>
          </w:p>
        </w:tc>
        <w:tc>
          <w:tcPr>
            <w:tcW w:w="10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(EUR</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20,749)</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First-lien revolving loan ($750</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10/23/2017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+ 7.00%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par, due 10/2022)</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($19,986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12/30/2014</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12/2019)</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w w:val="98"/>
              </w:rPr>
              <w:t>First-lien revolving loan ($1,393</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12/30/2014</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+ 7.00%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8.88%</w:t>
            </w:r>
          </w:p>
        </w:tc>
        <w:tc>
          <w:tcPr>
            <w:tcW w:w="840" w:type="dxa"/>
            <w:vAlign w:val="bottom"/>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par, due 12/2019)</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57,411</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Bazaarvoice, Inc.</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($40,000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2/1/2018</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2/2024)</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Vivial Inc.</w:t>
            </w:r>
            <w:r>
              <w:rPr>
                <w:rFonts w:ascii="Arial" w:cs="Arial" w:eastAsia="Arial" w:hAnsi="Arial"/>
                <w:sz w:val="15"/>
                <w:szCs w:val="15"/>
                <w:color w:val="auto"/>
              </w:rPr>
              <w:t>(3)</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First-lien loan ($32,052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9/29/2017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+ 8.00%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840" w:type="dxa"/>
            <w:vAlign w:val="bottom"/>
          </w:tcPr>
          <w:p>
            <w:pPr>
              <w:jc w:val="right"/>
              <w:spacing w:after="0"/>
              <w:rPr>
                <w:sz w:val="20"/>
                <w:szCs w:val="20"/>
                <w:color w:val="auto"/>
              </w:rPr>
            </w:pPr>
            <w:r>
              <w:rPr>
                <w:rFonts w:ascii="Arial" w:cs="Arial" w:eastAsia="Arial" w:hAnsi="Arial"/>
                <w:sz w:val="18"/>
                <w:szCs w:val="18"/>
                <w:color w:val="auto"/>
              </w:rPr>
              <w:t>31,541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31,651</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9/2022)</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71,101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71,321</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($20,000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19,571</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9/2022)</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520" w:type="dxa"/>
            <w:vAlign w:val="bottom"/>
          </w:tcPr>
          <w:p>
            <w:pPr>
              <w:spacing w:after="0"/>
              <w:rPr>
                <w:sz w:val="20"/>
                <w:szCs w:val="20"/>
                <w:color w:val="auto"/>
              </w:rPr>
            </w:pPr>
            <w:r>
              <w:rPr>
                <w:rFonts w:ascii="Arial" w:cs="Arial" w:eastAsia="Arial" w:hAnsi="Arial"/>
                <w:sz w:val="18"/>
                <w:szCs w:val="18"/>
                <w:b w:val="1"/>
                <w:bCs w:val="1"/>
                <w:color w:val="auto"/>
              </w:rPr>
              <w:t>Oil, gas and consumable</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20" w:type="dxa"/>
            <w:vAlign w:val="bottom"/>
          </w:tcPr>
          <w:p>
            <w:pPr>
              <w:ind w:left="140"/>
              <w:spacing w:after="0"/>
              <w:rPr>
                <w:sz w:val="20"/>
                <w:szCs w:val="20"/>
                <w:color w:val="auto"/>
              </w:rPr>
            </w:pPr>
            <w:r>
              <w:rPr>
                <w:rFonts w:ascii="Arial" w:cs="Arial" w:eastAsia="Arial" w:hAnsi="Arial"/>
                <w:sz w:val="18"/>
                <w:szCs w:val="18"/>
                <w:b w:val="1"/>
                <w:bCs w:val="1"/>
                <w:color w:val="auto"/>
              </w:rPr>
              <w:t>fuels</w:t>
            </w:r>
          </w:p>
        </w:tc>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(3)(6)</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($28,121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+ 10.50%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28,058</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24,677</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6/2018)</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Northern Oil and Gas, Inc. </w:t>
            </w:r>
            <w:r>
              <w:rPr>
                <w:rFonts w:ascii="Arial" w:cs="Arial" w:eastAsia="Arial" w:hAnsi="Arial"/>
                <w:sz w:val="15"/>
                <w:szCs w:val="15"/>
                <w:color w:val="auto"/>
              </w:rPr>
              <w:t>(3)</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First-lien loan ($48,750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11/1/2017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840" w:type="dxa"/>
            <w:vAlign w:val="bottom"/>
          </w:tcPr>
          <w:p>
            <w:pPr>
              <w:jc w:val="right"/>
              <w:spacing w:after="0"/>
              <w:rPr>
                <w:sz w:val="20"/>
                <w:szCs w:val="20"/>
                <w:color w:val="auto"/>
              </w:rPr>
            </w:pPr>
            <w:r>
              <w:rPr>
                <w:rFonts w:ascii="Arial" w:cs="Arial" w:eastAsia="Arial" w:hAnsi="Arial"/>
                <w:sz w:val="18"/>
                <w:szCs w:val="18"/>
                <w:color w:val="auto"/>
              </w:rPr>
              <w:t>47,618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48,750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11/2022)</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Rex Energy Corporation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($22,100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4/2021)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97,233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97,327</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Pharmaceuticals</w:t>
            </w: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9"/>
              </w:rPr>
              <w:t>Ironwood Pharmaceuticals, Inc.</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Secured note ($33,333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1/5/2017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8.38%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840" w:type="dxa"/>
            <w:vAlign w:val="bottom"/>
          </w:tcPr>
          <w:p>
            <w:pPr>
              <w:jc w:val="right"/>
              <w:spacing w:after="0"/>
              <w:rPr>
                <w:sz w:val="20"/>
                <w:szCs w:val="20"/>
                <w:color w:val="auto"/>
              </w:rPr>
            </w:pPr>
            <w:r>
              <w:rPr>
                <w:rFonts w:ascii="Arial" w:cs="Arial" w:eastAsia="Arial" w:hAnsi="Arial"/>
                <w:sz w:val="18"/>
                <w:szCs w:val="18"/>
                <w:color w:val="auto"/>
              </w:rPr>
              <w:t>33,193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33,166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(4)(5)(8)</w:t>
            </w:r>
          </w:p>
        </w:tc>
        <w:tc>
          <w:tcPr>
            <w:tcW w:w="2600" w:type="dxa"/>
            <w:vAlign w:val="bottom"/>
          </w:tcPr>
          <w:p>
            <w:pPr>
              <w:ind w:left="100"/>
              <w:spacing w:after="0"/>
              <w:rPr>
                <w:sz w:val="20"/>
                <w:szCs w:val="20"/>
                <w:color w:val="auto"/>
              </w:rPr>
            </w:pPr>
            <w:r>
              <w:rPr>
                <w:rFonts w:ascii="Arial" w:cs="Arial" w:eastAsia="Arial" w:hAnsi="Arial"/>
                <w:sz w:val="18"/>
                <w:szCs w:val="18"/>
                <w:color w:val="auto"/>
              </w:rPr>
              <w:t>9/2026)</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Model N, Inc. </w:t>
            </w:r>
            <w:r>
              <w:rPr>
                <w:rFonts w:ascii="Arial" w:cs="Arial" w:eastAsia="Arial" w:hAnsi="Arial"/>
                <w:sz w:val="15"/>
                <w:szCs w:val="15"/>
                <w:color w:val="auto"/>
              </w:rPr>
              <w:t>(3)(4)</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($30,000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1/5/2017</w:t>
            </w:r>
          </w:p>
        </w:tc>
        <w:tc>
          <w:tcPr>
            <w:tcW w:w="13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8"/>
              </w:rPr>
              <w:t>P + 9.25%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29,523</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1/2022)</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(4)(5)(8)</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Secured note ($74,950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10/5/2015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840" w:type="dxa"/>
            <w:vAlign w:val="bottom"/>
          </w:tcPr>
          <w:p>
            <w:pPr>
              <w:jc w:val="right"/>
              <w:spacing w:after="0"/>
              <w:rPr>
                <w:sz w:val="20"/>
                <w:szCs w:val="20"/>
                <w:color w:val="auto"/>
              </w:rPr>
            </w:pPr>
            <w:r>
              <w:rPr>
                <w:rFonts w:ascii="Arial" w:cs="Arial" w:eastAsia="Arial" w:hAnsi="Arial"/>
                <w:sz w:val="18"/>
                <w:szCs w:val="18"/>
                <w:color w:val="auto"/>
              </w:rPr>
              <w:t>74,410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77,386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10/2020)</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137,126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141,452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r>
      <w:tr>
        <w:trPr>
          <w:trHeight w:val="205"/>
        </w:trPr>
        <w:tc>
          <w:tcPr>
            <w:tcW w:w="2520" w:type="dxa"/>
            <w:vAlign w:val="bottom"/>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tcPr>
          <w:p>
            <w:pPr>
              <w:ind w:left="140"/>
              <w:spacing w:after="0"/>
              <w:rPr>
                <w:sz w:val="20"/>
                <w:szCs w:val="20"/>
                <w:color w:val="auto"/>
              </w:rPr>
            </w:pPr>
            <w:r>
              <w:rPr>
                <w:rFonts w:ascii="Arial" w:cs="Arial" w:eastAsia="Arial" w:hAnsi="Arial"/>
                <w:sz w:val="18"/>
                <w:szCs w:val="18"/>
                <w:b w:val="1"/>
                <w:bCs w:val="1"/>
                <w:color w:val="auto"/>
              </w:rPr>
              <w:t>products</w:t>
            </w:r>
          </w:p>
        </w:tc>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($25,000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4/2021)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American Achievement</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First-lien loan ($22,971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9/30/2015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840" w:type="dxa"/>
            <w:vAlign w:val="bottom"/>
          </w:tcPr>
          <w:p>
            <w:pPr>
              <w:jc w:val="right"/>
              <w:spacing w:after="0"/>
              <w:rPr>
                <w:sz w:val="20"/>
                <w:szCs w:val="20"/>
                <w:color w:val="auto"/>
              </w:rPr>
            </w:pPr>
            <w:r>
              <w:rPr>
                <w:rFonts w:ascii="Arial" w:cs="Arial" w:eastAsia="Arial" w:hAnsi="Arial"/>
                <w:sz w:val="18"/>
                <w:szCs w:val="18"/>
                <w:color w:val="auto"/>
              </w:rPr>
              <w:t>22,792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22,971</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00" w:type="dxa"/>
            <w:vAlign w:val="bottom"/>
          </w:tcPr>
          <w:p>
            <w:pPr>
              <w:ind w:left="100"/>
              <w:spacing w:after="0"/>
              <w:rPr>
                <w:sz w:val="20"/>
                <w:szCs w:val="20"/>
                <w:color w:val="auto"/>
              </w:rPr>
            </w:pPr>
            <w:r>
              <w:rPr>
                <w:rFonts w:ascii="Arial" w:cs="Arial" w:eastAsia="Arial" w:hAnsi="Arial"/>
                <w:sz w:val="18"/>
                <w:szCs w:val="18"/>
                <w:color w:val="auto"/>
              </w:rPr>
              <w:t>9/2020)</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($28,875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+ 9.25%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28,539</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29,164</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6/2019)</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(3)(5)</w:t>
            </w:r>
          </w:p>
        </w:tc>
        <w:tc>
          <w:tcPr>
            <w:tcW w:w="2600" w:type="dxa"/>
            <w:vAlign w:val="bottom"/>
          </w:tcPr>
          <w:p>
            <w:pPr>
              <w:ind w:left="100"/>
              <w:spacing w:after="0"/>
              <w:rPr>
                <w:sz w:val="20"/>
                <w:szCs w:val="20"/>
                <w:color w:val="auto"/>
              </w:rPr>
            </w:pPr>
            <w:r>
              <w:rPr>
                <w:rFonts w:ascii="Arial" w:cs="Arial" w:eastAsia="Arial" w:hAnsi="Arial"/>
                <w:sz w:val="18"/>
                <w:szCs w:val="18"/>
                <w:color w:val="auto"/>
              </w:rPr>
              <w:t>ABL FILO term loan ($15,000</w:t>
            </w:r>
          </w:p>
        </w:tc>
        <w:tc>
          <w:tcPr>
            <w:tcW w:w="1000" w:type="dxa"/>
            <w:vAlign w:val="bottom"/>
          </w:tcPr>
          <w:p>
            <w:pPr>
              <w:jc w:val="right"/>
              <w:spacing w:after="0"/>
              <w:rPr>
                <w:sz w:val="20"/>
                <w:szCs w:val="20"/>
                <w:color w:val="auto"/>
              </w:rPr>
            </w:pPr>
            <w:r>
              <w:rPr>
                <w:rFonts w:ascii="Arial" w:cs="Arial" w:eastAsia="Arial" w:hAnsi="Arial"/>
                <w:sz w:val="18"/>
                <w:szCs w:val="18"/>
                <w:color w:val="auto"/>
              </w:rPr>
              <w:t>3/1/2018</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+ 8.00%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840" w:type="dxa"/>
            <w:vAlign w:val="bottom"/>
          </w:tcPr>
          <w:p>
            <w:pPr>
              <w:jc w:val="right"/>
              <w:spacing w:after="0"/>
              <w:rPr>
                <w:sz w:val="20"/>
                <w:szCs w:val="20"/>
                <w:color w:val="auto"/>
              </w:rPr>
            </w:pPr>
            <w:r>
              <w:rPr>
                <w:rFonts w:ascii="Arial" w:cs="Arial" w:eastAsia="Arial" w:hAnsi="Arial"/>
                <w:sz w:val="18"/>
                <w:szCs w:val="18"/>
                <w:color w:val="auto"/>
              </w:rPr>
              <w:t>14,680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14,700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par, due 8/2022)</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(3)(4)(10)</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First-lien ABL loan ($17,296 par,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3/18/2016</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16,992</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17,368</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7/2020)</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107,680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109,203</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Debt Investments</w:t>
            </w:r>
          </w:p>
        </w:tc>
        <w:tc>
          <w:tcPr>
            <w:tcW w:w="26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1,844,509</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1,864,259</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Equity and Other Investments</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Beverage, food and tobacco</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AFS Technologies, Inc. </w:t>
            </w:r>
            <w:r>
              <w:rPr>
                <w:rFonts w:ascii="Arial" w:cs="Arial" w:eastAsia="Arial" w:hAnsi="Arial"/>
                <w:sz w:val="15"/>
                <w:szCs w:val="15"/>
                <w:color w:val="auto"/>
                <w:w w:val="95"/>
              </w:rPr>
              <w:t>(6)(12)(13)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3"/>
              </w:rPr>
              <w:t>Class A Preferred Units (125,000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14,844</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Class B Common Units (90,000</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6/30/2017</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4,876</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FF0FC"/>
            </w:tcBorders>
          </w:tcPr>
          <w:p>
            <w:pPr>
              <w:spacing w:after="0"/>
              <w:rPr>
                <w:sz w:val="20"/>
                <w:szCs w:val="20"/>
                <w:color w:val="auto"/>
              </w:rPr>
            </w:pPr>
          </w:p>
        </w:tc>
        <w:tc>
          <w:tcPr>
            <w:tcW w:w="268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units)</w:t>
            </w:r>
          </w:p>
        </w:tc>
        <w:tc>
          <w:tcPr>
            <w:tcW w:w="31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19,720</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(12)(13)</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(1,262 units)</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rPr>
              <w:t>1/17/2018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19"/>
                <w:szCs w:val="19"/>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Class B Units (517,020 units)</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1/17/2018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(12)(13)</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Shares (1,197 shares)</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rPr>
              <w:t>3/30/2018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19"/>
                <w:szCs w:val="19"/>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w w:val="98"/>
              </w:rPr>
              <w:t>Class B Shares (398,557 shares)</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3/30/2018</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(12)(13)</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Preferred Class A Units (990 units)</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rPr>
              <w:t>6/30/2017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w w:val="99"/>
              </w:rPr>
              <w:t>Common Class B Units (959,018</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6/30/2017</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FF0FC"/>
            </w:tcBorders>
          </w:tcPr>
          <w:p>
            <w:pPr>
              <w:spacing w:after="0"/>
              <w:rPr>
                <w:sz w:val="20"/>
                <w:szCs w:val="20"/>
                <w:color w:val="auto"/>
              </w:rPr>
            </w:pPr>
          </w:p>
        </w:tc>
        <w:tc>
          <w:tcPr>
            <w:tcW w:w="268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units)</w:t>
            </w:r>
          </w:p>
        </w:tc>
        <w:tc>
          <w:tcPr>
            <w:tcW w:w="31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(12)</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Units (2,672,990 units)</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w w:val="97"/>
              </w:rPr>
              <w:t>10/31/2016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(12)</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Series E Preferred Equity (214,132</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rPr>
              <w:t>8/7/2015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shares)</w:t>
            </w:r>
          </w:p>
        </w:tc>
        <w:tc>
          <w:tcPr>
            <w:tcW w:w="3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(12)(13)</w:t>
            </w:r>
          </w:p>
        </w:tc>
        <w:tc>
          <w:tcPr>
            <w:tcW w:w="2680" w:type="dxa"/>
            <w:vAlign w:val="bottom"/>
          </w:tcPr>
          <w:p>
            <w:pPr>
              <w:ind w:left="60"/>
              <w:spacing w:after="0"/>
              <w:rPr>
                <w:sz w:val="20"/>
                <w:szCs w:val="20"/>
                <w:color w:val="auto"/>
              </w:rPr>
            </w:pPr>
            <w:r>
              <w:rPr>
                <w:rFonts w:ascii="Arial" w:cs="Arial" w:eastAsia="Arial" w:hAnsi="Arial"/>
                <w:sz w:val="18"/>
                <w:szCs w:val="18"/>
                <w:color w:val="auto"/>
                <w:w w:val="97"/>
              </w:rPr>
              <w:t>Common Shares (35,000 shares)</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7/31/2017</w:t>
            </w: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6,379</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w w:val="93"/>
              </w:rPr>
              <w:t xml:space="preserve">Oxford Square Capital Corp. </w:t>
            </w:r>
            <w:r>
              <w:rPr>
                <w:rFonts w:ascii="Arial" w:cs="Arial" w:eastAsia="Arial" w:hAnsi="Arial"/>
                <w:sz w:val="15"/>
                <w:szCs w:val="15"/>
                <w:color w:val="auto"/>
                <w:w w:val="93"/>
              </w:rPr>
              <w:t>(4)(11)</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(1,059 shares)</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rPr>
              <w:t>8/5/2015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 xml:space="preserve">Triangle Capital Corp. </w:t>
            </w:r>
            <w:r>
              <w:rPr>
                <w:rFonts w:ascii="Arial" w:cs="Arial" w:eastAsia="Arial" w:hAnsi="Arial"/>
                <w:sz w:val="15"/>
                <w:szCs w:val="15"/>
                <w:color w:val="auto"/>
              </w:rPr>
              <w:t>(4)(11)</w:t>
            </w:r>
          </w:p>
        </w:tc>
        <w:tc>
          <w:tcPr>
            <w:tcW w:w="2680" w:type="dxa"/>
            <w:vAlign w:val="bottom"/>
          </w:tcPr>
          <w:p>
            <w:pPr>
              <w:ind w:left="60"/>
              <w:spacing w:after="0"/>
              <w:rPr>
                <w:sz w:val="20"/>
                <w:szCs w:val="20"/>
                <w:color w:val="auto"/>
              </w:rPr>
            </w:pPr>
            <w:r>
              <w:rPr>
                <w:rFonts w:ascii="Arial" w:cs="Arial" w:eastAsia="Arial" w:hAnsi="Arial"/>
                <w:sz w:val="18"/>
                <w:szCs w:val="18"/>
                <w:color w:val="auto"/>
                <w:w w:val="94"/>
              </w:rPr>
              <w:t>Common Shares (224,600 shares)</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11/3/2017</w:t>
            </w:r>
          </w:p>
        </w:tc>
        <w:tc>
          <w:tcPr>
            <w:tcW w:w="840" w:type="dxa"/>
            <w:vAlign w:val="bottom"/>
          </w:tcPr>
          <w:p>
            <w:pPr>
              <w:jc w:val="right"/>
              <w:spacing w:after="0"/>
              <w:rPr>
                <w:sz w:val="20"/>
                <w:szCs w:val="20"/>
                <w:color w:val="auto"/>
              </w:rPr>
            </w:pPr>
            <w:r>
              <w:rPr>
                <w:rFonts w:ascii="Arial" w:cs="Arial" w:eastAsia="Arial" w:hAnsi="Arial"/>
                <w:sz w:val="18"/>
                <w:szCs w:val="18"/>
                <w:color w:val="auto"/>
              </w:rPr>
              <w:t>2,191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Healthcare</w:t>
            </w: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(12)</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Class A</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w w:val="97"/>
              </w:rPr>
              <w:t>12/28/2012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(1,980 shares)</w:t>
            </w:r>
          </w:p>
        </w:tc>
        <w:tc>
          <w:tcPr>
            <w:tcW w:w="3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Common Shares Class B</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w w:val="97"/>
              </w:rPr>
              <w:t>12/28/2012</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FF0FC"/>
            </w:tcBorders>
          </w:tcPr>
          <w:p>
            <w:pPr>
              <w:spacing w:after="0"/>
              <w:rPr>
                <w:sz w:val="20"/>
                <w:szCs w:val="20"/>
                <w:color w:val="auto"/>
              </w:rPr>
            </w:pPr>
          </w:p>
        </w:tc>
        <w:tc>
          <w:tcPr>
            <w:tcW w:w="268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(2,953,020 shares)</w:t>
            </w:r>
          </w:p>
        </w:tc>
        <w:tc>
          <w:tcPr>
            <w:tcW w:w="31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(6)(12)</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(5,000,000 units)</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rPr>
              <w:t>9/29/2015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19"/>
                <w:szCs w:val="19"/>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w w:val="98"/>
              </w:rPr>
              <w:t>Class C-1 Units (8,800,000 units)</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9/29/2015</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fuels</w:t>
            </w:r>
          </w:p>
        </w:tc>
        <w:tc>
          <w:tcPr>
            <w:tcW w:w="2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(6)(12)</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A-1 Member Units (1,000</w:t>
            </w:r>
          </w:p>
        </w:tc>
        <w:tc>
          <w:tcPr>
            <w:tcW w:w="3100" w:type="dxa"/>
            <w:vAlign w:val="bottom"/>
            <w:shd w:val="clear" w:color="auto" w:fill="CFF0FC"/>
          </w:tcPr>
          <w:p>
            <w:pPr>
              <w:jc w:val="right"/>
              <w:ind w:right="2110"/>
              <w:spacing w:after="0"/>
              <w:rPr>
                <w:sz w:val="20"/>
                <w:szCs w:val="20"/>
                <w:color w:val="auto"/>
              </w:rPr>
            </w:pPr>
            <w:r>
              <w:rPr>
                <w:rFonts w:ascii="Arial" w:cs="Arial" w:eastAsia="Arial" w:hAnsi="Arial"/>
                <w:sz w:val="18"/>
                <w:szCs w:val="18"/>
                <w:color w:val="auto"/>
              </w:rPr>
              <w:t>5/3/2017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8,155</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(13)</w:t>
            </w:r>
          </w:p>
        </w:tc>
        <w:tc>
          <w:tcPr>
            <w:tcW w:w="2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units)</w:t>
            </w:r>
          </w:p>
        </w:tc>
        <w:tc>
          <w:tcPr>
            <w:tcW w:w="3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Class A-2 Member Units (933</w:t>
            </w:r>
          </w:p>
        </w:tc>
        <w:tc>
          <w:tcPr>
            <w:tcW w:w="3100" w:type="dxa"/>
            <w:vAlign w:val="bottom"/>
          </w:tcPr>
          <w:p>
            <w:pPr>
              <w:jc w:val="right"/>
              <w:ind w:right="2110"/>
              <w:spacing w:after="0"/>
              <w:rPr>
                <w:sz w:val="20"/>
                <w:szCs w:val="20"/>
                <w:color w:val="auto"/>
              </w:rPr>
            </w:pPr>
            <w:r>
              <w:rPr>
                <w:rFonts w:ascii="Arial" w:cs="Arial" w:eastAsia="Arial" w:hAnsi="Arial"/>
                <w:sz w:val="18"/>
                <w:szCs w:val="18"/>
                <w:color w:val="auto"/>
              </w:rPr>
              <w:t>6/4/2014</w:t>
            </w:r>
          </w:p>
        </w:tc>
        <w:tc>
          <w:tcPr>
            <w:tcW w:w="840" w:type="dxa"/>
            <w:vAlign w:val="bottom"/>
          </w:tcPr>
          <w:p>
            <w:pPr>
              <w:jc w:val="right"/>
              <w:spacing w:after="0"/>
              <w:rPr>
                <w:sz w:val="20"/>
                <w:szCs w:val="20"/>
                <w:color w:val="auto"/>
              </w:rPr>
            </w:pPr>
            <w:r>
              <w:rPr>
                <w:rFonts w:ascii="Arial" w:cs="Arial" w:eastAsia="Arial" w:hAnsi="Arial"/>
                <w:sz w:val="18"/>
                <w:szCs w:val="18"/>
                <w:color w:val="auto"/>
              </w:rPr>
              <w:t>8,874</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FF0FC"/>
            </w:tcBorders>
          </w:tcPr>
          <w:p>
            <w:pPr>
              <w:spacing w:after="0"/>
              <w:rPr>
                <w:sz w:val="20"/>
                <w:szCs w:val="20"/>
                <w:color w:val="auto"/>
              </w:rPr>
            </w:pPr>
          </w:p>
        </w:tc>
        <w:tc>
          <w:tcPr>
            <w:tcW w:w="268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units)</w:t>
            </w:r>
          </w:p>
        </w:tc>
        <w:tc>
          <w:tcPr>
            <w:tcW w:w="31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17,029</w:t>
            </w:r>
          </w:p>
        </w:tc>
        <w:tc>
          <w:tcPr>
            <w:tcW w:w="2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rPr>
              <w:t>52,370</w:t>
            </w:r>
          </w:p>
        </w:tc>
        <w:tc>
          <w:tcPr>
            <w:tcW w:w="20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45,061</w:t>
            </w:r>
          </w:p>
        </w:tc>
        <w:tc>
          <w:tcPr>
            <w:tcW w:w="200" w:type="dxa"/>
            <w:vAlign w:val="bottom"/>
          </w:tcPr>
          <w:p>
            <w:pPr>
              <w:spacing w:after="0"/>
              <w:rPr>
                <w:sz w:val="17"/>
                <w:szCs w:val="17"/>
                <w:color w:val="auto"/>
              </w:rPr>
            </w:pPr>
          </w:p>
        </w:tc>
        <w:tc>
          <w:tcPr>
            <w:tcW w:w="9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Investments</w:t>
            </w:r>
          </w:p>
        </w:tc>
        <w:tc>
          <w:tcPr>
            <w:tcW w:w="2680" w:type="dxa"/>
            <w:vAlign w:val="bottom"/>
            <w:tcBorders>
              <w:bottom w:val="single" w:sz="8" w:color="CFF0FC"/>
            </w:tcBorders>
          </w:tcPr>
          <w:p>
            <w:pPr>
              <w:spacing w:after="0"/>
              <w:rPr>
                <w:sz w:val="20"/>
                <w:szCs w:val="20"/>
                <w:color w:val="auto"/>
              </w:rPr>
            </w:pPr>
          </w:p>
        </w:tc>
        <w:tc>
          <w:tcPr>
            <w:tcW w:w="31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680" w:type="dxa"/>
            <w:vAlign w:val="bottom"/>
            <w:tcBorders>
              <w:bottom w:val="single" w:sz="8" w:color="CFF0FC"/>
            </w:tcBorders>
            <w:shd w:val="clear" w:color="auto" w:fill="CFF0FC"/>
          </w:tcPr>
          <w:p>
            <w:pPr>
              <w:spacing w:after="0"/>
              <w:rPr>
                <w:sz w:val="19"/>
                <w:szCs w:val="19"/>
                <w:color w:val="auto"/>
              </w:rPr>
            </w:pPr>
          </w:p>
        </w:tc>
        <w:tc>
          <w:tcPr>
            <w:tcW w:w="3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$ 1,896,879</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$ 1,909,320</w:t>
            </w: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182.7</w:t>
            </w:r>
          </w:p>
        </w:tc>
        <w:tc>
          <w:tcPr>
            <w:tcW w:w="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00" w:type="dxa"/>
            <w:vAlign w:val="bottom"/>
            <w:vMerge w:val="restart"/>
          </w:tcPr>
          <w:p>
            <w:pPr>
              <w:jc w:val="right"/>
              <w:ind w:right="2550"/>
              <w:spacing w:after="0"/>
              <w:rPr>
                <w:sz w:val="20"/>
                <w:szCs w:val="20"/>
                <w:color w:val="auto"/>
              </w:rPr>
            </w:pPr>
            <w:r>
              <w:rPr>
                <w:rFonts w:ascii="Arial" w:cs="Arial" w:eastAsia="Arial" w:hAnsi="Arial"/>
                <w:sz w:val="18"/>
                <w:szCs w:val="18"/>
                <w:color w:val="auto"/>
              </w:rPr>
              <w:t>9</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rPr>
              <w:t>Interest Rate Swaps as of March 31, 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Notional</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Fair Market</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14"/>
              <w:spacing w:after="0" w:line="133" w:lineRule="exact"/>
              <w:rPr>
                <w:sz w:val="20"/>
                <w:szCs w:val="20"/>
                <w:color w:val="auto"/>
              </w:rPr>
            </w:pPr>
            <w:r>
              <w:rPr>
                <w:rFonts w:ascii="Arial" w:cs="Arial" w:eastAsia="Arial" w:hAnsi="Arial"/>
                <w:sz w:val="14"/>
                <w:szCs w:val="14"/>
                <w:b w:val="1"/>
                <w:bCs w:val="1"/>
                <w:color w:val="auto"/>
                <w:w w:val="98"/>
              </w:rPr>
              <w:t>Upfront</w:t>
            </w: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94"/>
              </w:rPr>
              <w:t>Change in Unrealized</w:t>
            </w:r>
          </w:p>
        </w:tc>
        <w:tc>
          <w:tcPr>
            <w:tcW w:w="5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Company Receives</w:t>
            </w: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Company Pays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Payments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Maturity Date</w:t>
            </w: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23"/>
        </w:trPr>
        <w:tc>
          <w:tcPr>
            <w:tcW w:w="1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1.16%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+ 2.86%</w:t>
            </w:r>
          </w:p>
        </w:tc>
        <w:tc>
          <w:tcPr>
            <w:tcW w:w="102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Interest rate swap </w:t>
            </w:r>
            <w:r>
              <w:rPr>
                <w:rFonts w:ascii="Arial" w:cs="Arial" w:eastAsia="Arial" w:hAnsi="Arial"/>
                <w:sz w:val="15"/>
                <w:szCs w:val="15"/>
                <w:color w:val="auto"/>
                <w:w w:val="95"/>
              </w:rPr>
              <w:t>(a)(b)</w:t>
            </w:r>
          </w:p>
        </w:tc>
        <w:tc>
          <w:tcPr>
            <w:tcW w:w="166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4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02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collateral</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505,833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Interest rate determined by three-month LIBOR.</w:t>
      </w:r>
    </w:p>
    <w:p>
      <w:pPr>
        <w:spacing w:after="0" w:line="23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26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100" w:hanging="512"/>
        <w:spacing w:after="0" w:line="281"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(“EURIBOR” or “E”),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2018.</w:t>
      </w:r>
    </w:p>
    <w:p>
      <w:pPr>
        <w:spacing w:after="0" w:line="3" w:lineRule="exact"/>
        <w:rPr>
          <w:rFonts w:ascii="Arial" w:cs="Arial" w:eastAsia="Arial" w:hAnsi="Arial"/>
          <w:sz w:val="16"/>
          <w:szCs w:val="16"/>
          <w:color w:val="auto"/>
        </w:rPr>
      </w:pPr>
    </w:p>
    <w:p>
      <w:pPr>
        <w:jc w:val="both"/>
        <w:ind w:left="520" w:right="1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14.2% of total assets as of March 31, 2018.</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right="140" w:hanging="512"/>
        <w:spacing w:after="0" w:line="273"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2018 in which the issuer was an Affiliated Person of and was deemed to Control a portfolio company are as follows:</w:t>
      </w: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Controlled, Affiliated Investments during the three months ended March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Change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 (a)</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137,570</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right="340" w:hanging="519"/>
        <w:spacing w:after="0" w:line="258"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240" w:hanging="519"/>
        <w:spacing w:after="0" w:line="255"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90"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2018, the tax cost of the Company’s investments approximates the amortized cost.</w:t>
      </w:r>
    </w:p>
    <w:p>
      <w:pPr>
        <w:spacing w:after="0" w:line="2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630" w:right="159" w:bottom="1440" w:gutter="0" w:footer="0" w:header="0"/>
        </w:sectPr>
      </w:pPr>
    </w:p>
    <w:bookmarkStart w:id="10" w:name="page11"/>
    <w:bookmarkEnd w:id="10"/>
    <w:p>
      <w:pPr>
        <w:ind w:left="512" w:right="40" w:hanging="512"/>
        <w:spacing w:after="0" w:line="256"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ind w:left="512" w:hanging="512"/>
        <w:spacing w:after="0" w:line="250"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12" w:hanging="512"/>
        <w:spacing w:after="0" w:line="250"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12" w:hanging="512"/>
        <w:spacing w:after="0"/>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12" w:right="60" w:hanging="512"/>
        <w:spacing w:after="0" w:line="290" w:lineRule="auto"/>
        <w:tabs>
          <w:tab w:leader="none" w:pos="512" w:val="left"/>
        </w:tabs>
        <w:numPr>
          <w:ilvl w:val="0"/>
          <w:numId w:val="8"/>
        </w:numPr>
        <w:rPr>
          <w:rFonts w:ascii="Arial" w:cs="Arial" w:eastAsia="Arial" w:hAnsi="Arial"/>
          <w:sz w:val="17"/>
          <w:szCs w:val="17"/>
          <w:color w:val="auto"/>
        </w:rPr>
      </w:pPr>
      <w:r>
        <w:rPr>
          <w:rFonts w:ascii="Arial" w:cs="Arial" w:eastAsia="Arial" w:hAnsi="Arial"/>
          <w:sz w:val="17"/>
          <w:szCs w:val="17"/>
          <w:color w:val="auto"/>
        </w:rPr>
        <w:t>Security acquired in transaction exempt from registration under the Securities Act of 1933, and may be deemed to be “restricted securities” under the Securities Act. As of March 31, 2018, the aggregate fair value of these securities is $29,835, or 2.9% of the Company’s net assets.</w:t>
      </w:r>
    </w:p>
    <w:p>
      <w:pPr>
        <w:spacing w:after="0" w:line="37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341"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Reference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6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Rate and</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Interest Rate</w:t>
            </w:r>
          </w:p>
        </w:tc>
        <w:tc>
          <w:tcPr>
            <w:tcW w:w="6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3"/>
                <w:szCs w:val="13"/>
                <w:color w:val="auto"/>
              </w:rPr>
            </w:pPr>
          </w:p>
        </w:tc>
        <w:tc>
          <w:tcPr>
            <w:tcW w:w="9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15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Spread</w:t>
            </w: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(2)(7)</w:t>
            </w:r>
          </w:p>
        </w:tc>
        <w:tc>
          <w:tcPr>
            <w:tcW w:w="960" w:type="dxa"/>
            <w:vAlign w:val="bottom"/>
            <w:gridSpan w:val="2"/>
          </w:tcPr>
          <w:p>
            <w:pPr>
              <w:jc w:val="right"/>
              <w:ind w:right="234"/>
              <w:spacing w:after="0"/>
              <w:rPr>
                <w:sz w:val="20"/>
                <w:szCs w:val="20"/>
                <w:color w:val="auto"/>
              </w:rPr>
            </w:pPr>
            <w:r>
              <w:rPr>
                <w:rFonts w:ascii="Arial" w:cs="Arial" w:eastAsia="Arial" w:hAnsi="Arial"/>
                <w:sz w:val="12"/>
                <w:szCs w:val="12"/>
                <w:b w:val="1"/>
                <w:bCs w:val="1"/>
                <w:color w:val="auto"/>
              </w:rPr>
              <w:t>(9)</w:t>
            </w:r>
          </w:p>
        </w:tc>
        <w:tc>
          <w:tcPr>
            <w:tcW w:w="20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($25,725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8/28/2012</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+ 10.25%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25,724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25,789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1/2018)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revolving loan ($4,056</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8/28/2012</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P + 9.00%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4,066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par, due 1/2018)</w:t>
            </w: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Beverage, food and tobacco</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(3)(6)</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Second-lien loan ($59,621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9/2021)</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Business services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($53,730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6/12/2017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+ 9.25%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51,900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($33,221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6/30/2014</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32,879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33,221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($20,879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7/29/2016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+ 10.00%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21,975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7/2021)</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(incl. 3.00%</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($42,800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+ 7.75%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41,920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42,203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($34,323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33,862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34,421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($49,975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6/16/2017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+ 8.50%</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48,196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48,725</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(incl. 0.50%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PIK)</w:t>
            </w: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229,253</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234,275</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4/2018)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5"/>
              </w:rPr>
              <w:t>Second-lien loan ($3,341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+ 12.00%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3,366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10/2021)</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Communications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iHeart Communications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FILO term loan ($115,000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+ 4.75%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111,613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112,700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11/2020)</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Education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8/31/2016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44,029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45,450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($47,703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9/18/2017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+ 6.50%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47,039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47,132</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20" w:type="dxa"/>
            <w:vAlign w:val="bottom"/>
          </w:tcPr>
          <w:p>
            <w:pPr>
              <w:spacing w:after="0"/>
              <w:rPr>
                <w:sz w:val="20"/>
                <w:szCs w:val="20"/>
                <w:color w:val="auto"/>
              </w:rPr>
            </w:pPr>
            <w:r>
              <w:rPr>
                <w:rFonts w:ascii="Arial" w:cs="Arial" w:eastAsia="Arial" w:hAnsi="Arial"/>
                <w:sz w:val="18"/>
                <w:szCs w:val="18"/>
                <w:color w:val="auto"/>
              </w:rPr>
              <w:t>9/2023)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($56,900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8/25/2017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55,772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55,971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146,840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148,553</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($20,364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8/18/2015</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20,643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($54,449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11.06%</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53,879</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8/2020)</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($56,525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7/28/2017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tcPr>
          <w:p>
            <w:pPr>
              <w:jc w:val="right"/>
              <w:spacing w:after="0"/>
              <w:rPr>
                <w:sz w:val="20"/>
                <w:szCs w:val="20"/>
                <w:color w:val="auto"/>
              </w:rPr>
            </w:pPr>
            <w:r>
              <w:rPr>
                <w:rFonts w:ascii="Arial" w:cs="Arial" w:eastAsia="Arial" w:hAnsi="Arial"/>
                <w:sz w:val="18"/>
                <w:szCs w:val="18"/>
                <w:color w:val="auto"/>
              </w:rPr>
              <w:t>55,413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55,627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7/2022)</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($50,601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3/2022)</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1.75%</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($29,167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7/31/2017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780" w:type="dxa"/>
            <w:vAlign w:val="bottom"/>
          </w:tcPr>
          <w:p>
            <w:pPr>
              <w:jc w:val="right"/>
              <w:spacing w:after="0"/>
              <w:rPr>
                <w:sz w:val="20"/>
                <w:szCs w:val="20"/>
                <w:color w:val="auto"/>
              </w:rPr>
            </w:pPr>
            <w:r>
              <w:rPr>
                <w:rFonts w:ascii="Arial" w:cs="Arial" w:eastAsia="Arial" w:hAnsi="Arial"/>
                <w:sz w:val="18"/>
                <w:szCs w:val="18"/>
                <w:color w:val="auto"/>
              </w:rPr>
              <w:t>28,472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29,458</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1/2022)</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207,468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211,039</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Healthcare</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2"/>
              </w:rPr>
              <w:t>Integrated Practice Solutions, Inc.</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($32,338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31,691</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6/2022)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500" w:type="dxa"/>
            <w:vAlign w:val="bottom"/>
          </w:tcPr>
          <w:p>
            <w:pPr>
              <w:ind w:left="60"/>
              <w:spacing w:after="0"/>
              <w:rPr>
                <w:sz w:val="20"/>
                <w:szCs w:val="20"/>
                <w:color w:val="auto"/>
              </w:rPr>
            </w:pPr>
            <w:r>
              <w:rPr>
                <w:rFonts w:ascii="Arial" w:cs="Arial" w:eastAsia="Arial" w:hAnsi="Arial"/>
                <w:sz w:val="18"/>
                <w:szCs w:val="18"/>
                <w:color w:val="auto"/>
                <w:w w:val="95"/>
              </w:rPr>
              <w:t>First-lien loan (EUR 38,019 par,</w:t>
            </w:r>
          </w:p>
        </w:tc>
        <w:tc>
          <w:tcPr>
            <w:tcW w:w="10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080" w:type="dxa"/>
            <w:vAlign w:val="bottom"/>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tcPr>
          <w:p>
            <w:pPr>
              <w:jc w:val="right"/>
              <w:spacing w:after="0"/>
              <w:rPr>
                <w:sz w:val="20"/>
                <w:szCs w:val="20"/>
                <w:color w:val="auto"/>
              </w:rPr>
            </w:pPr>
            <w:r>
              <w:rPr>
                <w:rFonts w:ascii="Arial" w:cs="Arial" w:eastAsia="Arial" w:hAnsi="Arial"/>
                <w:sz w:val="18"/>
                <w:szCs w:val="18"/>
                <w:color w:val="auto"/>
              </w:rPr>
              <w:t>45,164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47,366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due 9/2019)</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(EUR 39,445)</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revolving loan (EUR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300 par, due 9/2019)</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(EUR 450)</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($57,305 par, due</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12/17/2015</w:t>
            </w:r>
          </w:p>
        </w:tc>
        <w:tc>
          <w:tcPr>
            <w:tcW w:w="1080" w:type="dxa"/>
            <w:vAlign w:val="bottom"/>
          </w:tcPr>
          <w:p>
            <w:pPr>
              <w:jc w:val="right"/>
              <w:spacing w:after="0"/>
              <w:rPr>
                <w:sz w:val="20"/>
                <w:szCs w:val="20"/>
                <w:color w:val="auto"/>
              </w:rPr>
            </w:pPr>
            <w:r>
              <w:rPr>
                <w:rFonts w:ascii="Arial" w:cs="Arial" w:eastAsia="Arial" w:hAnsi="Arial"/>
                <w:sz w:val="18"/>
                <w:szCs w:val="18"/>
                <w:color w:val="auto"/>
              </w:rPr>
              <w:t>L + 5.25%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780" w:type="dxa"/>
            <w:vAlign w:val="bottom"/>
          </w:tcPr>
          <w:p>
            <w:pPr>
              <w:jc w:val="right"/>
              <w:spacing w:after="0"/>
              <w:rPr>
                <w:sz w:val="20"/>
                <w:szCs w:val="20"/>
                <w:color w:val="auto"/>
              </w:rPr>
            </w:pPr>
            <w:r>
              <w:rPr>
                <w:rFonts w:ascii="Arial" w:cs="Arial" w:eastAsia="Arial" w:hAnsi="Arial"/>
                <w:sz w:val="18"/>
                <w:szCs w:val="18"/>
                <w:color w:val="auto"/>
              </w:rPr>
              <w:t>56,455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58,021</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12/2021)</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($43,262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43,478</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9/2020)</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($29,475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2/29/2016</w:t>
            </w:r>
          </w:p>
        </w:tc>
        <w:tc>
          <w:tcPr>
            <w:tcW w:w="1080" w:type="dxa"/>
            <w:vAlign w:val="bottom"/>
          </w:tcPr>
          <w:p>
            <w:pPr>
              <w:jc w:val="right"/>
              <w:spacing w:after="0"/>
              <w:rPr>
                <w:sz w:val="20"/>
                <w:szCs w:val="20"/>
                <w:color w:val="auto"/>
              </w:rPr>
            </w:pPr>
            <w:r>
              <w:rPr>
                <w:rFonts w:ascii="Arial" w:cs="Arial" w:eastAsia="Arial" w:hAnsi="Arial"/>
                <w:sz w:val="18"/>
                <w:szCs w:val="18"/>
                <w:color w:val="auto"/>
              </w:rPr>
              <w:t>L + 7.75%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780" w:type="dxa"/>
            <w:vAlign w:val="bottom"/>
          </w:tcPr>
          <w:p>
            <w:pPr>
              <w:jc w:val="right"/>
              <w:spacing w:after="0"/>
              <w:rPr>
                <w:sz w:val="20"/>
                <w:szCs w:val="20"/>
                <w:color w:val="auto"/>
              </w:rPr>
            </w:pPr>
            <w:r>
              <w:rPr>
                <w:rFonts w:ascii="Arial" w:cs="Arial" w:eastAsia="Arial" w:hAnsi="Arial"/>
                <w:sz w:val="18"/>
                <w:szCs w:val="18"/>
                <w:color w:val="auto"/>
              </w:rPr>
              <w:t>28,772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30,212</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2/2021)</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204,653</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211,308</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(3)(6)</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($22,414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9/2019)</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5.00%</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10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80" w:type="dxa"/>
            <w:vAlign w:val="bottom"/>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11.06%</w:t>
            </w:r>
          </w:p>
        </w:tc>
        <w:tc>
          <w:tcPr>
            <w:tcW w:w="780" w:type="dxa"/>
            <w:vAlign w:val="bottom"/>
          </w:tcPr>
          <w:p>
            <w:pPr>
              <w:jc w:val="right"/>
              <w:spacing w:after="0"/>
              <w:rPr>
                <w:sz w:val="20"/>
                <w:szCs w:val="20"/>
                <w:color w:val="auto"/>
              </w:rPr>
            </w:pPr>
            <w:r>
              <w:rPr>
                <w:rFonts w:ascii="Arial" w:cs="Arial" w:eastAsia="Arial" w:hAnsi="Arial"/>
                <w:sz w:val="18"/>
                <w:szCs w:val="18"/>
                <w:color w:val="auto"/>
              </w:rPr>
              <w:t>21,665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($21,665 par, due 9/2019)</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9"/>
              </w:rPr>
              <w:t>(incl. 5.00%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44,079</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34,603</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($63,321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10/31/2014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62,899</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64,904</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10/2020)</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Internet services</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($50,000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48,840</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48,927</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Industrial Physics, LLC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($9,975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10/23/2017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w w:val="95"/>
              </w:rPr>
              <w:t>First-lien loan (EUR 21,065 par,</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10/23/2017</w:t>
            </w:r>
          </w:p>
        </w:tc>
        <w:tc>
          <w:tcPr>
            <w:tcW w:w="1080" w:type="dxa"/>
            <w:vAlign w:val="bottom"/>
          </w:tcPr>
          <w:p>
            <w:pPr>
              <w:jc w:val="right"/>
              <w:spacing w:after="0"/>
              <w:rPr>
                <w:sz w:val="20"/>
                <w:szCs w:val="20"/>
                <w:color w:val="auto"/>
              </w:rPr>
            </w:pPr>
            <w:r>
              <w:rPr>
                <w:rFonts w:ascii="Arial" w:cs="Arial" w:eastAsia="Arial" w:hAnsi="Arial"/>
                <w:sz w:val="18"/>
                <w:szCs w:val="18"/>
                <w:color w:val="auto"/>
              </w:rPr>
              <w:t>E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780" w:type="dxa"/>
            <w:vAlign w:val="bottom"/>
          </w:tcPr>
          <w:p>
            <w:pPr>
              <w:jc w:val="right"/>
              <w:spacing w:after="0"/>
              <w:rPr>
                <w:sz w:val="20"/>
                <w:szCs w:val="20"/>
                <w:color w:val="auto"/>
              </w:rPr>
            </w:pPr>
            <w:r>
              <w:rPr>
                <w:rFonts w:ascii="Arial" w:cs="Arial" w:eastAsia="Arial" w:hAnsi="Arial"/>
                <w:sz w:val="18"/>
                <w:szCs w:val="18"/>
                <w:color w:val="auto"/>
              </w:rPr>
              <w:t>24,260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due 10/2022)</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(EUR</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20,749)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($19,986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12/30/2014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12/2019)</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w w:val="96"/>
              </w:rPr>
              <w:t>First-lien revolving loan ($1,393</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12/30/2014</w:t>
            </w:r>
          </w:p>
        </w:tc>
        <w:tc>
          <w:tcPr>
            <w:tcW w:w="108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par, due 12/2019)</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56,155</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($28,125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8/2021)</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Vivial Inc.</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($32,463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9/29/2017</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L + 8.00%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780" w:type="dxa"/>
            <w:vAlign w:val="bottom"/>
          </w:tcPr>
          <w:p>
            <w:pPr>
              <w:jc w:val="right"/>
              <w:spacing w:after="0"/>
              <w:rPr>
                <w:sz w:val="20"/>
                <w:szCs w:val="20"/>
                <w:color w:val="auto"/>
              </w:rPr>
            </w:pPr>
            <w:r>
              <w:rPr>
                <w:rFonts w:ascii="Arial" w:cs="Arial" w:eastAsia="Arial" w:hAnsi="Arial"/>
                <w:sz w:val="18"/>
                <w:szCs w:val="18"/>
                <w:color w:val="auto"/>
              </w:rPr>
              <w:t>31,918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31,976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9/2022)</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59,346</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61,001</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426"/>
        </w:trPr>
        <w:tc>
          <w:tcPr>
            <w:tcW w:w="2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3"/>
        </w:trPr>
        <w:tc>
          <w:tcPr>
            <w:tcW w:w="252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($20,000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19,553</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9/2022)</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520" w:type="dxa"/>
            <w:vAlign w:val="bottom"/>
          </w:tcPr>
          <w:p>
            <w:pPr>
              <w:spacing w:after="0"/>
              <w:rPr>
                <w:sz w:val="20"/>
                <w:szCs w:val="20"/>
                <w:color w:val="auto"/>
              </w:rPr>
            </w:pPr>
            <w:r>
              <w:rPr>
                <w:rFonts w:ascii="Arial" w:cs="Arial" w:eastAsia="Arial" w:hAnsi="Arial"/>
                <w:sz w:val="18"/>
                <w:szCs w:val="18"/>
                <w:b w:val="1"/>
                <w:bCs w:val="1"/>
                <w:color w:val="auto"/>
              </w:rPr>
              <w:t>Oil, gas and consumable</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20" w:type="dxa"/>
            <w:vAlign w:val="bottom"/>
          </w:tcPr>
          <w:p>
            <w:pPr>
              <w:ind w:left="140"/>
              <w:spacing w:after="0"/>
              <w:rPr>
                <w:sz w:val="20"/>
                <w:szCs w:val="20"/>
                <w:color w:val="auto"/>
              </w:rPr>
            </w:pPr>
            <w:r>
              <w:rPr>
                <w:rFonts w:ascii="Arial" w:cs="Arial" w:eastAsia="Arial" w:hAnsi="Arial"/>
                <w:sz w:val="18"/>
                <w:szCs w:val="18"/>
                <w:b w:val="1"/>
                <w:bCs w:val="1"/>
                <w:color w:val="auto"/>
              </w:rPr>
              <w:t>fuels</w:t>
            </w:r>
          </w:p>
        </w:tc>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(3)(6)</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($25,229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+ 10.50%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25,229</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6/2018)</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Northern Oil and Gas, Inc. </w:t>
            </w:r>
            <w:r>
              <w:rPr>
                <w:rFonts w:ascii="Arial" w:cs="Arial" w:eastAsia="Arial" w:hAnsi="Arial"/>
                <w:sz w:val="15"/>
                <w:szCs w:val="15"/>
                <w:color w:val="auto"/>
              </w:rPr>
              <w:t>(3)</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First-lien loan ($48,750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11/1/2017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840" w:type="dxa"/>
            <w:vAlign w:val="bottom"/>
          </w:tcPr>
          <w:p>
            <w:pPr>
              <w:jc w:val="right"/>
              <w:spacing w:after="0"/>
              <w:rPr>
                <w:sz w:val="20"/>
                <w:szCs w:val="20"/>
                <w:color w:val="auto"/>
              </w:rPr>
            </w:pPr>
            <w:r>
              <w:rPr>
                <w:rFonts w:ascii="Arial" w:cs="Arial" w:eastAsia="Arial" w:hAnsi="Arial"/>
                <w:sz w:val="18"/>
                <w:szCs w:val="18"/>
                <w:color w:val="auto"/>
              </w:rPr>
              <w:t>47,563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47,450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11/2022)</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Rex Energy Corporation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($18,950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4/2021)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91,210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93,204</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Pharmaceuticals</w:t>
            </w: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9"/>
              </w:rPr>
              <w:t>Ironwood Pharmaceuticals, Inc.</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Secured note ($33,333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1/5/2017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8.38%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840" w:type="dxa"/>
            <w:vAlign w:val="bottom"/>
          </w:tcPr>
          <w:p>
            <w:pPr>
              <w:jc w:val="right"/>
              <w:spacing w:after="0"/>
              <w:rPr>
                <w:sz w:val="20"/>
                <w:szCs w:val="20"/>
                <w:color w:val="auto"/>
              </w:rPr>
            </w:pPr>
            <w:r>
              <w:rPr>
                <w:rFonts w:ascii="Arial" w:cs="Arial" w:eastAsia="Arial" w:hAnsi="Arial"/>
                <w:sz w:val="18"/>
                <w:szCs w:val="18"/>
                <w:color w:val="auto"/>
              </w:rPr>
              <w:t>33,191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33,250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(4)(5)(8)</w:t>
            </w:r>
          </w:p>
        </w:tc>
        <w:tc>
          <w:tcPr>
            <w:tcW w:w="2600" w:type="dxa"/>
            <w:vAlign w:val="bottom"/>
          </w:tcPr>
          <w:p>
            <w:pPr>
              <w:ind w:left="100"/>
              <w:spacing w:after="0"/>
              <w:rPr>
                <w:sz w:val="20"/>
                <w:szCs w:val="20"/>
                <w:color w:val="auto"/>
              </w:rPr>
            </w:pPr>
            <w:r>
              <w:rPr>
                <w:rFonts w:ascii="Arial" w:cs="Arial" w:eastAsia="Arial" w:hAnsi="Arial"/>
                <w:sz w:val="18"/>
                <w:szCs w:val="18"/>
                <w:color w:val="auto"/>
              </w:rPr>
              <w:t>9/2026)</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Model N, Inc. </w:t>
            </w:r>
            <w:r>
              <w:rPr>
                <w:rFonts w:ascii="Arial" w:cs="Arial" w:eastAsia="Arial" w:hAnsi="Arial"/>
                <w:sz w:val="15"/>
                <w:szCs w:val="15"/>
                <w:color w:val="auto"/>
              </w:rPr>
              <w:t>(3)(4)</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($30,000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1/2022)</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(4)(5)(8)</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Secured note ($74,950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10/5/2015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840" w:type="dxa"/>
            <w:vAlign w:val="bottom"/>
          </w:tcPr>
          <w:p>
            <w:pPr>
              <w:jc w:val="right"/>
              <w:spacing w:after="0"/>
              <w:rPr>
                <w:sz w:val="20"/>
                <w:szCs w:val="20"/>
                <w:color w:val="auto"/>
              </w:rPr>
            </w:pPr>
            <w:r>
              <w:rPr>
                <w:rFonts w:ascii="Arial" w:cs="Arial" w:eastAsia="Arial" w:hAnsi="Arial"/>
                <w:sz w:val="18"/>
                <w:szCs w:val="18"/>
                <w:color w:val="auto"/>
              </w:rPr>
              <w:t>74,363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76,449</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10/2020)</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137,051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139,624</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r>
      <w:tr>
        <w:trPr>
          <w:trHeight w:val="205"/>
        </w:trPr>
        <w:tc>
          <w:tcPr>
            <w:tcW w:w="2520" w:type="dxa"/>
            <w:vAlign w:val="bottom"/>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tcPr>
          <w:p>
            <w:pPr>
              <w:ind w:left="140"/>
              <w:spacing w:after="0"/>
              <w:rPr>
                <w:sz w:val="20"/>
                <w:szCs w:val="20"/>
                <w:color w:val="auto"/>
              </w:rPr>
            </w:pPr>
            <w:r>
              <w:rPr>
                <w:rFonts w:ascii="Arial" w:cs="Arial" w:eastAsia="Arial" w:hAnsi="Arial"/>
                <w:sz w:val="18"/>
                <w:szCs w:val="18"/>
                <w:b w:val="1"/>
                <w:bCs w:val="1"/>
                <w:color w:val="auto"/>
              </w:rPr>
              <w:t>products</w:t>
            </w:r>
          </w:p>
        </w:tc>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($25,000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9/6/2017</w:t>
            </w:r>
          </w:p>
        </w:tc>
        <w:tc>
          <w:tcPr>
            <w:tcW w:w="13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24,654</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4/2021)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American Achievement</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First-lien loan ($23,161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9/30/2015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840" w:type="dxa"/>
            <w:vAlign w:val="bottom"/>
          </w:tcPr>
          <w:p>
            <w:pPr>
              <w:jc w:val="right"/>
              <w:spacing w:after="0"/>
              <w:rPr>
                <w:sz w:val="20"/>
                <w:szCs w:val="20"/>
                <w:color w:val="auto"/>
              </w:rPr>
            </w:pPr>
            <w:r>
              <w:rPr>
                <w:rFonts w:ascii="Arial" w:cs="Arial" w:eastAsia="Arial" w:hAnsi="Arial"/>
                <w:sz w:val="18"/>
                <w:szCs w:val="18"/>
                <w:color w:val="auto"/>
              </w:rPr>
              <w:t>22,964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23,219</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00" w:type="dxa"/>
            <w:vAlign w:val="bottom"/>
          </w:tcPr>
          <w:p>
            <w:pPr>
              <w:ind w:left="100"/>
              <w:spacing w:after="0"/>
              <w:rPr>
                <w:sz w:val="20"/>
                <w:szCs w:val="20"/>
                <w:color w:val="auto"/>
              </w:rPr>
            </w:pPr>
            <w:r>
              <w:rPr>
                <w:rFonts w:ascii="Arial" w:cs="Arial" w:eastAsia="Arial" w:hAnsi="Arial"/>
                <w:sz w:val="18"/>
                <w:szCs w:val="18"/>
                <w:color w:val="auto"/>
              </w:rPr>
              <w:t>9/2020)</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Destination Maternity</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($15,420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3/25/2016</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15,165</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3/2021)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600" w:type="dxa"/>
            <w:vAlign w:val="bottom"/>
          </w:tcPr>
          <w:p>
            <w:pPr>
              <w:ind w:left="100"/>
              <w:spacing w:after="0"/>
              <w:rPr>
                <w:sz w:val="20"/>
                <w:szCs w:val="20"/>
                <w:color w:val="auto"/>
              </w:rPr>
            </w:pPr>
            <w:r>
              <w:rPr>
                <w:rFonts w:ascii="Arial" w:cs="Arial" w:eastAsia="Arial" w:hAnsi="Arial"/>
                <w:sz w:val="18"/>
                <w:szCs w:val="18"/>
                <w:color w:val="auto"/>
              </w:rPr>
              <w:t>ABL FILO term loan ($29,250</w:t>
            </w:r>
          </w:p>
        </w:tc>
        <w:tc>
          <w:tcPr>
            <w:tcW w:w="1000" w:type="dxa"/>
            <w:vAlign w:val="bottom"/>
          </w:tcPr>
          <w:p>
            <w:pPr>
              <w:jc w:val="right"/>
              <w:spacing w:after="0"/>
              <w:rPr>
                <w:sz w:val="20"/>
                <w:szCs w:val="20"/>
                <w:color w:val="auto"/>
              </w:rPr>
            </w:pPr>
            <w:r>
              <w:rPr>
                <w:rFonts w:ascii="Arial" w:cs="Arial" w:eastAsia="Arial" w:hAnsi="Arial"/>
                <w:sz w:val="18"/>
                <w:szCs w:val="18"/>
                <w:color w:val="auto"/>
              </w:rPr>
              <w:t>3/31/2017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+ 9.25%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840" w:type="dxa"/>
            <w:vAlign w:val="bottom"/>
          </w:tcPr>
          <w:p>
            <w:pPr>
              <w:jc w:val="right"/>
              <w:spacing w:after="0"/>
              <w:rPr>
                <w:sz w:val="20"/>
                <w:szCs w:val="20"/>
                <w:color w:val="auto"/>
              </w:rPr>
            </w:pPr>
            <w:r>
              <w:rPr>
                <w:rFonts w:ascii="Arial" w:cs="Arial" w:eastAsia="Arial" w:hAnsi="Arial"/>
                <w:sz w:val="18"/>
                <w:szCs w:val="18"/>
                <w:color w:val="auto"/>
              </w:rPr>
              <w:t>28,847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29,396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par, due 6/2019)</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(3)(4)(10)</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First-lien ABL loan ($17,296 par,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3/18/2016</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16,962</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7/2020)</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108,592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110,640</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Debt Investments</w:t>
            </w:r>
          </w:p>
        </w:tc>
        <w:tc>
          <w:tcPr>
            <w:tcW w:w="26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1,624,237</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1,642,255</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Equity and Other Investments</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Beverage, food and tobacco</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AFS Technologies, Inc. </w:t>
            </w:r>
            <w:r>
              <w:rPr>
                <w:rFonts w:ascii="Arial" w:cs="Arial" w:eastAsia="Arial" w:hAnsi="Arial"/>
                <w:sz w:val="15"/>
                <w:szCs w:val="15"/>
                <w:color w:val="auto"/>
                <w:w w:val="95"/>
              </w:rPr>
              <w:t>(6)(12)(13)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3"/>
              </w:rPr>
              <w:t>Class A Preferred Units (125,000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14,031</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w w:val="98"/>
              </w:rPr>
              <w:t>Class B Common Units (90,000</w:t>
            </w:r>
          </w:p>
        </w:tc>
        <w:tc>
          <w:tcPr>
            <w:tcW w:w="1000" w:type="dxa"/>
            <w:vAlign w:val="bottom"/>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18,246</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(12)(13)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Preferred Class A Units (990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w w:val="94"/>
              </w:rPr>
              <w:t>Common Class B Units (959,018</w:t>
            </w:r>
          </w:p>
        </w:tc>
        <w:tc>
          <w:tcPr>
            <w:tcW w:w="1000" w:type="dxa"/>
            <w:vAlign w:val="bottom"/>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(12)</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Common Units (2,672,990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10/31/2016</w:t>
            </w: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(12)</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Series E Preferred Equity</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(214,132 shares)</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(12)(13)</w:t>
            </w:r>
          </w:p>
        </w:tc>
        <w:tc>
          <w:tcPr>
            <w:tcW w:w="2600" w:type="dxa"/>
            <w:vAlign w:val="bottom"/>
          </w:tcPr>
          <w:p>
            <w:pPr>
              <w:ind w:left="100"/>
              <w:spacing w:after="0"/>
              <w:rPr>
                <w:sz w:val="20"/>
                <w:szCs w:val="20"/>
                <w:color w:val="auto"/>
              </w:rPr>
            </w:pPr>
            <w:r>
              <w:rPr>
                <w:rFonts w:ascii="Arial" w:cs="Arial" w:eastAsia="Arial" w:hAnsi="Arial"/>
                <w:sz w:val="18"/>
                <w:szCs w:val="18"/>
                <w:color w:val="auto"/>
                <w:w w:val="93"/>
              </w:rPr>
              <w:t>Common Shares (35,000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7/31/2017</w:t>
            </w: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5,066</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431"/>
        </w:trPr>
        <w:tc>
          <w:tcPr>
            <w:tcW w:w="2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(4)(11)</w:t>
            </w:r>
          </w:p>
        </w:tc>
        <w:tc>
          <w:tcPr>
            <w:tcW w:w="2720" w:type="dxa"/>
            <w:vAlign w:val="bottom"/>
            <w:gridSpan w:val="5"/>
            <w:shd w:val="clear" w:color="auto" w:fill="CFF0FC"/>
          </w:tcPr>
          <w:p>
            <w:pPr>
              <w:ind w:left="400"/>
              <w:spacing w:after="0"/>
              <w:rPr>
                <w:sz w:val="20"/>
                <w:szCs w:val="20"/>
                <w:color w:val="auto"/>
              </w:rPr>
            </w:pPr>
            <w:r>
              <w:rPr>
                <w:rFonts w:ascii="Arial" w:cs="Arial" w:eastAsia="Arial" w:hAnsi="Arial"/>
                <w:sz w:val="18"/>
                <w:szCs w:val="18"/>
                <w:color w:val="auto"/>
                <w:w w:val="89"/>
              </w:rPr>
              <w:t>Common Shares (1,059 shares)</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260" w:type="dxa"/>
            <w:vAlign w:val="bottom"/>
            <w:gridSpan w:val="3"/>
          </w:tcPr>
          <w:p>
            <w:pPr>
              <w:spacing w:after="0"/>
              <w:rPr>
                <w:sz w:val="20"/>
                <w:szCs w:val="20"/>
                <w:color w:val="auto"/>
              </w:rPr>
            </w:pPr>
            <w:r>
              <w:rPr>
                <w:rFonts w:ascii="Arial" w:cs="Arial" w:eastAsia="Arial" w:hAnsi="Arial"/>
                <w:sz w:val="18"/>
                <w:szCs w:val="18"/>
                <w:color w:val="auto"/>
                <w:w w:val="99"/>
              </w:rPr>
              <w:t xml:space="preserve">Triangle Capital Corp. </w:t>
            </w:r>
            <w:r>
              <w:rPr>
                <w:rFonts w:ascii="Arial" w:cs="Arial" w:eastAsia="Arial" w:hAnsi="Arial"/>
                <w:sz w:val="15"/>
                <w:szCs w:val="15"/>
                <w:color w:val="auto"/>
                <w:w w:val="99"/>
              </w:rPr>
              <w:t>(4)(11)</w:t>
            </w:r>
          </w:p>
        </w:tc>
        <w:tc>
          <w:tcPr>
            <w:tcW w:w="2720" w:type="dxa"/>
            <w:vAlign w:val="bottom"/>
            <w:gridSpan w:val="5"/>
          </w:tcPr>
          <w:p>
            <w:pPr>
              <w:ind w:left="400"/>
              <w:spacing w:after="0"/>
              <w:rPr>
                <w:sz w:val="20"/>
                <w:szCs w:val="20"/>
                <w:color w:val="auto"/>
              </w:rPr>
            </w:pPr>
            <w:r>
              <w:rPr>
                <w:rFonts w:ascii="Arial" w:cs="Arial" w:eastAsia="Arial" w:hAnsi="Arial"/>
                <w:sz w:val="18"/>
                <w:szCs w:val="18"/>
                <w:color w:val="auto"/>
              </w:rPr>
              <w:t>Common Shares (1,384,570</w:t>
            </w: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11/3/2017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13,428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13,140</w:t>
            </w:r>
          </w:p>
        </w:tc>
        <w:tc>
          <w:tcPr>
            <w:tcW w:w="20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gridSpan w:val="2"/>
          </w:tcPr>
          <w:p>
            <w:pPr>
              <w:ind w:left="400"/>
              <w:spacing w:after="0"/>
              <w:rPr>
                <w:sz w:val="20"/>
                <w:szCs w:val="20"/>
                <w:color w:val="auto"/>
              </w:rPr>
            </w:pPr>
            <w:r>
              <w:rPr>
                <w:rFonts w:ascii="Arial" w:cs="Arial" w:eastAsia="Arial" w:hAnsi="Arial"/>
                <w:sz w:val="18"/>
                <w:szCs w:val="18"/>
                <w:color w:val="auto"/>
              </w:rPr>
              <w:t>shares)</w:t>
            </w:r>
          </w:p>
        </w:tc>
        <w:tc>
          <w:tcPr>
            <w:tcW w:w="12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20,781</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25,693</w:t>
            </w:r>
          </w:p>
        </w:tc>
        <w:tc>
          <w:tcPr>
            <w:tcW w:w="2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Healthcare</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(4)(12)</w:t>
            </w:r>
          </w:p>
        </w:tc>
        <w:tc>
          <w:tcPr>
            <w:tcW w:w="116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Warrants</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1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(EUR 1,112)</w:t>
            </w: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60" w:type="dxa"/>
            <w:vAlign w:val="bottom"/>
            <w:gridSpan w:val="3"/>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(12)</w:t>
            </w:r>
          </w:p>
        </w:tc>
        <w:tc>
          <w:tcPr>
            <w:tcW w:w="2720" w:type="dxa"/>
            <w:vAlign w:val="bottom"/>
            <w:gridSpan w:val="5"/>
          </w:tcPr>
          <w:p>
            <w:pPr>
              <w:ind w:left="400"/>
              <w:spacing w:after="0"/>
              <w:rPr>
                <w:sz w:val="20"/>
                <w:szCs w:val="20"/>
                <w:color w:val="auto"/>
              </w:rPr>
            </w:pPr>
            <w:r>
              <w:rPr>
                <w:rFonts w:ascii="Arial" w:cs="Arial" w:eastAsia="Arial" w:hAnsi="Arial"/>
                <w:sz w:val="18"/>
                <w:szCs w:val="18"/>
                <w:color w:val="auto"/>
              </w:rPr>
              <w:t>Common Shares Class A</w:t>
            </w: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400"/>
              <w:spacing w:after="0"/>
              <w:rPr>
                <w:sz w:val="20"/>
                <w:szCs w:val="20"/>
                <w:color w:val="auto"/>
              </w:rPr>
            </w:pPr>
            <w:r>
              <w:rPr>
                <w:rFonts w:ascii="Arial" w:cs="Arial" w:eastAsia="Arial" w:hAnsi="Arial"/>
                <w:sz w:val="18"/>
                <w:szCs w:val="18"/>
                <w:color w:val="auto"/>
              </w:rPr>
              <w:t>(1,980 shares)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720" w:type="dxa"/>
            <w:vAlign w:val="bottom"/>
            <w:gridSpan w:val="5"/>
            <w:shd w:val="clear" w:color="auto" w:fill="CFF0FC"/>
          </w:tcPr>
          <w:p>
            <w:pPr>
              <w:ind w:left="400"/>
              <w:spacing w:after="0"/>
              <w:rPr>
                <w:sz w:val="20"/>
                <w:szCs w:val="20"/>
                <w:color w:val="auto"/>
              </w:rPr>
            </w:pPr>
            <w:r>
              <w:rPr>
                <w:rFonts w:ascii="Arial" w:cs="Arial" w:eastAsia="Arial" w:hAnsi="Arial"/>
                <w:sz w:val="18"/>
                <w:szCs w:val="18"/>
                <w:color w:val="auto"/>
              </w:rPr>
              <w:t>Common Shares Class B</w:t>
            </w: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720" w:type="dxa"/>
            <w:vAlign w:val="bottom"/>
            <w:gridSpan w:val="5"/>
            <w:shd w:val="clear" w:color="auto" w:fill="CFF0FC"/>
          </w:tcPr>
          <w:p>
            <w:pPr>
              <w:ind w:left="400"/>
              <w:spacing w:after="0"/>
              <w:rPr>
                <w:sz w:val="20"/>
                <w:szCs w:val="20"/>
                <w:color w:val="auto"/>
              </w:rPr>
            </w:pPr>
            <w:r>
              <w:rPr>
                <w:rFonts w:ascii="Arial" w:cs="Arial" w:eastAsia="Arial" w:hAnsi="Arial"/>
                <w:sz w:val="18"/>
                <w:szCs w:val="18"/>
                <w:color w:val="auto"/>
              </w:rPr>
              <w:t>(2,953,020 shares)</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2,877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2,441</w:t>
            </w:r>
          </w:p>
        </w:tc>
        <w:tc>
          <w:tcPr>
            <w:tcW w:w="20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w w:val="99"/>
              </w:rPr>
              <w:t>Hotel, gaming, and leisure</w:t>
            </w:r>
          </w:p>
        </w:tc>
        <w:tc>
          <w:tcPr>
            <w:tcW w:w="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3"/>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(6)(12)</w:t>
            </w:r>
          </w:p>
        </w:tc>
        <w:tc>
          <w:tcPr>
            <w:tcW w:w="2720" w:type="dxa"/>
            <w:vAlign w:val="bottom"/>
            <w:gridSpan w:val="5"/>
          </w:tcPr>
          <w:p>
            <w:pPr>
              <w:ind w:left="400"/>
              <w:spacing w:after="0"/>
              <w:rPr>
                <w:sz w:val="20"/>
                <w:szCs w:val="20"/>
                <w:color w:val="auto"/>
              </w:rPr>
            </w:pPr>
            <w:r>
              <w:rPr>
                <w:rFonts w:ascii="Arial" w:cs="Arial" w:eastAsia="Arial" w:hAnsi="Arial"/>
                <w:sz w:val="18"/>
                <w:szCs w:val="18"/>
                <w:color w:val="auto"/>
                <w:w w:val="92"/>
              </w:rPr>
              <w:t>Class A Units (5,000,000 units)</w:t>
            </w: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20" w:type="dxa"/>
            <w:vAlign w:val="bottom"/>
            <w:gridSpan w:val="6"/>
            <w:shd w:val="clear" w:color="auto" w:fill="CFF0FC"/>
          </w:tcPr>
          <w:p>
            <w:pPr>
              <w:ind w:left="400"/>
              <w:spacing w:after="0"/>
              <w:rPr>
                <w:sz w:val="20"/>
                <w:szCs w:val="20"/>
                <w:color w:val="auto"/>
              </w:rPr>
            </w:pPr>
            <w:r>
              <w:rPr>
                <w:rFonts w:ascii="Arial" w:cs="Arial" w:eastAsia="Arial" w:hAnsi="Arial"/>
                <w:sz w:val="18"/>
                <w:szCs w:val="18"/>
                <w:color w:val="auto"/>
                <w:w w:val="90"/>
              </w:rPr>
              <w:t>Class C-1 Units (8,800,000 units)</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3,996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26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9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fuels</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gridSpan w:val="8"/>
          </w:tcPr>
          <w:p>
            <w:pPr>
              <w:spacing w:after="0"/>
              <w:rPr>
                <w:sz w:val="20"/>
                <w:szCs w:val="20"/>
                <w:color w:val="auto"/>
              </w:rPr>
            </w:pPr>
            <w:r>
              <w:rPr>
                <w:rFonts w:ascii="Arial" w:cs="Arial" w:eastAsia="Arial" w:hAnsi="Arial"/>
                <w:sz w:val="18"/>
                <w:szCs w:val="18"/>
                <w:color w:val="auto"/>
                <w:w w:val="93"/>
              </w:rPr>
              <w:t xml:space="preserve">Mississippi Resources, LLC </w:t>
            </w:r>
            <w:r>
              <w:rPr>
                <w:rFonts w:ascii="Arial" w:cs="Arial" w:eastAsia="Arial" w:hAnsi="Arial"/>
                <w:sz w:val="15"/>
                <w:szCs w:val="15"/>
                <w:color w:val="auto"/>
                <w:w w:val="93"/>
              </w:rPr>
              <w:t>(6)(12)</w:t>
            </w:r>
            <w:r>
              <w:rPr>
                <w:rFonts w:ascii="Arial" w:cs="Arial" w:eastAsia="Arial" w:hAnsi="Arial"/>
                <w:sz w:val="18"/>
                <w:szCs w:val="18"/>
                <w:color w:val="auto"/>
                <w:w w:val="93"/>
              </w:rPr>
              <w:t xml:space="preserve">  Class A-1 Member Units (1,000</w:t>
            </w: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5/3/2017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units)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720" w:type="dxa"/>
            <w:vAlign w:val="bottom"/>
            <w:gridSpan w:val="5"/>
            <w:shd w:val="clear" w:color="auto" w:fill="CFF0FC"/>
          </w:tcPr>
          <w:p>
            <w:pPr>
              <w:ind w:left="400"/>
              <w:spacing w:after="0"/>
              <w:rPr>
                <w:sz w:val="20"/>
                <w:szCs w:val="20"/>
                <w:color w:val="auto"/>
              </w:rPr>
            </w:pPr>
            <w:r>
              <w:rPr>
                <w:rFonts w:ascii="Arial" w:cs="Arial" w:eastAsia="Arial" w:hAnsi="Arial"/>
                <w:sz w:val="18"/>
                <w:szCs w:val="18"/>
                <w:color w:val="auto"/>
                <w:w w:val="97"/>
              </w:rPr>
              <w:t>Class A-2 Member Units (933</w:t>
            </w:r>
          </w:p>
        </w:tc>
        <w:tc>
          <w:tcPr>
            <w:tcW w:w="1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units)</w:t>
            </w: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17,029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260" w:type="dxa"/>
            <w:vAlign w:val="bottom"/>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5" w:lineRule="exact"/>
              <w:rPr>
                <w:sz w:val="20"/>
                <w:szCs w:val="20"/>
                <w:color w:val="auto"/>
              </w:rPr>
            </w:pPr>
            <w:r>
              <w:rPr>
                <w:rFonts w:ascii="Arial" w:cs="Arial" w:eastAsia="Arial" w:hAnsi="Arial"/>
                <w:sz w:val="18"/>
                <w:szCs w:val="18"/>
                <w:color w:val="auto"/>
              </w:rPr>
              <w:t>62,013</w:t>
            </w:r>
          </w:p>
        </w:tc>
        <w:tc>
          <w:tcPr>
            <w:tcW w:w="2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line="205" w:lineRule="exact"/>
              <w:rPr>
                <w:sz w:val="20"/>
                <w:szCs w:val="20"/>
                <w:color w:val="auto"/>
              </w:rPr>
            </w:pPr>
            <w:r>
              <w:rPr>
                <w:rFonts w:ascii="Arial" w:cs="Arial" w:eastAsia="Arial" w:hAnsi="Arial"/>
                <w:sz w:val="18"/>
                <w:szCs w:val="18"/>
                <w:color w:val="auto"/>
              </w:rPr>
              <w:t>51,468</w:t>
            </w:r>
          </w:p>
        </w:tc>
        <w:tc>
          <w:tcPr>
            <w:tcW w:w="200" w:type="dxa"/>
            <w:vAlign w:val="bottom"/>
            <w:shd w:val="clear" w:color="auto" w:fill="CFF0FC"/>
          </w:tcPr>
          <w:p>
            <w:pPr>
              <w:spacing w:after="0"/>
              <w:rPr>
                <w:sz w:val="17"/>
                <w:szCs w:val="17"/>
                <w:color w:val="auto"/>
              </w:rPr>
            </w:pPr>
          </w:p>
        </w:tc>
        <w:tc>
          <w:tcPr>
            <w:tcW w:w="920" w:type="dxa"/>
            <w:vAlign w:val="bottom"/>
            <w:gridSpan w:val="4"/>
            <w:shd w:val="clear" w:color="auto" w:fill="CFF0FC"/>
          </w:tcPr>
          <w:p>
            <w:pPr>
              <w:jc w:val="right"/>
              <w:ind w:right="60"/>
              <w:spacing w:after="0" w:line="205"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Investments</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$ 1,686,250</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1,693,723</w:t>
            </w:r>
          </w:p>
        </w:tc>
        <w:tc>
          <w:tcPr>
            <w:tcW w:w="200" w:type="dxa"/>
            <w:vAlign w:val="bottom"/>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174.6</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12"/>
          </w:tcPr>
          <w:p>
            <w:pPr>
              <w:jc w:val="right"/>
              <w:ind w:right="610"/>
              <w:spacing w:after="0"/>
              <w:rPr>
                <w:sz w:val="20"/>
                <w:szCs w:val="20"/>
                <w:color w:val="auto"/>
              </w:rPr>
            </w:pPr>
            <w:r>
              <w:rPr>
                <w:rFonts w:ascii="Arial" w:cs="Arial" w:eastAsia="Arial" w:hAnsi="Arial"/>
                <w:sz w:val="14"/>
                <w:szCs w:val="14"/>
                <w:b w:val="1"/>
                <w:bCs w:val="1"/>
                <w:color w:val="auto"/>
                <w:w w:val="92"/>
              </w:rPr>
              <w:t>Interest Rate Swaps as of December 31, 2017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45"/>
              <w:spacing w:after="0" w:line="133" w:lineRule="exact"/>
              <w:rPr>
                <w:sz w:val="20"/>
                <w:szCs w:val="20"/>
                <w:color w:val="auto"/>
              </w:rPr>
            </w:pPr>
            <w:r>
              <w:rPr>
                <w:rFonts w:ascii="Arial" w:cs="Arial" w:eastAsia="Arial" w:hAnsi="Arial"/>
                <w:sz w:val="14"/>
                <w:szCs w:val="14"/>
                <w:b w:val="1"/>
                <w:bCs w:val="1"/>
                <w:color w:val="auto"/>
                <w:w w:val="98"/>
              </w:rPr>
              <w:t>Upfront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6"/>
            <w:vMerge w:val="restart"/>
          </w:tcPr>
          <w:p>
            <w:pPr>
              <w:jc w:val="right"/>
              <w:ind w:right="100"/>
              <w:spacing w:after="0"/>
              <w:rPr>
                <w:sz w:val="20"/>
                <w:szCs w:val="20"/>
                <w:color w:val="auto"/>
              </w:rPr>
            </w:pPr>
            <w:r>
              <w:rPr>
                <w:rFonts w:ascii="Arial" w:cs="Arial" w:eastAsia="Arial" w:hAnsi="Arial"/>
                <w:sz w:val="14"/>
                <w:szCs w:val="14"/>
                <w:b w:val="1"/>
                <w:bCs w:val="1"/>
                <w:color w:val="auto"/>
                <w:w w:val="95"/>
              </w:rPr>
              <w:t>Change in 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2"/>
              </w:rPr>
              <w:t>Notional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vMerge w:val="restart"/>
          </w:tcPr>
          <w:p>
            <w:pPr>
              <w:jc w:val="right"/>
              <w:ind w:right="170"/>
              <w:spacing w:after="0"/>
              <w:rPr>
                <w:sz w:val="20"/>
                <w:szCs w:val="20"/>
                <w:color w:val="auto"/>
              </w:rPr>
            </w:pPr>
            <w:r>
              <w:rPr>
                <w:rFonts w:ascii="Arial" w:cs="Arial" w:eastAsia="Arial" w:hAnsi="Arial"/>
                <w:sz w:val="14"/>
                <w:szCs w:val="14"/>
                <w:b w:val="1"/>
                <w:bCs w:val="1"/>
                <w:color w:val="auto"/>
              </w:rPr>
              <w:t>Fair Market</w:t>
            </w:r>
          </w:p>
        </w:tc>
        <w:tc>
          <w:tcPr>
            <w:tcW w:w="700" w:type="dxa"/>
            <w:vAlign w:val="bottom"/>
            <w:gridSpan w:val="2"/>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Company Receives</w:t>
            </w:r>
          </w:p>
        </w:tc>
        <w:tc>
          <w:tcPr>
            <w:tcW w:w="180" w:type="dxa"/>
            <w:vAlign w:val="bottom"/>
            <w:vMerge w:val="restart"/>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Maturity Date</w:t>
            </w:r>
          </w:p>
        </w:tc>
        <w:tc>
          <w:tcPr>
            <w:tcW w:w="140" w:type="dxa"/>
            <w:vAlign w:val="bottom"/>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700" w:type="dxa"/>
            <w:vAlign w:val="bottom"/>
            <w:gridSpan w:val="2"/>
          </w:tcPr>
          <w:p>
            <w:pPr>
              <w:jc w:val="center"/>
              <w:ind w:right="25"/>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tcPr>
          <w:p>
            <w:pPr>
              <w:jc w:val="right"/>
              <w:ind w:right="320"/>
              <w:spacing w:after="0" w:line="149" w:lineRule="exact"/>
              <w:rPr>
                <w:sz w:val="20"/>
                <w:szCs w:val="20"/>
                <w:color w:val="auto"/>
              </w:rPr>
            </w:pPr>
            <w:r>
              <w:rPr>
                <w:rFonts w:ascii="Arial" w:cs="Arial" w:eastAsia="Arial" w:hAnsi="Arial"/>
                <w:sz w:val="14"/>
                <w:szCs w:val="14"/>
                <w:b w:val="1"/>
                <w:bCs w:val="1"/>
                <w:color w:val="auto"/>
              </w:rPr>
              <w:t>Appreciation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gridSpan w:val="2"/>
            <w:vMerge w:val="continue"/>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89"/>
              </w:rPr>
              <w:t>Receipts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9"/>
              </w:rPr>
              <w:t>L</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w w:val="79"/>
              </w:rPr>
              <w:t>$</w:t>
            </w:r>
          </w:p>
        </w:tc>
        <w:tc>
          <w:tcPr>
            <w:tcW w:w="2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77"/>
              </w:rPr>
              <w:t>—</w:t>
            </w:r>
          </w:p>
        </w:tc>
        <w:tc>
          <w:tcPr>
            <w:tcW w:w="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4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0"/>
              </w:rPr>
              <w:t>4.50%</w:t>
            </w:r>
          </w:p>
        </w:tc>
        <w:tc>
          <w:tcPr>
            <w:tcW w:w="180" w:type="dxa"/>
            <w:vAlign w:val="bottom"/>
          </w:tcPr>
          <w:p>
            <w:pPr>
              <w:spacing w:after="0"/>
              <w:rPr>
                <w:sz w:val="19"/>
                <w:szCs w:val="19"/>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L + 2.86%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12/15/2019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16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99"/>
              </w:rPr>
              <w:t>L</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0"/>
              </w:rPr>
              <w:t>4.50%</w:t>
            </w:r>
          </w:p>
        </w:tc>
        <w:tc>
          <w:tcPr>
            <w:tcW w:w="180" w:type="dxa"/>
            <w:vAlign w:val="bottom"/>
          </w:tcPr>
          <w:p>
            <w:pPr>
              <w:spacing w:after="0"/>
              <w:rPr>
                <w:sz w:val="19"/>
                <w:szCs w:val="19"/>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L + 2.37%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40" w:hanging="519"/>
        <w:spacing w:after="0"/>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Contains a variable rate structure. Interest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2017.</w:t>
      </w:r>
    </w:p>
    <w:p>
      <w:pPr>
        <w:spacing w:after="0" w:line="2" w:lineRule="exact"/>
        <w:rPr>
          <w:rFonts w:ascii="Arial" w:cs="Arial" w:eastAsia="Arial" w:hAnsi="Arial"/>
          <w:sz w:val="18"/>
          <w:szCs w:val="18"/>
          <w:color w:val="auto"/>
        </w:rPr>
      </w:pPr>
    </w:p>
    <w:p>
      <w:pPr>
        <w:jc w:val="both"/>
        <w:ind w:left="520" w:right="40" w:hanging="512"/>
        <w:spacing w:after="0" w:line="277"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14.7% of total assets as of December 31,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5" w:name="page16"/>
    <w:bookmarkEnd w:id="15"/>
    <w:p>
      <w:pPr>
        <w:ind w:left="520" w:right="20" w:hanging="512"/>
        <w:spacing w:after="0" w:line="25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2"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2017 in which the issuer was an Affiliated Person of and was deemed to Control a portfolio company are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Realized</w:t>
            </w:r>
          </w:p>
        </w:tc>
        <w:tc>
          <w:tcPr>
            <w:tcW w:w="14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(21,776)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65,859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right="260" w:hanging="519"/>
        <w:spacing w:after="0" w:line="258"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2017,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160" w:hanging="512"/>
        <w:spacing w:after="0" w:line="323"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Security acquired in transaction exempt from registration under the Securities Act of 1933, and may be deemed to be “restricted securities” under the Securities Act. As of December 31, 2017, the aggregate fair value of these securities is $24,475, or 2.5% of the Company’s net assets.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2017</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31,186</w:t>
            </w:r>
          </w:p>
        </w:tc>
        <w:tc>
          <w:tcPr>
            <w:tcW w:w="14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28,519</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losses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(2,149)</w:t>
            </w: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100" w:type="dxa"/>
            <w:vAlign w:val="bottom"/>
            <w:shd w:val="clear" w:color="auto" w:fill="CFF0FC"/>
          </w:tcPr>
          <w:p>
            <w:pPr>
              <w:spacing w:after="0"/>
              <w:rPr>
                <w:sz w:val="19"/>
                <w:szCs w:val="19"/>
                <w:color w:val="auto"/>
              </w:rPr>
            </w:pPr>
          </w:p>
        </w:tc>
      </w:tr>
      <w:tr>
        <w:trPr>
          <w:trHeight w:val="205"/>
        </w:trPr>
        <w:tc>
          <w:tcPr>
            <w:tcW w:w="732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Capital Share Transactions</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Issuance of convertible notes</w:t>
            </w:r>
          </w:p>
        </w:tc>
        <w:tc>
          <w:tcPr>
            <w:tcW w:w="18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Reinvestment of dividends</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180" w:type="dxa"/>
            <w:vAlign w:val="bottom"/>
          </w:tcPr>
          <w:p>
            <w:pPr>
              <w:spacing w:after="0"/>
              <w:rPr>
                <w:sz w:val="19"/>
                <w:szCs w:val="19"/>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(25,368)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(23,337)</w:t>
            </w:r>
          </w:p>
        </w:tc>
      </w:tr>
      <w:tr>
        <w:trPr>
          <w:trHeight w:val="205"/>
        </w:trPr>
        <w:tc>
          <w:tcPr>
            <w:tcW w:w="732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18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Transactions</w:t>
            </w: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40,847</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(20,849)</w:t>
            </w: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assets, beginning of period</w:t>
            </w: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952,212</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1,043,967</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959,641</w:t>
            </w:r>
          </w:p>
        </w:tc>
        <w:tc>
          <w:tcPr>
            <w:tcW w:w="100" w:type="dxa"/>
            <w:vAlign w:val="bottom"/>
            <w:tcBorders>
              <w:bottom w:val="single" w:sz="8" w:color="CFF0FC"/>
            </w:tcBorders>
          </w:tcPr>
          <w:p>
            <w:pPr>
              <w:spacing w:after="0"/>
              <w:rPr>
                <w:sz w:val="22"/>
                <w:szCs w:val="22"/>
                <w:color w:val="auto"/>
              </w:rPr>
            </w:pPr>
          </w:p>
        </w:tc>
      </w:tr>
      <w:tr>
        <w:trPr>
          <w:trHeight w:val="192"/>
        </w:trPr>
        <w:tc>
          <w:tcPr>
            <w:tcW w:w="732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Undistributed Net Investment Income Included in Net</w:t>
            </w: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Assets at the End of the Period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64,965</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48,619</w:t>
            </w:r>
          </w:p>
        </w:tc>
        <w:tc>
          <w:tcPr>
            <w:tcW w:w="10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4"/>
                <w:szCs w:val="14"/>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2017</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33,836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28,278</w:t>
            </w:r>
          </w:p>
        </w:tc>
        <w:tc>
          <w:tcPr>
            <w:tcW w:w="180" w:type="dxa"/>
            <w:vAlign w:val="bottom"/>
          </w:tcPr>
          <w:p>
            <w:pPr>
              <w:spacing w:after="0"/>
              <w:rPr>
                <w:sz w:val="19"/>
                <w:szCs w:val="19"/>
                <w:color w:val="auto"/>
              </w:rPr>
            </w:pP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change in unrealized gains on investments</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(4,968)</w:t>
            </w: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(3,490)</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losses on foreign currency transactions</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5,793</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investments</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(2,645)</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(1,322)</w:t>
            </w: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(3,539)</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(9,425)</w:t>
            </w: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(319,241)</w:t>
            </w: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(163,626)</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73,732</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101,090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178,366</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(994)</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(1,880)</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(9,007)</w:t>
            </w: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(3,392)</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FF0FC"/>
          </w:tcPr>
          <w:p>
            <w:pPr>
              <w:spacing w:after="0"/>
              <w:rPr>
                <w:sz w:val="19"/>
                <w:szCs w:val="19"/>
                <w:color w:val="auto"/>
              </w:rPr>
            </w:pP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(169,195)</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100,153</w:t>
            </w:r>
          </w:p>
        </w:tc>
        <w:tc>
          <w:tcPr>
            <w:tcW w:w="180" w:type="dxa"/>
            <w:vAlign w:val="bottom"/>
            <w:tcBorders>
              <w:bottom w:val="single" w:sz="8" w:color="CFF0FC"/>
            </w:tcBorders>
          </w:tcPr>
          <w:p>
            <w:pPr>
              <w:spacing w:after="0"/>
              <w:rPr>
                <w:sz w:val="19"/>
                <w:szCs w:val="19"/>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Borrowings on debt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538,975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255,500</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(402,879)</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(329,608)</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(5,612)</w:t>
            </w: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(3,812)</w:t>
            </w: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underwriting costs</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(22,099)</w:t>
            </w: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(21,157)</w:t>
            </w:r>
          </w:p>
        </w:tc>
      </w:tr>
      <w:tr>
        <w:trPr>
          <w:trHeight w:val="223"/>
        </w:trPr>
        <w:tc>
          <w:tcPr>
            <w:tcW w:w="7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(99,077)</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740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1,076</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80" w:type="dxa"/>
            <w:vAlign w:val="bottom"/>
            <w:shd w:val="clear" w:color="auto" w:fill="CFF0FC"/>
          </w:tcPr>
          <w:p>
            <w:pPr>
              <w:spacing w:after="0"/>
              <w:rPr>
                <w:sz w:val="19"/>
                <w:szCs w:val="19"/>
                <w:color w:val="auto"/>
              </w:rPr>
            </w:pPr>
          </w:p>
        </w:tc>
      </w:tr>
      <w:tr>
        <w:trPr>
          <w:trHeight w:val="26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180" w:type="dxa"/>
            <w:vAlign w:val="bottom"/>
            <w:tcBorders>
              <w:bottom w:val="single" w:sz="8" w:color="CFF0FC"/>
            </w:tcBorders>
          </w:tcPr>
          <w:p>
            <w:pPr>
              <w:spacing w:after="0"/>
              <w:rPr>
                <w:sz w:val="22"/>
                <w:szCs w:val="22"/>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7,303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25,368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23,337</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2017, which was filed with the Securities and Exchange Commission (“SEC”), on February 21, 2018.</w:t>
      </w:r>
    </w:p>
    <w:p>
      <w:pPr>
        <w:spacing w:after="0" w:line="154"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March 31, 2018,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620" w:right="1040" w:hanging="5355"/>
        <w:spacing w:after="0" w:line="528" w:lineRule="auto"/>
        <w:tabs>
          <w:tab w:leader="none" w:pos="5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ind w:left="520" w:right="74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10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2" w:name="page23"/>
    <w:bookmarkEnd w:id="22"/>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2018</w:t>
      </w:r>
    </w:p>
    <w:p>
      <w:pPr>
        <w:spacing w:after="0" w:line="11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Company’s adoption of this guidance did not have a material impact on the Company’s financial position, results of operations, cash flows or notes to the consolidated financial statements.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On February 22, 2017, the Board of Directors of the Company and the Adviser entered into an amended and restated administration agreement (the “Amended and Restated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On November 7,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ind w:right="180" w:firstLine="259"/>
        <w:spacing w:after="0" w:line="277" w:lineRule="auto"/>
        <w:rPr>
          <w:sz w:val="20"/>
          <w:szCs w:val="20"/>
          <w:color w:val="auto"/>
        </w:rPr>
      </w:pPr>
      <w:r>
        <w:rPr>
          <w:rFonts w:ascii="Arial" w:cs="Arial" w:eastAsia="Arial" w:hAnsi="Arial"/>
          <w:sz w:val="18"/>
          <w:szCs w:val="18"/>
          <w:color w:val="auto"/>
        </w:rPr>
        <w:t>For the three months ended March 31, 2018 and 2017, the Company incurred expenses of $0.9 million and $1.0 million, respectively, for administrative services payable to the Adviser under the terms of the Administration Agreement.</w:t>
      </w:r>
    </w:p>
    <w:p>
      <w:pPr>
        <w:spacing w:after="0" w:line="170"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three months ended March 31, 2018 and 2017 Management Fees (gross of waivers) were $6.7 million and $6.1 million, respectively.</w:t>
      </w:r>
    </w:p>
    <w:p>
      <w:pPr>
        <w:spacing w:after="0" w:line="23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Adviser has voluntarily waived the Management Fee on our ownership of shares of common stock in Triangle Capital Corp. (the “TCAP” Shares”) for any period in which Triangle Capital Corp. remains our portfolio company.</w:t>
      </w:r>
    </w:p>
    <w:p>
      <w:pPr>
        <w:spacing w:after="0" w:line="170" w:lineRule="exact"/>
        <w:rPr>
          <w:sz w:val="20"/>
          <w:szCs w:val="20"/>
          <w:color w:val="auto"/>
        </w:rPr>
      </w:pPr>
    </w:p>
    <w:p>
      <w:pPr>
        <w:ind w:right="140" w:firstLine="259"/>
        <w:spacing w:after="0" w:line="342" w:lineRule="auto"/>
        <w:rPr>
          <w:sz w:val="20"/>
          <w:szCs w:val="20"/>
          <w:color w:val="auto"/>
        </w:rPr>
      </w:pPr>
      <w:r>
        <w:rPr>
          <w:rFonts w:ascii="Arial" w:cs="Arial" w:eastAsia="Arial" w:hAnsi="Arial"/>
          <w:sz w:val="16"/>
          <w:szCs w:val="16"/>
          <w:color w:val="auto"/>
        </w:rPr>
        <w:t>For the three months ended March 31, 2018, Management Fees of less than $0.1 million were waived consisting solely of Management Fees attributable to the Company’s ownership of the TCAP Shares. The Adviser did not waive any Management Fees for the three months ended March 31, 2017.</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60" w:hanging="255"/>
        <w:spacing w:after="0" w:line="286"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right="4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56" w:lineRule="exact"/>
        <w:rPr>
          <w:rFonts w:ascii="Arial" w:cs="Arial" w:eastAsia="Arial" w:hAnsi="Arial"/>
          <w:sz w:val="16"/>
          <w:szCs w:val="16"/>
          <w:color w:val="auto"/>
        </w:rPr>
      </w:pPr>
    </w:p>
    <w:p>
      <w:pPr>
        <w:ind w:left="520" w:right="20" w:hanging="255"/>
        <w:spacing w:after="0" w:line="255"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ind w:left="520" w:right="200"/>
        <w:spacing w:after="0" w:line="279" w:lineRule="auto"/>
        <w:rPr>
          <w:sz w:val="20"/>
          <w:szCs w:val="20"/>
          <w:color w:val="auto"/>
        </w:rPr>
      </w:pPr>
      <w:r>
        <w:rPr>
          <w:rFonts w:ascii="Arial" w:cs="Arial" w:eastAsia="Arial" w:hAnsi="Arial"/>
          <w:sz w:val="17"/>
          <w:szCs w:val="17"/>
          <w:color w:val="auto"/>
        </w:rPr>
        <w:t>capital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71" w:lineRule="exact"/>
        <w:rPr>
          <w:sz w:val="20"/>
          <w:szCs w:val="20"/>
          <w:color w:val="auto"/>
        </w:rPr>
      </w:pPr>
    </w:p>
    <w:p>
      <w:pPr>
        <w:ind w:right="54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For the three months ended March 31, 2018 and 2017, Incentive Fees (gross of waivers) were $6.6 million and $6.0 million, respectively, of which $6.6 million and $6.0 million, respectively, were realized and payable to the Adviser.</w:t>
      </w:r>
    </w:p>
    <w:p>
      <w:pPr>
        <w:spacing w:after="0" w:line="170"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its ownership of the TCAP Shares for any period in which Triangle Capital Corp. remains the Company’s portfolio company. The Adviser has not waived any part of the Capital Gains Fee attributable to the Company’s ownership of the TCAP Shares and, accordingly, any realized capital gains or losses and unrealized capital depreciation with respect to the TCAP Shares will be applied against the Company’s cumulative realized capital gains on which the Capital Gains Fee is calculated.</w:t>
      </w:r>
    </w:p>
    <w:p>
      <w:pPr>
        <w:spacing w:after="0" w:line="188"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months ended March 31, 2018, Incentive Fees of less than $0.1 million were waived, consisting solely of Incentive Fees attributable to the Company’s ownership of the TCAP Shares. The Adviser did not waive any Incentive Fees for the three months ended March 31, 2017. Any waived Incentive Fees are not subject to recoupment by the Adviser.</w:t>
      </w:r>
    </w:p>
    <w:p>
      <w:pPr>
        <w:spacing w:after="0" w:line="18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including the TCAP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120" w:firstLine="259"/>
        <w:spacing w:after="0" w:line="312" w:lineRule="auto"/>
        <w:rPr>
          <w:sz w:val="20"/>
          <w:szCs w:val="20"/>
          <w:color w:val="auto"/>
        </w:rPr>
      </w:pPr>
      <w:r>
        <w:rPr>
          <w:rFonts w:ascii="Arial" w:cs="Arial" w:eastAsia="Arial" w:hAnsi="Arial"/>
          <w:sz w:val="16"/>
          <w:szCs w:val="16"/>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color w:val="auto"/>
        </w:rPr>
        <w:t>Investments at fair value consisted of the following at March 31, 2018 and December 31, 2017:</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1,781,547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1,802,895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1,896,879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1,909,320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1,561,275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1,581,355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1,686,250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1,693,723</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0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March 31, 2018 and December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vMerge w:val="restart"/>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20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18.3%</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Chemicals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Education</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Healthcare</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11.0%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Internet services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Marketing services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20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6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vMerge w:val="continue"/>
            <w:shd w:val="clear" w:color="auto" w:fill="CFF0FC"/>
          </w:tcPr>
          <w:p>
            <w:pPr>
              <w:spacing w:after="0"/>
              <w:rPr>
                <w:sz w:val="19"/>
                <w:szCs w:val="19"/>
                <w:color w:val="auto"/>
              </w:rPr>
            </w:pPr>
          </w:p>
        </w:tc>
        <w:tc>
          <w:tcPr>
            <w:tcW w:w="206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ind w:right="1050"/>
              <w:spacing w:after="0"/>
              <w:rPr>
                <w:sz w:val="20"/>
                <w:szCs w:val="20"/>
                <w:color w:val="auto"/>
              </w:rPr>
            </w:pPr>
            <w:r>
              <w:rPr>
                <w:rFonts w:ascii="Arial" w:cs="Arial" w:eastAsia="Arial" w:hAnsi="Arial"/>
                <w:sz w:val="18"/>
                <w:szCs w:val="18"/>
                <w:color w:val="auto"/>
              </w:rPr>
              <w:t>26</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color w:val="auto"/>
        </w:rPr>
        <w:t>The geographic composition of Investments at fair value at March 31, 2018 and December 31, 2017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March 31, 2018</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South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38.3%</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In January 2015, in connection with its 2019 Convertible Senior Notes, the Company entered into two interest rate swap transactions, each with a $57.5 million notional amount. The Company receives fixed rate interest at 4.50% and pays variable rate interest based on the three-month LIBOR plus 2.86%. The swap transactions mature on December 15, 2019.</w:t>
      </w:r>
    </w:p>
    <w:p>
      <w:pPr>
        <w:spacing w:after="0" w:line="181" w:lineRule="exact"/>
        <w:rPr>
          <w:sz w:val="20"/>
          <w:szCs w:val="20"/>
          <w:color w:val="auto"/>
        </w:rPr>
      </w:pPr>
    </w:p>
    <w:p>
      <w:pPr>
        <w:ind w:right="280" w:firstLine="259"/>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120" w:firstLine="259"/>
        <w:spacing w:after="0" w:line="342" w:lineRule="auto"/>
        <w:rPr>
          <w:sz w:val="20"/>
          <w:szCs w:val="20"/>
          <w:color w:val="auto"/>
        </w:rPr>
      </w:pPr>
      <w:r>
        <w:rPr>
          <w:rFonts w:ascii="Arial" w:cs="Arial" w:eastAsia="Arial" w:hAnsi="Arial"/>
          <w:sz w:val="16"/>
          <w:szCs w:val="16"/>
          <w:color w:val="auto"/>
        </w:rPr>
        <w:t>In January 2017, in connection with a fixed rate investment, the Company entered into an interest rate swap transaction with a $33.3 million notional amount. On a net basis, the Company receives three-month LIBOR and pays fixed rate interest at 1.72%. The swap transaction matures on January 10, 2020.</w:t>
      </w:r>
    </w:p>
    <w:p>
      <w:pPr>
        <w:spacing w:after="0" w:line="124"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February 2017, in connection with the issuance of the 2022 Convertible Senior Notes, the Company entered into an interest rate swap transaction with a $115 million notional amount. The Company receives fixed rate interest at 4.50% and pays variable rate interest based on the three-month LIBOR plus 2.37%. The swap transaction matures on August 1, 2022.</w:t>
      </w:r>
    </w:p>
    <w:p>
      <w:pPr>
        <w:spacing w:after="0" w:line="18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 million notional amount. The Company receives fixed rate interest at 4.50% and pays variable rate interest based on the three-month LIBOR plus 1.99%. The swap transaction matures on January 22, 2023.</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March 31, 2018 and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77"/>
              <w:spacing w:after="0" w:line="133" w:lineRule="exact"/>
              <w:rPr>
                <w:sz w:val="20"/>
                <w:szCs w:val="20"/>
                <w:color w:val="auto"/>
              </w:rPr>
            </w:pPr>
            <w:r>
              <w:rPr>
                <w:rFonts w:ascii="Arial" w:cs="Arial" w:eastAsia="Arial" w:hAnsi="Arial"/>
                <w:sz w:val="14"/>
                <w:szCs w:val="14"/>
                <w:b w:val="1"/>
                <w:bCs w:val="1"/>
                <w:color w:val="auto"/>
                <w:w w:val="95"/>
              </w:rPr>
              <w:t>Net 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6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 Date</w:t>
            </w: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Asset (Liability)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Balance Sheets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505,833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28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78"/>
              <w:spacing w:after="0" w:line="133" w:lineRule="exact"/>
              <w:rPr>
                <w:sz w:val="20"/>
                <w:szCs w:val="20"/>
                <w:color w:val="auto"/>
              </w:rPr>
            </w:pPr>
            <w:r>
              <w:rPr>
                <w:rFonts w:ascii="Arial" w:cs="Arial" w:eastAsia="Arial" w:hAnsi="Arial"/>
                <w:sz w:val="14"/>
                <w:szCs w:val="14"/>
                <w:b w:val="1"/>
                <w:bCs w:val="1"/>
                <w:color w:val="auto"/>
                <w:w w:val="95"/>
              </w:rPr>
              <w:t>Net 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6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 Date</w:t>
            </w: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Balance Sheets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33,333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8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280" w:firstLine="259"/>
        <w:spacing w:after="0" w:line="286" w:lineRule="auto"/>
        <w:rPr>
          <w:sz w:val="20"/>
          <w:szCs w:val="20"/>
          <w:color w:val="auto"/>
        </w:rPr>
      </w:pPr>
      <w:r>
        <w:rPr>
          <w:rFonts w:ascii="Arial" w:cs="Arial" w:eastAsia="Arial" w:hAnsi="Arial"/>
          <w:sz w:val="17"/>
          <w:szCs w:val="17"/>
          <w:color w:val="auto"/>
        </w:rPr>
        <w:t>During the three months ended March 31, 2018 and 2017, the Company received $0.3 million and $0.2 million, respectively, and paid $0.3 million and $0.3 million, respectively, related to the settlements of its $92.5 million notional amount interest rate swaps, which mature on October 5, 2018. These net amounts of these settlements are included in interest income in the Company’s consolidated statements of operations.</w:t>
      </w:r>
    </w:p>
    <w:p>
      <w:pPr>
        <w:spacing w:after="0" w:line="166" w:lineRule="exact"/>
        <w:rPr>
          <w:sz w:val="20"/>
          <w:szCs w:val="20"/>
          <w:color w:val="auto"/>
        </w:rPr>
      </w:pPr>
    </w:p>
    <w:p>
      <w:pPr>
        <w:jc w:val="both"/>
        <w:ind w:right="280" w:firstLine="259"/>
        <w:spacing w:after="0" w:line="286" w:lineRule="auto"/>
        <w:rPr>
          <w:sz w:val="20"/>
          <w:szCs w:val="20"/>
          <w:color w:val="auto"/>
        </w:rPr>
      </w:pPr>
      <w:r>
        <w:rPr>
          <w:rFonts w:ascii="Arial" w:cs="Arial" w:eastAsia="Arial" w:hAnsi="Arial"/>
          <w:sz w:val="17"/>
          <w:szCs w:val="17"/>
          <w:color w:val="auto"/>
        </w:rPr>
        <w:t>During the three months ended March 31, 2018 and 2017, the Company received $1.3 million and $1.3 million, respectively, and paid $1.3 million and $1.2 million, respectively, related to the settlements of its $115 million notional amount interest rate swaps, which mature on December 15, 2019. The net amounts of these settlements are included in interest expense in the Company’s consolidated statements of operations.</w:t>
      </w:r>
    </w:p>
    <w:p>
      <w:pPr>
        <w:spacing w:after="0" w:line="166" w:lineRule="exact"/>
        <w:rPr>
          <w:sz w:val="20"/>
          <w:szCs w:val="20"/>
          <w:color w:val="auto"/>
        </w:rPr>
      </w:pPr>
    </w:p>
    <w:p>
      <w:pPr>
        <w:ind w:right="280" w:firstLine="259"/>
        <w:spacing w:after="0" w:line="286" w:lineRule="auto"/>
        <w:rPr>
          <w:sz w:val="20"/>
          <w:szCs w:val="20"/>
          <w:color w:val="auto"/>
        </w:rPr>
      </w:pPr>
      <w:r>
        <w:rPr>
          <w:rFonts w:ascii="Arial" w:cs="Arial" w:eastAsia="Arial" w:hAnsi="Arial"/>
          <w:sz w:val="17"/>
          <w:szCs w:val="17"/>
          <w:color w:val="auto"/>
        </w:rPr>
        <w:t>During the three months ended March 31, 2018 and 2017, the Company received $0.7 million and $0.4 million, respectively, and paid $0.7 million and $0.5 million, respectively, related to the settlements of its $33.3 million notional amount interest rate swap, which matures on January 10, 2020. The net amounts of these settlements are included in interest income in the Company’s consolidated statements of operations.</w:t>
      </w:r>
    </w:p>
    <w:p>
      <w:pPr>
        <w:spacing w:after="0" w:line="166"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During the three months ended March 31, 2018, the Company received $1.3 million and paid $1.2 million, related to the settlement of its $115 million notional amount interest rate swap, which matures on August 1, 2022. No amounts were received or paid during the three months ended March 31, 2017. The net amounts of these settlements are included in interest expense in the Company’s consolidated statements of operations.</w:t>
      </w:r>
    </w:p>
    <w:p>
      <w:pPr>
        <w:spacing w:after="0" w:line="166"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During the three months ended March 31, 2018, the Company received $1.3 million and paid $1.0 million, related to the settlement of its $150 million notional amount interest rate swap, which matures on January 22, 2023. The net amounts of these settlements are included in interest expense in the Company’s consolidated statements of operations.</w:t>
      </w:r>
    </w:p>
    <w:p>
      <w:pPr>
        <w:spacing w:after="0" w:line="181" w:lineRule="exact"/>
        <w:rPr>
          <w:sz w:val="20"/>
          <w:szCs w:val="20"/>
          <w:color w:val="auto"/>
        </w:rPr>
      </w:pPr>
    </w:p>
    <w:p>
      <w:pPr>
        <w:ind w:right="120" w:firstLine="259"/>
        <w:spacing w:after="0" w:line="342" w:lineRule="auto"/>
        <w:rPr>
          <w:sz w:val="20"/>
          <w:szCs w:val="20"/>
          <w:color w:val="auto"/>
        </w:rPr>
      </w:pPr>
      <w:r>
        <w:rPr>
          <w:rFonts w:ascii="Arial" w:cs="Arial" w:eastAsia="Arial" w:hAnsi="Arial"/>
          <w:sz w:val="16"/>
          <w:szCs w:val="16"/>
          <w:color w:val="auto"/>
        </w:rPr>
        <w:t>For the three months ended March 31, 2018 and 2017, the Company recognized $4.2 million of net change in unrealized depreciation and $0.2 million of net change in unrealized appreciation, respectively, on interest rate swaps in the consolidated statement of operations related to the swap transactions.</w:t>
      </w:r>
    </w:p>
    <w:p>
      <w:pPr>
        <w:spacing w:after="0" w:line="124"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As of March 31, 2018 and December 31, 2017, the swap transactions had a fair value of $(5.2) million and $(1.0) million, respectively, which is netted against restricted cash collateral on the Company’s consolidated balance sheet.</w:t>
      </w:r>
    </w:p>
    <w:p>
      <w:pPr>
        <w:spacing w:after="0" w:line="170"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8"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As of March 31, 2018, $10.9 million of cash is pledged as collateral under the Company’s derivative instruments and $5.7 million is included in restricted cash as a component of cash and cash equivalents on the Company’s consolidated balance sheet. The Company had $4.1 million of cash collateral posted as of December 31, 2017, of which $3.2 million is included in restricted cash as a component of cash and cash equivalents on the Company’s consolidated balance sheet.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March 31, 2018 and December 31, 2017:</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6"/>
              </w:rPr>
              <w:t>Fair Value Hierarchy at March 31, 2018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1,785,527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1,802,895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61,364</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45,061</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1,889,446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1,909,320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(5,156)</w:t>
            </w: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1,889,446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1,904,164</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1"/>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2017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60,900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51,468</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1,663,194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1,693,723</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w:t>
            </w: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1,663,194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1,692,761</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First-lien debt</w:t>
            </w:r>
          </w:p>
        </w:tc>
        <w:tc>
          <w:tcPr>
            <w:tcW w:w="14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Second-lien debt</w:t>
            </w:r>
          </w:p>
        </w:tc>
        <w:tc>
          <w:tcPr>
            <w:tcW w:w="132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5"/>
              </w:rPr>
              <w:t>Equity and other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1,663,194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316,770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319,241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(101,090)</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Paid-in-kind interest</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realized gains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1,785,527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1,889,446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March 31, 2017</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First-lien debt</w:t>
            </w:r>
          </w:p>
        </w:tc>
        <w:tc>
          <w:tcPr>
            <w:tcW w:w="14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Second-lien debt</w:t>
            </w:r>
          </w:p>
        </w:tc>
        <w:tc>
          <w:tcPr>
            <w:tcW w:w="132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5"/>
              </w:rPr>
              <w:t>Equity and other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163,626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(188,342)</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Paid-in-kind interest</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realized losses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1,436,641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1,454,261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0" w:type="dxa"/>
            <w:vAlign w:val="bottom"/>
            <w:vMerge w:val="restart"/>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29" w:name="page30"/>
    <w:bookmarkEnd w:id="29"/>
    <w:p>
      <w:pPr>
        <w:ind w:right="20" w:firstLine="259"/>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appreciation or depreciation on investments for which Level 3 inputs were used in determining fair value that are still held by the Company at March 31, 2018 and 2017:</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Net Change in 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3900" w:type="dxa"/>
            <w:vAlign w:val="bottom"/>
          </w:tcPr>
          <w:p>
            <w:pPr>
              <w:spacing w:after="0"/>
              <w:rPr>
                <w:sz w:val="14"/>
                <w:szCs w:val="14"/>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Appreciation or (Depreciation)</w:t>
            </w:r>
          </w:p>
        </w:tc>
        <w:tc>
          <w:tcPr>
            <w:tcW w:w="20" w:type="dxa"/>
            <w:vAlign w:val="bottom"/>
          </w:tcPr>
          <w:p>
            <w:pPr>
              <w:spacing w:after="0"/>
              <w:rPr>
                <w:sz w:val="14"/>
                <w:szCs w:val="14"/>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Appreciation or (Depreciation)</w:t>
            </w:r>
          </w:p>
        </w:tc>
      </w:tr>
      <w:tr>
        <w:trPr>
          <w:trHeight w:val="162"/>
        </w:trPr>
        <w:tc>
          <w:tcPr>
            <w:tcW w:w="3900" w:type="dxa"/>
            <w:vAlign w:val="bottom"/>
          </w:tcPr>
          <w:p>
            <w:pPr>
              <w:spacing w:after="0"/>
              <w:rPr>
                <w:sz w:val="14"/>
                <w:szCs w:val="14"/>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for the Three Months Ended</w:t>
            </w:r>
          </w:p>
        </w:tc>
        <w:tc>
          <w:tcPr>
            <w:tcW w:w="20" w:type="dxa"/>
            <w:vAlign w:val="bottom"/>
          </w:tcPr>
          <w:p>
            <w:pPr>
              <w:spacing w:after="0"/>
              <w:rPr>
                <w:sz w:val="14"/>
                <w:szCs w:val="14"/>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2018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2017 on</w:t>
            </w: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Investments Held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2017</w:t>
            </w: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60" w:type="dxa"/>
            <w:vAlign w:val="bottom"/>
            <w:shd w:val="clear" w:color="auto" w:fill="CFF0FC"/>
          </w:tcPr>
          <w:p>
            <w:pPr>
              <w:spacing w:after="0"/>
              <w:rPr>
                <w:sz w:val="19"/>
                <w:szCs w:val="19"/>
                <w:color w:val="auto"/>
              </w:rPr>
            </w:pPr>
          </w:p>
        </w:tc>
      </w:tr>
      <w:tr>
        <w:trPr>
          <w:trHeight w:val="223"/>
        </w:trPr>
        <w:tc>
          <w:tcPr>
            <w:tcW w:w="390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6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December 31, 2017.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March 31, 2018</w:t>
            </w:r>
          </w:p>
        </w:tc>
        <w:tc>
          <w:tcPr>
            <w:tcW w:w="1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Unobservable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1,785,527</w:t>
            </w:r>
          </w:p>
        </w:tc>
        <w:tc>
          <w:tcPr>
            <w:tcW w:w="2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7.0% — 25.0% (10.5%)</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61,364</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Income approach</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Market yield</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13.2% — 14.3% (13.3%)</w:t>
            </w: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42,555</w:t>
            </w:r>
          </w:p>
        </w:tc>
        <w:tc>
          <w:tcPr>
            <w:tcW w:w="1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9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Comparable multiple</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4.6x — 13.2x (11.4x)</w:t>
            </w:r>
          </w:p>
        </w:tc>
        <w:tc>
          <w:tcPr>
            <w:tcW w:w="1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1,889,446</w:t>
            </w: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20" w:hanging="512"/>
        <w:spacing w:after="0" w:line="291"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$34.8 million of first-lien debt investments which were valued using an enterprise valuation waterfall and $160.8 million of first-lien debt investments which, due to the proximity of the transactions relative to the measurement date, were valued using the cost of the investments.</w:t>
      </w:r>
    </w:p>
    <w:p>
      <w:pPr>
        <w:ind w:left="520" w:right="280" w:hanging="512"/>
        <w:spacing w:after="0" w:line="290"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$20.1 million of equity investments which were valued using a weighted valuation approach and $2.5 million of equity investments which due to the proximity of the transactions relative to the measurement date were valued using the cost of the investments.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8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Unobservable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4"/>
                <w:szCs w:val="14"/>
                <w:color w:val="auto"/>
              </w:rPr>
            </w:pPr>
          </w:p>
        </w:tc>
        <w:tc>
          <w:tcPr>
            <w:tcW w:w="1840" w:type="dxa"/>
            <w:vAlign w:val="bottom"/>
            <w:gridSpan w:val="2"/>
          </w:tcPr>
          <w:p>
            <w:pPr>
              <w:ind w:left="680"/>
              <w:spacing w:after="0"/>
              <w:rPr>
                <w:sz w:val="20"/>
                <w:szCs w:val="20"/>
                <w:color w:val="auto"/>
              </w:rPr>
            </w:pPr>
            <w:r>
              <w:rPr>
                <w:rFonts w:ascii="Arial" w:cs="Arial" w:eastAsia="Arial" w:hAnsi="Arial"/>
                <w:sz w:val="14"/>
                <w:szCs w:val="14"/>
                <w:b w:val="1"/>
                <w:bCs w:val="1"/>
                <w:color w:val="auto"/>
              </w:rPr>
              <w:t>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1,563,972</w:t>
            </w:r>
          </w:p>
        </w:tc>
        <w:tc>
          <w:tcPr>
            <w:tcW w:w="2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7.3% — 14.6% (10.2%)</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60,900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Income approach</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Market yield</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12.9% — 14.0% (13.0%)</w:t>
            </w: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1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9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Comparable multiple</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4.6x — 13.2x (11.2x)</w:t>
            </w:r>
          </w:p>
        </w:tc>
        <w:tc>
          <w:tcPr>
            <w:tcW w:w="1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1,663,194</w:t>
            </w: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$34.6 million of first-lien debt investments which were valued using an asset valuation waterfall.</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$18.6 million of equity investments which were valued using a weighted valuation approach.</w:t>
      </w:r>
    </w:p>
    <w:p>
      <w:pPr>
        <w:spacing w:after="0" w:line="21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ind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March 31, 2018, approximates its carrying value as the outstanding balance is callable at carrying value. The fair value of the Company’s Convertible Senior Notes and 2023 Notes, which are categorized as Level 2 within the fair value hierarchy, as of March 31, 2018, was $386.6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Convertible Senior Notes and 2023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2018 and December 31, 2017, the Company’s asset coverage was 222.5% and 235.5%,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2018 and December 31,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473,905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464,680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94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1,275,000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853,905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421,095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835,914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4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2019 and 2022 Convertible Senior Notes, and 2023 Notes are presented net of deferred financing costs of $9.2 million, $1.3 million, $3.0 million and $3.0 million, respectively.</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486,808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488,192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716,808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and 2022 Convertible Senior Notes are presented net of deferred financing costs of $7.1 million, $1.5 million and $3.2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2018 and 2017, the components of interest expense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r>
      <w:tr>
        <w:trPr>
          <w:trHeight w:val="215"/>
        </w:trPr>
        <w:tc>
          <w:tcPr>
            <w:tcW w:w="3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March 31, 2017</w:t>
            </w: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7,959</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5,687</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Commitment fees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Swap settlement </w:t>
            </w:r>
            <w:r>
              <w:rPr>
                <w:rFonts w:ascii="Arial" w:cs="Arial" w:eastAsia="Arial" w:hAnsi="Arial"/>
                <w:sz w:val="15"/>
                <w:szCs w:val="15"/>
                <w:color w:val="auto"/>
              </w:rPr>
              <w:t>(1)</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w:t>
            </w:r>
          </w:p>
        </w:tc>
      </w:tr>
      <w:tr>
        <w:trPr>
          <w:trHeight w:val="263"/>
        </w:trPr>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180" w:type="dxa"/>
            <w:vAlign w:val="bottom"/>
            <w:tcBorders>
              <w:bottom w:val="single" w:sz="8" w:color="CFF0FC"/>
            </w:tcBorders>
          </w:tcPr>
          <w:p>
            <w:pPr>
              <w:spacing w:after="0"/>
              <w:rPr>
                <w:sz w:val="22"/>
                <w:szCs w:val="22"/>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699.3</w:t>
            </w:r>
          </w:p>
        </w:tc>
        <w:tc>
          <w:tcPr>
            <w:tcW w:w="180" w:type="dxa"/>
            <w:vAlign w:val="bottom"/>
            <w:shd w:val="clear" w:color="auto" w:fill="CFF0FC"/>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r>
    </w:tbl>
    <w:p>
      <w:pPr>
        <w:spacing w:after="0" w:line="242"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settlement of the interest rate swaps related to the Company’s 2019 and 2022 Convertible Senior Notes, and 2023 Notes.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As of March 31, 2018, aggregate commitments under the facility were $895 million. The facility includes an uncommitted accordion feature that allows the Company, under certain circumstances, to increase the size of the facility to up to $1.25 billion.</w:t>
      </w:r>
    </w:p>
    <w:p>
      <w:pPr>
        <w:spacing w:after="0" w:line="170"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revolving period, during which period the Company, subject to certain conditions, may make borrowings under the facility, ends February 18, 2022 and the stated maturity date is February 17, 2023.</w:t>
      </w:r>
    </w:p>
    <w:p>
      <w:pPr>
        <w:spacing w:after="0" w:line="170" w:lineRule="exact"/>
        <w:rPr>
          <w:sz w:val="20"/>
          <w:szCs w:val="20"/>
          <w:color w:val="auto"/>
        </w:rPr>
      </w:pPr>
    </w:p>
    <w:p>
      <w:pPr>
        <w:jc w:val="both"/>
        <w:ind w:right="52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2018, the Company had outstanding debt denominated in Australian Dollars (AUD) of 46.0 million and Euro (EUR) of 58.2 million on its Revolving Credit Facility, included in the Outstanding Principal amount in the table above.</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March 31, 2018 and December 31, 2017,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2" w:name="page33"/>
    <w:bookmarkEnd w:id="32"/>
    <w:p>
      <w:pPr>
        <w:ind w:right="80"/>
        <w:spacing w:after="0" w:line="277" w:lineRule="auto"/>
        <w:rPr>
          <w:sz w:val="20"/>
          <w:szCs w:val="20"/>
          <w:color w:val="auto"/>
        </w:rPr>
      </w:pPr>
      <w:r>
        <w:rPr>
          <w:rFonts w:ascii="Arial" w:cs="Arial" w:eastAsia="Arial" w:hAnsi="Arial"/>
          <w:sz w:val="18"/>
          <w:szCs w:val="18"/>
          <w:color w:val="auto"/>
        </w:rPr>
        <w:t>fee of 0.375% on undrawn amounts and, in respect of each undrawn letter of credit, a fee and interest rate equal to the then applicable margin while the letter of credit is outstanding.</w:t>
      </w:r>
    </w:p>
    <w:p>
      <w:pPr>
        <w:spacing w:after="0" w:line="170"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hanging="255"/>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February 20, 2018.</w:t>
      </w:r>
    </w:p>
    <w:p>
      <w:pPr>
        <w:spacing w:after="0" w:line="225"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2018 and net proceeds received from the issuance of the 2022 Convertible Senior Notes and 2023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20" w:firstLine="259"/>
        <w:spacing w:after="0" w:line="268" w:lineRule="auto"/>
        <w:rPr>
          <w:sz w:val="20"/>
          <w:szCs w:val="20"/>
          <w:color w:val="auto"/>
        </w:rPr>
      </w:pPr>
      <w:r>
        <w:rPr>
          <w:rFonts w:ascii="Arial" w:cs="Arial" w:eastAsia="Arial" w:hAnsi="Arial"/>
          <w:sz w:val="17"/>
          <w:szCs w:val="17"/>
          <w:color w:val="auto"/>
        </w:rPr>
        <w:t>In June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As of March 31, 2018, the estimated adjusted conversion price was approximately $25.35 per share of the Company’s common stock.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See Note 5 for further information related to the Company’s interest rate swaps.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firstLine="8"/>
        <w:spacing w:after="0" w:line="281"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00" w:firstLine="8"/>
        <w:spacing w:after="0" w:line="292"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In February 2017, the Company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3" w:name="page34"/>
    <w:bookmarkEnd w:id="33"/>
    <w:p>
      <w:pPr>
        <w:ind w:right="200"/>
        <w:spacing w:after="0" w:line="293" w:lineRule="auto"/>
        <w:rPr>
          <w:sz w:val="20"/>
          <w:szCs w:val="20"/>
          <w:color w:val="auto"/>
        </w:rPr>
      </w:pPr>
      <w:r>
        <w:rPr>
          <w:rFonts w:ascii="Arial" w:cs="Arial" w:eastAsia="Arial" w:hAnsi="Arial"/>
          <w:sz w:val="16"/>
          <w:szCs w:val="16"/>
          <w:color w:val="auto"/>
        </w:rPr>
        <w:t>share of the Company’s common stock, subject to customary anti-dilution adjustments. As of March 31, 2018, the estimated adjusted conversion price was approximately $21.12 per share of the Company’s common stock. The sale of the 2022 Convertible Senior Notes generated net proceeds of approximately $111.2 million. The Company used the net proceeds of the offering to pay down debt under the Revolving Credit Facility. In connection with the offering of 2022 Convertible Senior Notes, the Company has entered into an interest rate swap to continue to align the interest rates of its liabilities with its investment portfolio, which consists of predominately floating rate loans. As a result of the swap, the Company’s effective interest rate on the 2022 Convertible Senior Notes is three-month LIBOR plus 2.37%. See Note 5 for further information related to the Company’s interest rate swaps.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Holders may convert their 2022 Convertible Senior Notes at their option at any time prior to February 1, 2022 only under the following circumstances:</w:t>
      </w:r>
    </w:p>
    <w:p>
      <w:pPr>
        <w:spacing w:after="0" w:line="46" w:lineRule="exact"/>
        <w:rPr>
          <w:sz w:val="20"/>
          <w:szCs w:val="20"/>
          <w:color w:val="auto"/>
        </w:rPr>
      </w:pPr>
    </w:p>
    <w:p>
      <w:pPr>
        <w:ind w:right="100" w:firstLine="8"/>
        <w:spacing w:after="0" w:line="287"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180" w:firstLine="259"/>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three months ended March 31, 2018 and 2017, the components of interest expense related to the Convertible Senior Notes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259"/>
        <w:spacing w:after="0" w:line="302"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Convertible Senior Notes. During the three months ended March 31, 2018 and 2017, the Company received $2.6 million and $1.3 million, respectively, and paid $2.4 million and $1.2 million, respectively, related to the settlements of its interest rate swaps related to the Convertible Senior Notes. These net amounts are reductions to interest expense in the Company’s consolidated statements of operations. Please see Note 5 for further information about the Company’s interest rate swaps.</w:t>
      </w:r>
    </w:p>
    <w:p>
      <w:pPr>
        <w:spacing w:after="0" w:line="154"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As of March 31, 2018, the principal amount of the 2019 and 2022 Convertible Senior Notes exceeded the value of the underlying shares multiplied by the per share closing price of the Company’s common stock.</w:t>
      </w:r>
    </w:p>
    <w:p>
      <w:pPr>
        <w:spacing w:after="0" w:line="170"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As of March 31, 2018 and December 31, 2017, the components of the carrying value of the 2019 and 2022 Convertible Senior Notes and the stated interest rate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 2018</w:t>
            </w:r>
          </w:p>
        </w:tc>
        <w:tc>
          <w:tcPr>
            <w:tcW w:w="1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ind w:right="23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Senior Notes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Senior Notes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(3,005)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Carrying value of debt</w:t>
            </w:r>
          </w:p>
        </w:tc>
        <w:tc>
          <w:tcPr>
            <w:tcW w:w="12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112,533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111,708</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154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34" w:name="page35"/>
    <w:bookmarkEnd w:id="34"/>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2017</w:t>
            </w:r>
          </w:p>
        </w:tc>
        <w:tc>
          <w:tcPr>
            <w:tcW w:w="1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ind w:right="23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center"/>
              <w:ind w:right="37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Senior Notes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112,182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154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000000"/>
          </w:tcPr>
          <w:p>
            <w:pPr>
              <w:spacing w:after="0" w:line="20" w:lineRule="exact"/>
              <w:rPr>
                <w:sz w:val="1"/>
                <w:szCs w:val="1"/>
                <w:color w:val="auto"/>
              </w:rPr>
            </w:pPr>
          </w:p>
        </w:tc>
        <w:tc>
          <w:tcPr>
            <w:tcW w:w="138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2019 and 2022 Convertible Senior Notes is three month LIBOR plus 2.86%, and three month LIBOR plus 2.37%, respectively. Please see Note 5 for further information about the Company’s interest rate swaps.</w:t>
      </w:r>
    </w:p>
    <w:p>
      <w:pPr>
        <w:spacing w:after="0" w:line="181" w:lineRule="exact"/>
        <w:rPr>
          <w:sz w:val="20"/>
          <w:szCs w:val="20"/>
          <w:color w:val="auto"/>
        </w:rPr>
      </w:pPr>
    </w:p>
    <w:p>
      <w:pPr>
        <w:ind w:right="180" w:firstLine="259"/>
        <w:spacing w:after="0" w:line="276" w:lineRule="auto"/>
        <w:rPr>
          <w:sz w:val="20"/>
          <w:szCs w:val="20"/>
          <w:color w:val="auto"/>
        </w:rPr>
      </w:pPr>
      <w:r>
        <w:rPr>
          <w:rFonts w:ascii="Arial" w:cs="Arial" w:eastAsia="Arial" w:hAnsi="Arial"/>
          <w:sz w:val="17"/>
          <w:szCs w:val="17"/>
          <w:color w:val="auto"/>
        </w:rPr>
        <w:t>The indentures governing the 2019 and 2022 Convertible Senior Notes contain certain covenants, including covenants requiring the Company to comply with the requirement under the 1940 Act that the Company’s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March 31, 2018, the Company was in compliance with the terms of the indentures governing the 2019 and 2022 Convertible Senior Notes.</w:t>
      </w:r>
    </w:p>
    <w:p>
      <w:pPr>
        <w:spacing w:after="0" w:line="173"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2019 and 2022 Convertible Senior Notes. The Company has determined that the embedded conversion options in the 2019 and 2022 Convertible Senior Notes are not required to be separately accounted for as a derivative under U.S. GAAP. In accounting for the 2019 and 2022 Convertible Senior Notes, the Company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8" w:lineRule="exact"/>
        <w:rPr>
          <w:sz w:val="20"/>
          <w:szCs w:val="20"/>
          <w:color w:val="auto"/>
        </w:rPr>
      </w:pPr>
    </w:p>
    <w:p>
      <w:pPr>
        <w:ind w:right="180" w:firstLine="259"/>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2018, the components of interest expense related to the 2023 Notes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March 31,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7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78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780" w:type="dxa"/>
            <w:vAlign w:val="bottom"/>
            <w:vMerge w:val="restart"/>
          </w:tcPr>
          <w:p>
            <w:pPr>
              <w:jc w:val="right"/>
              <w:ind w:right="175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7" w:right="21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color w:val="auto"/>
        </w:rPr>
        <w:t>As of March 31, 2018, the components of the carrying value of the 2023 Notes and the stated interest rate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2023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84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000000"/>
          </w:tcPr>
          <w:p>
            <w:pPr>
              <w:spacing w:after="0" w:line="20" w:lineRule="exact"/>
              <w:rPr>
                <w:sz w:val="1"/>
                <w:szCs w:val="1"/>
                <w:color w:val="auto"/>
              </w:rPr>
            </w:pPr>
          </w:p>
        </w:tc>
        <w:tc>
          <w:tcPr>
            <w:tcW w:w="194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2018 and December 31, 2017,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2018 and December 31, 2017, the Company had the following commitments to fund investments in current portfolio companies: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Bazaarvoice, Inc. - Revolver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 - Revolver</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Industrial Physics, LLC - Revolver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Motus, LLC - Revolver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Marketo, Inc. - Revolver</w:t>
            </w:r>
          </w:p>
        </w:tc>
        <w:tc>
          <w:tcPr>
            <w:tcW w:w="18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Northern Oil &amp; Gas, Inc. - Delayed Draw</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PageUp People Limited - Delayed Draw</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PaySimple, Inc. - Revolver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Rex Energy Corporation - Delayed Draw</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Riskonnect, Inc. - Revolver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b w:val="1"/>
                <w:bCs w:val="1"/>
                <w:color w:val="auto"/>
              </w:rPr>
              <w:t>Total Portfolio Company Commitments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79,759</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auto"/>
        </w:rPr>
        <w:t>As of March 31, 2018 and December 31, 2017, the Company did not have any unfunded commitments to fund investments to new borrowers that were not current portfolio companies as of March 31, 2018 and December 31, 2017.</w:t>
      </w:r>
    </w:p>
    <w:p>
      <w:pPr>
        <w:spacing w:after="0" w:line="170"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2018 and December 31, 2017, management is not aware of any pending or threatened litigation.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In March 2018, the Company issued a total of 3,750,000 shares of common stock at $17.45 per share. Net of underwriting fees and offering costs, the Company received total cash proceeds of $63.0 million. Subsequent to the offering the Company issued an additional 522,224 shares in April 2018 pursuant to the overallotment option granted to underwriters and received, net of underwriting fees, total cash proceeds of $8.8 million.</w:t>
      </w:r>
    </w:p>
    <w:p>
      <w:pPr>
        <w:spacing w:after="0" w:line="166"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or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2018 and 2017.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20" w:type="dxa"/>
            <w:vAlign w:val="bottom"/>
            <w:gridSpan w:val="8"/>
          </w:tcPr>
          <w:p>
            <w:pPr>
              <w:jc w:val="center"/>
              <w:ind w:left="262"/>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8"/>
          </w:tcPr>
          <w:p>
            <w:pPr>
              <w:jc w:val="center"/>
              <w:ind w:left="262"/>
              <w:spacing w:after="0"/>
              <w:rPr>
                <w:sz w:val="20"/>
                <w:szCs w:val="20"/>
                <w:color w:val="auto"/>
              </w:rPr>
            </w:pPr>
            <w:r>
              <w:rPr>
                <w:rFonts w:ascii="Arial" w:cs="Arial" w:eastAsia="Arial" w:hAnsi="Arial"/>
                <w:sz w:val="14"/>
                <w:szCs w:val="14"/>
                <w:b w:val="1"/>
                <w:bCs w:val="1"/>
                <w:color w:val="auto"/>
                <w:w w:val="96"/>
              </w:rPr>
              <w:t>March 31, 2018</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4"/>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4"/>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87"/>
              </w:rPr>
              <w:t>Base</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December 15, 2017</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January 12, 2018</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21, 2018</w:t>
            </w:r>
          </w:p>
        </w:tc>
        <w:tc>
          <w:tcPr>
            <w:tcW w:w="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gridSpan w:val="6"/>
          </w:tcPr>
          <w:p>
            <w:pPr>
              <w:jc w:val="center"/>
              <w:ind w:left="7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4"/>
          </w:tcPr>
          <w:p>
            <w:pPr>
              <w:jc w:val="right"/>
              <w:ind w:right="120"/>
              <w:spacing w:after="0"/>
              <w:rPr>
                <w:sz w:val="20"/>
                <w:szCs w:val="20"/>
                <w:color w:val="auto"/>
              </w:rPr>
            </w:pPr>
            <w:r>
              <w:rPr>
                <w:rFonts w:ascii="Arial" w:cs="Arial" w:eastAsia="Arial" w:hAnsi="Arial"/>
                <w:sz w:val="18"/>
                <w:szCs w:val="18"/>
                <w:color w:val="auto"/>
              </w:rPr>
              <w:t>February 28, 2018</w:t>
            </w:r>
          </w:p>
        </w:tc>
        <w:tc>
          <w:tcPr>
            <w:tcW w:w="1920" w:type="dxa"/>
            <w:vAlign w:val="bottom"/>
            <w:tcBorders>
              <w:bottom w:val="single" w:sz="8" w:color="CFF0FC"/>
            </w:tcBorders>
            <w:gridSpan w:val="4"/>
          </w:tcPr>
          <w:p>
            <w:pPr>
              <w:jc w:val="right"/>
              <w:ind w:right="120"/>
              <w:spacing w:after="0"/>
              <w:rPr>
                <w:sz w:val="20"/>
                <w:szCs w:val="20"/>
                <w:color w:val="auto"/>
              </w:rPr>
            </w:pPr>
            <w:r>
              <w:rPr>
                <w:rFonts w:ascii="Arial" w:cs="Arial" w:eastAsia="Arial" w:hAnsi="Arial"/>
                <w:sz w:val="18"/>
                <w:szCs w:val="18"/>
                <w:color w:val="auto"/>
              </w:rPr>
              <w:t>March 30,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gridSpan w:val="8"/>
            <w:vMerge w:val="restart"/>
          </w:tcPr>
          <w:p>
            <w:pPr>
              <w:jc w:val="center"/>
              <w:ind w:left="302"/>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8"/>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8"/>
          </w:tcPr>
          <w:p>
            <w:pPr>
              <w:jc w:val="center"/>
              <w:ind w:left="302"/>
              <w:spacing w:after="0"/>
              <w:rPr>
                <w:sz w:val="20"/>
                <w:szCs w:val="20"/>
                <w:color w:val="auto"/>
              </w:rPr>
            </w:pPr>
            <w:r>
              <w:rPr>
                <w:rFonts w:ascii="Arial" w:cs="Arial" w:eastAsia="Arial" w:hAnsi="Arial"/>
                <w:sz w:val="14"/>
                <w:szCs w:val="14"/>
                <w:b w:val="1"/>
                <w:bCs w:val="1"/>
                <w:color w:val="auto"/>
                <w:w w:val="96"/>
              </w:rPr>
              <w:t>March 31, 2017</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4"/>
          </w:tcPr>
          <w:p>
            <w:pPr>
              <w:ind w:left="56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2016</w:t>
            </w: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December 31, 2016</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2017</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66" w:lineRule="exact"/>
        <w:rPr>
          <w:sz w:val="20"/>
          <w:szCs w:val="20"/>
          <w:color w:val="auto"/>
        </w:rPr>
      </w:pPr>
    </w:p>
    <w:p>
      <w:pPr>
        <w:ind w:right="46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12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LLC,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37" w:name="page38"/>
    <w:bookmarkEnd w:id="37"/>
    <w:p>
      <w:pPr>
        <w:jc w:val="both"/>
        <w:ind w:right="200" w:firstLine="259"/>
        <w:spacing w:after="0" w:line="264" w:lineRule="auto"/>
        <w:rPr>
          <w:sz w:val="20"/>
          <w:szCs w:val="20"/>
          <w:color w:val="auto"/>
        </w:rPr>
      </w:pPr>
      <w:r>
        <w:rPr>
          <w:rFonts w:ascii="Arial" w:cs="Arial" w:eastAsia="Arial" w:hAnsi="Arial"/>
          <w:sz w:val="18"/>
          <w:szCs w:val="18"/>
          <w:color w:val="auto"/>
        </w:rPr>
        <w:t>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three months ended March 31, 2018 and 2017, no shares were repurchased under the Company 10b5-1 Plan.</w:t>
      </w:r>
    </w:p>
    <w:p>
      <w:pPr>
        <w:spacing w:after="0" w:line="370"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3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March 31, 2018</w:t>
            </w:r>
          </w:p>
        </w:tc>
        <w:tc>
          <w:tcPr>
            <w:tcW w:w="4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March 31, 2017</w:t>
            </w:r>
          </w:p>
        </w:tc>
        <w:tc>
          <w:tcPr>
            <w:tcW w:w="60" w:type="dxa"/>
            <w:vAlign w:val="bottom"/>
          </w:tcPr>
          <w:p>
            <w:pPr>
              <w:spacing w:after="0"/>
              <w:rPr>
                <w:sz w:val="13"/>
                <w:szCs w:val="13"/>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60" w:type="dxa"/>
            <w:vAlign w:val="bottom"/>
            <w:tcBorders>
              <w:top w:val="single" w:sz="8" w:color="CFF0FC"/>
            </w:tcBorders>
            <w:shd w:val="clear" w:color="auto" w:fill="CFF0FC"/>
          </w:tcPr>
          <w:p>
            <w:pPr>
              <w:spacing w:after="0"/>
              <w:rPr>
                <w:sz w:val="19"/>
                <w:szCs w:val="19"/>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60,840,459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59,796,731</w:t>
            </w:r>
          </w:p>
        </w:tc>
        <w:tc>
          <w:tcPr>
            <w:tcW w:w="60" w:type="dxa"/>
            <w:vAlign w:val="bottom"/>
          </w:tcPr>
          <w:p>
            <w:pPr>
              <w:spacing w:after="0"/>
              <w:rPr>
                <w:sz w:val="20"/>
                <w:szCs w:val="20"/>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For the purpose of calculating diluted earnings per common share, the average closing price of the Company’s common stock for the three months ended March 31, 2018 was less than the conversion price for the 2019 and 2022 Convertible Senior Notes outstanding as of March 31, 2018. Therefore, for all periods presented in the consolidated financial statements, the underlying shares for the intrinsic value of the embedded options in the 2019 and 2022 Convertible Senior Notes have no impact on the computation of diluted earnings per common share.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three months ended March 31,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gridSpan w:val="5"/>
          </w:tcPr>
          <w:p>
            <w:pPr>
              <w:jc w:val="right"/>
              <w:ind w:right="9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jc w:val="right"/>
              <w:ind w:right="1177"/>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4"/>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4"/>
            <w:shd w:val="clear" w:color="auto" w:fill="CFF0FC"/>
          </w:tcPr>
          <w:p>
            <w:pPr>
              <w:jc w:val="center"/>
              <w:ind w:right="20"/>
              <w:spacing w:after="0"/>
              <w:rPr>
                <w:sz w:val="20"/>
                <w:szCs w:val="20"/>
                <w:color w:val="auto"/>
              </w:rPr>
            </w:pPr>
            <w:r>
              <w:rPr>
                <w:rFonts w:ascii="Arial" w:cs="Arial" w:eastAsia="Arial" w:hAnsi="Arial"/>
                <w:sz w:val="18"/>
                <w:szCs w:val="18"/>
                <w:color w:val="auto"/>
                <w:w w:val="90"/>
              </w:rPr>
              <w:t>Supplemental</w:t>
            </w:r>
          </w:p>
        </w:tc>
        <w:tc>
          <w:tcPr>
            <w:tcW w:w="10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February 28, 2018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30, 2018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21, 2018</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gridSpan w:val="4"/>
          </w:tcPr>
          <w:p>
            <w:pPr>
              <w:jc w:val="center"/>
              <w:ind w:right="280"/>
              <w:spacing w:after="0"/>
              <w:rPr>
                <w:sz w:val="20"/>
                <w:szCs w:val="20"/>
                <w:color w:val="auto"/>
              </w:rPr>
            </w:pPr>
            <w:r>
              <w:rPr>
                <w:rFonts w:ascii="Arial" w:cs="Arial" w:eastAsia="Arial" w:hAnsi="Arial"/>
                <w:sz w:val="18"/>
                <w:szCs w:val="18"/>
                <w:color w:val="auto"/>
                <w:w w:val="87"/>
              </w:rPr>
              <w:t>Base</w:t>
            </w:r>
          </w:p>
        </w:tc>
        <w:tc>
          <w:tcPr>
            <w:tcW w:w="1840" w:type="dxa"/>
            <w:vAlign w:val="bottom"/>
            <w:tcBorders>
              <w:bottom w:val="single" w:sz="8" w:color="CFF0FC"/>
            </w:tcBorders>
            <w:gridSpan w:val="4"/>
          </w:tcPr>
          <w:p>
            <w:pPr>
              <w:jc w:val="right"/>
              <w:ind w:right="140"/>
              <w:spacing w:after="0"/>
              <w:rPr>
                <w:sz w:val="20"/>
                <w:szCs w:val="20"/>
                <w:color w:val="auto"/>
              </w:rPr>
            </w:pPr>
            <w:r>
              <w:rPr>
                <w:rFonts w:ascii="Arial" w:cs="Arial" w:eastAsia="Arial" w:hAnsi="Arial"/>
                <w:sz w:val="18"/>
                <w:szCs w:val="18"/>
                <w:color w:val="auto"/>
              </w:rPr>
              <w:t>March 15, 2018</w:t>
            </w: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April 13, 2018</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5"/>
            <w:vMerge w:val="restart"/>
          </w:tcPr>
          <w:p>
            <w:pPr>
              <w:jc w:val="right"/>
              <w:ind w:right="9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jc w:val="right"/>
              <w:ind w:right="1097"/>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4"/>
          </w:tcPr>
          <w:p>
            <w:pPr>
              <w:ind w:left="36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57"/>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4"/>
              </w:rPr>
              <w:t xml:space="preserve">April 7, 2017 </w:t>
            </w:r>
            <w:r>
              <w:rPr>
                <w:rFonts w:ascii="Arial" w:cs="Arial" w:eastAsia="Arial" w:hAnsi="Arial"/>
                <w:sz w:val="15"/>
                <w:szCs w:val="15"/>
                <w:color w:val="auto"/>
                <w:w w:val="94"/>
              </w:rPr>
              <w:t>(1)</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28, 2017</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line="259"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dividends declared during the three months ended March 31, 2018 and 2017 were derived from net investment income, determined on a tax basis.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8" w:name="page39"/>
    <w:bookmarkEnd w:id="38"/>
    <w:p>
      <w:pPr>
        <w:ind w:left="280" w:hanging="272"/>
        <w:spacing w:after="0"/>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three months ended March 31, 2018 and 2017 were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March 31, 2017</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Capital Gains</w:t>
            </w:r>
          </w:p>
        </w:tc>
        <w:tc>
          <w:tcPr>
            <w:tcW w:w="1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4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three months ended March 31, 2018 and 2017, 90.3% and 88.5% of ordinary income qualified as interest related dividend which is exempt from U.S. withholding tax applicable to non U.S. shareholders.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reconciles increase in net assets resulting from operations for the three months ended March 31, 2018 and 2017 to taxable income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2017</w:t>
            </w: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loss on investments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80" w:type="dxa"/>
            <w:vAlign w:val="bottom"/>
            <w:shd w:val="clear" w:color="auto" w:fill="CFF0FC"/>
          </w:tcPr>
          <w:p>
            <w:pPr>
              <w:spacing w:after="0"/>
              <w:rPr>
                <w:sz w:val="19"/>
                <w:szCs w:val="19"/>
                <w:color w:val="auto"/>
              </w:rPr>
            </w:pPr>
          </w:p>
        </w:tc>
      </w:tr>
      <w:tr>
        <w:trPr>
          <w:trHeight w:val="215"/>
        </w:trPr>
        <w:tc>
          <w:tcPr>
            <w:tcW w:w="4580" w:type="dxa"/>
            <w:vAlign w:val="bottom"/>
          </w:tcPr>
          <w:p>
            <w:pPr>
              <w:ind w:left="240"/>
              <w:spacing w:after="0"/>
              <w:rPr>
                <w:sz w:val="20"/>
                <w:szCs w:val="20"/>
                <w:color w:val="auto"/>
              </w:rPr>
            </w:pPr>
            <w:r>
              <w:rPr>
                <w:rFonts w:ascii="Arial" w:cs="Arial" w:eastAsia="Arial" w:hAnsi="Arial"/>
                <w:sz w:val="18"/>
                <w:szCs w:val="18"/>
                <w:color w:val="auto"/>
              </w:rPr>
              <w:t>Other income for tax purposes, not</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80" w:type="dxa"/>
            <w:vAlign w:val="bottom"/>
          </w:tcPr>
          <w:p>
            <w:pPr>
              <w:ind w:left="380"/>
              <w:spacing w:after="0"/>
              <w:rPr>
                <w:sz w:val="20"/>
                <w:szCs w:val="20"/>
                <w:color w:val="auto"/>
              </w:rPr>
            </w:pPr>
            <w:r>
              <w:rPr>
                <w:rFonts w:ascii="Arial" w:cs="Arial" w:eastAsia="Arial" w:hAnsi="Arial"/>
                <w:sz w:val="18"/>
                <w:szCs w:val="18"/>
                <w:color w:val="auto"/>
              </w:rPr>
              <w:t>book</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2,638</w:t>
            </w:r>
          </w:p>
        </w:tc>
        <w:tc>
          <w:tcPr>
            <w:tcW w:w="80" w:type="dxa"/>
            <w:vAlign w:val="bottom"/>
          </w:tcPr>
          <w:p>
            <w:pPr>
              <w:spacing w:after="0"/>
              <w:rPr>
                <w:sz w:val="20"/>
                <w:szCs w:val="20"/>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(5,185)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w:t>
            </w: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Capital loss carryforward</w:t>
            </w:r>
          </w:p>
        </w:tc>
        <w:tc>
          <w:tcPr>
            <w:tcW w:w="10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(3,877)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Taxable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Note: Taxable income as presented in the preceding table is an estimate and is not fully determined until the Company’s tax return is filed.</w:t>
      </w:r>
    </w:p>
    <w:p>
      <w:pPr>
        <w:spacing w:after="0" w:line="225"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its estimated current year annual taxable income will be in excess of estimated current year dividend distributions from such income, the Company accrues excise tax on estimated excess taxable income.</w:t>
      </w:r>
    </w:p>
    <w:p>
      <w:pPr>
        <w:spacing w:after="0" w:line="17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During the three months ended March 31, 2018, permanent differences were principally related to $3.7 million of recharacterization of prepayment penalties and fees for tax purposes between ordinary income and capital gains, $0.9 million attributable to accrued U.S. federal excise taxes, and $0.2 million attributable to foreign currency reclassifications. During the three months ended March 31, 2017, permanent differences were principally related to $8.0 million of recharacterization of prepayment penalties and fees for tax purposes between ordinary income and capital gains, $0.8 million attributable to accrued U.S. federal excise taxes, and $0.6 million attributable to foreign currency reclassifications.</w:t>
      </w:r>
    </w:p>
    <w:p>
      <w:pPr>
        <w:spacing w:after="0" w:line="173"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The Company’s wholly-owned subsidiary, TSL MR, LLC, is a taxable subsidiary in which the Company holds certain equity investments. TSL MR, LLC is not consolidated for U.S. federal income tax purposes and may generate income tax expense as a result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ind w:right="500"/>
        <w:spacing w:after="0" w:line="342" w:lineRule="auto"/>
        <w:rPr>
          <w:sz w:val="20"/>
          <w:szCs w:val="20"/>
          <w:color w:val="auto"/>
        </w:rPr>
      </w:pPr>
      <w:r>
        <w:rPr>
          <w:rFonts w:ascii="Arial" w:cs="Arial" w:eastAsia="Arial" w:hAnsi="Arial"/>
          <w:sz w:val="16"/>
          <w:szCs w:val="16"/>
          <w:color w:val="auto"/>
        </w:rPr>
        <w:t>of its ownership of certain portfolio companies. The income tax expense, or benefit, and the related tax assets and liabilities, if any, are reflected in our Statement of Operations. As a result of recently enacted tax reform legislation, the corporate tax rate of TSL MR, LLC is 21% as of January 1, 2018.</w:t>
      </w:r>
    </w:p>
    <w:p>
      <w:pPr>
        <w:spacing w:after="0" w:line="124"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of March 31, 2018, the Company had a deferred tax asset of $4.5 million pertaining to operating losses, related to one of its investments. Given the losses generated by the entity, the deferred tax asset has been offset by a valuation allowance of $4.5 million.</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December 31, 2017, the Company had a deferred tax asset of $2.9 million pertaining to operating losses, related to one of its investments. Given the losses generated by the entity, the deferred tax asset has been offset by a valuation allowance of $2.9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March 31, 2018 and December 31, 2017 approximates their amortized cost.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2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three months ended March 31, 2018 and 2017.</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16.09</w:t>
            </w:r>
          </w:p>
        </w:tc>
        <w:tc>
          <w:tcPr>
            <w:tcW w:w="32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(decrease) in net</w:t>
            </w:r>
          </w:p>
        </w:tc>
        <w:tc>
          <w:tcPr>
            <w:tcW w:w="9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16.27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3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64,166,951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59,839,041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 average net assets</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Portfolio turnover</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1,043,967</w:t>
            </w:r>
          </w:p>
        </w:tc>
        <w:tc>
          <w:tcPr>
            <w:tcW w:w="3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160" w:hanging="512"/>
        <w:spacing w:after="0" w:line="250"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20" w:hanging="512"/>
        <w:spacing w:after="0" w:line="250"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0" w:name="page41"/>
    <w:bookmarkEnd w:id="40"/>
    <w:p>
      <w:pPr>
        <w:ind w:left="520" w:right="60" w:hanging="512"/>
        <w:spacing w:after="0" w:line="25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Triangle Capital Corp. Excluding the effects of waivers, the ratio of net expenses to average net assets would have been 10.59% for the three months ended March 31, 2018. The Adviser did not waive any Management Fees or Incentive Fees for the three months ended March 31, 2017.</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2018.</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an initial six month period, in accordance with the guidelines specified in Rule 10b-18 and Rule 10b5-1 of the Exchange Act, and has continued to authorize extensions of the plan termination date prior to its expiration since that time. 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2018, we have originated more than $7.9 billion aggregate principal amount of investments and retained approximately $4.8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2018, our core portfolio companies, which excludes certain investments that fall outside of our typical borrower profile and represent 84.0% of our total investments based on fair value, had weighted average annual revenue of $124.4 million and weighted average annual EBITDA of $26.4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2018, the largest single investment based on fair value represented 6.2%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2018, the average investment size in each of our portfolio companies was approximately $39.8 million based on fair value.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2018, the largest industry represented 18.3% of our total investment portfolio based on fair value.</w:t>
      </w:r>
    </w:p>
    <w:p>
      <w:pPr>
        <w:spacing w:after="0" w:line="225"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March 31, 2018, approximately 97.6%</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was invested in secured debt, including 94.4%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2018, the weighted average term on new investment commitments in new portfolio companies was 5.7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March 31, 2018, we had call protection on 93.0% of our debt investments based on fair value, with weighted average call prices of 105.4% for the first year, 102.9% for the second year and 101.2% for the third year, in each case from the date of the initial investment. As of March 31, 2018, 100.0% of our debt investments based on fair value bore interest at floating rates (when including investment specific hedges), with 94.1%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right="160"/>
        <w:spacing w:after="0" w:line="259" w:lineRule="auto"/>
        <w:rPr>
          <w:sz w:val="20"/>
          <w:szCs w:val="20"/>
          <w:color w:val="auto"/>
        </w:rPr>
      </w:pPr>
      <w:r>
        <w:rPr>
          <w:rFonts w:ascii="Arial" w:cs="Arial" w:eastAsia="Arial" w:hAnsi="Arial"/>
          <w:sz w:val="18"/>
          <w:szCs w:val="18"/>
          <w:color w:val="auto"/>
        </w:rPr>
        <w:t>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87" w:lineRule="exact"/>
        <w:rPr>
          <w:sz w:val="20"/>
          <w:szCs w:val="20"/>
          <w:color w:val="auto"/>
        </w:rPr>
      </w:pPr>
    </w:p>
    <w:p>
      <w:pPr>
        <w:ind w:right="220" w:firstLine="259"/>
        <w:spacing w:after="0" w:line="272" w:lineRule="auto"/>
        <w:rPr>
          <w:sz w:val="20"/>
          <w:szCs w:val="20"/>
          <w:color w:val="auto"/>
        </w:rPr>
      </w:pPr>
      <w:r>
        <w:rPr>
          <w:rFonts w:ascii="Arial" w:cs="Arial" w:eastAsia="Arial" w:hAnsi="Arial"/>
          <w:sz w:val="17"/>
          <w:szCs w:val="17"/>
          <w:color w:val="auto"/>
        </w:rPr>
        <w:t>TSSP, with approximately $21 billion of assets under management as of December 31,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185 investment and operating professionals. As of March 31, 2018, thirty (30) of these personnel are dedicated to our business, including twenty four (24) investment professionals.</w:t>
      </w:r>
    </w:p>
    <w:p>
      <w:pPr>
        <w:spacing w:after="0" w:line="178"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2018, 100.0% of these investments based on fair value bore interest at a floating rate (when including investment specific hedges), with 94.1% of these subject to interest rate floors. Interest on debt investments is generally payable quarterly or semiannually. Some of our debt investments provide for deferred interest payments or PIK interest. For the three months ended March 31, 2018, 1.9% of our total investment income was comprised of PIK interest.</w:t>
      </w:r>
    </w:p>
    <w:p>
      <w:pPr>
        <w:spacing w:after="0" w:line="193" w:lineRule="exact"/>
        <w:rPr>
          <w:sz w:val="20"/>
          <w:szCs w:val="20"/>
          <w:color w:val="auto"/>
        </w:rPr>
      </w:pPr>
    </w:p>
    <w:p>
      <w:pPr>
        <w:ind w:right="10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and Convertible Senior Notes, after taking into account the effect of the interest rate swaps we have entered into in connection with the Convertible Senior Notes and 2023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ind w:left="520" w:hanging="255"/>
        <w:spacing w:after="0" w:line="30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(or 150% if we satisfy the requirements to elect to be subject to such lower asset coverage requirement under the Small Business Credit Availability Act (the “SBCAA”)),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intensive than lending to larger companies due to smaller investment sizes and the lack of publicly available information on these companies.</w:t>
      </w:r>
    </w:p>
    <w:p>
      <w:pPr>
        <w:spacing w:after="0" w:line="225" w:lineRule="exact"/>
        <w:rPr>
          <w:sz w:val="20"/>
          <w:szCs w:val="20"/>
          <w:color w:val="auto"/>
        </w:rPr>
      </w:pPr>
    </w:p>
    <w:p>
      <w:pPr>
        <w:ind w:right="14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of March 31, 2018, our portfolio based on fair value consisted of 94.4% first-lien debt investments, 3.2% second-lien debt investments, and 2.4% equity and other investments. As of December 31, 2017, our portfolio based on fair value consisted of 93.4% first-lien debt investments, 3.6% second-lien debt investments, and 3.0% equity and other investments.</w:t>
      </w:r>
    </w:p>
    <w:p>
      <w:pPr>
        <w:spacing w:after="0" w:line="181" w:lineRule="exact"/>
        <w:rPr>
          <w:sz w:val="20"/>
          <w:szCs w:val="20"/>
          <w:color w:val="auto"/>
        </w:rPr>
      </w:pPr>
    </w:p>
    <w:p>
      <w:pPr>
        <w:ind w:right="280" w:firstLine="259"/>
        <w:spacing w:after="0" w:line="312" w:lineRule="auto"/>
        <w:rPr>
          <w:sz w:val="20"/>
          <w:szCs w:val="20"/>
          <w:color w:val="auto"/>
        </w:rPr>
      </w:pPr>
      <w:r>
        <w:rPr>
          <w:rFonts w:ascii="Arial" w:cs="Arial" w:eastAsia="Arial" w:hAnsi="Arial"/>
          <w:sz w:val="16"/>
          <w:szCs w:val="16"/>
          <w:color w:val="auto"/>
        </w:rPr>
        <w:t>As of March 31, 2018 and December 31, 2017, our weighted average total yield of debt and income-producing securities at fair value (which includes interest income and amortization of fees and discounts) was 11.1% and 10.7%, respectively, and our weighted average total yield of debt and income-producing securities at amortized cost (which includes interest income and amortization of fees and discounts) was 11.2% and 10.8%, respectively.</w:t>
      </w:r>
    </w:p>
    <w:p>
      <w:pPr>
        <w:spacing w:after="0" w:line="147"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As of March 31, 2018 and December 31, 2017, we had investments in 48 and 45 portfolio companies, respectively, with an aggregate fair value of $1,909.3 million and $1,693.7 million, respectively.</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For the three months ended March 31, 2018, we made new investment commitments of $331.7 million in seven new portfolio companies. For this period, we had $106.0 million aggregate principal amount in exits and repayments.</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For the three months ended March 31, 2017, we made new investment commitments of $149.2 million in five new portfolio companies. For this period, we had $213.5 million aggregate principal amount in exits and repayments.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7" w:name="page48"/>
    <w:bookmarkEnd w:id="47"/>
    <w:p>
      <w:pPr>
        <w:ind w:right="480" w:firstLine="259"/>
        <w:spacing w:after="0" w:line="277" w:lineRule="auto"/>
        <w:rPr>
          <w:sz w:val="20"/>
          <w:szCs w:val="20"/>
          <w:color w:val="auto"/>
        </w:rPr>
      </w:pPr>
      <w:r>
        <w:rPr>
          <w:rFonts w:ascii="Arial" w:cs="Arial" w:eastAsia="Arial" w:hAnsi="Arial"/>
          <w:sz w:val="18"/>
          <w:szCs w:val="18"/>
          <w:color w:val="auto"/>
        </w:rPr>
        <w:t>Our investment activity for the three months ended March 31, 2018 and 2017 is presented below (information presented herein is at par value unless otherwise indicated).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vMerge w:val="continue"/>
          </w:tcPr>
          <w:p>
            <w:pPr>
              <w:spacing w:after="0"/>
              <w:rPr>
                <w:sz w:val="13"/>
                <w:szCs w:val="13"/>
                <w:color w:val="auto"/>
              </w:rPr>
            </w:pPr>
          </w:p>
        </w:tc>
        <w:tc>
          <w:tcPr>
            <w:tcW w:w="130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March 31, 2018</w:t>
            </w: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564.6</w:t>
            </w:r>
          </w:p>
        </w:tc>
        <w:tc>
          <w:tcPr>
            <w:tcW w:w="180" w:type="dxa"/>
            <w:vAlign w:val="bottom"/>
          </w:tcPr>
          <w:p>
            <w:pPr>
              <w:spacing w:after="0"/>
              <w:rPr>
                <w:sz w:val="19"/>
                <w:szCs w:val="19"/>
                <w:color w:val="auto"/>
              </w:rPr>
            </w:pPr>
          </w:p>
        </w:tc>
        <w:tc>
          <w:tcPr>
            <w:tcW w:w="7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331.7</w:t>
            </w:r>
          </w:p>
        </w:tc>
        <w:tc>
          <w:tcPr>
            <w:tcW w:w="180" w:type="dxa"/>
            <w:vAlign w:val="bottom"/>
          </w:tcPr>
          <w:p>
            <w:pPr>
              <w:spacing w:after="0"/>
              <w:rPr>
                <w:sz w:val="19"/>
                <w:szCs w:val="19"/>
                <w:color w:val="auto"/>
              </w:rPr>
            </w:pPr>
          </w:p>
        </w:tc>
        <w:tc>
          <w:tcPr>
            <w:tcW w:w="7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Pr>
          <w:p>
            <w:pPr>
              <w:spacing w:after="0"/>
              <w:rPr>
                <w:sz w:val="19"/>
                <w:szCs w:val="19"/>
                <w:color w:val="auto"/>
              </w:rPr>
            </w:pPr>
          </w:p>
        </w:tc>
        <w:tc>
          <w:tcPr>
            <w:tcW w:w="7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3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9"/>
                <w:szCs w:val="19"/>
                <w:color w:val="auto"/>
              </w:rPr>
            </w:pPr>
          </w:p>
        </w:tc>
        <w:tc>
          <w:tcPr>
            <w:tcW w:w="7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3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3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3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1"/>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3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7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3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7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16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one fixed rate investment for the three months ended March 31, 2017 for which we entered into an interest rate swap agreement to swap to a floating rate.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2018 and December 31, 2017,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ind w:left="80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14"/>
                <w:szCs w:val="14"/>
                <w:color w:val="auto"/>
              </w:rPr>
            </w:pPr>
          </w:p>
        </w:tc>
        <w:tc>
          <w:tcPr>
            <w:tcW w:w="290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Borders>
              <w:bottom w:val="single" w:sz="8" w:color="CFF0FC"/>
            </w:tcBorders>
            <w:vMerge w:val="continue"/>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8"/>
              </w:rPr>
              <w:t>Amortized Cost</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1,909.3</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515"/>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8" w:name="page49"/>
    <w:bookmarkEnd w:id="48"/>
    <w:p>
      <w:pPr>
        <w:ind w:left="2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March 31, 2018 and December 31, 2017:</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7"/>
          </w:tcPr>
          <w:p>
            <w:pPr>
              <w:jc w:val="right"/>
              <w:ind w:right="105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gridSpan w:val="3"/>
          </w:tcPr>
          <w:p>
            <w:pPr>
              <w:spacing w:after="0"/>
              <w:rPr>
                <w:sz w:val="13"/>
                <w:szCs w:val="13"/>
                <w:color w:val="auto"/>
              </w:rPr>
            </w:pPr>
          </w:p>
        </w:tc>
        <w:tc>
          <w:tcPr>
            <w:tcW w:w="1220" w:type="dxa"/>
            <w:vAlign w:val="bottom"/>
            <w:tcBorders>
              <w:top w:val="single" w:sz="8" w:color="auto"/>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7"/>
          </w:tcPr>
          <w:p>
            <w:pPr>
              <w:jc w:val="right"/>
              <w:ind w:right="107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gridSpan w:val="3"/>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gridSpan w:val="2"/>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40" w:hanging="512"/>
        <w:spacing w:after="0" w:line="276"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6"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March 31, 2018 and December 31, 2017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2018</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2017</w:t>
            </w: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29"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10.8% at March 31, 2018 and 10.5% at December 31, 2017.</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00" w:hanging="255"/>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9" w:name="page50"/>
    <w:bookmarkEnd w:id="49"/>
    <w:p>
      <w:pPr>
        <w:ind w:left="520" w:right="300" w:hanging="255"/>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60" w:hanging="255"/>
        <w:spacing w:after="0" w:line="276"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140" w:hanging="255"/>
        <w:spacing w:after="0" w:line="259"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2018 and December 31, 2017.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March 31, 2018</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5"/>
              </w:rPr>
              <w:t>December 31, 2017</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3"/>
          </w:tcPr>
          <w:p>
            <w:pPr>
              <w:jc w:val="center"/>
              <w:ind w:right="108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 in millions)</w:t>
            </w:r>
          </w:p>
        </w:tc>
        <w:tc>
          <w:tcPr>
            <w:tcW w:w="34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1,662.7</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87.1%</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186.7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250.9</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1,909.3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1,693.7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months ended March 31, 2018 and 2017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6580" w:type="dxa"/>
            <w:vAlign w:val="bottom"/>
            <w:gridSpan w:val="2"/>
            <w:vMerge w:val="restart"/>
          </w:tcPr>
          <w:p>
            <w:pPr>
              <w:ind w:left="1360"/>
              <w:spacing w:after="0"/>
              <w:rPr>
                <w:sz w:val="20"/>
                <w:szCs w:val="20"/>
                <w:color w:val="auto"/>
              </w:rPr>
            </w:pPr>
            <w:r>
              <w:rPr>
                <w:rFonts w:ascii="Arial" w:cs="Arial" w:eastAsia="Arial" w:hAnsi="Arial"/>
                <w:sz w:val="14"/>
                <w:szCs w:val="14"/>
                <w:color w:val="auto"/>
              </w:rPr>
              <w:t>($ in millions)</w:t>
            </w:r>
          </w:p>
        </w:tc>
        <w:tc>
          <w:tcPr>
            <w:tcW w:w="148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6580" w:type="dxa"/>
            <w:vAlign w:val="bottom"/>
            <w:gridSpan w:val="2"/>
            <w:vMerge w:val="continue"/>
          </w:tcPr>
          <w:p>
            <w:pPr>
              <w:spacing w:after="0"/>
              <w:rPr>
                <w:sz w:val="13"/>
                <w:szCs w:val="13"/>
                <w:color w:val="auto"/>
              </w:rPr>
            </w:pPr>
          </w:p>
        </w:tc>
        <w:tc>
          <w:tcPr>
            <w:tcW w:w="148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March 31, 2018</w:t>
            </w:r>
          </w:p>
        </w:tc>
        <w:tc>
          <w:tcPr>
            <w:tcW w:w="10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 xml:space="preserve">Net realized gains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losses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6580" w:type="dxa"/>
            <w:vAlign w:val="bottom"/>
            <w:gridSpan w:val="2"/>
            <w:vMerge w:val="restart"/>
          </w:tcPr>
          <w:p>
            <w:pPr>
              <w:jc w:val="right"/>
              <w:ind w:right="3190"/>
              <w:spacing w:after="0"/>
              <w:rPr>
                <w:sz w:val="20"/>
                <w:szCs w:val="20"/>
                <w:color w:val="auto"/>
              </w:rPr>
            </w:pPr>
            <w:r>
              <w:rPr>
                <w:rFonts w:ascii="Arial" w:cs="Arial" w:eastAsia="Arial" w:hAnsi="Arial"/>
                <w:sz w:val="18"/>
                <w:szCs w:val="18"/>
                <w:color w:val="auto"/>
                <w:w w:val="95"/>
              </w:rPr>
              <w:t>Includes foreign exchange hedging activity.</w:t>
            </w: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6580" w:type="dxa"/>
            <w:vAlign w:val="bottom"/>
            <w:gridSpan w:val="2"/>
          </w:tcPr>
          <w:p>
            <w:pPr>
              <w:jc w:val="right"/>
              <w:ind w:right="105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6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60" w:type="dxa"/>
            <w:vAlign w:val="bottom"/>
            <w:gridSpan w:val="3"/>
          </w:tcPr>
          <w:p>
            <w:pPr>
              <w:spacing w:after="0"/>
              <w:rPr>
                <w:sz w:val="2"/>
                <w:szCs w:val="2"/>
                <w:color w:val="auto"/>
              </w:rPr>
            </w:pPr>
          </w:p>
        </w:tc>
        <w:tc>
          <w:tcPr>
            <w:tcW w:w="12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260" w:type="dxa"/>
            <w:vAlign w:val="bottom"/>
            <w:vMerge w:val="continue"/>
          </w:tcPr>
          <w:p>
            <w:pPr>
              <w:spacing w:after="0"/>
              <w:rPr>
                <w:sz w:val="13"/>
                <w:szCs w:val="13"/>
                <w:color w:val="auto"/>
              </w:rPr>
            </w:pPr>
          </w:p>
        </w:tc>
        <w:tc>
          <w:tcPr>
            <w:tcW w:w="14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March 31, 2018</w:t>
            </w:r>
          </w:p>
        </w:tc>
        <w:tc>
          <w:tcPr>
            <w:tcW w:w="10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March 31, 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340" w:type="dxa"/>
            <w:vAlign w:val="bottom"/>
            <w:tcBorders>
              <w:top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Dividend income</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259"/>
        <w:spacing w:after="0" w:line="268"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$48.8 million for the three months ended March 31, 2017 to $51.7 million for the three months ended March 31, 2018. The average size of our investment portfolio increased from $1.6 billion for the three months ended March 31, 2017 to $1.8 billion for the three months ended March 31, 2018. Accelerated amortization of upfront fees primarily from unscheduled paydowns decreased from $7.0 million for the three months ended March 31, 2017 to $1.4 million for the three months ended March 31, 2018. Prepayment fees increased from $1.1 million for the three months ended March 31, 2017 to $3.7 million for the three months ended March 31, 2018. The accelerated amortization primarily resulted from full paydowns on four portfolio investments, partial paydowns on five portfolio investments and earning prepayment fees on three portfolio investments during the three months ended March 31, 2017. The accelerated amortization and prepayment fees primarily resulted from full paydowns on three portfolio investments, a partial paydown on one portfolio company and earning prepayment fees on five portfolio investments during the three months ended March 31, 2018. Dividend income increased from less than $0.1 million for the three months ended March 31, 2017 to $0.2 million for the three months ended March 31, 2018 following the partial sale of our holdings in TICC during the three months ended March 31, 2017 and the ownership of our TCAP shares during the three months ended March 31, 2018. Other income increased from $2.1 million for the three months ended March 31, 2017 to $5.9 million for the three months ended March 31, 2018, primarily due to higher syndication and other fees during the first quarter of 2018 compared to the same period in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months ended March 31, 2018 and 2017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306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March 31, 2018</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w w:val="98"/>
              </w:rPr>
              <w:t>March 31, 2017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20" w:type="dxa"/>
            <w:vAlign w:val="bottom"/>
          </w:tcPr>
          <w:p>
            <w:pPr>
              <w:spacing w:after="0"/>
              <w:rPr>
                <w:sz w:val="19"/>
                <w:szCs w:val="19"/>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Directors fees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$6.9 million for three months ended March 31, 2017 to $9.1 million for three months ended March 31, 2018. This increase was primarily due an increase in LIBOR and a larger outstanding debt balance during the three months ended March 31, 2018. The average interest rate on our debt outstanding increased from 3.2% for three months ended March 31, 2017 to 3.7% for the three months ended March 31,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Management Fees (net of waivers) increased from $6.1 million for the three months ended March 31, 2017 to $6.6 million for the three months ended March 31, 2018 due to an increase in assets for the three months ended March 31, 2018 compared to the same period in 2017. Management Fees waived were less than $0.1 million for the three months ended March 31, 2018, consisting solely of Management Fees attributable to our ownership of shares of common stock in Triangle Capital Corp. (the “TCAP” Shares). The Adviser did not waive any Management Fees for the three months ended March 31, 2017.</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Incentive Fees (net of waivers) related to pre-Incentive Fee net investment income increased from $6.0 million for three months ended March 31, 2017 to $6.6 million for the three months ended March 31, 2018. This increase resulted from an increase in investment income resulting from our larger investment portfolio for the three months ended March 31, 2018. For the three months ended March 31, 2018, Incentive Fees related to pre-Incentive Fee net investment income of less than $0.1 million were waived, consisting solely of Incentive Fees attributable to our ownership of the TCAP Shares. The Adviser did not waive any Incentive Fees related to pre-Incentive Fee net investment income for the three months ended March 31, 2017. There were no Incentive Fees related to capital gains and losses for each of the three months ended March 31, 2018 and 2017 due to unrealized losses on our investments.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color w:val="auto"/>
        </w:rPr>
        <w:t>Professional fees increased from $1.3 million for the three months ended March 31, 2017 to $2.1 million for the three months ended March 31, 2018 primarily due to the recognition of remaining expenses associated with the initial shelf registration statement that were previously recorded as a deferred financing cost. Other general and administrative fees decreased from $1.3 million for the three months ended March 31, 2017 to $1.2 million for the three months ended March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For the three months ended March 31, 2018, we recorded a net expense of $0.9 million and $0.7 million, respectively, for U.S. federal excise tax.</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2018 and 2017:</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132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March 31, 2018</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realized gains on investments</w:t>
            </w:r>
          </w:p>
        </w:tc>
        <w:tc>
          <w:tcPr>
            <w:tcW w:w="320" w:type="dxa"/>
            <w:vAlign w:val="bottom"/>
            <w:tcBorders>
              <w:top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realized gains on foreign currency transactions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investments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realized gains</w:t>
            </w: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320" w:type="dxa"/>
            <w:vAlign w:val="bottom"/>
            <w:tcBorders>
              <w:top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Unrealized depreciation on foreign currency</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 foreign</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3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3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Losses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For the three months ended March 31, 2018 and 2017 we had net realized gains on investments of $2.7 million and $1.3 million, respectively. For the three months ended March 31, 2018 and 2017, we had net realized gains of $0.1 million and $0.2 million, respectively, on foreign currency transactions, primarily as a result of translating foreign currency related to our non-USD denominated investments. For the three months ended March 31, 2018 and 2017, we had net realized gains of less than $0.1 million and net realized losses of $4.8 million, respectively, on foreign currency investments. For the three months ended March 31, 2018 and 2017, we had net realized gains of less than $0.1 million and $5.2 million, respectively, on foreign currency borrowings. The net realized gains on foreign currency borrowings and foreign currency investments for the three months ended March 31, 2018 were a result of a partial realization on one investment. The net realized gains on foreign currency borrowings and net realized losses on foreign currency investments for the three months ended March 31, 2017 were a result of exiting two investments.</w:t>
      </w:r>
    </w:p>
    <w:p>
      <w:pPr>
        <w:spacing w:after="0" w:line="179"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For the three months ended March 31, 2018 we had $15.8 million in unrealized appreciation on 34 portfolio company investments, which was offset by $10.8 million in unrealized depreciation on 18 portfolio company investments. For the three months ended March 31, 2017 we had $22.9 million in unrealized appreciation on 38 portfolio company investments, which was offset by $19.4 million in unrealized depreciation on 19 portfolio company investments. Unrealized appreciation resulted from an increase in fair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93"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For the three months ended March 31, 2018 and 2017, we had unrealized depreciation on foreign currency borrowings of $1.0 million and $5.8 million, respectively, as a result of fluctuations in the EUR and AUD exchange rates for three months ended March 31, 2018 and EUR and GBP for three months ended March 31, 2017. For the three months ended March 31, 2018 and 2017, we had unrealized depreciation on foreign currency cash and forward contracts of less than $0.1 million and unrealized appreciation of less than $0.1 million, respectively. For the three months ended March 31, 2018 and 2017, we had unrealized depreciation on interest rate swaps of $4.2 million and unrealized appreciation of $0.2 million, respectively, on interest rate swaps due to fluctuations in interest rates and the periodic settlement of interest rate swaps.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Since we began investing in 2011 through March 31, 2018, weighted by capital invested, our exited investments have generated an average realized gross internal rate of return to us of 18.6% (based on total capital invested of $2.7 billion and total proceeds from these exited investments of $3.4 billion). Eighty eight percent of these exited investments resulted in a realized gross internal rate of return to us of 10% or greater.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3" w:name="page54"/>
    <w:bookmarkEnd w:id="53"/>
    <w:p>
      <w:pPr>
        <w:ind w:right="8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2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10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4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months ended March 31, 2018 and 2017, we incurred $1.0 million and $5.8 million, respectively, of unrealized losses on the translation of our non-U.S. dollar denominated debt into U.S. dollars; such amounts approximate the corresponding unrealized gains and losses on the translation of our non-U.S. dollar denominated investments into U.S. dollars for the three months ended March 31, 2018 and 2017. See Note 2 for additional disclosure regarding our accounting for foreign currency. See Note 7 for additional disclosure regarding the amounts of outstanding debt denominated in each foreign currency at March 31, 2018 and 2017. See our consolidated schedule of investments for additional disclosure regarding the foreign currency amounts (in both par and fair value) of our non-U.S. dollar denominated investments.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180"/>
        <w:spacing w:after="0" w:line="259" w:lineRule="auto"/>
        <w:rPr>
          <w:sz w:val="20"/>
          <w:szCs w:val="20"/>
          <w:color w:val="auto"/>
        </w:rPr>
      </w:pPr>
      <w:r>
        <w:rPr>
          <w:rFonts w:ascii="Arial" w:cs="Arial" w:eastAsia="Arial" w:hAnsi="Arial"/>
          <w:sz w:val="18"/>
          <w:szCs w:val="18"/>
          <w:color w:val="auto"/>
        </w:rPr>
        <w:t>(less total liabilities other than indebtedness) to total indebtedness plus preferred stock, is at least 200%. As of March 31, 2018 and December 31, 2017, our asset coverage ratio was 222.5% and 235.5%,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Cash and cash equivalents as of March 31, 2018, taken together with cash available under our credit facilities, is expected to be sufficient for our investing activities and to conduct our operations in the near term. As of March 31, 2018, we had approximately $421.1 million of availability on our Revolving Credit Facility, subject to asset coverage limitations.</w:t>
      </w:r>
    </w:p>
    <w:p>
      <w:pPr>
        <w:spacing w:after="0" w:line="18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As of March 31, 2018, we had $8.9 million in cash and cash equivalents, including $5.7 million of restricted cash, an increase of $2.2 million from December 31, 2017. During the three months ended March 31, 2018, we used $169.2 million in cash from operating activities, primarily as a result of funding portfolio investments of $319.2 million, which was offset by repayments and proceeds from investments of $115.8 million, an increase in net assets resulting from operations of $33.8 million and other operating activity of $0.4 million. Lastly, cash provided by financing activities was $171.4 million during the period, primarily due to borrowings of $539.0 million (including the issuance of $150.0 million principal amount of our 2023 Notes) and proceeds from issuance of common stock, net of offering and underwriting costs, of $63.0 million, which was partially offset by paydowns on our Revolving Credit Facility of $402.9 million (including $146.9 million net proceeds from our 2023 Senior Notes and $63.0 million net proceeds from our equity offering in March 2018), dividends paid of $22.1 million and deferred financing costs of $5.6 million.</w:t>
      </w:r>
    </w:p>
    <w:p>
      <w:pPr>
        <w:spacing w:after="0" w:line="179"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As of March 31, 2018, we had $5.7 million of restricted cash pledged as collateral under our interest rate swap agreements, an increase of $2.5 million from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During the three months ended March 31, 2018 and 2017, we issued 169,750 and 122,836 shares of our common stock, respectively, to investors who have not opted out of our dividend reinvestment plan for proceeds of $3.2 million and $2.3 million, respectively. On April 13, 2018, we issued 198,296 shares of our common stock through our dividend reinvestment plan for proceeds of $3.3 million, which is not reflected in the number of shares issued for the three months ended March 31, 2018 in this section or the consolidated financial statements for the three months ended March 31, 2018.</w:t>
      </w:r>
    </w:p>
    <w:p>
      <w:pPr>
        <w:spacing w:after="0" w:line="171"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color w:val="auto"/>
        </w:rPr>
        <w:t>For the three months ended March 31, 2018 and 2017, no shares were repurchased under the Company 10b5-1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2018 and December 31,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90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9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2019 and 2022 Convertible Senior Notes, and 2023 Notes are presented net of deferred financing costs of $9.2 million, $1.3 million, $3.0 million and $3.0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2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and 2022 Convertible Senior Notes are presented net of deferred financing costs of $7.1 million, $1.5 million and $3.2 million, respectively.</w:t>
      </w:r>
    </w:p>
    <w:p>
      <w:pPr>
        <w:spacing w:after="0" w:line="18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As of March 31, 2018 and December 31, 2017,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March 31, 2018, aggregate commitments under the facility were $895 million. The facility includes an uncommitted accordion feature that allows us, under certain circumstances, to increase the size of the facility to up to $1.25 billion.</w:t>
      </w:r>
    </w:p>
    <w:p>
      <w:pPr>
        <w:spacing w:after="0" w:line="170"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revolving period, during which period we, subject to certain conditions, may make borrowings under the facility, ends February 18, 2022 and the stated maturity date is February 17, 2023.</w:t>
      </w:r>
    </w:p>
    <w:p>
      <w:pPr>
        <w:spacing w:after="0" w:line="170"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March 31, 2018, we had outstanding debt denominated in Australian Dollars (AUD) of 46.0 million and Euro (EUR) of 58.2 million on our Revolving Credit Facility, included in the Outstanding Principal amount in the table above.</w:t>
      </w:r>
    </w:p>
    <w:p>
      <w:pPr>
        <w:spacing w:after="0" w:line="181" w:lineRule="exact"/>
        <w:rPr>
          <w:sz w:val="20"/>
          <w:szCs w:val="20"/>
          <w:color w:val="auto"/>
        </w:rPr>
      </w:pPr>
    </w:p>
    <w:p>
      <w:pPr>
        <w:jc w:val="both"/>
        <w:ind w:right="46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March 31, 2018 and December 31, 2017,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ind w:right="60"/>
        <w:spacing w:after="0" w:line="264" w:lineRule="auto"/>
        <w:rPr>
          <w:sz w:val="20"/>
          <w:szCs w:val="20"/>
          <w:color w:val="auto"/>
        </w:rPr>
      </w:pPr>
      <w:r>
        <w:rPr>
          <w:rFonts w:ascii="Arial" w:cs="Arial" w:eastAsia="Arial" w:hAnsi="Arial"/>
          <w:sz w:val="18"/>
          <w:szCs w:val="18"/>
          <w:color w:val="auto"/>
        </w:rPr>
        <w:t>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81"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380" w:hanging="255"/>
        <w:spacing w:after="0" w:line="375" w:lineRule="auto"/>
        <w:tabs>
          <w:tab w:leader="none" w:pos="5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February 20, 2018.</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2018 and net proceeds received from the issuance of the 2022 Convertible Senior Notes and 2023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20" w:firstLine="259"/>
        <w:spacing w:after="0" w:line="287" w:lineRule="auto"/>
        <w:rPr>
          <w:sz w:val="20"/>
          <w:szCs w:val="20"/>
          <w:color w:val="auto"/>
        </w:rPr>
      </w:pPr>
      <w:r>
        <w:rPr>
          <w:rFonts w:ascii="Arial" w:cs="Arial" w:eastAsia="Arial" w:hAnsi="Arial"/>
          <w:sz w:val="16"/>
          <w:szCs w:val="16"/>
          <w:color w:val="auto"/>
        </w:rPr>
        <w:t>In June 2014, we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 $25.83 per share of our common stock, subject to customary anti-dilution adjustments. As of March 31, 2018, the estimated adjusted conversion price was approximately $25.35 per share of common stock.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right="140" w:firstLine="259"/>
        <w:spacing w:after="0" w:line="269" w:lineRule="auto"/>
        <w:rPr>
          <w:sz w:val="20"/>
          <w:szCs w:val="20"/>
          <w:color w:val="auto"/>
        </w:rPr>
      </w:pPr>
      <w:r>
        <w:rPr>
          <w:rFonts w:ascii="Arial" w:cs="Arial" w:eastAsia="Arial" w:hAnsi="Arial"/>
          <w:sz w:val="17"/>
          <w:szCs w:val="17"/>
          <w:color w:val="auto"/>
        </w:rPr>
        <w:t>In February 2017, we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our common stock or a combination of cash and shares of our common stock, at our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As of March 31, 2018, the estimated adjusted conversion price was approximately $21.12 per share of common stock. The sale of the 2022 Convertible Senior Notes generated net proceeds of approximately $111.2 million. We used the net proceeds of the offering to pay down debt under the Revolving Credit Facility. In connection with the offering of 2022 Convertible Senior Notes, we have entered into an interest rate swap to continue to align the interest rates of our liabilities with our investment portfolio, which consists of predominately floating rate loans. As a result of the swaps, our effective interest rate on the 2022 Convertible Senior Notes is three-month LIBOR plus 2.37%.</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Holders may convert their 2022 Convertible Senior Notes at their option at any time prior to February 1, 2022 only under the following circumstances:</w:t>
      </w:r>
    </w:p>
    <w:p>
      <w:pPr>
        <w:spacing w:after="0" w:line="35" w:lineRule="exact"/>
        <w:rPr>
          <w:sz w:val="20"/>
          <w:szCs w:val="20"/>
          <w:color w:val="auto"/>
        </w:rPr>
      </w:pPr>
    </w:p>
    <w:p>
      <w:pPr>
        <w:ind w:right="80" w:firstLine="8"/>
        <w:spacing w:after="0" w:line="287"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Convertible Senior Notes are our senior unsecured obligations and rank senior in right of payment to our future indebtedness that is expressly subordinated in right of payment to the Convertible Senior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of March 31, 2018, the principal amount of the 2019 and 2022 Convertible Senior Notes exceeded the value of the underlying shares multiplied by the per share closing price of our common stock.</w:t>
      </w:r>
    </w:p>
    <w:p>
      <w:pPr>
        <w:spacing w:after="0" w:line="170"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indentures governing the 2019 and 2022 Convertible Senior Notes contain certain covenants, including covenants requiring us to comply with the requirement under the 1940 Act that our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March 31, 2018, we were in compliance with the terms of the indentures governing the 2019 and 2022 Convertible Senior Notes.</w:t>
      </w:r>
    </w:p>
    <w:p>
      <w:pPr>
        <w:spacing w:after="0" w:line="188" w:lineRule="exact"/>
        <w:rPr>
          <w:sz w:val="20"/>
          <w:szCs w:val="20"/>
          <w:color w:val="auto"/>
        </w:rPr>
      </w:pPr>
    </w:p>
    <w:p>
      <w:pPr>
        <w:ind w:firstLine="259"/>
        <w:spacing w:after="0" w:line="286"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2019 and 2022 Convertible Senior Notes. We have determined that the embedded conversion options in the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2019 and 2022 Convertible Senior Notes are not required to be separately accounted for as a derivative under U.S. GAAP. In accounting for the 2019 and 2022 Convertible Senior Notes, we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40" w:firstLine="259"/>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incorporated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2018 and December 31, 2017, we had the following commitments to fund investments in current portfolio companies: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Arial" w:cs="Arial" w:eastAsia="Arial" w:hAnsi="Arial"/>
                <w:sz w:val="14"/>
                <w:szCs w:val="14"/>
                <w:color w:val="auto"/>
              </w:rPr>
              <w:t>($ in millions)</w:t>
            </w:r>
          </w:p>
        </w:tc>
        <w:tc>
          <w:tcPr>
            <w:tcW w:w="13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440" w:type="dxa"/>
            <w:vAlign w:val="bottom"/>
            <w:tcBorders>
              <w:top w:val="single" w:sz="8" w:color="auto"/>
            </w:tcBorders>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Bazaarvoice, Inc.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Industrial Physics, LLC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Motus, LLC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Marketo, Inc. - Revolver</w:t>
            </w:r>
          </w:p>
        </w:tc>
        <w:tc>
          <w:tcPr>
            <w:tcW w:w="4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Northern Oil &amp; Gas, Inc. - Delayed Draw</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PageUp People Limited - Delayed Draw</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PaySimple, Inc.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Rex Energy Corporation - Delayed Draw</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Riskonnect, Inc.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4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As of March 31, 2018 and December 31, 2017, we did not have any unfunded commitments to fund new investments to new borrowers that were not current portfolio companies.</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March 31, 2018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2023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12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2017, filed with the SEC on February 21, 2018,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ind w:right="260" w:firstLine="259"/>
        <w:spacing w:after="0" w:line="259" w:lineRule="auto"/>
        <w:rPr>
          <w:sz w:val="20"/>
          <w:szCs w:val="20"/>
          <w:color w:val="auto"/>
        </w:rPr>
      </w:pPr>
      <w:r>
        <w:rPr>
          <w:rFonts w:ascii="Arial" w:cs="Arial" w:eastAsia="Arial" w:hAnsi="Arial"/>
          <w:sz w:val="18"/>
          <w:szCs w:val="18"/>
          <w:color w:val="auto"/>
        </w:rPr>
        <w:t>As of March 31, 2018, 100.0% of our debt investments based on fair value in our portfolio bore interest at floating rates (when including investment specific hedges), with 94.1% of these subject to interest rate floors. Our credit facilities also bear interest at floating rates and in connection with our 2019 Convertible Senior Notes, 2022 Convertible Senior Notes and 2023 Notes, which bear interest at a fixed rate; we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March 31, 2018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bl>
    <w:p>
      <w:pPr>
        <w:spacing w:after="0" w:line="24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2017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Legislation may allow us to incur additional leverage.</w:t>
      </w:r>
    </w:p>
    <w:p>
      <w:pPr>
        <w:spacing w:after="0" w:line="117" w:lineRule="exact"/>
        <w:rPr>
          <w:sz w:val="20"/>
          <w:szCs w:val="20"/>
          <w:color w:val="auto"/>
        </w:rPr>
      </w:pPr>
    </w:p>
    <w:p>
      <w:pPr>
        <w:ind w:right="100" w:firstLine="259"/>
        <w:spacing w:after="0" w:line="286"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we have the ability to elect to become subject to a lower asset coverage requirement of 150%, subject to our receipt of the requisite board or stockholder approvals under the SBCAA and satisfaction of certain other conditions. Specifically, we may receive approval to increase our amount of available leverage under the 1940 Act either from stockholders holding a majority of the votes cast at a meeting at which a quorum is present, or from our board, including a majority of our board members who are not "interested persons" within the meaning of the 1940 Act. If we receive board approval to reduce our asset coverage requirement, though, we must wait one year from the date of such approval prior to its effectiveness. In both cases, we would be required to make certain disclosures on our website and in SEC filings regarding, among other things, the receipt of approval to increase our leverage, our leverage capacity and usage, and risks related to leverage. We would be also required to amend the terms of our Revolving Credit Facility in order to incur leverage based on an asset coverage ratio of 150%. While we have not determined whether and to what extent we may do so, to the extent we seek to take advantage of the increased leverage potentially available to us under the SBCAA we may be able to increase our leverage up to an amount that reduces our asset coverage ratio from 200% to 150% and as a result you may face increased investment risk. In addition, since our Management Fee is calculated as a percentage of the value of our gross assets, which includes cash, cash equivalents and any borrowings for investment purposes, our Management Fee expenses could increase if we incur additional indebtedness and our gross assets increase.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243" w:lineRule="exact"/>
        <w:rPr>
          <w:sz w:val="20"/>
          <w:szCs w:val="20"/>
          <w:color w:val="auto"/>
        </w:rPr>
      </w:pPr>
    </w:p>
    <w:p>
      <w:pPr>
        <w:ind w:left="580" w:hanging="449"/>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93">
        <w:r>
          <w:rPr>
            <w:rFonts w:ascii="Arial" w:cs="Arial" w:eastAsia="Arial" w:hAnsi="Arial"/>
            <w:sz w:val="18"/>
            <w:szCs w:val="18"/>
            <w:u w:val="single" w:color="auto"/>
            <w:color w:val="0000EE"/>
          </w:rPr>
          <w:t>Indenture, dated as of January 22, 2018, between TPG Specialty Lending, Inc. and Wells Fargo Bank, National Association, as Trustee (incorporated</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by reference to Exhibit 4.1 to the Company's Current Report on Form 8-K filed on January 22, 2018)</w:t>
        </w:r>
      </w:hyperlink>
    </w:p>
    <w:p>
      <w:pPr>
        <w:spacing w:after="0" w:line="76" w:lineRule="exact"/>
        <w:rPr>
          <w:sz w:val="20"/>
          <w:szCs w:val="20"/>
          <w:color w:val="auto"/>
        </w:rPr>
      </w:pPr>
    </w:p>
    <w:p>
      <w:pPr>
        <w:ind w:left="580" w:right="180" w:hanging="449"/>
        <w:spacing w:after="0" w:line="308" w:lineRule="auto"/>
        <w:tabs>
          <w:tab w:leader="none" w:pos="5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94">
        <w:r>
          <w:rPr>
            <w:rFonts w:ascii="Arial" w:cs="Arial" w:eastAsia="Arial" w:hAnsi="Arial"/>
            <w:sz w:val="17"/>
            <w:szCs w:val="17"/>
            <w:u w:val="single" w:color="auto"/>
            <w:color w:val="0000EE"/>
          </w:rPr>
          <w:t>First Supplemental Indenture, dated as of January 22, 2018, between TPG Specialty Lending, Inc. and Wells Fargo Bank, National Association, as</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Trustee (incorporated by reference to Exhibit 4.2 to the Company's Current Report on Form 8-K filed on January 22, 2018)</w:t>
        </w:r>
      </w:hyperlink>
    </w:p>
    <w:p>
      <w:pPr>
        <w:spacing w:after="0" w:line="52" w:lineRule="exact"/>
        <w:rPr>
          <w:sz w:val="20"/>
          <w:szCs w:val="20"/>
          <w:color w:val="auto"/>
        </w:rPr>
      </w:pPr>
    </w:p>
    <w:p>
      <w:pPr>
        <w:ind w:left="14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94">
        <w:r>
          <w:rPr>
            <w:rFonts w:ascii="Arial" w:cs="Arial" w:eastAsia="Arial" w:hAnsi="Arial"/>
            <w:sz w:val="16"/>
            <w:szCs w:val="16"/>
            <w:u w:val="single" w:color="auto"/>
            <w:color w:val="0000EE"/>
          </w:rPr>
          <w:t>Form of 4.500% Note Due 2023 (incorporated by reference to Exhibit 4.3 to the Company's Current Report on Form 8-K filed on January 22, 2018)</w:t>
        </w:r>
      </w:hyperlink>
    </w:p>
    <w:p>
      <w:pPr>
        <w:spacing w:after="0" w:line="131" w:lineRule="exact"/>
        <w:rPr>
          <w:sz w:val="20"/>
          <w:szCs w:val="20"/>
          <w:color w:val="auto"/>
        </w:rPr>
      </w:pPr>
    </w:p>
    <w:p>
      <w:pPr>
        <w:ind w:left="580" w:hanging="494"/>
        <w:spacing w:after="0" w:line="264"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95">
        <w:r>
          <w:rPr>
            <w:rFonts w:ascii="Arial" w:cs="Arial" w:eastAsia="Arial" w:hAnsi="Arial"/>
            <w:sz w:val="18"/>
            <w:szCs w:val="18"/>
            <w:u w:val="single" w:color="auto"/>
            <w:color w:val="0000EE"/>
          </w:rPr>
          <w:t>Sixth Amendment to Second Amended and Restated Senior Secured Revolving Credit Agreement, dated February 20, 2018, among TPG Specialty</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Lending, Inc., as Borrower, the Lenders party thereto and SunTrust Bank, as Administrative Agent (incorporated by reference to Exhibit 10.16 to the</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Company's Annual Report on Form 10-K filed on February 21, 2018)</w:t>
        </w:r>
      </w:hyperlink>
    </w:p>
    <w:p>
      <w:pPr>
        <w:spacing w:after="0" w:line="100" w:lineRule="exact"/>
        <w:rPr>
          <w:rFonts w:ascii="Arial" w:cs="Arial" w:eastAsia="Arial" w:hAnsi="Arial"/>
          <w:sz w:val="18"/>
          <w:szCs w:val="18"/>
          <w:u w:val="single" w:color="auto"/>
          <w:color w:val="0000EE"/>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6">
        <w:r>
          <w:rPr>
            <w:rFonts w:ascii="Arial" w:cs="Arial" w:eastAsia="Arial" w:hAnsi="Arial"/>
            <w:sz w:val="16"/>
            <w:szCs w:val="16"/>
            <w:u w:val="single" w:color="auto"/>
            <w:color w:val="0000EE"/>
          </w:rPr>
          <w:t>Certification of Chief Executive Officer Pursuant to 18 U.S.C. Section 1350, as Adopted Pursuant to Section 302 of the Sarbanes-Oxley Act of 2002</w:t>
        </w:r>
      </w:hyperlink>
    </w:p>
    <w:p>
      <w:pPr>
        <w:spacing w:after="0" w:line="131" w:lineRule="exact"/>
        <w:rPr>
          <w:rFonts w:ascii="Arial" w:cs="Arial" w:eastAsia="Arial" w:hAnsi="Arial"/>
          <w:sz w:val="18"/>
          <w:szCs w:val="18"/>
          <w:u w:val="single" w:color="auto"/>
          <w:color w:val="0000EE"/>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7">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hyperlink>
    </w:p>
    <w:p>
      <w:pPr>
        <w:spacing w:after="0" w:line="131" w:lineRule="exact"/>
        <w:rPr>
          <w:rFonts w:ascii="Arial" w:cs="Arial" w:eastAsia="Arial" w:hAnsi="Arial"/>
          <w:sz w:val="18"/>
          <w:szCs w:val="18"/>
          <w:u w:val="single" w:color="auto"/>
          <w:color w:val="0000EE"/>
        </w:rPr>
      </w:pPr>
    </w:p>
    <w:p>
      <w:pPr>
        <w:ind w:left="580" w:hanging="486"/>
        <w:spacing w:after="0"/>
        <w:tabs>
          <w:tab w:leader="none" w:pos="580" w:val="left"/>
        </w:tabs>
        <w:numPr>
          <w:ilvl w:val="0"/>
          <w:numId w:val="55"/>
        </w:numPr>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4"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3380"/>
              <w:spacing w:after="0"/>
              <w:rPr>
                <w:sz w:val="20"/>
                <w:szCs w:val="20"/>
                <w:color w:val="auto"/>
              </w:rPr>
            </w:pPr>
            <w:r>
              <w:rPr>
                <w:rFonts w:ascii="Arial" w:cs="Arial" w:eastAsia="Arial" w:hAnsi="Arial"/>
                <w:sz w:val="18"/>
                <w:szCs w:val="18"/>
                <w:color w:val="auto"/>
              </w:rPr>
              <w:t>TPG SPECIALTY LENDING,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3, 2018</w:t>
            </w:r>
          </w:p>
        </w:tc>
        <w:tc>
          <w:tcPr>
            <w:tcW w:w="7920" w:type="dxa"/>
            <w:vAlign w:val="bottom"/>
            <w:gridSpan w:val="2"/>
          </w:tcPr>
          <w:p>
            <w:pPr>
              <w:ind w:left="3380"/>
              <w:spacing w:after="0"/>
              <w:rPr>
                <w:sz w:val="20"/>
                <w:szCs w:val="20"/>
                <w:color w:val="auto"/>
              </w:rPr>
            </w:pPr>
            <w:r>
              <w:rPr>
                <w:rFonts w:ascii="Arial" w:cs="Arial" w:eastAsia="Arial" w:hAnsi="Arial"/>
                <w:sz w:val="18"/>
                <w:szCs w:val="18"/>
                <w:color w:val="auto"/>
              </w:rPr>
              <w:t>By: /s/ Joshua Easterly</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3, 2018</w:t>
            </w:r>
          </w:p>
        </w:tc>
        <w:tc>
          <w:tcPr>
            <w:tcW w:w="7920" w:type="dxa"/>
            <w:vAlign w:val="bottom"/>
            <w:gridSpan w:val="2"/>
          </w:tcPr>
          <w:p>
            <w:pPr>
              <w:ind w:left="3380"/>
              <w:spacing w:after="0"/>
              <w:rPr>
                <w:sz w:val="20"/>
                <w:szCs w:val="20"/>
                <w:color w:val="auto"/>
              </w:rPr>
            </w:pPr>
            <w:r>
              <w:rPr>
                <w:rFonts w:ascii="Arial" w:cs="Arial" w:eastAsia="Arial" w:hAnsi="Arial"/>
                <w:sz w:val="18"/>
                <w:szCs w:val="18"/>
                <w:color w:val="auto"/>
              </w:rPr>
              <w:t>By: /s/ Ian Simmonds</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00" w:type="dxa"/>
            <w:vAlign w:val="bottom"/>
          </w:tcPr>
          <w:p>
            <w:pPr>
              <w:spacing w:after="0"/>
              <w:rPr>
                <w:sz w:val="24"/>
                <w:szCs w:val="24"/>
                <w:color w:val="auto"/>
              </w:rPr>
            </w:pPr>
          </w:p>
        </w:tc>
        <w:tc>
          <w:tcPr>
            <w:tcW w:w="3740" w:type="dxa"/>
            <w:vAlign w:val="bottom"/>
          </w:tcPr>
          <w:p>
            <w:pPr>
              <w:jc w:val="right"/>
              <w:ind w:right="1350"/>
              <w:spacing w:after="0"/>
              <w:rPr>
                <w:sz w:val="20"/>
                <w:szCs w:val="20"/>
                <w:color w:val="auto"/>
              </w:rPr>
            </w:pPr>
            <w:r>
              <w:rPr>
                <w:rFonts w:ascii="Arial" w:cs="Arial" w:eastAsia="Arial" w:hAnsi="Arial"/>
                <w:sz w:val="18"/>
                <w:szCs w:val="18"/>
                <w:color w:val="auto"/>
              </w:rPr>
              <w:t>65</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3, 2018</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By:  /s/ Joshua Easterly</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3, 2018</w:t>
            </w:r>
          </w:p>
        </w:tc>
        <w:tc>
          <w:tcPr>
            <w:tcW w:w="7300" w:type="dxa"/>
            <w:vAlign w:val="bottom"/>
            <w:gridSpan w:val="2"/>
          </w:tcPr>
          <w:p>
            <w:pPr>
              <w:ind w:left="276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Ian Simmonds</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2018,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May 3, 2018</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May 3, 2018</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lvl w:ilvl="1">
      <w:lvlJc w:val="left"/>
      <w:lvlText w:val="(%2)"/>
      <w:numFmt w:val="lowerLetter"/>
      <w:start w:val="1"/>
    </w:lvl>
  </w:abstractNum>
  <w:abstractNum w:abstractNumId="4">
    <w:nsid w:val="737B8DDC"/>
    <w:multiLevelType w:val="hybridMultilevel"/>
    <w:lvl w:ilvl="0">
      <w:lvlJc w:val="left"/>
      <w:lvlText w:val="(%1)"/>
      <w:numFmt w:val="decimal"/>
      <w:start w:val="1"/>
    </w:lvl>
    <w:lvl w:ilvl="1">
      <w:lvlJc w:val="left"/>
      <w:lvlText w:val="%2"/>
      <w:numFmt w:val="lowerLetter"/>
      <w:start w:val="1"/>
    </w:lvl>
  </w:abstractNum>
  <w:abstractNum w:abstractNumId="5">
    <w:nsid w:val="6CEAF087"/>
    <w:multiLevelType w:val="hybridMultilevel"/>
    <w:lvl w:ilvl="0">
      <w:lvlJc w:val="left"/>
      <w:lvlText w:val="%1"/>
      <w:numFmt w:val="decimal"/>
      <w:start w:val="1"/>
    </w:lvl>
    <w:lvl w:ilvl="1">
      <w:lvlJc w:val="left"/>
      <w:lvlText w:val="(%2)"/>
      <w:numFmt w:val="lowerLetter"/>
      <w:start w:val="1"/>
    </w:lvl>
  </w:abstractNum>
  <w:abstractNum w:abstractNumId="6">
    <w:nsid w:val="22221A70"/>
    <w:multiLevelType w:val="hybridMultilevel"/>
    <w:lvl w:ilvl="0">
      <w:lvlJc w:val="left"/>
      <w:lvlText w:val="(%1)"/>
      <w:numFmt w:val="decimal"/>
      <w:start w:val="7"/>
    </w:lvl>
    <w:lvl w:ilvl="1">
      <w:lvlJc w:val="left"/>
      <w:lvlText w:val="%2"/>
      <w:numFmt w:val="lowerLetter"/>
      <w:start w:val="1"/>
    </w:lvl>
  </w:abstractNum>
  <w:abstractNum w:abstractNumId="7">
    <w:nsid w:val="4516DDE9"/>
    <w:multiLevelType w:val="hybridMultilevel"/>
    <w:lvl w:ilvl="0">
      <w:lvlJc w:val="left"/>
      <w:lvlText w:val="(%1)"/>
      <w:numFmt w:val="decimal"/>
      <w:start w:val="9"/>
    </w:lvl>
  </w:abstractNum>
  <w:abstractNum w:abstractNumId="8">
    <w:nsid w:val="3006C83E"/>
    <w:multiLevelType w:val="hybridMultilevel"/>
    <w:lvl w:ilvl="0">
      <w:lvlJc w:val="left"/>
      <w:lvlText w:val="%1"/>
      <w:numFmt w:val="decimal"/>
      <w:start w:val="1"/>
    </w:lvl>
    <w:lvl w:ilvl="1">
      <w:lvlJc w:val="left"/>
      <w:lvlText w:val="(%2)"/>
      <w:numFmt w:val="lowerLetter"/>
      <w:start w:val="1"/>
    </w:lvl>
  </w:abstractNum>
  <w:abstractNum w:abstractNumId="9">
    <w:nsid w:val="614FD4A1"/>
    <w:multiLevelType w:val="hybridMultilevel"/>
    <w:lvl w:ilvl="0">
      <w:lvlJc w:val="left"/>
      <w:lvlText w:val="(%1)"/>
      <w:numFmt w:val="decimal"/>
      <w:start w:val="1"/>
    </w:lvl>
    <w:lvl w:ilvl="1">
      <w:lvlJc w:val="left"/>
      <w:lvlText w:val="%2"/>
      <w:numFmt w:val="lowerLetter"/>
      <w:start w:val="1"/>
    </w:lvl>
  </w:abstractNum>
  <w:abstractNum w:abstractNumId="10">
    <w:nsid w:val="419AC241"/>
    <w:multiLevelType w:val="hybridMultilevel"/>
    <w:lvl w:ilvl="0">
      <w:lvlJc w:val="left"/>
      <w:lvlText w:val="(%1)"/>
      <w:numFmt w:val="decimal"/>
      <w:start w:val="5"/>
    </w:lvl>
  </w:abstractNum>
  <w:abstractNum w:abstractNumId="11">
    <w:nsid w:val="5577F8E1"/>
    <w:multiLevelType w:val="hybridMultilevel"/>
    <w:lvl w:ilvl="0">
      <w:lvlJc w:val="left"/>
      <w:lvlText w:val="%1"/>
      <w:numFmt w:val="decimal"/>
      <w:start w:val="1"/>
    </w:lvl>
    <w:lvl w:ilvl="1">
      <w:lvlJc w:val="left"/>
      <w:lvlText w:val="(%2)"/>
      <w:numFmt w:val="lowerLetter"/>
      <w:start w:val="1"/>
    </w:lvl>
  </w:abstractNum>
  <w:abstractNum w:abstractNumId="12">
    <w:nsid w:val="440BADFC"/>
    <w:multiLevelType w:val="hybridMultilevel"/>
    <w:lvl w:ilvl="0">
      <w:lvlJc w:val="left"/>
      <w:lvlText w:val="(%1)"/>
      <w:numFmt w:val="decimal"/>
      <w:start w:val="7"/>
    </w:lvl>
    <w:lvl w:ilvl="1">
      <w:lvlJc w:val="left"/>
      <w:lvlText w:val="%2"/>
      <w:numFmt w:val="lowerLetter"/>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lowerRoman"/>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0"/>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2"/>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6"/>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32"/>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6" Type="http://schemas.openxmlformats.org/officeDocument/2006/relationships/image" Target="media/image86.png"/><Relationship Id="rId93" Type="http://schemas.openxmlformats.org/officeDocument/2006/relationships/hyperlink" Target="http://www.sec.gov/Archives/edgar/data/0001508655/000119312518016134/d428064dex41.htm" TargetMode="External"/><Relationship Id="rId94" Type="http://schemas.openxmlformats.org/officeDocument/2006/relationships/hyperlink" Target="http://www.sec.gov/Archives/edgar/data/0001508655/000119312518016134/d428064dex42.htm" TargetMode="External"/><Relationship Id="rId95" Type="http://schemas.openxmlformats.org/officeDocument/2006/relationships/hyperlink" Target="http://www.sec.gov/Archives/edgar/data/0001508655/000156459018002665/tslx-ex1016_37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2019-12-28T22:39:08Z</dcterms:created>
  <dcterms:modified xsi:type="dcterms:W3CDTF">2019-12-28T22:39:08Z</dcterms:modified>
</cp:coreProperties>
</file>