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00" w:type="dxa"/>
            <w:vAlign w:val="bottom"/>
          </w:tcPr>
          <w:p>
            <w:pPr>
              <w:jc w:val="center"/>
              <w:ind w:right="1902"/>
              <w:spacing w:after="0"/>
              <w:rPr>
                <w:sz w:val="20"/>
                <w:szCs w:val="20"/>
                <w:color w:val="auto"/>
              </w:rPr>
            </w:pPr>
            <w:r>
              <w:rPr>
                <w:rFonts w:ascii="Arial" w:cs="Arial" w:eastAsia="Arial" w:hAnsi="Arial"/>
                <w:sz w:val="18"/>
                <w:szCs w:val="18"/>
                <w:b w:val="1"/>
                <w:bCs w:val="1"/>
                <w:color w:val="auto"/>
                <w:w w:val="87"/>
              </w:rPr>
              <w:t>301 Commerce Street, Suite 3300,</w:t>
            </w:r>
          </w:p>
        </w:tc>
        <w:tc>
          <w:tcPr>
            <w:tcW w:w="3040" w:type="dxa"/>
            <w:vAlign w:val="bottom"/>
          </w:tcPr>
          <w:p>
            <w:pPr>
              <w:spacing w:after="0"/>
              <w:rPr>
                <w:sz w:val="24"/>
                <w:szCs w:val="24"/>
                <w:color w:val="auto"/>
              </w:rPr>
            </w:pPr>
          </w:p>
        </w:tc>
      </w:tr>
      <w:tr>
        <w:trPr>
          <w:trHeight w:val="231"/>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94"/>
              </w:rPr>
              <w:t>Fort Worth, TX</w:t>
            </w:r>
          </w:p>
        </w:tc>
        <w:tc>
          <w:tcPr>
            <w:tcW w:w="304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40" w:space="380"/>
            <w:col w:w="160" w:space="100"/>
            <w:col w:w="5960" w:space="720"/>
            <w:col w:w="1920" w:space="480"/>
            <w:col w:w="160"/>
          </w:cols>
          <w:pgMar w:left="240" w:top="230" w:right="239" w:bottom="1440" w:gutter="0" w:footer="0" w:header="0"/>
          <w:type w:val="continuous"/>
        </w:sectPr>
      </w:pPr>
    </w:p>
    <w:p>
      <w:pPr>
        <w:spacing w:after="0" w:line="184" w:lineRule="exact"/>
        <w:tabs>
          <w:tab w:leader="none" w:pos="9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40" w:space="180"/>
            <w:col w:w="1200"/>
          </w:cols>
          <w:pgMar w:left="240" w:top="230"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May 7, 2014 was 53,347,891.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7"/>
            <w:vMerge w:val="restart"/>
          </w:tcPr>
          <w:p>
            <w:pPr>
              <w:ind w:left="460"/>
              <w:spacing w:after="0"/>
              <w:rPr>
                <w:sz w:val="20"/>
                <w:szCs w:val="20"/>
                <w:color w:val="auto"/>
              </w:rPr>
            </w:pPr>
            <w:r>
              <w:rPr>
                <w:rFonts w:ascii="Arial" w:cs="Arial" w:eastAsia="Arial" w:hAnsi="Arial"/>
                <w:sz w:val="14"/>
                <w:szCs w:val="14"/>
                <w:b w:val="1"/>
                <w:bCs w:val="1"/>
                <w:color w:val="auto"/>
              </w:rPr>
              <w:t>INDEX</w:t>
            </w:r>
          </w:p>
        </w:tc>
        <w:tc>
          <w:tcPr>
            <w:tcW w:w="20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302"/>
        </w:trPr>
        <w:tc>
          <w:tcPr>
            <w:tcW w:w="880" w:type="dxa"/>
            <w:vAlign w:val="bottom"/>
          </w:tcPr>
          <w:p>
            <w:pPr>
              <w:spacing w:after="0"/>
              <w:rPr>
                <w:sz w:val="20"/>
                <w:szCs w:val="20"/>
                <w:color w:val="auto"/>
              </w:rPr>
            </w:pPr>
            <w:r>
              <w:rPr>
                <w:rFonts w:ascii="Arial" w:cs="Arial" w:eastAsia="Arial" w:hAnsi="Arial"/>
                <w:sz w:val="18"/>
                <w:szCs w:val="18"/>
                <w:color w:val="auto"/>
              </w:rPr>
              <w:t>PART I.</w:t>
            </w:r>
          </w:p>
        </w:tc>
        <w:tc>
          <w:tcPr>
            <w:tcW w:w="10060" w:type="dxa"/>
            <w:vAlign w:val="bottom"/>
            <w:gridSpan w:val="20"/>
          </w:tcPr>
          <w:p>
            <w:pPr>
              <w:spacing w:after="0"/>
              <w:rPr>
                <w:sz w:val="20"/>
                <w:szCs w:val="20"/>
                <w:color w:val="auto"/>
              </w:rPr>
            </w:pPr>
            <w:r>
              <w:rPr>
                <w:rFonts w:ascii="Arial" w:cs="Arial" w:eastAsia="Arial" w:hAnsi="Arial"/>
                <w:sz w:val="18"/>
                <w:szCs w:val="18"/>
                <w:color w:val="auto"/>
              </w:rPr>
              <w:t>FINANCIAL INFORMATION</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20"/>
          </w:tcPr>
          <w:p>
            <w:pPr>
              <w:spacing w:after="0"/>
              <w:rPr>
                <w:sz w:val="20"/>
                <w:szCs w:val="20"/>
                <w:color w:val="auto"/>
              </w:rPr>
            </w:pPr>
            <w:r>
              <w:rPr>
                <w:rFonts w:ascii="Arial" w:cs="Arial" w:eastAsia="Arial" w:hAnsi="Arial"/>
                <w:sz w:val="18"/>
                <w:szCs w:val="18"/>
                <w:color w:val="auto"/>
              </w:rPr>
              <w:t>Financial Statements</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4"/>
                <w:szCs w:val="24"/>
                <w:color w:val="auto"/>
              </w:rPr>
            </w:pPr>
          </w:p>
        </w:tc>
        <w:tc>
          <w:tcPr>
            <w:tcW w:w="62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Balance Sheets as of March 31, 2014 and December 31, 2013 (Unaudited)</w:t>
              </w:r>
            </w:hyperlink>
          </w:p>
        </w:tc>
        <w:tc>
          <w:tcPr>
            <w:tcW w:w="386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ended March 31, 2014 and 2013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420" w:type="dxa"/>
            <w:vAlign w:val="bottom"/>
            <w:tcBorders>
              <w:top w:val="single" w:sz="8" w:color="0000EE"/>
            </w:tcBorders>
            <w:gridSpan w:val="16"/>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Consolidated Schedules of Investments as of March 31, 2014 and December 31, 2013 (Unaudited)</w:t>
              </w:r>
            </w:hyperlink>
          </w:p>
        </w:tc>
        <w:tc>
          <w:tcPr>
            <w:tcW w:w="26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824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Consolidated Statements of Changes in Net Assets for the three months ended March 31, 2014 and 2013 (Unaudited)</w:t>
              </w:r>
            </w:hyperlink>
          </w:p>
        </w:tc>
        <w:tc>
          <w:tcPr>
            <w:tcW w:w="18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48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Consolidated Statements of Cash Flows for the three months ended March 31, 2014 and 2013 (Unaudited)</w:t>
              </w:r>
            </w:hyperlink>
          </w:p>
        </w:tc>
        <w:tc>
          <w:tcPr>
            <w:tcW w:w="258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9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Notes to Consolidated Financial Statements (Unaudited)</w:t>
              </w:r>
            </w:hyperlink>
          </w:p>
        </w:tc>
        <w:tc>
          <w:tcPr>
            <w:tcW w:w="60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Controls and Procedures</w:t>
              </w:r>
            </w:hyperlink>
          </w:p>
        </w:tc>
        <w:tc>
          <w:tcPr>
            <w:tcW w:w="83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1006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840" w:type="dxa"/>
            <w:vAlign w:val="bottom"/>
            <w:tcBorders>
              <w:top w:val="single" w:sz="8" w:color="0000EE"/>
            </w:tcBorders>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822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876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82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Mine Safety Disclosures</w:t>
              </w:r>
            </w:hyperlink>
          </w:p>
        </w:tc>
        <w:tc>
          <w:tcPr>
            <w:tcW w:w="832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06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78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10940" w:type="dxa"/>
            <w:vAlign w:val="bottom"/>
            <w:gridSpan w:val="2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83"/>
        </w:trPr>
        <w:tc>
          <w:tcPr>
            <w:tcW w:w="8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0" w:type="dxa"/>
            <w:vAlign w:val="bottom"/>
            <w:gridSpan w:val="12"/>
          </w:tcPr>
          <w:p>
            <w:pPr>
              <w:jc w:val="right"/>
              <w:ind w:right="12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4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this report and in our Annual Report on Form 10-K for the year ended December 31, 2013, filed with the SEC on March 4, 2014, and our Form 10-K/A, filed with the SEC on March 14, 2014, as amended, and elsewhere in our filings with the SEC.</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(the “1934 Act”), which preclude civil liability for certain forward-looking statements, do not apply to the forward-looking statements in this report because we are an investment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$1,172,442 and $997,298, respectively)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1,195,539</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28,804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18,185</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1,251,464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1,039,150</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402,077</w:t>
            </w: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1,772</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19,717</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Payable on foreign currency forward contracts</w:t>
            </w:r>
          </w:p>
        </w:tc>
        <w:tc>
          <w:tcPr>
            <w:tcW w:w="14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446,709</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464,454</w:t>
            </w:r>
          </w:p>
        </w:tc>
        <w:tc>
          <w:tcPr>
            <w:tcW w:w="0" w:type="dxa"/>
            <w:vAlign w:val="bottom"/>
          </w:tcPr>
          <w:p>
            <w:pPr>
              <w:spacing w:after="0"/>
              <w:rPr>
                <w:sz w:val="1"/>
                <w:szCs w:val="1"/>
                <w:color w:val="auto"/>
              </w:rPr>
            </w:pPr>
          </w:p>
        </w:tc>
      </w:tr>
      <w:tr>
        <w:trPr>
          <w:trHeight w:val="221"/>
        </w:trPr>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4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$0.01 par value; 400,000,000 shares authorized, 51,888,707 and 37,027,022 shares issued,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and 51,887,708 and 37,026,023 shares outstanding, respectively</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776,706</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2,620</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 and foreign currency translation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Undistributed net realized gains on investments, including foreign currency forward contracts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804,755</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1,251,464</w:t>
            </w:r>
          </w:p>
        </w:tc>
        <w:tc>
          <w:tcPr>
            <w:tcW w:w="6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1,039,150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c>
          <w:tcPr>
            <w:tcW w:w="14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March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Investment income: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4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673"/>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33,481</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Incentive fees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Directors’ fees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1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860"/>
              <w:spacing w:after="0"/>
              <w:rPr>
                <w:sz w:val="20"/>
                <w:szCs w:val="20"/>
                <w:color w:val="auto"/>
              </w:rPr>
            </w:pPr>
            <w:r>
              <w:rPr>
                <w:rFonts w:ascii="Arial" w:cs="Arial" w:eastAsia="Arial" w:hAnsi="Arial"/>
                <w:sz w:val="18"/>
                <w:szCs w:val="18"/>
                <w:color w:val="auto"/>
              </w:rPr>
              <w:t>Total expenses</w:t>
            </w:r>
          </w:p>
        </w:tc>
        <w:tc>
          <w:tcPr>
            <w:tcW w:w="1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(2,464)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280"/>
              <w:spacing w:after="0"/>
              <w:rPr>
                <w:sz w:val="20"/>
                <w:szCs w:val="20"/>
                <w:color w:val="auto"/>
              </w:rPr>
            </w:pPr>
            <w:r>
              <w:rPr>
                <w:rFonts w:ascii="Arial" w:cs="Arial" w:eastAsia="Arial" w:hAnsi="Arial"/>
                <w:sz w:val="18"/>
                <w:szCs w:val="18"/>
                <w:b w:val="1"/>
                <w:bCs w:val="1"/>
                <w:color w:val="auto"/>
              </w:rPr>
              <w:t>Net Expenses</w:t>
            </w:r>
          </w:p>
        </w:tc>
        <w:tc>
          <w:tcPr>
            <w:tcW w:w="1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taxes, including excise taxes</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of assets and liabilities in foreign currencies</w:t>
            </w:r>
          </w:p>
        </w:tc>
        <w:tc>
          <w:tcPr>
            <w:tcW w:w="1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860"/>
              <w:spacing w:after="0"/>
              <w:rPr>
                <w:sz w:val="20"/>
                <w:szCs w:val="20"/>
                <w:color w:val="auto"/>
              </w:rPr>
            </w:pPr>
            <w:r>
              <w:rPr>
                <w:rFonts w:ascii="Arial" w:cs="Arial" w:eastAsia="Arial" w:hAnsi="Arial"/>
                <w:sz w:val="18"/>
                <w:szCs w:val="18"/>
                <w:color w:val="auto"/>
              </w:rPr>
              <w:t>Total net change in unrealized gains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5,715</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1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left="3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(1,609)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860"/>
              <w:spacing w:after="0"/>
              <w:rPr>
                <w:sz w:val="20"/>
                <w:szCs w:val="20"/>
                <w:color w:val="auto"/>
              </w:rPr>
            </w:pPr>
            <w:r>
              <w:rPr>
                <w:rFonts w:ascii="Arial" w:cs="Arial" w:eastAsia="Arial" w:hAnsi="Arial"/>
                <w:sz w:val="18"/>
                <w:szCs w:val="18"/>
                <w:color w:val="auto"/>
              </w:rPr>
              <w:t>Total realized gains (losses)</w:t>
            </w: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(1,609)</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13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480" w:type="dxa"/>
            <w:vAlign w:val="bottom"/>
            <w:gridSpan w:val="2"/>
          </w:tcPr>
          <w:p>
            <w:pPr>
              <w:ind w:left="13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25,348</w:t>
            </w:r>
          </w:p>
        </w:tc>
        <w:tc>
          <w:tcPr>
            <w:tcW w:w="6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14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outstanding—basic and diluted (1)</w:t>
            </w:r>
          </w:p>
        </w:tc>
        <w:tc>
          <w:tcPr>
            <w:tcW w:w="1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41,539,083</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32,560,424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three months ended March 31, 2013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Schedule of Investments as of March 31,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5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Acquisition Date</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Net</w:t>
            </w:r>
          </w:p>
        </w:tc>
        <w:tc>
          <w:tcPr>
            <w:tcW w:w="0" w:type="dxa"/>
            <w:vAlign w:val="bottom"/>
          </w:tcPr>
          <w:p>
            <w:pPr>
              <w:spacing w:after="0"/>
              <w:rPr>
                <w:sz w:val="1"/>
                <w:szCs w:val="1"/>
                <w:color w:val="auto"/>
              </w:rPr>
            </w:pPr>
          </w:p>
        </w:tc>
      </w:tr>
      <w:tr>
        <w:trPr>
          <w:trHeight w:val="148"/>
        </w:trPr>
        <w:tc>
          <w:tcPr>
            <w:tcW w:w="4840" w:type="dxa"/>
            <w:vAlign w:val="bottom"/>
            <w:gridSpan w:val="3"/>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84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2"/>
              </w:rPr>
              <w:t>Interest</w:t>
            </w: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4"/>
              <w:spacing w:after="0" w:line="148" w:lineRule="exact"/>
              <w:rPr>
                <w:sz w:val="20"/>
                <w:szCs w:val="20"/>
                <w:color w:val="auto"/>
              </w:rPr>
            </w:pPr>
            <w:r>
              <w:rPr>
                <w:rFonts w:ascii="Arial" w:cs="Arial" w:eastAsia="Arial" w:hAnsi="Arial"/>
                <w:sz w:val="14"/>
                <w:szCs w:val="14"/>
                <w:b w:val="1"/>
                <w:bCs w:val="1"/>
                <w:color w:val="auto"/>
                <w:w w:val="88"/>
              </w:rPr>
              <w:t>Cost (2)</w:t>
            </w:r>
          </w:p>
        </w:tc>
        <w:tc>
          <w:tcPr>
            <w:tcW w:w="300" w:type="dxa"/>
            <w:vAlign w:val="bottom"/>
          </w:tcPr>
          <w:p>
            <w:pPr>
              <w:spacing w:after="0"/>
              <w:rPr>
                <w:sz w:val="12"/>
                <w:szCs w:val="12"/>
                <w:color w:val="auto"/>
              </w:rPr>
            </w:pPr>
          </w:p>
        </w:tc>
        <w:tc>
          <w:tcPr>
            <w:tcW w:w="940" w:type="dxa"/>
            <w:vAlign w:val="bottom"/>
            <w:gridSpan w:val="3"/>
          </w:tcPr>
          <w:p>
            <w:pPr>
              <w:jc w:val="right"/>
              <w:ind w:right="320"/>
              <w:spacing w:after="0" w:line="148" w:lineRule="exact"/>
              <w:rPr>
                <w:sz w:val="20"/>
                <w:szCs w:val="20"/>
                <w:color w:val="auto"/>
              </w:rPr>
            </w:pPr>
            <w:r>
              <w:rPr>
                <w:rFonts w:ascii="Arial" w:cs="Arial" w:eastAsia="Arial" w:hAnsi="Arial"/>
                <w:sz w:val="14"/>
                <w:szCs w:val="14"/>
                <w:b w:val="1"/>
                <w:bCs w:val="1"/>
                <w:color w:val="auto"/>
                <w:w w:val="89"/>
              </w:rPr>
              <w:t>Fair Value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Aerospace and defense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 Software Corporation (3)(4)(6)</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11/2017)</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12/23/2011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 LLC (3)(4)</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($33,910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8/28/2012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33,281</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32,977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First-lien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revolving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($4,611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6/2017)</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10.75%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8/28/2012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4,458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Sage Automotive Interiors, Inc. (3)(4)(6)</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($21,330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12/2016)</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12/31/2012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21,437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58,919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58,872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Beverage, food and tobacco</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AFS Technologies, Inc. (3)(4)(6)</w:t>
            </w:r>
          </w:p>
        </w:tc>
        <w:tc>
          <w:tcPr>
            <w:tcW w:w="15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($65,000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3/2020)</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3/3/2014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63,551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63,538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Actian Corporation (3)(4)(6)</w:t>
            </w:r>
          </w:p>
        </w:tc>
        <w:tc>
          <w:tcPr>
            <w:tcW w:w="15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($66,933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4/2018)</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7.50%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4/11/2013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64,891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66,933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Beyond Trust Software Holding Group, Inc. (3)(6)</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($42,234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12/2019)</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12/18/2013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41,268</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41,390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Network Merchants, Inc (3)(4)</w:t>
            </w:r>
          </w:p>
        </w:tc>
        <w:tc>
          <w:tcPr>
            <w:tcW w:w="15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($29,659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9/2018)</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9/12/2013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29,129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29,354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135,288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137,677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20" w:type="dxa"/>
            <w:vAlign w:val="bottom"/>
          </w:tcPr>
          <w:p>
            <w:pPr>
              <w:ind w:left="8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Acquisition Date</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Amortized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Net</w:t>
            </w:r>
          </w:p>
        </w:tc>
        <w:tc>
          <w:tcPr>
            <w:tcW w:w="0" w:type="dxa"/>
            <w:vAlign w:val="bottom"/>
          </w:tcPr>
          <w:p>
            <w:pPr>
              <w:spacing w:after="0"/>
              <w:rPr>
                <w:sz w:val="1"/>
                <w:szCs w:val="1"/>
                <w:color w:val="auto"/>
              </w:rPr>
            </w:pPr>
          </w:p>
        </w:tc>
      </w:tr>
      <w:tr>
        <w:trPr>
          <w:trHeight w:val="148"/>
        </w:trPr>
        <w:tc>
          <w:tcPr>
            <w:tcW w:w="4860" w:type="dxa"/>
            <w:vAlign w:val="bottom"/>
            <w:gridSpan w:val="3"/>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4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2"/>
              </w:rPr>
              <w:t>Interest</w:t>
            </w:r>
          </w:p>
        </w:tc>
        <w:tc>
          <w:tcPr>
            <w:tcW w:w="1500" w:type="dxa"/>
            <w:vAlign w:val="bottom"/>
            <w:gridSpan w:val="2"/>
            <w:vMerge w:val="continue"/>
          </w:tcPr>
          <w:p>
            <w:pPr>
              <w:spacing w:after="0"/>
              <w:rPr>
                <w:sz w:val="12"/>
                <w:szCs w:val="12"/>
                <w:color w:val="auto"/>
              </w:rPr>
            </w:pPr>
          </w:p>
        </w:tc>
        <w:tc>
          <w:tcPr>
            <w:tcW w:w="9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Cost (2)</w:t>
            </w:r>
          </w:p>
        </w:tc>
        <w:tc>
          <w:tcPr>
            <w:tcW w:w="90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6"/>
              </w:rPr>
              <w:t>Fair Value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Construction and building</w:t>
            </w: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Mannington Mills, Inc. (3)(4)</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Second-lien loan</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14.00%</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($47,366 par, due</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(incl.</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3/2017)</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PIK)</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3/2/2012</w:t>
            </w:r>
          </w:p>
        </w:tc>
        <w:tc>
          <w:tcPr>
            <w:tcW w:w="620" w:type="dxa"/>
            <w:vAlign w:val="bottom"/>
          </w:tcPr>
          <w:p>
            <w:pPr>
              <w:jc w:val="right"/>
              <w:spacing w:after="0"/>
              <w:rPr>
                <w:sz w:val="20"/>
                <w:szCs w:val="20"/>
                <w:color w:val="auto"/>
              </w:rPr>
            </w:pPr>
            <w:r>
              <w:rPr>
                <w:rFonts w:ascii="Arial" w:cs="Arial" w:eastAsia="Arial" w:hAnsi="Arial"/>
                <w:sz w:val="18"/>
                <w:szCs w:val="18"/>
                <w:color w:val="auto"/>
              </w:rPr>
              <w:t>46,540</w:t>
            </w:r>
          </w:p>
        </w:tc>
        <w:tc>
          <w:tcPr>
            <w:tcW w:w="3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51,156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Containers and packaging</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The Newark Group, Inc. (3)(4)</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($46,080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2/2018)</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2/8/2013</w:t>
            </w:r>
          </w:p>
        </w:tc>
        <w:tc>
          <w:tcPr>
            <w:tcW w:w="620" w:type="dxa"/>
            <w:vAlign w:val="bottom"/>
          </w:tcPr>
          <w:p>
            <w:pPr>
              <w:jc w:val="right"/>
              <w:spacing w:after="0"/>
              <w:rPr>
                <w:sz w:val="20"/>
                <w:szCs w:val="20"/>
                <w:color w:val="auto"/>
              </w:rPr>
            </w:pPr>
            <w:r>
              <w:rPr>
                <w:rFonts w:ascii="Arial" w:cs="Arial" w:eastAsia="Arial" w:hAnsi="Arial"/>
                <w:sz w:val="18"/>
                <w:szCs w:val="18"/>
                <w:color w:val="auto"/>
              </w:rPr>
              <w:t>45,708</w:t>
            </w:r>
          </w:p>
        </w:tc>
        <w:tc>
          <w:tcPr>
            <w:tcW w:w="3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46,771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Education</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Campus Management, Inc. (3)(4)(6)</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($29,250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9/2018)</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9/30/2013</w:t>
            </w:r>
          </w:p>
        </w:tc>
        <w:tc>
          <w:tcPr>
            <w:tcW w:w="620" w:type="dxa"/>
            <w:vAlign w:val="bottom"/>
          </w:tcPr>
          <w:p>
            <w:pPr>
              <w:jc w:val="right"/>
              <w:spacing w:after="0"/>
              <w:rPr>
                <w:sz w:val="20"/>
                <w:szCs w:val="20"/>
                <w:color w:val="auto"/>
              </w:rPr>
            </w:pPr>
            <w:r>
              <w:rPr>
                <w:rFonts w:ascii="Arial" w:cs="Arial" w:eastAsia="Arial" w:hAnsi="Arial"/>
                <w:sz w:val="18"/>
                <w:szCs w:val="18"/>
                <w:color w:val="auto"/>
              </w:rPr>
              <w:t>28,594</w:t>
            </w:r>
          </w:p>
        </w:tc>
        <w:tc>
          <w:tcPr>
            <w:tcW w:w="3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28,811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Electronics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My Alarm Center, LLC (3)(4)</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($52,550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1/2018)</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1/9/2014</w:t>
            </w:r>
          </w:p>
        </w:tc>
        <w:tc>
          <w:tcPr>
            <w:tcW w:w="620" w:type="dxa"/>
            <w:vAlign w:val="bottom"/>
          </w:tcPr>
          <w:p>
            <w:pPr>
              <w:jc w:val="right"/>
              <w:spacing w:after="0"/>
              <w:rPr>
                <w:sz w:val="20"/>
                <w:szCs w:val="20"/>
                <w:color w:val="auto"/>
              </w:rPr>
            </w:pPr>
            <w:r>
              <w:rPr>
                <w:rFonts w:ascii="Arial" w:cs="Arial" w:eastAsia="Arial" w:hAnsi="Arial"/>
                <w:sz w:val="18"/>
                <w:szCs w:val="18"/>
                <w:color w:val="auto"/>
              </w:rPr>
              <w:t>51,514</w:t>
            </w:r>
          </w:p>
        </w:tc>
        <w:tc>
          <w:tcPr>
            <w:tcW w:w="3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51,743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Mezzanine loan</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16.25%</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($4,688 par,</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(incl.</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7/2018)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PIK)</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56,157</w:t>
            </w:r>
          </w:p>
        </w:tc>
        <w:tc>
          <w:tcPr>
            <w:tcW w:w="3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56,407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services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Embarcadero Technologies, Inc. (3)(4)(6)</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($42,479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12/2017)</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41,641</w:t>
            </w:r>
          </w:p>
        </w:tc>
        <w:tc>
          <w:tcPr>
            <w:tcW w:w="3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42,478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 (3)(4)(6)</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($68,174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12/2018)</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66,820</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67,663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108,461</w:t>
            </w:r>
          </w:p>
        </w:tc>
        <w:tc>
          <w:tcPr>
            <w:tcW w:w="3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110,141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Global Healthcare Exchange, LLC (3)(4)</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First-lien term</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loan ($25,000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due 3/2020)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10.00%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3/11/2014</w:t>
            </w:r>
          </w:p>
        </w:tc>
        <w:tc>
          <w:tcPr>
            <w:tcW w:w="620" w:type="dxa"/>
            <w:vAlign w:val="bottom"/>
          </w:tcPr>
          <w:p>
            <w:pPr>
              <w:jc w:val="right"/>
              <w:spacing w:after="0"/>
              <w:rPr>
                <w:sz w:val="20"/>
                <w:szCs w:val="20"/>
                <w:color w:val="auto"/>
              </w:rPr>
            </w:pPr>
            <w:r>
              <w:rPr>
                <w:rFonts w:ascii="Arial" w:cs="Arial" w:eastAsia="Arial" w:hAnsi="Arial"/>
                <w:sz w:val="18"/>
                <w:szCs w:val="18"/>
                <w:color w:val="auto"/>
              </w:rPr>
              <w:t>24,442</w:t>
            </w:r>
          </w:p>
        </w:tc>
        <w:tc>
          <w:tcPr>
            <w:tcW w:w="3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24,438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Mediware Information Systems, Inc. (3)(4)(6)</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($70,975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5/2018)</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69,543</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70,975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SRS Software, LLC (3)(4)</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($35,156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12/2017)</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34,452</w:t>
            </w:r>
          </w:p>
        </w:tc>
        <w:tc>
          <w:tcPr>
            <w:tcW w:w="3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35,244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First-lien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($2,000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12/2017)</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130,353</w:t>
            </w:r>
          </w:p>
        </w:tc>
        <w:tc>
          <w:tcPr>
            <w:tcW w:w="3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132,662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Hotel, gaming, and leisure</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AMF Bowling Worldwide, Inc. (3)(4)</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($14,719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6/2018)</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7/2/2013</w:t>
            </w:r>
          </w:p>
        </w:tc>
        <w:tc>
          <w:tcPr>
            <w:tcW w:w="620" w:type="dxa"/>
            <w:vAlign w:val="bottom"/>
          </w:tcPr>
          <w:p>
            <w:pPr>
              <w:jc w:val="right"/>
              <w:spacing w:after="0"/>
              <w:rPr>
                <w:sz w:val="20"/>
                <w:szCs w:val="20"/>
                <w:color w:val="auto"/>
              </w:rPr>
            </w:pPr>
            <w:r>
              <w:rPr>
                <w:rFonts w:ascii="Arial" w:cs="Arial" w:eastAsia="Arial" w:hAnsi="Arial"/>
                <w:sz w:val="18"/>
                <w:szCs w:val="18"/>
                <w:color w:val="auto"/>
              </w:rPr>
              <w:t>13,651</w:t>
            </w:r>
          </w:p>
        </w:tc>
        <w:tc>
          <w:tcPr>
            <w:tcW w:w="3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14,676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Centaur, LLC (3)</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($10,000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2/2020)</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10,188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Mandalay Baseball Properties, LLC (3)(4)</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First-lien loan</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12.00%</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($35,279 par, due</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(incl.</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3/2017)</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4.50%</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PIK)</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4/12/2012</w:t>
            </w:r>
          </w:p>
        </w:tc>
        <w:tc>
          <w:tcPr>
            <w:tcW w:w="620" w:type="dxa"/>
            <w:vAlign w:val="bottom"/>
          </w:tcPr>
          <w:p>
            <w:pPr>
              <w:jc w:val="right"/>
              <w:spacing w:after="0"/>
              <w:rPr>
                <w:sz w:val="20"/>
                <w:szCs w:val="20"/>
                <w:color w:val="auto"/>
              </w:rPr>
            </w:pPr>
            <w:r>
              <w:rPr>
                <w:rFonts w:ascii="Arial" w:cs="Arial" w:eastAsia="Arial" w:hAnsi="Arial"/>
                <w:sz w:val="18"/>
                <w:szCs w:val="18"/>
                <w:color w:val="auto"/>
              </w:rPr>
              <w:t>34,734</w:t>
            </w:r>
          </w:p>
        </w:tc>
        <w:tc>
          <w:tcPr>
            <w:tcW w:w="3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36,601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Soho House (5)</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Second-lien bond</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(GBP 7,000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10/2018)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9.13%</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12,356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69,509</w:t>
            </w:r>
          </w:p>
        </w:tc>
        <w:tc>
          <w:tcPr>
            <w:tcW w:w="3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73,821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5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Acquisition Date</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Amortized</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Net</w:t>
            </w:r>
          </w:p>
        </w:tc>
        <w:tc>
          <w:tcPr>
            <w:tcW w:w="0" w:type="dxa"/>
            <w:vAlign w:val="bottom"/>
          </w:tcPr>
          <w:p>
            <w:pPr>
              <w:spacing w:after="0"/>
              <w:rPr>
                <w:sz w:val="1"/>
                <w:szCs w:val="1"/>
                <w:color w:val="auto"/>
              </w:rPr>
            </w:pPr>
          </w:p>
        </w:tc>
      </w:tr>
      <w:tr>
        <w:trPr>
          <w:trHeight w:val="148"/>
        </w:trPr>
        <w:tc>
          <w:tcPr>
            <w:tcW w:w="4640" w:type="dxa"/>
            <w:vAlign w:val="bottom"/>
            <w:gridSpan w:val="3"/>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8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6"/>
              </w:rPr>
              <w:t>Interest</w:t>
            </w:r>
          </w:p>
        </w:tc>
        <w:tc>
          <w:tcPr>
            <w:tcW w:w="1460" w:type="dxa"/>
            <w:vAlign w:val="bottom"/>
            <w:gridSpan w:val="2"/>
            <w:vMerge w:val="continue"/>
          </w:tcPr>
          <w:p>
            <w:pPr>
              <w:spacing w:after="0"/>
              <w:rPr>
                <w:sz w:val="12"/>
                <w:szCs w:val="12"/>
                <w:color w:val="auto"/>
              </w:rPr>
            </w:pPr>
          </w:p>
        </w:tc>
        <w:tc>
          <w:tcPr>
            <w:tcW w:w="760" w:type="dxa"/>
            <w:vAlign w:val="bottom"/>
          </w:tcPr>
          <w:p>
            <w:pPr>
              <w:jc w:val="right"/>
              <w:ind w:right="54"/>
              <w:spacing w:after="0" w:line="148" w:lineRule="exact"/>
              <w:rPr>
                <w:sz w:val="20"/>
                <w:szCs w:val="20"/>
                <w:color w:val="auto"/>
              </w:rPr>
            </w:pPr>
            <w:r>
              <w:rPr>
                <w:rFonts w:ascii="Arial" w:cs="Arial" w:eastAsia="Arial" w:hAnsi="Arial"/>
                <w:sz w:val="14"/>
                <w:szCs w:val="14"/>
                <w:b w:val="1"/>
                <w:bCs w:val="1"/>
                <w:color w:val="auto"/>
              </w:rPr>
              <w:t>Cost (2)</w:t>
            </w:r>
          </w:p>
        </w:tc>
        <w:tc>
          <w:tcPr>
            <w:tcW w:w="280" w:type="dxa"/>
            <w:vAlign w:val="bottom"/>
          </w:tcPr>
          <w:p>
            <w:pPr>
              <w:spacing w:after="0"/>
              <w:rPr>
                <w:sz w:val="12"/>
                <w:szCs w:val="12"/>
                <w:color w:val="auto"/>
              </w:rPr>
            </w:pPr>
          </w:p>
        </w:tc>
        <w:tc>
          <w:tcPr>
            <w:tcW w:w="104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8"/>
              </w:rPr>
              <w:t>Fair Value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Human resource support services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Pai Group, Inc. (3)(4)</w:t>
            </w:r>
          </w:p>
        </w:tc>
        <w:tc>
          <w:tcPr>
            <w:tcW w:w="15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($34,413 par, due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5/2018)</w:t>
            </w:r>
          </w:p>
        </w:tc>
        <w:tc>
          <w:tcPr>
            <w:tcW w:w="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10.50%</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5/8/2013</w:t>
            </w:r>
          </w:p>
        </w:tc>
        <w:tc>
          <w:tcPr>
            <w:tcW w:w="760" w:type="dxa"/>
            <w:vAlign w:val="bottom"/>
          </w:tcPr>
          <w:p>
            <w:pPr>
              <w:jc w:val="right"/>
              <w:spacing w:after="0"/>
              <w:rPr>
                <w:sz w:val="20"/>
                <w:szCs w:val="20"/>
                <w:color w:val="auto"/>
              </w:rPr>
            </w:pPr>
            <w:r>
              <w:rPr>
                <w:rFonts w:ascii="Arial" w:cs="Arial" w:eastAsia="Arial" w:hAnsi="Arial"/>
                <w:sz w:val="18"/>
                <w:szCs w:val="18"/>
                <w:color w:val="auto"/>
              </w:rPr>
              <w:t>33,696</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34,118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 LLC (3)(4)</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($7,463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11/2018)</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11/16/2012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7,416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($12,000 par, due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5/2019)</w:t>
            </w:r>
          </w:p>
        </w:tc>
        <w:tc>
          <w:tcPr>
            <w:tcW w:w="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10.25%</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11/16/2012</w:t>
            </w:r>
          </w:p>
        </w:tc>
        <w:tc>
          <w:tcPr>
            <w:tcW w:w="760" w:type="dxa"/>
            <w:vAlign w:val="bottom"/>
          </w:tcPr>
          <w:p>
            <w:pPr>
              <w:jc w:val="right"/>
              <w:spacing w:after="0"/>
              <w:rPr>
                <w:sz w:val="20"/>
                <w:szCs w:val="20"/>
                <w:color w:val="auto"/>
              </w:rPr>
            </w:pPr>
            <w:r>
              <w:rPr>
                <w:rFonts w:ascii="Arial" w:cs="Arial" w:eastAsia="Arial" w:hAnsi="Arial"/>
                <w:sz w:val="18"/>
                <w:szCs w:val="18"/>
                <w:color w:val="auto"/>
              </w:rPr>
              <w:t>11,943</w:t>
            </w:r>
          </w:p>
        </w:tc>
        <w:tc>
          <w:tcPr>
            <w:tcW w:w="2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11,895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53,429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Internet Services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Highwinds Capital, Inc. (3)(4)</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($29,000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7/2018)</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28,698</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28,768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Infogix, Inc. (3)(4)</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($36,900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36,372</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36,900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First-lien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revolving loan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($650 par, due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6/2017)</w:t>
            </w:r>
          </w:p>
        </w:tc>
        <w:tc>
          <w:tcPr>
            <w:tcW w:w="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6/1/2012</w:t>
            </w:r>
          </w:p>
        </w:tc>
        <w:tc>
          <w:tcPr>
            <w:tcW w:w="760" w:type="dxa"/>
            <w:vAlign w:val="bottom"/>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650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Jeeves Information Systems AB (3)(5)(6)</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(SEK 211,066 par,</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31,440</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32,229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Metalico, Inc. (3)(4)(6)</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($35,435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11/2019)</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11/21/2013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33,391</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34,049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Office products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Ecommerce Industries, Inc. (3)(4)</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($35,657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3/2019)</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3/11/2014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35,309</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35,059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Oil, gas and consumable fuels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Geophysical (3)(4)</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($40,883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9/2016)</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10.75%</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9/30/2013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39,916</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40,269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Trident Exploration Corp. (3)(4)(5)</w:t>
            </w:r>
          </w:p>
        </w:tc>
        <w:tc>
          <w:tcPr>
            <w:tcW w:w="15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($64,838 par, due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10/2017)</w:t>
            </w:r>
          </w:p>
        </w:tc>
        <w:tc>
          <w:tcPr>
            <w:tcW w:w="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2/5/2014</w:t>
            </w:r>
          </w:p>
        </w:tc>
        <w:tc>
          <w:tcPr>
            <w:tcW w:w="760" w:type="dxa"/>
            <w:vAlign w:val="bottom"/>
          </w:tcPr>
          <w:p>
            <w:pPr>
              <w:jc w:val="right"/>
              <w:spacing w:after="0"/>
              <w:rPr>
                <w:sz w:val="20"/>
                <w:szCs w:val="20"/>
                <w:color w:val="auto"/>
              </w:rPr>
            </w:pPr>
            <w:r>
              <w:rPr>
                <w:rFonts w:ascii="Arial" w:cs="Arial" w:eastAsia="Arial" w:hAnsi="Arial"/>
                <w:sz w:val="18"/>
                <w:szCs w:val="18"/>
                <w:color w:val="auto"/>
              </w:rPr>
              <w:t>62,960</w:t>
            </w:r>
          </w:p>
        </w:tc>
        <w:tc>
          <w:tcPr>
            <w:tcW w:w="2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66,296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106,565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Transportation</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Kewill, Ltd. (3)(5)</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($52,500 par, due</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10/2019)</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51,516</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Debt Investments</w:t>
            </w: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vMerge w:val="continue"/>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1,169,162</w:t>
            </w:r>
          </w:p>
        </w:tc>
        <w:tc>
          <w:tcPr>
            <w:tcW w:w="2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1,193,199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b w:val="1"/>
                <w:bCs w:val="1"/>
                <w:color w:val="auto"/>
              </w:rPr>
              <w:t>Business services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Merchants, Inc</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Non-Voting</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(774,099 units)</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9/12/2013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3020" w:type="dxa"/>
            <w:vAlign w:val="bottom"/>
            <w:vMerge w:val="restart"/>
          </w:tcPr>
          <w:p>
            <w:pPr>
              <w:spacing w:after="0"/>
              <w:rPr>
                <w:sz w:val="12"/>
                <w:szCs w:val="12"/>
                <w:color w:val="auto"/>
              </w:rPr>
            </w:pPr>
          </w:p>
        </w:tc>
        <w:tc>
          <w:tcPr>
            <w:tcW w:w="920" w:type="dxa"/>
            <w:vAlign w:val="bottom"/>
          </w:tcPr>
          <w:p>
            <w:pPr>
              <w:spacing w:after="0"/>
              <w:rPr>
                <w:sz w:val="12"/>
                <w:szCs w:val="12"/>
                <w:color w:val="auto"/>
              </w:rPr>
            </w:pPr>
          </w:p>
        </w:tc>
        <w:tc>
          <w:tcPr>
            <w:tcW w:w="16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Acquisition Date</w:t>
            </w:r>
          </w:p>
        </w:tc>
        <w:tc>
          <w:tcPr>
            <w:tcW w:w="8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9"/>
              </w:rPr>
              <w:t>Amortized</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Net</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0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Interest</w:t>
            </w:r>
          </w:p>
        </w:tc>
        <w:tc>
          <w:tcPr>
            <w:tcW w:w="1320" w:type="dxa"/>
            <w:vAlign w:val="bottom"/>
            <w:gridSpan w:val="2"/>
            <w:vMerge w:val="continue"/>
          </w:tcPr>
          <w:p>
            <w:pPr>
              <w:spacing w:after="0"/>
              <w:rPr>
                <w:sz w:val="14"/>
                <w:szCs w:val="14"/>
                <w:color w:val="auto"/>
              </w:rPr>
            </w:pPr>
          </w:p>
        </w:tc>
        <w:tc>
          <w:tcPr>
            <w:tcW w:w="800" w:type="dxa"/>
            <w:vAlign w:val="bottom"/>
          </w:tcPr>
          <w:p>
            <w:pPr>
              <w:jc w:val="right"/>
              <w:ind w:right="97"/>
              <w:spacing w:after="0" w:line="148" w:lineRule="exact"/>
              <w:rPr>
                <w:sz w:val="20"/>
                <w:szCs w:val="20"/>
                <w:color w:val="auto"/>
              </w:rPr>
            </w:pPr>
            <w:r>
              <w:rPr>
                <w:rFonts w:ascii="Arial" w:cs="Arial" w:eastAsia="Arial" w:hAnsi="Arial"/>
                <w:sz w:val="14"/>
                <w:szCs w:val="14"/>
                <w:b w:val="1"/>
                <w:bCs w:val="1"/>
                <w:color w:val="auto"/>
              </w:rPr>
              <w:t>Cost (2)</w:t>
            </w:r>
          </w:p>
        </w:tc>
        <w:tc>
          <w:tcPr>
            <w:tcW w:w="300" w:type="dxa"/>
            <w:vAlign w:val="bottom"/>
          </w:tcPr>
          <w:p>
            <w:pPr>
              <w:spacing w:after="0"/>
              <w:rPr>
                <w:sz w:val="14"/>
                <w:szCs w:val="14"/>
                <w:color w:val="auto"/>
              </w:rPr>
            </w:pPr>
          </w:p>
        </w:tc>
        <w:tc>
          <w:tcPr>
            <w:tcW w:w="800" w:type="dxa"/>
            <w:vAlign w:val="bottom"/>
          </w:tcPr>
          <w:p>
            <w:pPr>
              <w:jc w:val="right"/>
              <w:ind w:right="17"/>
              <w:spacing w:after="0" w:line="148"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Healthcare and pharmaceuticals</w:t>
            </w:r>
          </w:p>
        </w:tc>
        <w:tc>
          <w:tcPr>
            <w:tcW w:w="9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Global Healthcare Exchange, LLC (3)(4)</w:t>
            </w:r>
          </w:p>
        </w:tc>
        <w:tc>
          <w:tcPr>
            <w:tcW w:w="2580" w:type="dxa"/>
            <w:vAlign w:val="bottom"/>
            <w:gridSpan w:val="3"/>
          </w:tcPr>
          <w:p>
            <w:pPr>
              <w:ind w:left="920"/>
              <w:spacing w:after="0"/>
              <w:rPr>
                <w:sz w:val="20"/>
                <w:szCs w:val="20"/>
                <w:color w:val="auto"/>
              </w:rPr>
            </w:pPr>
            <w:r>
              <w:rPr>
                <w:rFonts w:ascii="Arial" w:cs="Arial" w:eastAsia="Arial" w:hAnsi="Arial"/>
                <w:sz w:val="18"/>
                <w:szCs w:val="18"/>
                <w:color w:val="auto"/>
              </w:rPr>
              <w:t>Common Shares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580" w:type="dxa"/>
            <w:vAlign w:val="bottom"/>
            <w:gridSpan w:val="3"/>
          </w:tcPr>
          <w:p>
            <w:pPr>
              <w:ind w:left="920"/>
              <w:spacing w:after="0"/>
              <w:rPr>
                <w:sz w:val="20"/>
                <w:szCs w:val="20"/>
                <w:color w:val="auto"/>
              </w:rPr>
            </w:pPr>
            <w:r>
              <w:rPr>
                <w:rFonts w:ascii="Arial" w:cs="Arial" w:eastAsia="Arial" w:hAnsi="Arial"/>
                <w:sz w:val="18"/>
                <w:szCs w:val="18"/>
                <w:color w:val="auto"/>
                <w:w w:val="97"/>
              </w:rPr>
              <w:t>Class A (495 shares)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3/11/2014</w:t>
            </w:r>
          </w:p>
        </w:tc>
        <w:tc>
          <w:tcPr>
            <w:tcW w:w="800" w:type="dxa"/>
            <w:vAlign w:val="bottom"/>
          </w:tcPr>
          <w:p>
            <w:pPr>
              <w:jc w:val="right"/>
              <w:spacing w:after="0"/>
              <w:rPr>
                <w:sz w:val="20"/>
                <w:szCs w:val="20"/>
                <w:color w:val="auto"/>
              </w:rPr>
            </w:pPr>
            <w:r>
              <w:rPr>
                <w:rFonts w:ascii="Arial" w:cs="Arial" w:eastAsia="Arial" w:hAnsi="Arial"/>
                <w:sz w:val="18"/>
                <w:szCs w:val="18"/>
                <w:color w:val="auto"/>
              </w:rPr>
              <w:t>363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Common Shares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Class B</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25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(187.5 shares)</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2580" w:type="dxa"/>
            <w:vAlign w:val="bottom"/>
            <w:gridSpan w:val="3"/>
          </w:tcPr>
          <w:p>
            <w:pPr>
              <w:ind w:left="920"/>
              <w:spacing w:after="0"/>
              <w:rPr>
                <w:sz w:val="20"/>
                <w:szCs w:val="20"/>
                <w:color w:val="auto"/>
              </w:rPr>
            </w:pPr>
            <w:r>
              <w:rPr>
                <w:rFonts w:ascii="Arial" w:cs="Arial" w:eastAsia="Arial" w:hAnsi="Arial"/>
                <w:sz w:val="18"/>
                <w:szCs w:val="18"/>
                <w:color w:val="auto"/>
              </w:rPr>
              <w:t>Common Shares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580" w:type="dxa"/>
            <w:vAlign w:val="bottom"/>
            <w:gridSpan w:val="3"/>
          </w:tcPr>
          <w:p>
            <w:pPr>
              <w:ind w:left="920"/>
              <w:spacing w:after="0"/>
              <w:rPr>
                <w:sz w:val="20"/>
                <w:szCs w:val="20"/>
                <w:color w:val="auto"/>
              </w:rPr>
            </w:pPr>
            <w:r>
              <w:rPr>
                <w:rFonts w:ascii="Arial" w:cs="Arial" w:eastAsia="Arial" w:hAnsi="Arial"/>
                <w:sz w:val="18"/>
                <w:szCs w:val="18"/>
                <w:color w:val="auto"/>
              </w:rPr>
              <w:t>Class A</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580" w:type="dxa"/>
            <w:vAlign w:val="bottom"/>
            <w:gridSpan w:val="3"/>
          </w:tcPr>
          <w:p>
            <w:pPr>
              <w:ind w:left="920"/>
              <w:spacing w:after="0"/>
              <w:rPr>
                <w:sz w:val="20"/>
                <w:szCs w:val="20"/>
                <w:color w:val="auto"/>
              </w:rPr>
            </w:pPr>
            <w:r>
              <w:rPr>
                <w:rFonts w:ascii="Arial" w:cs="Arial" w:eastAsia="Arial" w:hAnsi="Arial"/>
                <w:sz w:val="18"/>
                <w:szCs w:val="18"/>
                <w:color w:val="auto"/>
              </w:rPr>
              <w:t>(1,980 shares)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12/28/2012</w:t>
            </w:r>
          </w:p>
        </w:tc>
        <w:tc>
          <w:tcPr>
            <w:tcW w:w="800" w:type="dxa"/>
            <w:vAlign w:val="bottom"/>
          </w:tcPr>
          <w:p>
            <w:pPr>
              <w:jc w:val="right"/>
              <w:spacing w:after="0"/>
              <w:rPr>
                <w:sz w:val="20"/>
                <w:szCs w:val="20"/>
                <w:color w:val="auto"/>
              </w:rPr>
            </w:pPr>
            <w:r>
              <w:rPr>
                <w:rFonts w:ascii="Arial" w:cs="Arial" w:eastAsia="Arial" w:hAnsi="Arial"/>
                <w:sz w:val="18"/>
                <w:szCs w:val="18"/>
                <w:color w:val="auto"/>
              </w:rPr>
              <w:t>1,980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Common Shares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Class B</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25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(2,953,020 shares)</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12/28/2012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1,560</w:t>
            </w:r>
          </w:p>
        </w:tc>
        <w:tc>
          <w:tcPr>
            <w:tcW w:w="2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Equity Investments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1,172,442</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1,195,539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right="440" w:hanging="572"/>
        <w:spacing w:after="0" w:line="253"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March 31, 2014, the Company does not “control” any of the portfolio companies nor are any of its portfolio companies considered to be “affiliates” – see Note 4. Certain portfolio company investments are subject to contractual restrictions on sales.</w:t>
      </w:r>
    </w:p>
    <w:p>
      <w:pPr>
        <w:ind w:left="580" w:right="38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80" w:right="2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580" w:right="74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jc w:val="both"/>
        <w:ind w:left="580" w:right="200" w:hanging="572"/>
        <w:spacing w:after="0" w:line="300"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580" w:right="40" w:hanging="572"/>
        <w:spacing w:after="0" w:line="261"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its arrangement with other lenders in a syndication.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Initial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440" w:type="dxa"/>
            <w:vAlign w:val="bottom"/>
          </w:tcPr>
          <w:p>
            <w:pPr>
              <w:spacing w:after="0"/>
              <w:rPr>
                <w:sz w:val="12"/>
                <w:szCs w:val="12"/>
                <w:color w:val="auto"/>
              </w:rPr>
            </w:pP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14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45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6"/>
              </w:rPr>
              <w:t>Interest</w:t>
            </w:r>
          </w:p>
        </w:tc>
        <w:tc>
          <w:tcPr>
            <w:tcW w:w="10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xml:space="preserve">Cost </w:t>
            </w:r>
            <w:r>
              <w:rPr>
                <w:rFonts w:ascii="Arial" w:cs="Arial" w:eastAsia="Arial" w:hAnsi="Arial"/>
                <w:sz w:val="14"/>
                <w:szCs w:val="14"/>
                <w:color w:val="auto"/>
                <w:w w:val="88"/>
              </w:rPr>
              <w:t>(2)</w:t>
            </w:r>
          </w:p>
        </w:tc>
        <w:tc>
          <w:tcPr>
            <w:tcW w:w="14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2"/>
                <w:szCs w:val="12"/>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4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 Software Corporation (3)(4)(6)</w:t>
            </w: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($53,452 par,</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due 11/2017)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12/23/2011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 (3)(4)</w:t>
            </w: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($36,733 par,</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due 6/2017)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8/28/2012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36,002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First-lien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revolving loan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($4,611 par,</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due 6/2017)</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8/28/2012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4,528</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Sage Automotive Interiors, Inc. (3)(4)(6)</w:t>
            </w: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($21,553 par,</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due 12/2016)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12/31/2012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21,336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61,838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62,155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Beverage, food and tobacco</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AFS Technologies, Inc. (3)(4)(6)</w:t>
            </w: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($44,394 par,</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due 8/2015)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8/31/2011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43,837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Actian Corporation (3)(4)(6)</w:t>
            </w: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($67,933 par,</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due 4/2018)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4/11/2013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65,762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66,405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Aptean Holdings, Inc. f/k/a Consona Holdings, Inc. (3)(4)</w:t>
            </w: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($29,625 par,</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due 8/2018)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8/13/2012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29,279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Beyond Trust Software Holding Group,</w:t>
            </w: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Inc. (3)(6)</w:t>
            </w: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($42,500 par,</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due 12/2019)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12/18/2013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41,462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Merchants, Inc (3)(4)</w:t>
            </w: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($29,659 par,</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due 9/2018)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9/12/2013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29,105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165,608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166,521</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Construction and building</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Mannington Mills, Inc. (3)(4)</w:t>
            </w: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Second-lien loan</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14.00%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($47,430 par,</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color w:val="auto"/>
              </w:rPr>
              <w:t>due 3/2017)</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PIK)</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46,545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51,817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80" w:type="dxa"/>
            <w:vAlign w:val="bottom"/>
            <w:gridSpan w:val="2"/>
          </w:tcPr>
          <w:p>
            <w:pPr>
              <w:jc w:val="right"/>
              <w:ind w:right="432"/>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4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452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40" w:type="dxa"/>
            <w:vAlign w:val="bottom"/>
            <w:gridSpan w:val="2"/>
          </w:tcPr>
          <w:p>
            <w:pPr>
              <w:jc w:val="right"/>
              <w:ind w:right="920"/>
              <w:spacing w:after="0" w:line="148" w:lineRule="exact"/>
              <w:rPr>
                <w:sz w:val="20"/>
                <w:szCs w:val="20"/>
                <w:color w:val="auto"/>
              </w:rPr>
            </w:pPr>
            <w:r>
              <w:rPr>
                <w:rFonts w:ascii="Arial" w:cs="Arial" w:eastAsia="Arial" w:hAnsi="Arial"/>
                <w:sz w:val="14"/>
                <w:szCs w:val="14"/>
                <w:b w:val="1"/>
                <w:bCs w:val="1"/>
                <w:color w:val="auto"/>
              </w:rPr>
              <w:t>Interest</w:t>
            </w:r>
          </w:p>
        </w:tc>
        <w:tc>
          <w:tcPr>
            <w:tcW w:w="11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w w:val="99"/>
              </w:rPr>
              <w:t xml:space="preserve">Cost </w:t>
            </w:r>
            <w:r>
              <w:rPr>
                <w:rFonts w:ascii="Arial" w:cs="Arial" w:eastAsia="Arial" w:hAnsi="Arial"/>
                <w:sz w:val="14"/>
                <w:szCs w:val="14"/>
                <w:color w:val="auto"/>
                <w:w w:val="99"/>
              </w:rPr>
              <w:t>(2)</w:t>
            </w:r>
          </w:p>
        </w:tc>
        <w:tc>
          <w:tcPr>
            <w:tcW w:w="260" w:type="dxa"/>
            <w:vAlign w:val="bottom"/>
          </w:tcPr>
          <w:p>
            <w:pPr>
              <w:spacing w:after="0"/>
              <w:rPr>
                <w:sz w:val="12"/>
                <w:szCs w:val="12"/>
                <w:color w:val="auto"/>
              </w:rPr>
            </w:pPr>
          </w:p>
        </w:tc>
        <w:tc>
          <w:tcPr>
            <w:tcW w:w="92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9"/>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Containers and packaging</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The Newark Group, Inc. (3)(4)</w:t>
            </w:r>
          </w:p>
        </w:tc>
        <w:tc>
          <w:tcPr>
            <w:tcW w:w="14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($46,560 par,</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due 2/2018)</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8.50%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2/8/2013</w:t>
            </w:r>
          </w:p>
        </w:tc>
        <w:tc>
          <w:tcPr>
            <w:tcW w:w="640" w:type="dxa"/>
            <w:vAlign w:val="bottom"/>
          </w:tcPr>
          <w:p>
            <w:pPr>
              <w:jc w:val="right"/>
              <w:spacing w:after="0"/>
              <w:rPr>
                <w:sz w:val="20"/>
                <w:szCs w:val="20"/>
                <w:color w:val="auto"/>
              </w:rPr>
            </w:pPr>
            <w:r>
              <w:rPr>
                <w:rFonts w:ascii="Arial" w:cs="Arial" w:eastAsia="Arial" w:hAnsi="Arial"/>
                <w:sz w:val="18"/>
                <w:szCs w:val="18"/>
                <w:color w:val="auto"/>
              </w:rPr>
              <w:t>46,164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47,142</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Education</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Campus Management, Inc. (3)(4)(6)</w:t>
            </w:r>
          </w:p>
        </w:tc>
        <w:tc>
          <w:tcPr>
            <w:tcW w:w="14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($29,625 par,</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8.75%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9/30/2013</w:t>
            </w:r>
          </w:p>
        </w:tc>
        <w:tc>
          <w:tcPr>
            <w:tcW w:w="640" w:type="dxa"/>
            <w:vAlign w:val="bottom"/>
          </w:tcPr>
          <w:p>
            <w:pPr>
              <w:jc w:val="right"/>
              <w:spacing w:after="0"/>
              <w:rPr>
                <w:sz w:val="20"/>
                <w:szCs w:val="20"/>
                <w:color w:val="auto"/>
              </w:rPr>
            </w:pPr>
            <w:r>
              <w:rPr>
                <w:rFonts w:ascii="Arial" w:cs="Arial" w:eastAsia="Arial" w:hAnsi="Arial"/>
                <w:sz w:val="18"/>
                <w:szCs w:val="18"/>
                <w:color w:val="auto"/>
              </w:rPr>
              <w:t>28,931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29,032</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services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Embarcadero Technologies, Inc. (3)(4)(6)</w:t>
            </w:r>
          </w:p>
        </w:tc>
        <w:tc>
          <w:tcPr>
            <w:tcW w:w="14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($42,479 par,</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8.00%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41,597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42,372</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 (3)(4)(6)</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($76,337 par,</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12/2018)</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116,349</w:t>
            </w:r>
          </w:p>
        </w:tc>
        <w:tc>
          <w:tcPr>
            <w:tcW w:w="2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118,136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Mediware Information Systems,</w:t>
            </w:r>
          </w:p>
        </w:tc>
        <w:tc>
          <w:tcPr>
            <w:tcW w:w="14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Inc. (3)(4)(6)</w:t>
            </w:r>
          </w:p>
        </w:tc>
        <w:tc>
          <w:tcPr>
            <w:tcW w:w="1480" w:type="dxa"/>
            <w:vAlign w:val="bottom"/>
            <w:gridSpan w:val="2"/>
          </w:tcPr>
          <w:p>
            <w:pPr>
              <w:spacing w:after="0"/>
              <w:rPr>
                <w:sz w:val="20"/>
                <w:szCs w:val="20"/>
                <w:color w:val="auto"/>
              </w:rPr>
            </w:pPr>
            <w:r>
              <w:rPr>
                <w:rFonts w:ascii="Arial" w:cs="Arial" w:eastAsia="Arial" w:hAnsi="Arial"/>
                <w:sz w:val="18"/>
                <w:szCs w:val="18"/>
                <w:color w:val="auto"/>
              </w:rPr>
              <w:t>($71,634 par,</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8.00%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71,097</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Software, LLC (3)(4)</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($35,625 par,</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12/2017)</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35,625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First-lien</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revolving loan</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($2,000 par,</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8.75%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106,902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108,722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1"/>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Hotel, gaming, and leisure</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 Inc. (3)(4)</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($14,813 par,</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6/2018)</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Centaur, LLC (3)</w:t>
            </w:r>
          </w:p>
        </w:tc>
        <w:tc>
          <w:tcPr>
            <w:tcW w:w="14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($10,000 par,</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due 2/2020)</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8.75%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10,250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Mandalay Baseball Properties, LLC (3)(4)</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54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8"/>
                <w:szCs w:val="18"/>
                <w:color w:val="auto"/>
              </w:rPr>
              <w:t>12.00%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($34,886 par,</w:t>
            </w:r>
          </w:p>
        </w:tc>
        <w:tc>
          <w:tcPr>
            <w:tcW w:w="154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3/2017)</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(incl. 4.50% PIK)</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35,758</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Soho House (5)</w:t>
            </w:r>
          </w:p>
        </w:tc>
        <w:tc>
          <w:tcPr>
            <w:tcW w:w="1480" w:type="dxa"/>
            <w:vAlign w:val="bottom"/>
            <w:gridSpan w:val="2"/>
          </w:tcPr>
          <w:p>
            <w:pPr>
              <w:spacing w:after="0"/>
              <w:rPr>
                <w:sz w:val="20"/>
                <w:szCs w:val="20"/>
                <w:color w:val="auto"/>
              </w:rPr>
            </w:pPr>
            <w:r>
              <w:rPr>
                <w:rFonts w:ascii="Arial" w:cs="Arial" w:eastAsia="Arial" w:hAnsi="Arial"/>
                <w:sz w:val="18"/>
                <w:szCs w:val="18"/>
                <w:color w:val="auto"/>
              </w:rPr>
              <w:t>Second-lien bond</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(GBP 7,000 par,</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due 10/2018)</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9.13%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26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11,913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00" w:type="dxa"/>
            <w:vAlign w:val="bottom"/>
          </w:tcPr>
          <w:p>
            <w:pPr>
              <w:ind w:left="1100"/>
              <w:spacing w:after="0"/>
              <w:rPr>
                <w:sz w:val="20"/>
                <w:szCs w:val="20"/>
                <w:color w:val="auto"/>
              </w:rPr>
            </w:pPr>
            <w:r>
              <w:rPr>
                <w:rFonts w:ascii="Arial" w:cs="Arial" w:eastAsia="Arial" w:hAnsi="Arial"/>
                <w:sz w:val="18"/>
                <w:szCs w:val="18"/>
                <w:color w:val="auto"/>
                <w:w w:val="89"/>
              </w:rPr>
              <w:t>11</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Initial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5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Amortized</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5040" w:type="dxa"/>
            <w:vAlign w:val="bottom"/>
            <w:gridSpan w:val="3"/>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4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6"/>
              </w:rPr>
              <w:t>Interest</w:t>
            </w:r>
          </w:p>
        </w:tc>
        <w:tc>
          <w:tcPr>
            <w:tcW w:w="11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Date</w:t>
            </w:r>
          </w:p>
        </w:tc>
        <w:tc>
          <w:tcPr>
            <w:tcW w:w="9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 xml:space="preserve">Cost </w:t>
            </w:r>
            <w:r>
              <w:rPr>
                <w:rFonts w:ascii="Arial" w:cs="Arial" w:eastAsia="Arial" w:hAnsi="Arial"/>
                <w:sz w:val="14"/>
                <w:szCs w:val="14"/>
                <w:color w:val="auto"/>
                <w:w w:val="88"/>
              </w:rPr>
              <w:t>(2)</w:t>
            </w:r>
          </w:p>
        </w:tc>
        <w:tc>
          <w:tcPr>
            <w:tcW w:w="10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Human resource support services</w:t>
            </w: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Pai Group, Inc. (3)(4)</w:t>
            </w:r>
          </w:p>
        </w:tc>
        <w:tc>
          <w:tcPr>
            <w:tcW w:w="150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($34,737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5/8/2013</w:t>
            </w:r>
          </w:p>
        </w:tc>
        <w:tc>
          <w:tcPr>
            <w:tcW w:w="640" w:type="dxa"/>
            <w:vAlign w:val="bottom"/>
          </w:tcPr>
          <w:p>
            <w:pPr>
              <w:jc w:val="right"/>
              <w:spacing w:after="0"/>
              <w:rPr>
                <w:sz w:val="20"/>
                <w:szCs w:val="20"/>
                <w:color w:val="auto"/>
              </w:rPr>
            </w:pPr>
            <w:r>
              <w:rPr>
                <w:rFonts w:ascii="Arial" w:cs="Arial" w:eastAsia="Arial" w:hAnsi="Arial"/>
                <w:sz w:val="18"/>
                <w:szCs w:val="18"/>
                <w:color w:val="auto"/>
              </w:rPr>
              <w:t>33,979</w:t>
            </w:r>
          </w:p>
        </w:tc>
        <w:tc>
          <w:tcPr>
            <w:tcW w:w="2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34,141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 LLC (3)(4)</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($7,483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($12,000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due 5/2019)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10.25%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11,932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11,790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Insurance</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Infogix, Inc. (3)(4)</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($31,888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31,433</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31,808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First-lien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revolving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($850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6/1/2012</w:t>
            </w:r>
          </w:p>
        </w:tc>
        <w:tc>
          <w:tcPr>
            <w:tcW w:w="640" w:type="dxa"/>
            <w:vAlign w:val="bottom"/>
          </w:tcPr>
          <w:p>
            <w:pPr>
              <w:jc w:val="right"/>
              <w:spacing w:after="0"/>
              <w:rPr>
                <w:sz w:val="20"/>
                <w:szCs w:val="20"/>
                <w:color w:val="auto"/>
              </w:rPr>
            </w:pPr>
            <w:r>
              <w:rPr>
                <w:rFonts w:ascii="Arial" w:cs="Arial" w:eastAsia="Arial" w:hAnsi="Arial"/>
                <w:sz w:val="18"/>
                <w:szCs w:val="18"/>
                <w:color w:val="auto"/>
              </w:rPr>
              <w:t>782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838</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Jeeves Information Systems AB (3)(5)</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(SEK 177,161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26,486</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27,170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Metalico, Inc. (3)(6)</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($35,650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11/21/2013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33,523</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Office products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Ecommerce Industries, Inc. (3)(4)(6)</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($19,936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10/17/2011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19,764</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20,086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Oil, gas and consumable fuels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Geophysical (3)(4)</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($40,883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9/2016)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9/30/2013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39,617</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40,065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Transportation</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Kewill, Ltd. (3)(5)</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($52,500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51,482</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51,713</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Total Debt Investments</w:t>
            </w: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4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994,518</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1,014,647</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b w:val="1"/>
                <w:bCs w:val="1"/>
                <w:color w:val="auto"/>
              </w:rPr>
              <w:t>Business services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Merchants, Inc</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Non-Voting</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(774,099 units)</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Initial</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4240" w:type="dxa"/>
            <w:vAlign w:val="bottom"/>
            <w:vMerge w:val="restart"/>
          </w:tcPr>
          <w:p>
            <w:pPr>
              <w:spacing w:after="0"/>
              <w:rPr>
                <w:sz w:val="12"/>
                <w:szCs w:val="12"/>
                <w:color w:val="auto"/>
              </w:rPr>
            </w:pPr>
          </w:p>
        </w:tc>
        <w:tc>
          <w:tcPr>
            <w:tcW w:w="1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424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right"/>
              <w:ind w:right="18"/>
              <w:spacing w:after="0" w:line="148" w:lineRule="exact"/>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4"/>
                <w:szCs w:val="14"/>
                <w:color w:val="auto"/>
              </w:rPr>
              <w:t>(2)</w:t>
            </w:r>
          </w:p>
        </w:tc>
        <w:tc>
          <w:tcPr>
            <w:tcW w:w="300" w:type="dxa"/>
            <w:vAlign w:val="bottom"/>
          </w:tcPr>
          <w:p>
            <w:pPr>
              <w:spacing w:after="0"/>
              <w:rPr>
                <w:sz w:val="14"/>
                <w:szCs w:val="14"/>
                <w:color w:val="auto"/>
              </w:rPr>
            </w:pPr>
          </w:p>
        </w:tc>
        <w:tc>
          <w:tcPr>
            <w:tcW w:w="80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5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Healthcare and pharmaceuticals</w:t>
            </w:r>
          </w:p>
        </w:tc>
        <w:tc>
          <w:tcPr>
            <w:tcW w:w="13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4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154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Class A</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1,980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Class B (2,953,020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Equity Investments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997,298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1,016,451</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5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4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Structuring Credit Facility (see Note 7).</w:t>
      </w:r>
    </w:p>
    <w:p>
      <w:pPr>
        <w:jc w:val="both"/>
        <w:ind w:left="460" w:right="320" w:hanging="452"/>
        <w:spacing w:after="0" w:line="30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16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1"/>
              </w:rPr>
              <w:t>Three Months</w:t>
            </w:r>
          </w:p>
        </w:tc>
        <w:tc>
          <w:tcPr>
            <w:tcW w:w="34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Three Months</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1620" w:type="dxa"/>
            <w:vAlign w:val="bottom"/>
            <w:gridSpan w:val="4"/>
          </w:tcPr>
          <w:p>
            <w:pPr>
              <w:ind w:left="340"/>
              <w:spacing w:after="0"/>
              <w:rPr>
                <w:sz w:val="20"/>
                <w:szCs w:val="20"/>
                <w:color w:val="auto"/>
              </w:rPr>
            </w:pPr>
            <w:r>
              <w:rPr>
                <w:rFonts w:ascii="Arial" w:cs="Arial" w:eastAsia="Arial" w:hAnsi="Arial"/>
                <w:sz w:val="14"/>
                <w:szCs w:val="14"/>
                <w:b w:val="1"/>
                <w:bCs w:val="1"/>
                <w:color w:val="auto"/>
              </w:rPr>
              <w:t>March 31, 2014</w:t>
            </w:r>
          </w:p>
        </w:tc>
        <w:tc>
          <w:tcPr>
            <w:tcW w:w="1360" w:type="dxa"/>
            <w:vAlign w:val="bottom"/>
            <w:gridSpan w:val="4"/>
          </w:tcPr>
          <w:p>
            <w:pPr>
              <w:ind w:left="340"/>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investment income</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21,242</w:t>
            </w:r>
          </w:p>
        </w:tc>
        <w:tc>
          <w:tcPr>
            <w:tcW w:w="38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 realized gains (losses)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(1,609)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216,634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7,794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(19,717)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30"/>
        </w:trPr>
        <w:tc>
          <w:tcPr>
            <w:tcW w:w="5700" w:type="dxa"/>
            <w:vAlign w:val="bottom"/>
          </w:tcPr>
          <w:p>
            <w:pPr>
              <w:ind w:left="440"/>
              <w:spacing w:after="0"/>
              <w:rPr>
                <w:sz w:val="20"/>
                <w:szCs w:val="20"/>
                <w:color w:val="auto"/>
              </w:rPr>
            </w:pPr>
            <w:r>
              <w:rPr>
                <w:rFonts w:ascii="Arial" w:cs="Arial" w:eastAsia="Arial" w:hAnsi="Arial"/>
                <w:sz w:val="18"/>
                <w:szCs w:val="18"/>
                <w:b w:val="1"/>
                <w:bCs w:val="1"/>
                <w:color w:val="auto"/>
                <w:w w:val="93"/>
              </w:rPr>
              <w:t>Increase in Net Assets Resulting from Capital Share Transactions</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204,711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230,059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804,755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w w:val="93"/>
              </w:rPr>
              <w:t>Undistributed Net Investment Income Included in Net Assets at the End</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700" w:type="dxa"/>
            <w:vAlign w:val="bottom"/>
          </w:tcPr>
          <w:p>
            <w:pPr>
              <w:ind w:left="220"/>
              <w:spacing w:after="0"/>
              <w:rPr>
                <w:sz w:val="20"/>
                <w:szCs w:val="20"/>
                <w:color w:val="auto"/>
              </w:rPr>
            </w:pPr>
            <w:r>
              <w:rPr>
                <w:rFonts w:ascii="Arial" w:cs="Arial" w:eastAsia="Arial" w:hAnsi="Arial"/>
                <w:sz w:val="18"/>
                <w:szCs w:val="18"/>
                <w:b w:val="1"/>
                <w:bCs w:val="1"/>
                <w:color w:val="auto"/>
              </w:rPr>
              <w:t>of the Period</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2,620</w:t>
            </w:r>
          </w:p>
        </w:tc>
        <w:tc>
          <w:tcPr>
            <w:tcW w:w="380" w:type="dxa"/>
            <w:vAlign w:val="bottom"/>
          </w:tcPr>
          <w:p>
            <w:pPr>
              <w:spacing w:after="0"/>
              <w:rPr>
                <w:sz w:val="19"/>
                <w:szCs w:val="19"/>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Three Months</w:t>
            </w:r>
          </w:p>
        </w:tc>
        <w:tc>
          <w:tcPr>
            <w:tcW w:w="28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2014</w:t>
            </w:r>
          </w:p>
        </w:tc>
        <w:tc>
          <w:tcPr>
            <w:tcW w:w="2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25,348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increase in net assets resulting from operations to net cash provided by (used in) operating</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Net change in unrealized gains on investments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(5,715)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gains on investments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Net realized losses on foreign currency forward contracts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1,609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amortization of discount on securities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578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investments, net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(325,289)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Proceeds from investments,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50,035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on investments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103,567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Paid-in-kind interest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(4,003)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Management fees payable to affiliate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Incentive fees payable to affiliate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Payables to affiliate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(151,519)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Borrowings on debt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487,378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(517,042)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(3,101)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216,634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(7,017)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176,852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Increase in Cash and Cash Equivalents</w:t>
            </w: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Cash and Cash Equivalents, End of Period</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28,804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164,666</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Excise taxes paid during the period</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185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19,717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7,794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52" w:lineRule="exact"/>
        <w:rPr>
          <w:sz w:val="20"/>
          <w:szCs w:val="20"/>
          <w:color w:val="auto"/>
        </w:rPr>
      </w:pPr>
    </w:p>
    <w:p>
      <w:pPr>
        <w:ind w:right="8280" w:firstLine="8"/>
        <w:spacing w:after="0" w:line="347" w:lineRule="auto"/>
        <w:tabs>
          <w:tab w:leader="none" w:pos="17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w:t>
      </w:r>
    </w:p>
    <w:p>
      <w:pPr>
        <w:spacing w:after="0" w:line="12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2013, which was filed with the Securities and Exchange Commission (“SEC”), on March 4, 2014, and Form 10-K/A for the year ended December 31, 2013, which was filed with the SEC, on March 14, 2014.</w:t>
      </w:r>
    </w:p>
    <w:p>
      <w:pPr>
        <w:spacing w:after="0" w:line="1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90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jc w:val="both"/>
        <w:ind w:right="200" w:firstLine="456"/>
        <w:spacing w:after="0" w:line="318" w:lineRule="auto"/>
        <w:rPr>
          <w:sz w:val="20"/>
          <w:szCs w:val="20"/>
          <w:color w:val="auto"/>
        </w:rPr>
      </w:pPr>
      <w:r>
        <w:rPr>
          <w:rFonts w:ascii="Arial" w:cs="Arial" w:eastAsia="Arial" w:hAnsi="Arial"/>
          <w:sz w:val="15"/>
          <w:szCs w:val="15"/>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right="1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value of investments, outstanding debt on revolving credit facilities, other assets and liabilities: at the spot exchange rate on the last business day of the period;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earnings estimated by the Adviser. Net realized long-term capital gains, if any, would be generally distributed at least annually, although the Company may decide to retain such capital gains for investment.</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did not have a material effect on the Company’s financial condition and results of operations.</w:t>
      </w:r>
    </w:p>
    <w:p>
      <w:pPr>
        <w:spacing w:after="0" w:line="219" w:lineRule="exact"/>
        <w:rPr>
          <w:sz w:val="20"/>
          <w:szCs w:val="20"/>
          <w:color w:val="auto"/>
        </w:rPr>
      </w:pPr>
    </w:p>
    <w:p>
      <w:pPr>
        <w:ind w:right="7920" w:firstLine="8"/>
        <w:spacing w:after="0" w:line="347" w:lineRule="auto"/>
        <w:tabs>
          <w:tab w:leader="none" w:pos="17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the three months ended March 31, 2014 and 2013, the Company incurred expenses of $0.6 million and $0.3 million, respectively, for administrative services payable to the Adviser under the terms of the Administration Agreement.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the three months ended March 31, 2014 and 2013, Management Fees were $4.2 million and $3.0 million, of which $1.8 million and $1.6 million were payable at March 31, 2014 and 2013, respectively.</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three months ended March 31, 2014 and 2013, Management Fees of $2.5 million and $1.5 million, respectively, were waived. Any waived Management Fees are not subject to recoupment by the Adviser. Following the IPO, the Adviser does not intend to waive its right to receive the full Management Fee and accordingly, the Company will be required to pay the full amount of the Management Fee.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60" w:hanging="446"/>
        <w:spacing w:after="0" w:line="290"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is the rate at which catch-up is achieved. Once the “hurdle rate” is reached and catch-up is achieved, 15% of any pre-Incentive Fee net investment income in excess of 1.76% in any quarter is payable to the Adviser.</w:t>
      </w:r>
    </w:p>
    <w:p>
      <w:pPr>
        <w:spacing w:after="0" w:line="37" w:lineRule="exact"/>
        <w:rPr>
          <w:sz w:val="20"/>
          <w:szCs w:val="20"/>
          <w:color w:val="auto"/>
        </w:rPr>
      </w:pPr>
    </w:p>
    <w:p>
      <w:pPr>
        <w:ind w:left="920" w:right="20"/>
        <w:spacing w:after="0" w:line="312" w:lineRule="auto"/>
        <w:rPr>
          <w:sz w:val="20"/>
          <w:szCs w:val="20"/>
          <w:color w:val="auto"/>
        </w:rPr>
      </w:pPr>
      <w:r>
        <w:rPr>
          <w:rFonts w:ascii="Arial" w:cs="Arial" w:eastAsia="Arial" w:hAnsi="Arial"/>
          <w:sz w:val="15"/>
          <w:szCs w:val="15"/>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24" w:lineRule="exact"/>
        <w:rPr>
          <w:sz w:val="20"/>
          <w:szCs w:val="20"/>
          <w:color w:val="auto"/>
        </w:rPr>
      </w:pPr>
    </w:p>
    <w:p>
      <w:pPr>
        <w:ind w:left="920" w:right="20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hanging="446"/>
        <w:spacing w:after="0" w:line="28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through March 31, 2014, equals 15%, and beginning April 1, 2014,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will be subject to an incentive fee rate of 15% and the portion of the Company’s realized capital gains that accrued beginning April 1, 2014 will be subject to an incentive fee rate of 17.5%.</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5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three months ended March 31, 2014, Incentive Fees were $4.5 million, of which $3.7 million were realized and payable to the Adviser. For the three months ended March 31, 2013, Incentive Fees were $2.7 million, of which $2.4 million were realized and payable to the Adviser.</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months ended March 31, 2014 and 2013 were $1.5 million and $0.9 million, respectively.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Adviser has entered into an agreement (the “10b5-1 Plan”) with Goldman, Sachs &amp; Co.,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March 31, 2014 and December 31, 2013:</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March 31, 2014</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7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1"/>
                <w:szCs w:val="11"/>
                <w:color w:val="auto"/>
              </w:rPr>
            </w:pPr>
          </w:p>
        </w:tc>
      </w:tr>
      <w:tr>
        <w:trPr>
          <w:trHeight w:val="161"/>
        </w:trPr>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1"/>
              </w:rPr>
              <w:t>Amortized Cost (1)</w:t>
            </w:r>
          </w:p>
        </w:tc>
        <w:tc>
          <w:tcPr>
            <w:tcW w:w="700" w:type="dxa"/>
            <w:vAlign w:val="bottom"/>
          </w:tcPr>
          <w:p>
            <w:pPr>
              <w:spacing w:after="0"/>
              <w:rPr>
                <w:sz w:val="14"/>
                <w:szCs w:val="1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Gain (Loss)</w:t>
            </w:r>
          </w:p>
        </w:tc>
      </w:tr>
      <w:tr>
        <w:trPr>
          <w:trHeight w:val="210"/>
        </w:trPr>
        <w:tc>
          <w:tcPr>
            <w:tcW w:w="3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7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970,436</w:t>
            </w:r>
          </w:p>
        </w:tc>
        <w:tc>
          <w:tcPr>
            <w:tcW w:w="7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984,670</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194,083</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203,865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9,782</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(940)</w:t>
            </w:r>
          </w:p>
        </w:tc>
      </w:tr>
      <w:tr>
        <w:trPr>
          <w:trHeight w:val="27"/>
        </w:trPr>
        <w:tc>
          <w:tcPr>
            <w:tcW w:w="3720" w:type="dxa"/>
            <w:vAlign w:val="bottom"/>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1,172,442</w:t>
            </w:r>
          </w:p>
        </w:tc>
        <w:tc>
          <w:tcPr>
            <w:tcW w:w="14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1,195,539</w:t>
            </w:r>
          </w:p>
        </w:tc>
        <w:tc>
          <w:tcPr>
            <w:tcW w:w="3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23,097</w:t>
            </w:r>
          </w:p>
        </w:tc>
      </w:tr>
      <w:tr>
        <w:trPr>
          <w:trHeight w:val="20"/>
        </w:trPr>
        <w:tc>
          <w:tcPr>
            <w:tcW w:w="3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7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1"/>
                <w:szCs w:val="11"/>
                <w:color w:val="auto"/>
              </w:rPr>
            </w:pPr>
          </w:p>
        </w:tc>
      </w:tr>
      <w:tr>
        <w:trPr>
          <w:trHeight w:val="161"/>
        </w:trPr>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1"/>
              </w:rPr>
              <w:t>Amortized Cost (1)</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Gain (Loss)</w:t>
            </w:r>
          </w:p>
        </w:tc>
      </w:tr>
      <w:tr>
        <w:trPr>
          <w:trHeight w:val="210"/>
        </w:trPr>
        <w:tc>
          <w:tcPr>
            <w:tcW w:w="3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7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7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131,082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137,483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6,401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r>
      <w:tr>
        <w:trPr>
          <w:trHeight w:val="27"/>
        </w:trPr>
        <w:tc>
          <w:tcPr>
            <w:tcW w:w="3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997,298</w:t>
            </w:r>
          </w:p>
        </w:tc>
        <w:tc>
          <w:tcPr>
            <w:tcW w:w="1820" w:type="dxa"/>
            <w:vAlign w:val="bottom"/>
            <w:tcBorders>
              <w:lef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w:t>
            </w:r>
          </w:p>
        </w:tc>
      </w:tr>
      <w:tr>
        <w:trPr>
          <w:trHeight w:val="20"/>
        </w:trPr>
        <w:tc>
          <w:tcPr>
            <w:tcW w:w="3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as of March 31, 2014 and December 31, 2013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6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March 31, 2014</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0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vMerge w:val="continue"/>
            <w:shd w:val="clear" w:color="auto" w:fill="CCEEFF"/>
          </w:tcPr>
          <w:p>
            <w:pPr>
              <w:spacing w:after="0"/>
              <w:rPr>
                <w:sz w:val="18"/>
                <w:szCs w:val="18"/>
                <w:color w:val="auto"/>
              </w:rPr>
            </w:pPr>
          </w:p>
        </w:tc>
        <w:tc>
          <w:tcPr>
            <w:tcW w:w="208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w:t>
            </w:r>
          </w:p>
        </w:tc>
        <w:tc>
          <w:tcPr>
            <w:tcW w:w="4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Automotive</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4.9%</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5.3%</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Business services</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11.6%</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4.3%</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3.9%</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Electronics</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9.2%</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11.2%</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4.5%</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3.1%</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Internet services</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Metals and mining</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2.9%</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8.9%</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0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2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80" w:type="dxa"/>
            <w:vAlign w:val="bottom"/>
            <w:vMerge w:val="restart"/>
          </w:tcPr>
          <w:p>
            <w:pPr>
              <w:jc w:val="right"/>
              <w:ind w:right="873"/>
              <w:spacing w:after="0"/>
              <w:rPr>
                <w:sz w:val="20"/>
                <w:szCs w:val="20"/>
                <w:color w:val="auto"/>
              </w:rPr>
            </w:pPr>
            <w:r>
              <w:rPr>
                <w:rFonts w:ascii="Arial" w:cs="Arial" w:eastAsia="Arial" w:hAnsi="Arial"/>
                <w:sz w:val="18"/>
                <w:szCs w:val="18"/>
                <w:color w:val="auto"/>
              </w:rPr>
              <w:t>23</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geographic composition of Investments at fair value as of March 31, 2014 and December 31, 2013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5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March 31, 2014</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Midwest</w:t>
            </w:r>
          </w:p>
        </w:tc>
        <w:tc>
          <w:tcPr>
            <w:tcW w:w="3580" w:type="dxa"/>
            <w:vAlign w:val="bottom"/>
            <w:gridSpan w:val="3"/>
          </w:tcPr>
          <w:p>
            <w:pPr>
              <w:jc w:val="right"/>
              <w:ind w:right="480"/>
              <w:spacing w:after="0"/>
              <w:rPr>
                <w:sz w:val="20"/>
                <w:szCs w:val="20"/>
                <w:color w:val="auto"/>
              </w:rPr>
            </w:pPr>
            <w:r>
              <w:rPr>
                <w:rFonts w:ascii="Arial" w:cs="Arial" w:eastAsia="Arial" w:hAnsi="Arial"/>
                <w:sz w:val="18"/>
                <w:szCs w:val="18"/>
                <w:color w:val="auto"/>
              </w:rPr>
              <w:t>12.5%</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23.0%</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South</w:t>
            </w:r>
          </w:p>
        </w:tc>
        <w:tc>
          <w:tcPr>
            <w:tcW w:w="3580" w:type="dxa"/>
            <w:vAlign w:val="bottom"/>
            <w:gridSpan w:val="3"/>
          </w:tcPr>
          <w:p>
            <w:pPr>
              <w:jc w:val="right"/>
              <w:ind w:right="480"/>
              <w:spacing w:after="0"/>
              <w:rPr>
                <w:sz w:val="20"/>
                <w:szCs w:val="20"/>
                <w:color w:val="auto"/>
              </w:rPr>
            </w:pPr>
            <w:r>
              <w:rPr>
                <w:rFonts w:ascii="Arial" w:cs="Arial" w:eastAsia="Arial" w:hAnsi="Arial"/>
                <w:sz w:val="18"/>
                <w:szCs w:val="18"/>
                <w:color w:val="auto"/>
              </w:rPr>
              <w:t>17.7%</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33.2%</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Europe</w:t>
            </w:r>
          </w:p>
        </w:tc>
        <w:tc>
          <w:tcPr>
            <w:tcW w:w="3580" w:type="dxa"/>
            <w:vAlign w:val="bottom"/>
            <w:gridSpan w:val="3"/>
          </w:tcPr>
          <w:p>
            <w:pPr>
              <w:jc w:val="right"/>
              <w:ind w:right="480"/>
              <w:spacing w:after="0"/>
              <w:rPr>
                <w:sz w:val="20"/>
                <w:szCs w:val="20"/>
                <w:color w:val="auto"/>
              </w:rPr>
            </w:pPr>
            <w:r>
              <w:rPr>
                <w:rFonts w:ascii="Arial" w:cs="Arial" w:eastAsia="Arial" w:hAnsi="Arial"/>
                <w:sz w:val="18"/>
                <w:szCs w:val="18"/>
                <w:color w:val="auto"/>
              </w:rPr>
              <w:t>8.1%</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0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20" w:type="dxa"/>
            <w:vAlign w:val="bottom"/>
            <w:vMerge w:val="continue"/>
          </w:tcPr>
          <w:p>
            <w:pPr>
              <w:spacing w:after="0"/>
              <w:rPr>
                <w:sz w:val="19"/>
                <w:szCs w:val="19"/>
                <w:color w:val="auto"/>
              </w:rPr>
            </w:pPr>
          </w:p>
        </w:tc>
        <w:tc>
          <w:tcPr>
            <w:tcW w:w="206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160" w:firstLine="8"/>
        <w:spacing w:after="0" w:line="391" w:lineRule="auto"/>
        <w:tabs>
          <w:tab w:leader="none" w:pos="176"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three months ended March 31, 2014 and year ended December 31, 2013 had terms of approximately one to two months. Risks may arise as a result of the potential inability of the counterparties to meet the terms of their contracts. The Company attempts to limit this risk by dealing with only creditworthy counterparties.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three months ended March 31, 2014, the Company settled its foreign currency forward contracts related to its investments in Jeeves Information Systems AB and Soho House Bond Ltd., which in total generated a realized loss of $1.6 million. The Company did not enter into new foreign currency forward contracts related to these investments.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 2013</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3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24"/>
              <w:spacing w:after="0" w:line="130"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Amount (in</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USD Value at</w:t>
            </w:r>
          </w:p>
        </w:tc>
        <w:tc>
          <w:tcPr>
            <w:tcW w:w="26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USD Value at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presented in</w:t>
            </w: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 Forward Contracts</w:t>
            </w:r>
          </w:p>
        </w:tc>
        <w:tc>
          <w:tcPr>
            <w:tcW w:w="1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000’s)</w:t>
            </w: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Settlement</w:t>
            </w:r>
          </w:p>
        </w:tc>
        <w:tc>
          <w:tcPr>
            <w:tcW w:w="26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w:t>
            </w:r>
          </w:p>
        </w:tc>
        <w:tc>
          <w:tcPr>
            <w:tcW w:w="260" w:type="dxa"/>
            <w:vAlign w:val="bottom"/>
          </w:tcPr>
          <w:p>
            <w:pPr>
              <w:spacing w:after="0"/>
              <w:rPr>
                <w:sz w:val="12"/>
                <w:szCs w:val="12"/>
                <w:color w:val="auto"/>
              </w:rPr>
            </w:pPr>
          </w:p>
        </w:tc>
        <w:tc>
          <w:tcPr>
            <w:tcW w:w="1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Consolidated Financial</w:t>
            </w:r>
          </w:p>
        </w:tc>
        <w:tc>
          <w:tcPr>
            <w:tcW w:w="0" w:type="dxa"/>
            <w:vAlign w:val="bottom"/>
          </w:tcPr>
          <w:p>
            <w:pPr>
              <w:spacing w:after="0"/>
              <w:rPr>
                <w:sz w:val="1"/>
                <w:szCs w:val="1"/>
                <w:color w:val="auto"/>
              </w:rPr>
            </w:pPr>
          </w:p>
        </w:tc>
      </w:tr>
      <w:tr>
        <w:trPr>
          <w:trHeight w:val="168"/>
        </w:trPr>
        <w:tc>
          <w:tcPr>
            <w:tcW w:w="2340" w:type="dxa"/>
            <w:vAlign w:val="bottom"/>
            <w:tcBorders>
              <w:bottom w:val="single" w:sz="8" w:color="auto"/>
            </w:tcBorders>
            <w:vMerge w:val="continue"/>
          </w:tcPr>
          <w:p>
            <w:pPr>
              <w:spacing w:after="0"/>
              <w:rPr>
                <w:sz w:val="14"/>
                <w:szCs w:val="14"/>
                <w:color w:val="auto"/>
              </w:rPr>
            </w:pPr>
          </w:p>
        </w:tc>
        <w:tc>
          <w:tcPr>
            <w:tcW w:w="1540" w:type="dxa"/>
            <w:vAlign w:val="bottom"/>
          </w:tcPr>
          <w:p>
            <w:pPr>
              <w:spacing w:after="0"/>
              <w:rPr>
                <w:sz w:val="14"/>
                <w:szCs w:val="14"/>
                <w:color w:val="auto"/>
              </w:rPr>
            </w:pPr>
          </w:p>
        </w:tc>
        <w:tc>
          <w:tcPr>
            <w:tcW w:w="184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5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6"/>
              </w:rPr>
              <w:t>and Transaction</w:t>
            </w:r>
          </w:p>
        </w:tc>
        <w:tc>
          <w:tcPr>
            <w:tcW w:w="160" w:type="dxa"/>
            <w:vAlign w:val="bottom"/>
          </w:tcPr>
          <w:p>
            <w:pPr>
              <w:spacing w:after="0"/>
              <w:rPr>
                <w:sz w:val="14"/>
                <w:szCs w:val="14"/>
                <w:color w:val="auto"/>
              </w:rPr>
            </w:pPr>
          </w:p>
        </w:tc>
        <w:tc>
          <w:tcPr>
            <w:tcW w:w="94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7"/>
              <w:spacing w:after="0" w:line="148" w:lineRule="exact"/>
              <w:rPr>
                <w:sz w:val="20"/>
                <w:szCs w:val="20"/>
                <w:color w:val="auto"/>
              </w:rPr>
            </w:pPr>
            <w:r>
              <w:rPr>
                <w:rFonts w:ascii="Arial" w:cs="Arial" w:eastAsia="Arial" w:hAnsi="Arial"/>
                <w:sz w:val="14"/>
                <w:szCs w:val="14"/>
                <w:b w:val="1"/>
                <w:bCs w:val="1"/>
                <w:color w:val="auto"/>
                <w:w w:val="88"/>
              </w:rPr>
              <w:t>31, 2013</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Swedish Krona (SEK)</w:t>
            </w:r>
          </w:p>
        </w:tc>
        <w:tc>
          <w:tcPr>
            <w:tcW w:w="15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January 24, 2014</w:t>
            </w:r>
          </w:p>
        </w:tc>
        <w:tc>
          <w:tcPr>
            <w:tcW w:w="5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188,672 sold</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7"/>
              </w:rPr>
              <w:t>(28,440)</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77"/>
              </w:rPr>
              <w:t>(29,366)</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British Pound (GBP)</w:t>
            </w:r>
          </w:p>
        </w:tc>
        <w:tc>
          <w:tcPr>
            <w:tcW w:w="154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color w:val="auto"/>
              </w:rPr>
              <w:t>January 24, 2014</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7,000 sold</w:t>
            </w:r>
          </w:p>
        </w:tc>
        <w:tc>
          <w:tcPr>
            <w:tcW w:w="1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(11,274)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(11,592)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(39,714)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(40,958)</w:t>
            </w: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40" w:firstLine="8"/>
        <w:spacing w:after="0" w:line="369" w:lineRule="auto"/>
        <w:tabs>
          <w:tab w:leader="none" w:pos="176"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March 31, 2014 and December 31, 2013.</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w w:val="90"/>
              </w:rPr>
              <w:t>Fair Value Hierarchy at March 31, 2014</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4"/>
              </w:rPr>
              <w:t>Level 1</w:t>
            </w:r>
          </w:p>
        </w:tc>
        <w:tc>
          <w:tcPr>
            <w:tcW w:w="340" w:type="dxa"/>
            <w:vAlign w:val="bottom"/>
          </w:tcPr>
          <w:p>
            <w:pPr>
              <w:spacing w:after="0"/>
              <w:rPr>
                <w:sz w:val="12"/>
                <w:szCs w:val="12"/>
                <w:color w:val="auto"/>
              </w:rPr>
            </w:pPr>
          </w:p>
        </w:tc>
        <w:tc>
          <w:tcPr>
            <w:tcW w:w="1020" w:type="dxa"/>
            <w:vAlign w:val="bottom"/>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11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70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$22,093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962,577</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984,670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34,438</w:t>
            </w:r>
          </w:p>
        </w:tc>
        <w:tc>
          <w:tcPr>
            <w:tcW w:w="32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169,427</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203,865</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4,664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r>
      <w:tr>
        <w:trPr>
          <w:trHeight w:val="27"/>
        </w:trPr>
        <w:tc>
          <w:tcPr>
            <w:tcW w:w="4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1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56,531</w:t>
            </w:r>
          </w:p>
        </w:tc>
        <w:tc>
          <w:tcPr>
            <w:tcW w:w="3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1,139,008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1,195,539</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600" w:type="dxa"/>
            <w:vAlign w:val="bottom"/>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r>
      <w:tr>
        <w:trPr>
          <w:trHeight w:val="149"/>
        </w:trPr>
        <w:tc>
          <w:tcPr>
            <w:tcW w:w="4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500" w:type="dxa"/>
            <w:vAlign w:val="bottom"/>
            <w:gridSpan w:val="11"/>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Fair Value Hierarchy at December 31, 2013</w:t>
            </w:r>
          </w:p>
        </w:tc>
      </w:tr>
      <w:tr>
        <w:trPr>
          <w:trHeight w:val="142"/>
        </w:trPr>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$22,192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$854,972</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320"/>
              <w:spacing w:after="0"/>
              <w:rPr>
                <w:sz w:val="20"/>
                <w:szCs w:val="20"/>
                <w:color w:val="auto"/>
              </w:rPr>
            </w:pPr>
            <w:r>
              <w:rPr>
                <w:rFonts w:ascii="Arial" w:cs="Arial" w:eastAsia="Arial" w:hAnsi="Arial"/>
                <w:sz w:val="18"/>
                <w:szCs w:val="18"/>
                <w:color w:val="auto"/>
              </w:rPr>
              <w:t>33,952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103,531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137,483</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1,804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3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3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$56,144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4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$1,016,451</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(1,244)</w:t>
            </w:r>
          </w:p>
        </w:tc>
      </w:tr>
      <w:tr>
        <w:trPr>
          <w:trHeight w:val="27"/>
        </w:trPr>
        <w:tc>
          <w:tcPr>
            <w:tcW w:w="4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44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54,900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960,307</w:t>
            </w:r>
          </w:p>
        </w:tc>
        <w:tc>
          <w:tcPr>
            <w:tcW w:w="4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1,016,207</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months ended March 31, 2014 and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As of and for the Three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11"/>
          </w:tcPr>
          <w:p>
            <w:pPr>
              <w:jc w:val="center"/>
              <w:ind w:right="106"/>
              <w:spacing w:after="0"/>
              <w:rPr>
                <w:sz w:val="20"/>
                <w:szCs w:val="20"/>
                <w:color w:val="auto"/>
              </w:rPr>
            </w:pPr>
            <w:r>
              <w:rPr>
                <w:rFonts w:ascii="Arial" w:cs="Arial" w:eastAsia="Arial" w:hAnsi="Arial"/>
                <w:sz w:val="14"/>
                <w:szCs w:val="14"/>
                <w:b w:val="1"/>
                <w:bCs w:val="1"/>
                <w:color w:val="auto"/>
                <w:w w:val="89"/>
              </w:rPr>
              <w:t>Months Ended March 31, 2014</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700" w:type="dxa"/>
            <w:vAlign w:val="bottom"/>
          </w:tcPr>
          <w:p>
            <w:pPr>
              <w:spacing w:after="0"/>
              <w:rPr>
                <w:sz w:val="11"/>
                <w:szCs w:val="11"/>
                <w:color w:val="auto"/>
              </w:rPr>
            </w:pPr>
          </w:p>
        </w:tc>
        <w:tc>
          <w:tcPr>
            <w:tcW w:w="1240" w:type="dxa"/>
            <w:vAlign w:val="bottom"/>
            <w:gridSpan w:val="4"/>
          </w:tcPr>
          <w:p>
            <w:pPr>
              <w:jc w:val="center"/>
              <w:ind w:right="520"/>
              <w:spacing w:after="0" w:line="129" w:lineRule="exact"/>
              <w:rPr>
                <w:sz w:val="20"/>
                <w:szCs w:val="20"/>
                <w:color w:val="auto"/>
              </w:rPr>
            </w:pPr>
            <w:r>
              <w:rPr>
                <w:rFonts w:ascii="Arial" w:cs="Arial" w:eastAsia="Arial" w:hAnsi="Arial"/>
                <w:sz w:val="14"/>
                <w:szCs w:val="14"/>
                <w:b w:val="1"/>
                <w:bCs w:val="1"/>
                <w:color w:val="auto"/>
                <w:w w:val="87"/>
              </w:rPr>
              <w:t>First-lien</w:t>
            </w:r>
          </w:p>
        </w:tc>
        <w:tc>
          <w:tcPr>
            <w:tcW w:w="920" w:type="dxa"/>
            <w:vAlign w:val="bottom"/>
            <w:gridSpan w:val="5"/>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Second-lien</w:t>
            </w:r>
          </w:p>
        </w:tc>
        <w:tc>
          <w:tcPr>
            <w:tcW w:w="300" w:type="dxa"/>
            <w:vAlign w:val="bottom"/>
          </w:tcPr>
          <w:p>
            <w:pPr>
              <w:spacing w:after="0"/>
              <w:rPr>
                <w:sz w:val="11"/>
                <w:szCs w:val="11"/>
                <w:color w:val="auto"/>
              </w:rPr>
            </w:pPr>
          </w:p>
        </w:tc>
        <w:tc>
          <w:tcPr>
            <w:tcW w:w="1180" w:type="dxa"/>
            <w:vAlign w:val="bottom"/>
            <w:gridSpan w:val="5"/>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Mezzanine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1"/>
              </w:rPr>
              <w:t>debt</w:t>
            </w:r>
          </w:p>
        </w:tc>
        <w:tc>
          <w:tcPr>
            <w:tcW w:w="160" w:type="dxa"/>
            <w:vAlign w:val="bottom"/>
          </w:tcPr>
          <w:p>
            <w:pPr>
              <w:spacing w:after="0"/>
              <w:rPr>
                <w:sz w:val="12"/>
                <w:szCs w:val="12"/>
                <w:color w:val="auto"/>
              </w:rPr>
            </w:pPr>
          </w:p>
        </w:tc>
        <w:tc>
          <w:tcPr>
            <w:tcW w:w="7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debt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debt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700" w:type="dxa"/>
            <w:vAlign w:val="bottom"/>
          </w:tcPr>
          <w:p>
            <w:pPr>
              <w:spacing w:after="0"/>
              <w:rPr>
                <w:sz w:val="14"/>
                <w:szCs w:val="14"/>
                <w:color w:val="auto"/>
              </w:rPr>
            </w:pPr>
          </w:p>
        </w:tc>
        <w:tc>
          <w:tcPr>
            <w:tcW w:w="12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3"/>
              </w:rPr>
              <w:t>investments</w:t>
            </w:r>
          </w:p>
        </w:tc>
        <w:tc>
          <w:tcPr>
            <w:tcW w:w="30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investments</w:t>
            </w:r>
          </w:p>
        </w:tc>
        <w:tc>
          <w:tcPr>
            <w:tcW w:w="4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$ 854,972</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$ 103,531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1,804</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960,307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Purchases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257,098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63,050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4,641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500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325,289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(51,642)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(51,642)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(102,989)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2"/>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(103,453)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3,506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CEEFF"/>
          </w:tcPr>
          <w:p>
            <w:pPr>
              <w:spacing w:after="0"/>
              <w:rPr>
                <w:sz w:val="18"/>
                <w:szCs w:val="18"/>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$ 962,577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$ 169,427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4,664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2,340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1,139,008</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As of and for the Three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89"/>
              </w:rPr>
              <w:t>Months Ended March 31, 2013</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First-lien</w:t>
            </w:r>
          </w:p>
        </w:tc>
        <w:tc>
          <w:tcPr>
            <w:tcW w:w="160" w:type="dxa"/>
            <w:vAlign w:val="bottom"/>
          </w:tcPr>
          <w:p>
            <w:pPr>
              <w:spacing w:after="0"/>
              <w:rPr>
                <w:sz w:val="11"/>
                <w:szCs w:val="11"/>
                <w:color w:val="auto"/>
              </w:rPr>
            </w:pPr>
          </w:p>
        </w:tc>
        <w:tc>
          <w:tcPr>
            <w:tcW w:w="7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3"/>
              </w:rPr>
              <w:t>Second-lien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4"/>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Mezzanine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debt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debt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debt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1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3"/>
              </w:rPr>
              <w:t>investments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$ 514,104</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53,190</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w w:val="84"/>
              </w:rPr>
              <w:t>2,000</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$569,294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Purchases</w:t>
            </w:r>
          </w:p>
        </w:tc>
        <w:tc>
          <w:tcPr>
            <w:tcW w:w="1240" w:type="dxa"/>
            <w:vAlign w:val="bottom"/>
            <w:gridSpan w:val="4"/>
          </w:tcPr>
          <w:p>
            <w:pPr>
              <w:jc w:val="right"/>
              <w:ind w:right="360"/>
              <w:spacing w:after="0"/>
              <w:rPr>
                <w:sz w:val="20"/>
                <w:szCs w:val="20"/>
                <w:color w:val="auto"/>
              </w:rPr>
            </w:pPr>
            <w:r>
              <w:rPr>
                <w:rFonts w:ascii="Arial" w:cs="Arial" w:eastAsia="Arial" w:hAnsi="Arial"/>
                <w:sz w:val="18"/>
                <w:szCs w:val="18"/>
                <w:color w:val="auto"/>
              </w:rPr>
              <w:t>64,720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64,540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2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(30,615)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240" w:type="dxa"/>
            <w:vAlign w:val="bottom"/>
            <w:gridSpan w:val="4"/>
          </w:tcPr>
          <w:p>
            <w:pPr>
              <w:jc w:val="right"/>
              <w:ind w:right="320"/>
              <w:spacing w:after="0"/>
              <w:rPr>
                <w:sz w:val="20"/>
                <w:szCs w:val="20"/>
                <w:color w:val="auto"/>
              </w:rPr>
            </w:pPr>
            <w:r>
              <w:rPr>
                <w:rFonts w:ascii="Arial" w:cs="Arial" w:eastAsia="Arial" w:hAnsi="Arial"/>
                <w:sz w:val="18"/>
                <w:szCs w:val="18"/>
                <w:color w:val="auto"/>
              </w:rPr>
              <w:t>(48,993)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(3,181)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(52,174)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2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1240" w:type="dxa"/>
            <w:vAlign w:val="bottom"/>
            <w:gridSpan w:val="4"/>
          </w:tcPr>
          <w:p>
            <w:pPr>
              <w:jc w:val="right"/>
              <w:ind w:right="360"/>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1,578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2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8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1,351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$ 502,510</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50,458</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2,000</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554,968</w:t>
            </w: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700" w:type="dxa"/>
            <w:vAlign w:val="bottom"/>
          </w:tcPr>
          <w:p>
            <w:pPr>
              <w:spacing w:after="0"/>
              <w:rPr>
                <w:sz w:val="24"/>
                <w:szCs w:val="24"/>
                <w:color w:val="auto"/>
              </w:rPr>
            </w:pPr>
          </w:p>
        </w:tc>
        <w:tc>
          <w:tcPr>
            <w:tcW w:w="720" w:type="dxa"/>
            <w:vAlign w:val="bottom"/>
            <w:gridSpan w:val="2"/>
          </w:tcPr>
          <w:p>
            <w:pPr>
              <w:jc w:val="right"/>
              <w:ind w:right="4"/>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2014 and 2013:</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ind w:right="1"/>
              <w:spacing w:after="0"/>
              <w:rPr>
                <w:sz w:val="20"/>
                <w:szCs w:val="20"/>
                <w:color w:val="auto"/>
              </w:rPr>
            </w:pPr>
            <w:r>
              <w:rPr>
                <w:rFonts w:ascii="Arial" w:cs="Arial" w:eastAsia="Arial" w:hAnsi="Arial"/>
                <w:sz w:val="14"/>
                <w:szCs w:val="14"/>
                <w:b w:val="1"/>
                <w:bCs w:val="1"/>
                <w:color w:val="auto"/>
                <w:w w:val="87"/>
              </w:rPr>
              <w:t>Net Change in Unrealized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Change in Unrealized</w:t>
            </w:r>
          </w:p>
        </w:tc>
      </w:tr>
      <w:tr>
        <w:trPr>
          <w:trHeight w:val="149"/>
        </w:trPr>
        <w:tc>
          <w:tcPr>
            <w:tcW w:w="2880" w:type="dxa"/>
            <w:vAlign w:val="bottom"/>
          </w:tcPr>
          <w:p>
            <w:pPr>
              <w:spacing w:after="0"/>
              <w:rPr>
                <w:sz w:val="12"/>
                <w:szCs w:val="12"/>
                <w:color w:val="auto"/>
              </w:rPr>
            </w:pPr>
          </w:p>
        </w:tc>
        <w:tc>
          <w:tcPr>
            <w:tcW w:w="2520" w:type="dxa"/>
            <w:vAlign w:val="bottom"/>
            <w:gridSpan w:val="3"/>
          </w:tcPr>
          <w:p>
            <w:pPr>
              <w:jc w:val="center"/>
              <w:ind w:left="762"/>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2360" w:type="dxa"/>
            <w:vAlign w:val="bottom"/>
            <w:gridSpan w:val="4"/>
          </w:tcPr>
          <w:p>
            <w:pPr>
              <w:jc w:val="center"/>
              <w:ind w:left="38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r>
      <w:tr>
        <w:trPr>
          <w:trHeight w:val="149"/>
        </w:trPr>
        <w:tc>
          <w:tcPr>
            <w:tcW w:w="2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for the Three Months Ended</w:t>
            </w:r>
          </w:p>
        </w:tc>
        <w:tc>
          <w:tcPr>
            <w:tcW w:w="58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r>
      <w:tr>
        <w:trPr>
          <w:trHeight w:val="149"/>
        </w:trPr>
        <w:tc>
          <w:tcPr>
            <w:tcW w:w="2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9"/>
              </w:rPr>
              <w:t>March 31, 2014 on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March 31, 2013 on</w:t>
            </w:r>
          </w:p>
        </w:tc>
      </w:tr>
      <w:tr>
        <w:trPr>
          <w:trHeight w:val="149"/>
        </w:trPr>
        <w:tc>
          <w:tcPr>
            <w:tcW w:w="2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Investments Held at</w:t>
            </w:r>
          </w:p>
        </w:tc>
      </w:tr>
      <w:tr>
        <w:trPr>
          <w:trHeight w:val="161"/>
        </w:trPr>
        <w:tc>
          <w:tcPr>
            <w:tcW w:w="2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March 31, 2014</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March 31, 2013</w:t>
            </w:r>
          </w:p>
        </w:tc>
      </w:tr>
      <w:tr>
        <w:trPr>
          <w:trHeight w:val="210"/>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2,908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Equity investments</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Level 3 Investments at fair value and the significant unobservable inputs used in the valuations as of March 31, 2014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March 31, 2014</w:t>
            </w:r>
          </w:p>
        </w:tc>
        <w:tc>
          <w:tcPr>
            <w:tcW w:w="1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Impact to Valuation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Valuation Technique</w:t>
            </w:r>
          </w:p>
        </w:tc>
        <w:tc>
          <w:tcPr>
            <w:tcW w:w="280" w:type="dxa"/>
            <w:vAlign w:val="bottom"/>
          </w:tcPr>
          <w:p>
            <w:pPr>
              <w:spacing w:after="0"/>
              <w:rPr>
                <w:sz w:val="12"/>
                <w:szCs w:val="12"/>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Unobservable Input</w:t>
            </w:r>
          </w:p>
        </w:tc>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300" w:type="dxa"/>
            <w:vAlign w:val="bottom"/>
            <w:gridSpan w:val="3"/>
          </w:tcPr>
          <w:p>
            <w:pPr>
              <w:ind w:left="200"/>
              <w:spacing w:after="0"/>
              <w:rPr>
                <w:sz w:val="20"/>
                <w:szCs w:val="20"/>
                <w:color w:val="auto"/>
              </w:rPr>
            </w:pPr>
            <w:r>
              <w:rPr>
                <w:rFonts w:ascii="Arial" w:cs="Arial" w:eastAsia="Arial" w:hAnsi="Arial"/>
                <w:sz w:val="14"/>
                <w:szCs w:val="14"/>
                <w:b w:val="1"/>
                <w:bCs w:val="1"/>
                <w:color w:val="auto"/>
              </w:rPr>
              <w:t>Range (Weighted Average)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962,577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7.56% — 13.27%</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5"/>
              </w:rPr>
              <w:t>(9.87%)</w:t>
            </w:r>
          </w:p>
        </w:tc>
        <w:tc>
          <w:tcPr>
            <w:tcW w:w="3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0"/>
              </w:rPr>
              <w:t>Decrease</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169,427</w:t>
            </w:r>
          </w:p>
        </w:tc>
        <w:tc>
          <w:tcPr>
            <w:tcW w:w="1840" w:type="dxa"/>
            <w:vAlign w:val="bottom"/>
            <w:gridSpan w:val="2"/>
          </w:tcPr>
          <w:p>
            <w:pPr>
              <w:ind w:left="180"/>
              <w:spacing w:after="0"/>
              <w:rPr>
                <w:sz w:val="20"/>
                <w:szCs w:val="20"/>
                <w:color w:val="auto"/>
              </w:rPr>
            </w:pPr>
            <w:r>
              <w:rPr>
                <w:rFonts w:ascii="Arial" w:cs="Arial" w:eastAsia="Arial" w:hAnsi="Arial"/>
                <w:sz w:val="18"/>
                <w:szCs w:val="18"/>
                <w:color w:val="auto"/>
              </w:rPr>
              <w:t>Income Approach</w:t>
            </w:r>
          </w:p>
        </w:tc>
        <w:tc>
          <w:tcPr>
            <w:tcW w:w="1900" w:type="dxa"/>
            <w:vAlign w:val="bottom"/>
            <w:gridSpan w:val="3"/>
          </w:tcPr>
          <w:p>
            <w:pPr>
              <w:ind w:left="280"/>
              <w:spacing w:after="0"/>
              <w:rPr>
                <w:sz w:val="20"/>
                <w:szCs w:val="20"/>
                <w:color w:val="auto"/>
              </w:rPr>
            </w:pPr>
            <w:r>
              <w:rPr>
                <w:rFonts w:ascii="Arial" w:cs="Arial" w:eastAsia="Arial" w:hAnsi="Arial"/>
                <w:sz w:val="18"/>
                <w:szCs w:val="18"/>
                <w:color w:val="auto"/>
              </w:rPr>
              <w:t>Market Yield</w:t>
            </w:r>
          </w:p>
        </w:tc>
        <w:tc>
          <w:tcPr>
            <w:tcW w:w="1340" w:type="dxa"/>
            <w:vAlign w:val="bottom"/>
          </w:tcPr>
          <w:p>
            <w:pPr>
              <w:jc w:val="right"/>
              <w:spacing w:after="0"/>
              <w:rPr>
                <w:sz w:val="20"/>
                <w:szCs w:val="20"/>
                <w:color w:val="auto"/>
              </w:rPr>
            </w:pPr>
            <w:r>
              <w:rPr>
                <w:rFonts w:ascii="Arial" w:cs="Arial" w:eastAsia="Arial" w:hAnsi="Arial"/>
                <w:sz w:val="18"/>
                <w:szCs w:val="18"/>
                <w:color w:val="auto"/>
                <w:w w:val="92"/>
              </w:rPr>
              <w:t>9.30% — 10.51%</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(9.90%)</w:t>
            </w: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4,664</w:t>
            </w:r>
          </w:p>
        </w:tc>
        <w:tc>
          <w:tcPr>
            <w:tcW w:w="1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Approach</w:t>
            </w:r>
          </w:p>
        </w:tc>
        <w:tc>
          <w:tcPr>
            <w:tcW w:w="1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Market Yield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8"/>
        </w:trPr>
        <w:tc>
          <w:tcPr>
            <w:tcW w:w="288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2,340</w:t>
            </w:r>
          </w:p>
        </w:tc>
        <w:tc>
          <w:tcPr>
            <w:tcW w:w="1840" w:type="dxa"/>
            <w:vAlign w:val="bottom"/>
            <w:gridSpan w:val="2"/>
          </w:tcPr>
          <w:p>
            <w:pPr>
              <w:ind w:left="180"/>
              <w:spacing w:after="0"/>
              <w:rPr>
                <w:sz w:val="20"/>
                <w:szCs w:val="20"/>
                <w:color w:val="auto"/>
              </w:rPr>
            </w:pPr>
            <w:r>
              <w:rPr>
                <w:rFonts w:ascii="Arial" w:cs="Arial" w:eastAsia="Arial" w:hAnsi="Arial"/>
                <w:sz w:val="18"/>
                <w:szCs w:val="18"/>
                <w:color w:val="auto"/>
                <w:w w:val="97"/>
              </w:rPr>
              <w:t>Income Approach (1)</w:t>
            </w:r>
          </w:p>
        </w:tc>
        <w:tc>
          <w:tcPr>
            <w:tcW w:w="1900" w:type="dxa"/>
            <w:vAlign w:val="bottom"/>
            <w:gridSpan w:val="3"/>
          </w:tcPr>
          <w:p>
            <w:pPr>
              <w:ind w:left="280"/>
              <w:spacing w:after="0"/>
              <w:rPr>
                <w:sz w:val="20"/>
                <w:szCs w:val="20"/>
                <w:color w:val="auto"/>
              </w:rPr>
            </w:pPr>
            <w:r>
              <w:rPr>
                <w:rFonts w:ascii="Arial" w:cs="Arial" w:eastAsia="Arial" w:hAnsi="Arial"/>
                <w:sz w:val="18"/>
                <w:szCs w:val="18"/>
                <w:color w:val="auto"/>
              </w:rPr>
              <w:t>Weighted</w:t>
            </w:r>
          </w:p>
        </w:tc>
        <w:tc>
          <w:tcPr>
            <w:tcW w:w="1340" w:type="dxa"/>
            <w:vAlign w:val="bottom"/>
          </w:tcPr>
          <w:p>
            <w:pPr>
              <w:jc w:val="right"/>
              <w:spacing w:after="0"/>
              <w:rPr>
                <w:sz w:val="20"/>
                <w:szCs w:val="20"/>
                <w:color w:val="auto"/>
              </w:rPr>
            </w:pPr>
            <w:r>
              <w:rPr>
                <w:rFonts w:ascii="Arial" w:cs="Arial" w:eastAsia="Arial" w:hAnsi="Arial"/>
                <w:sz w:val="18"/>
                <w:szCs w:val="18"/>
                <w:color w:val="auto"/>
                <w:w w:val="99"/>
              </w:rPr>
              <w:t>10.6% — 15.3%</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(13.4%)</w:t>
            </w: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00" w:type="dxa"/>
            <w:vAlign w:val="bottom"/>
            <w:gridSpan w:val="3"/>
          </w:tcPr>
          <w:p>
            <w:pPr>
              <w:ind w:left="280"/>
              <w:spacing w:after="0"/>
              <w:rPr>
                <w:sz w:val="20"/>
                <w:szCs w:val="20"/>
                <w:color w:val="auto"/>
              </w:rPr>
            </w:pPr>
            <w:r>
              <w:rPr>
                <w:rFonts w:ascii="Arial" w:cs="Arial" w:eastAsia="Arial" w:hAnsi="Arial"/>
                <w:sz w:val="18"/>
                <w:szCs w:val="18"/>
                <w:color w:val="auto"/>
              </w:rPr>
              <w:t>Average Cost of</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900" w:type="dxa"/>
            <w:vAlign w:val="bottom"/>
            <w:gridSpan w:val="3"/>
          </w:tcPr>
          <w:p>
            <w:pPr>
              <w:ind w:left="280"/>
              <w:spacing w:after="0"/>
              <w:rPr>
                <w:sz w:val="20"/>
                <w:szCs w:val="20"/>
                <w:color w:val="auto"/>
              </w:rPr>
            </w:pPr>
            <w:r>
              <w:rPr>
                <w:rFonts w:ascii="Arial" w:cs="Arial" w:eastAsia="Arial" w:hAnsi="Arial"/>
                <w:sz w:val="18"/>
                <w:szCs w:val="18"/>
                <w:color w:val="auto"/>
              </w:rPr>
              <w:t>Capital (WACC)</w:t>
            </w: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40" w:right="580" w:hanging="432"/>
        <w:spacing w:after="0" w:line="268"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$0.5 million equity investment which, due to the proximity of the transaction relative to the measurement date, was valued using the cost of the investment.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88"/>
              </w:rPr>
              <w:t>December 31, 2013</w:t>
            </w:r>
          </w:p>
        </w:tc>
        <w:tc>
          <w:tcPr>
            <w:tcW w:w="1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Impact to Valuation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93"/>
              </w:rPr>
              <w:t>Valuation Technique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Unobservable Input</w:t>
            </w:r>
          </w:p>
        </w:tc>
        <w:tc>
          <w:tcPr>
            <w:tcW w:w="2300" w:type="dxa"/>
            <w:vAlign w:val="bottom"/>
            <w:gridSpan w:val="3"/>
          </w:tcPr>
          <w:p>
            <w:pPr>
              <w:ind w:left="440"/>
              <w:spacing w:after="0" w:line="149" w:lineRule="exact"/>
              <w:rPr>
                <w:sz w:val="20"/>
                <w:szCs w:val="20"/>
                <w:color w:val="auto"/>
              </w:rPr>
            </w:pPr>
            <w:r>
              <w:rPr>
                <w:rFonts w:ascii="Arial" w:cs="Arial" w:eastAsia="Arial" w:hAnsi="Arial"/>
                <w:sz w:val="14"/>
                <w:szCs w:val="14"/>
                <w:b w:val="1"/>
                <w:bCs w:val="1"/>
                <w:color w:val="auto"/>
              </w:rPr>
              <w:t>Range (Weighted</w:t>
            </w:r>
          </w:p>
        </w:tc>
        <w:tc>
          <w:tcPr>
            <w:tcW w:w="16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340" w:type="dxa"/>
            <w:vAlign w:val="bottom"/>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854,972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5.50% — 13.12%</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5"/>
              </w:rPr>
              <w:t>(9.81%)</w:t>
            </w:r>
          </w:p>
        </w:tc>
        <w:tc>
          <w:tcPr>
            <w:tcW w:w="3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0"/>
              </w:rPr>
              <w:t>Decrease</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103,531</w:t>
            </w:r>
          </w:p>
        </w:tc>
        <w:tc>
          <w:tcPr>
            <w:tcW w:w="1720" w:type="dxa"/>
            <w:vAlign w:val="bottom"/>
            <w:gridSpan w:val="2"/>
          </w:tcPr>
          <w:p>
            <w:pPr>
              <w:ind w:left="180"/>
              <w:spacing w:after="0"/>
              <w:rPr>
                <w:sz w:val="20"/>
                <w:szCs w:val="20"/>
                <w:color w:val="auto"/>
              </w:rPr>
            </w:pPr>
            <w:r>
              <w:rPr>
                <w:rFonts w:ascii="Arial" w:cs="Arial" w:eastAsia="Arial" w:hAnsi="Arial"/>
                <w:sz w:val="18"/>
                <w:szCs w:val="18"/>
                <w:color w:val="auto"/>
              </w:rPr>
              <w:t>Income Approach</w:t>
            </w:r>
          </w:p>
        </w:tc>
        <w:tc>
          <w:tcPr>
            <w:tcW w:w="120" w:type="dxa"/>
            <w:vAlign w:val="bottom"/>
          </w:tcPr>
          <w:p>
            <w:pPr>
              <w:spacing w:after="0"/>
              <w:rPr>
                <w:sz w:val="18"/>
                <w:szCs w:val="18"/>
                <w:color w:val="auto"/>
              </w:rPr>
            </w:pPr>
          </w:p>
        </w:tc>
        <w:tc>
          <w:tcPr>
            <w:tcW w:w="1900" w:type="dxa"/>
            <w:vAlign w:val="bottom"/>
            <w:gridSpan w:val="3"/>
          </w:tcPr>
          <w:p>
            <w:pPr>
              <w:ind w:left="280"/>
              <w:spacing w:after="0"/>
              <w:rPr>
                <w:sz w:val="20"/>
                <w:szCs w:val="20"/>
                <w:color w:val="auto"/>
              </w:rPr>
            </w:pPr>
            <w:r>
              <w:rPr>
                <w:rFonts w:ascii="Arial" w:cs="Arial" w:eastAsia="Arial" w:hAnsi="Arial"/>
                <w:sz w:val="18"/>
                <w:szCs w:val="18"/>
                <w:color w:val="auto"/>
              </w:rPr>
              <w:t>Market Yield</w:t>
            </w:r>
          </w:p>
        </w:tc>
        <w:tc>
          <w:tcPr>
            <w:tcW w:w="1340" w:type="dxa"/>
            <w:vAlign w:val="bottom"/>
          </w:tcPr>
          <w:p>
            <w:pPr>
              <w:jc w:val="right"/>
              <w:spacing w:after="0"/>
              <w:rPr>
                <w:sz w:val="20"/>
                <w:szCs w:val="20"/>
                <w:color w:val="auto"/>
              </w:rPr>
            </w:pPr>
            <w:r>
              <w:rPr>
                <w:rFonts w:ascii="Arial" w:cs="Arial" w:eastAsia="Arial" w:hAnsi="Arial"/>
                <w:sz w:val="18"/>
                <w:szCs w:val="18"/>
                <w:color w:val="auto"/>
                <w:w w:val="99"/>
              </w:rPr>
              <w:t>9.32% — 9.87%</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(9.59%)</w:t>
            </w: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8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1,804</w:t>
            </w:r>
          </w:p>
        </w:tc>
        <w:tc>
          <w:tcPr>
            <w:tcW w:w="1720" w:type="dxa"/>
            <w:vAlign w:val="bottom"/>
            <w:gridSpan w:val="2"/>
          </w:tcPr>
          <w:p>
            <w:pPr>
              <w:ind w:left="180"/>
              <w:spacing w:after="0"/>
              <w:rPr>
                <w:sz w:val="20"/>
                <w:szCs w:val="20"/>
                <w:color w:val="auto"/>
              </w:rPr>
            </w:pPr>
            <w:r>
              <w:rPr>
                <w:rFonts w:ascii="Arial" w:cs="Arial" w:eastAsia="Arial" w:hAnsi="Arial"/>
                <w:sz w:val="18"/>
                <w:szCs w:val="18"/>
                <w:color w:val="auto"/>
              </w:rPr>
              <w:t>Income Approach</w:t>
            </w:r>
          </w:p>
        </w:tc>
        <w:tc>
          <w:tcPr>
            <w:tcW w:w="120" w:type="dxa"/>
            <w:vAlign w:val="bottom"/>
          </w:tcPr>
          <w:p>
            <w:pPr>
              <w:spacing w:after="0"/>
              <w:rPr>
                <w:sz w:val="18"/>
                <w:szCs w:val="18"/>
                <w:color w:val="auto"/>
              </w:rPr>
            </w:pPr>
          </w:p>
        </w:tc>
        <w:tc>
          <w:tcPr>
            <w:tcW w:w="1900" w:type="dxa"/>
            <w:vAlign w:val="bottom"/>
            <w:gridSpan w:val="3"/>
          </w:tcPr>
          <w:p>
            <w:pPr>
              <w:ind w:left="280"/>
              <w:spacing w:after="0"/>
              <w:rPr>
                <w:sz w:val="20"/>
                <w:szCs w:val="20"/>
                <w:color w:val="auto"/>
              </w:rPr>
            </w:pPr>
            <w:r>
              <w:rPr>
                <w:rFonts w:ascii="Arial" w:cs="Arial" w:eastAsia="Arial" w:hAnsi="Arial"/>
                <w:sz w:val="18"/>
                <w:szCs w:val="18"/>
                <w:color w:val="auto"/>
              </w:rPr>
              <w:t>Weighted</w:t>
            </w:r>
          </w:p>
        </w:tc>
        <w:tc>
          <w:tcPr>
            <w:tcW w:w="1340" w:type="dxa"/>
            <w:vAlign w:val="bottom"/>
          </w:tcPr>
          <w:p>
            <w:pPr>
              <w:jc w:val="right"/>
              <w:spacing w:after="0"/>
              <w:rPr>
                <w:sz w:val="20"/>
                <w:szCs w:val="20"/>
                <w:color w:val="auto"/>
              </w:rPr>
            </w:pPr>
            <w:r>
              <w:rPr>
                <w:rFonts w:ascii="Arial" w:cs="Arial" w:eastAsia="Arial" w:hAnsi="Arial"/>
                <w:sz w:val="18"/>
                <w:szCs w:val="18"/>
                <w:color w:val="auto"/>
                <w:w w:val="99"/>
              </w:rPr>
              <w:t>12.1% — 15.3%</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(14.0%)</w:t>
            </w: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ind w:left="280"/>
              <w:spacing w:after="0"/>
              <w:rPr>
                <w:sz w:val="20"/>
                <w:szCs w:val="20"/>
                <w:color w:val="auto"/>
              </w:rPr>
            </w:pPr>
            <w:r>
              <w:rPr>
                <w:rFonts w:ascii="Arial" w:cs="Arial" w:eastAsia="Arial" w:hAnsi="Arial"/>
                <w:sz w:val="18"/>
                <w:szCs w:val="18"/>
                <w:color w:val="auto"/>
              </w:rPr>
              <w:t>Average Cost of</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tcPr>
          <w:p>
            <w:pPr>
              <w:ind w:left="280"/>
              <w:spacing w:after="0"/>
              <w:rPr>
                <w:sz w:val="20"/>
                <w:szCs w:val="20"/>
                <w:color w:val="auto"/>
              </w:rPr>
            </w:pPr>
            <w:r>
              <w:rPr>
                <w:rFonts w:ascii="Arial" w:cs="Arial" w:eastAsia="Arial" w:hAnsi="Arial"/>
                <w:sz w:val="18"/>
                <w:szCs w:val="18"/>
                <w:color w:val="auto"/>
              </w:rPr>
              <w:t>Capital (WACC)</w:t>
            </w: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26</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March 31, 2014 and December 31, 2013,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In accordance with the 1940 Act, with certain limitations, the Company is allowed to borrow amounts such that its asset coverage, as defined in the 1940 Act, is at least 200% after such borrowing. As of March 31, 2014 and December 31, 2013, the Company’s asset coverage was 300.1% and 232.9%,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March 31, 2014 and December 31, 2013:</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0"/>
              </w:rPr>
              <w:t>March 31, 2014</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6"/>
              </w:rPr>
              <w:t>Total Facility</w:t>
            </w:r>
          </w:p>
        </w:tc>
        <w:tc>
          <w:tcPr>
            <w:tcW w:w="60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6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SPV Asset Facility (2)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175,000</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$ 153,225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Revolving Credit Facility (3)</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581,250</w:t>
            </w:r>
          </w:p>
        </w:tc>
        <w:tc>
          <w:tcPr>
            <w:tcW w:w="6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248,852</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332,398</w:t>
            </w:r>
          </w:p>
        </w:tc>
        <w:tc>
          <w:tcPr>
            <w:tcW w:w="100" w:type="dxa"/>
            <w:vAlign w:val="bottom"/>
          </w:tcPr>
          <w:p>
            <w:pPr>
              <w:spacing w:after="0"/>
              <w:rPr>
                <w:sz w:val="19"/>
                <w:szCs w:val="19"/>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Debt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756,250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$ 402,077</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$ 335,862</w:t>
            </w:r>
          </w:p>
        </w:tc>
        <w:tc>
          <w:tcPr>
            <w:tcW w:w="100" w:type="dxa"/>
            <w:vAlign w:val="bottom"/>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December 31, 2013</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6"/>
              </w:rPr>
              <w:t>Total Facility</w:t>
            </w:r>
          </w:p>
        </w:tc>
        <w:tc>
          <w:tcPr>
            <w:tcW w:w="60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6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Subscription Credit Facility (4)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SPV Asset Facility (2)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77,767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400,000</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00" w:type="dxa"/>
            <w:vAlign w:val="bottom"/>
            <w:shd w:val="clear" w:color="auto" w:fill="CCEEFF"/>
          </w:tcPr>
          <w:p>
            <w:pPr>
              <w:spacing w:after="0"/>
              <w:rPr>
                <w:sz w:val="18"/>
                <w:szCs w:val="18"/>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b w:val="1"/>
                <w:bCs w:val="1"/>
                <w:color w:val="auto"/>
              </w:rPr>
              <w:t>Total Debt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$ 432,267</w:t>
            </w:r>
          </w:p>
        </w:tc>
        <w:tc>
          <w:tcPr>
            <w:tcW w:w="6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$ 145,500</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January 21, 2014, the Company amended the SPV Asset Facility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February 27, 2014, the Company amended the Revolving Credit Facility to increase the size of the facility to $581.3 million.</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2014 and 2013, the components of interest expense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4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9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1"/>
                <w:szCs w:val="11"/>
                <w:color w:val="auto"/>
              </w:rPr>
            </w:pPr>
          </w:p>
        </w:tc>
      </w:tr>
      <w:tr>
        <w:trPr>
          <w:trHeight w:val="161"/>
        </w:trPr>
        <w:tc>
          <w:tcPr>
            <w:tcW w:w="46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1,335</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Commitment fees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1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r>
      <w:tr>
        <w:trPr>
          <w:trHeight w:val="222"/>
        </w:trPr>
        <w:tc>
          <w:tcPr>
            <w:tcW w:w="460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2000" w:type="dxa"/>
            <w:vAlign w:val="bottom"/>
            <w:gridSpan w:val="2"/>
          </w:tcPr>
          <w:p>
            <w:pPr>
              <w:ind w:left="18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3,824</w:t>
            </w:r>
          </w:p>
        </w:tc>
        <w:tc>
          <w:tcPr>
            <w:tcW w:w="4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2,250</w:t>
            </w:r>
          </w:p>
        </w:tc>
        <w:tc>
          <w:tcPr>
            <w:tcW w:w="2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20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188.0</w:t>
            </w:r>
          </w:p>
        </w:tc>
        <w:tc>
          <w:tcPr>
            <w:tcW w:w="200" w:type="dxa"/>
            <w:vAlign w:val="bottom"/>
            <w:shd w:val="clear" w:color="auto" w:fill="CCEEFF"/>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proceeds received from the closing of the IPO and concurrent private placement were used to pay down borrowings on the Revolving Credit Facility.</w:t>
      </w:r>
    </w:p>
    <w:p>
      <w:pPr>
        <w:spacing w:after="0" w:line="19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In connection with the Company settling its foreign currency forward contracts related to its investments in Jeeves Information Systems AB and Soho House Bond Ltd., during the three months ended March 31, 2014 the Company borrowed in foreign currencies from its Revolving Credit Facility. As of March 31, 2014, the Company has outstanding debt denominated in Swedish Krona (“SEK”) of 218,379,000 and outstanding debt denominated in Pound Sterling (“GBP”) of 7,000,000 on its Revolving Credit Facility, included in the Borrowings Outstanding amount in the table above.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Revolving Credit Facility is guaranteed by TC Lending, LLC and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40" w:hanging="325"/>
        <w:spacing w:after="0" w:line="357"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8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 lowers the interest rate currently applicable on the Company’s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March 31, 2014 and December 31, 2013, TPG SL SPV had $350.4 million and $184.3 million, respectively, in investments at fair value, and $155.1 million and $78.3 million, respectively, in liabilities, including the outstanding borrowings, on its balance sheet. As of March 31, 2014 and December 31, 2013, TPG SL SPV had $8.5 million and $6.3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and December 31, 2013, the Company was in compliance with the terms of its debt obligations.</w:t>
      </w:r>
    </w:p>
    <w:p>
      <w:pPr>
        <w:spacing w:after="0" w:line="246" w:lineRule="exact"/>
        <w:rPr>
          <w:sz w:val="20"/>
          <w:szCs w:val="20"/>
          <w:color w:val="auto"/>
        </w:rPr>
      </w:pPr>
    </w:p>
    <w:p>
      <w:pPr>
        <w:ind w:right="8720" w:firstLine="8"/>
        <w:spacing w:after="0" w:line="417" w:lineRule="auto"/>
        <w:tabs>
          <w:tab w:leader="none" w:pos="176"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March 31, 2014 and December 31, 2013, the Company had the following commitments to fund investments: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20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31,985</w:t>
            </w:r>
          </w:p>
        </w:tc>
        <w:tc>
          <w:tcPr>
            <w:tcW w:w="8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40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55,685</w:t>
            </w:r>
          </w:p>
        </w:tc>
        <w:tc>
          <w:tcPr>
            <w:tcW w:w="124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The remaining unfunded capital commitments terminated upon the completion of the Company’s IPO.</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2014,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32"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0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three months ended March 31, 2014 and 2013: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4"/>
          </w:tcPr>
          <w:p>
            <w:pPr>
              <w:jc w:val="right"/>
              <w:ind w:right="23"/>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4"/>
                <w:szCs w:val="14"/>
                <w:b w:val="1"/>
                <w:bCs w:val="1"/>
                <w:color w:val="auto"/>
                <w:w w:val="92"/>
              </w:rPr>
              <w:t>March 31, 2014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Shares Issued</w:t>
            </w:r>
          </w:p>
        </w:tc>
        <w:tc>
          <w:tcPr>
            <w:tcW w:w="1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January 15, 2014</w:t>
            </w:r>
          </w:p>
        </w:tc>
        <w:tc>
          <w:tcPr>
            <w:tcW w:w="1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4,234,501</w:t>
            </w:r>
          </w:p>
        </w:tc>
        <w:tc>
          <w:tcPr>
            <w:tcW w:w="7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02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1980" w:type="dxa"/>
            <w:vAlign w:val="bottom"/>
            <w:gridSpan w:val="2"/>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4,234,501</w:t>
            </w:r>
          </w:p>
        </w:tc>
        <w:tc>
          <w:tcPr>
            <w:tcW w:w="120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
        </w:trPr>
        <w:tc>
          <w:tcPr>
            <w:tcW w:w="4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4"/>
          </w:tcPr>
          <w:p>
            <w:pPr>
              <w:jc w:val="right"/>
              <w:ind w:right="183"/>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w w:val="88"/>
              </w:rPr>
              <w:t>March 31, 2013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w w:val="81"/>
              </w:rPr>
              <w:t>Shares Issued (1)</w:t>
            </w:r>
          </w:p>
        </w:tc>
        <w:tc>
          <w:tcPr>
            <w:tcW w:w="1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1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02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2,079,224</w:t>
            </w:r>
          </w:p>
        </w:tc>
        <w:tc>
          <w:tcPr>
            <w:tcW w:w="120" w:type="dxa"/>
            <w:vAlign w:val="bottom"/>
          </w:tcPr>
          <w:p>
            <w:pPr>
              <w:spacing w:after="0"/>
              <w:rPr>
                <w:sz w:val="19"/>
                <w:szCs w:val="19"/>
                <w:color w:val="auto"/>
              </w:rPr>
            </w:pPr>
          </w:p>
        </w:tc>
        <w:tc>
          <w:tcPr>
            <w:tcW w:w="120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shareholders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 during the three months ended March 31, 2014 and 2013:</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0"/>
              </w:rPr>
              <w:t>March 31, 2014</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0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Shares Issued</w:t>
            </w:r>
          </w:p>
        </w:tc>
        <w:tc>
          <w:tcPr>
            <w:tcW w:w="200" w:type="dxa"/>
            <w:vAlign w:val="bottom"/>
          </w:tcPr>
          <w:p>
            <w:pPr>
              <w:spacing w:after="0"/>
              <w:rPr>
                <w:sz w:val="14"/>
                <w:szCs w:val="14"/>
                <w:color w:val="auto"/>
              </w:rPr>
            </w:pPr>
          </w:p>
        </w:tc>
        <w:tc>
          <w:tcPr>
            <w:tcW w:w="88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0"/>
              </w:rPr>
              <w:t>Shares Issued</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2013</w:t>
            </w:r>
          </w:p>
        </w:tc>
        <w:tc>
          <w:tcPr>
            <w:tcW w:w="1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December 31, 2013</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February 13, 2014</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502,200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502,200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5"/>
            <w:vMerge w:val="restart"/>
          </w:tcPr>
          <w:p>
            <w:pPr>
              <w:jc w:val="center"/>
              <w:ind w:right="640"/>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90"/>
              </w:rPr>
              <w:t>March 31, 2013</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0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Date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ind w:left="180"/>
              <w:spacing w:after="0" w:line="148" w:lineRule="exact"/>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560"/>
              <w:spacing w:after="0" w:line="148" w:lineRule="exact"/>
              <w:rPr>
                <w:sz w:val="20"/>
                <w:szCs w:val="20"/>
                <w:color w:val="auto"/>
              </w:rPr>
            </w:pPr>
            <w:r>
              <w:rPr>
                <w:rFonts w:ascii="Arial" w:cs="Arial" w:eastAsia="Arial" w:hAnsi="Arial"/>
                <w:sz w:val="14"/>
                <w:szCs w:val="14"/>
                <w:b w:val="1"/>
                <w:bCs w:val="1"/>
                <w:color w:val="auto"/>
                <w:w w:val="82"/>
              </w:rPr>
              <w:t>Shares Issued</w:t>
            </w:r>
          </w:p>
        </w:tc>
        <w:tc>
          <w:tcPr>
            <w:tcW w:w="108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2"/>
              </w:rPr>
              <w:t>Shares Issued (1)</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440" w:type="dxa"/>
            <w:vAlign w:val="bottom"/>
            <w:tcBorders>
              <w:top w:val="single" w:sz="8" w:color="auto"/>
            </w:tcBorders>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December 31, 2012</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March 12, 2013</w:t>
            </w:r>
          </w:p>
        </w:tc>
        <w:tc>
          <w:tcPr>
            <w:tcW w:w="460" w:type="dxa"/>
            <w:vAlign w:val="bottom"/>
            <w:tcBorders>
              <w:top w:val="single" w:sz="8" w:color="CCEEFF"/>
            </w:tcBorders>
            <w:gridSpan w:val="2"/>
            <w:shd w:val="clear" w:color="auto" w:fill="CCEEFF"/>
          </w:tcPr>
          <w:p>
            <w:pPr>
              <w:spacing w:after="0"/>
              <w:rPr>
                <w:sz w:val="17"/>
                <w:szCs w:val="17"/>
                <w:color w:val="auto"/>
              </w:rPr>
            </w:pPr>
          </w:p>
        </w:tc>
        <w:tc>
          <w:tcPr>
            <w:tcW w:w="98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343,981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9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343,981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shareholder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May 1, 2014, pursuant to its dividend reinvestment plan, the Company issued 410,183 shares in connection with the dividend that was paid on April 30, 2014. This dividend was declared on March 26, 2014 for shareholders of record on March 31, 2014.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5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31, 2014</w:t>
            </w:r>
          </w:p>
        </w:tc>
        <w:tc>
          <w:tcPr>
            <w:tcW w:w="16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2"/>
                <w:szCs w:val="12"/>
                <w:color w:val="auto"/>
              </w:rPr>
            </w:pPr>
          </w:p>
        </w:tc>
      </w:tr>
      <w:tr>
        <w:trPr>
          <w:trHeight w:val="210"/>
        </w:trPr>
        <w:tc>
          <w:tcPr>
            <w:tcW w:w="5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25,348</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5600" w:type="dxa"/>
            <w:vAlign w:val="bottom"/>
          </w:tcPr>
          <w:p>
            <w:pPr>
              <w:spacing w:after="0"/>
              <w:rPr>
                <w:sz w:val="20"/>
                <w:szCs w:val="20"/>
                <w:color w:val="auto"/>
              </w:rPr>
            </w:pPr>
            <w:r>
              <w:rPr>
                <w:rFonts w:ascii="Arial" w:cs="Arial" w:eastAsia="Arial" w:hAnsi="Arial"/>
                <w:sz w:val="18"/>
                <w:szCs w:val="18"/>
                <w:color w:val="auto"/>
                <w:w w:val="93"/>
              </w:rPr>
              <w:t>Weighted average shares of common stock outstanding - basic and diluted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00" w:type="dxa"/>
            <w:vAlign w:val="bottom"/>
          </w:tcPr>
          <w:p>
            <w:pPr>
              <w:jc w:val="right"/>
              <w:ind w:right="5092"/>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41,539,083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32,560,424</w:t>
            </w:r>
          </w:p>
        </w:tc>
        <w:tc>
          <w:tcPr>
            <w:tcW w:w="100" w:type="dxa"/>
            <w:vAlign w:val="bottom"/>
          </w:tcPr>
          <w:p>
            <w:pPr>
              <w:spacing w:after="0"/>
              <w:rPr>
                <w:sz w:val="19"/>
                <w:szCs w:val="19"/>
                <w:color w:val="auto"/>
              </w:rPr>
            </w:pPr>
          </w:p>
        </w:tc>
      </w:tr>
      <w:tr>
        <w:trPr>
          <w:trHeight w:val="218"/>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 and diluted (1)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right="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three months ended March 31, 2014 and 2013:</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40" w:type="dxa"/>
            <w:vAlign w:val="bottom"/>
            <w:vMerge w:val="restart"/>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March 31, 2014</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740" w:type="dxa"/>
            <w:vAlign w:val="bottom"/>
            <w:vMerge w:val="continue"/>
          </w:tcPr>
          <w:p>
            <w:pPr>
              <w:spacing w:after="0"/>
              <w:rPr>
                <w:sz w:val="12"/>
                <w:szCs w:val="12"/>
                <w:color w:val="auto"/>
              </w:rPr>
            </w:pPr>
          </w:p>
        </w:tc>
        <w:tc>
          <w:tcPr>
            <w:tcW w:w="180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Record Date</w:t>
            </w:r>
          </w:p>
        </w:tc>
        <w:tc>
          <w:tcPr>
            <w:tcW w:w="174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2"/>
                <w:szCs w:val="12"/>
                <w:color w:val="auto"/>
              </w:rPr>
            </w:pPr>
          </w:p>
        </w:tc>
        <w:tc>
          <w:tcPr>
            <w:tcW w:w="122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6"/>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26, 2014</w:t>
            </w:r>
          </w:p>
        </w:tc>
        <w:tc>
          <w:tcPr>
            <w:tcW w:w="11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7"/>
              </w:rPr>
              <w:t>March 31, 2014</w:t>
            </w:r>
          </w:p>
        </w:tc>
        <w:tc>
          <w:tcPr>
            <w:tcW w:w="6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1"/>
              </w:rPr>
              <w:t>April 30, 2014</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40" w:type="dxa"/>
            <w:vAlign w:val="bottom"/>
            <w:vMerge w:val="restart"/>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March 31, 2013</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740" w:type="dxa"/>
            <w:vAlign w:val="bottom"/>
            <w:vMerge w:val="continue"/>
          </w:tcPr>
          <w:p>
            <w:pPr>
              <w:spacing w:after="0"/>
              <w:rPr>
                <w:sz w:val="12"/>
                <w:szCs w:val="12"/>
                <w:color w:val="auto"/>
              </w:rPr>
            </w:pPr>
          </w:p>
        </w:tc>
        <w:tc>
          <w:tcPr>
            <w:tcW w:w="180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Record Date</w:t>
            </w:r>
          </w:p>
        </w:tc>
        <w:tc>
          <w:tcPr>
            <w:tcW w:w="174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Payment Date</w:t>
            </w:r>
          </w:p>
        </w:tc>
        <w:tc>
          <w:tcPr>
            <w:tcW w:w="13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Dividend per Share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1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March 31, 2013</w:t>
            </w:r>
          </w:p>
        </w:tc>
        <w:tc>
          <w:tcPr>
            <w:tcW w:w="6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ind w:left="127"/>
              <w:spacing w:after="0" w:line="203" w:lineRule="exact"/>
              <w:rPr>
                <w:sz w:val="20"/>
                <w:szCs w:val="20"/>
                <w:color w:val="auto"/>
              </w:rPr>
            </w:pPr>
            <w:r>
              <w:rPr>
                <w:rFonts w:ascii="Arial" w:cs="Arial" w:eastAsia="Arial" w:hAnsi="Arial"/>
                <w:sz w:val="18"/>
                <w:szCs w:val="18"/>
                <w:color w:val="auto"/>
                <w:w w:val="90"/>
              </w:rPr>
              <w:t>May 6, 2013</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dividends declared during the three months ended March 31, 2014 and 2013, were derived from net investment income determined on a tax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months ended March 31, 2014, the Company has accrued $9 thousand for U.S federal excise tax. For the three months ended March 31, 2013, we accrued $4 thousand for U.S federal excise tax.</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the three months ended March 31, 2014, the Company declared an ordinary dividend of $19.7 million, $17.2 million of the dividend constitutes interest-related dividends for U.S. federal nonresident withholding tax purposes. For the three months ended March 31, 2013, the Company declared an ordinary dividend of $13.0 million, $12.5 million of the dividend constitutes interest-related dividends for U.S. federal nonresident withholding tax purposes.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makes certain adjustments to the classification of total net assets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the three months ended March 31, 2014, permanent differences of $1.6 million were principally attributable to foreign currency reclassifications, $1.0 million of recharacterization of prepayment penalties for tax purposes between ordinary income and capital gains, as well as $9 thousand attributed to accrued U.S. federal excise taxes. During the three months ended March 31, 2013, permanent differences of $46 thousand were attributable to accrued U.S. federal excise taxes.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basis of the Company’s investments as of March 31, 2014 and December 31, 2013, approximates their amortized cost.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a share of Common Stock outstanding during the three months ended March 31, 2014 and 2013.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680" w:type="dxa"/>
            <w:vAlign w:val="bottom"/>
            <w:gridSpan w:val="4"/>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0"/>
              </w:rPr>
              <w:t>March 31, 2014</w:t>
            </w:r>
          </w:p>
        </w:tc>
        <w:tc>
          <w:tcPr>
            <w:tcW w:w="460" w:type="dxa"/>
            <w:vAlign w:val="bottom"/>
          </w:tcPr>
          <w:p>
            <w:pPr>
              <w:spacing w:after="0"/>
              <w:rPr>
                <w:sz w:val="14"/>
                <w:szCs w:val="14"/>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March 31, 2013 (6)</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15.52</w:t>
            </w:r>
          </w:p>
        </w:tc>
        <w:tc>
          <w:tcPr>
            <w:tcW w:w="62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Net realized and unrealized gains (1)</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from investment operations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8"/>
              </w:rPr>
              <w:t>Issuances of common stock, net of offering costs (1)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(0.24)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(2)</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440"/>
              <w:spacing w:after="0"/>
              <w:rPr>
                <w:sz w:val="20"/>
                <w:szCs w:val="20"/>
                <w:color w:val="auto"/>
              </w:rPr>
            </w:pPr>
            <w:r>
              <w:rPr>
                <w:rFonts w:ascii="Arial" w:cs="Arial" w:eastAsia="Arial" w:hAnsi="Arial"/>
                <w:sz w:val="18"/>
                <w:szCs w:val="18"/>
                <w:color w:val="auto"/>
              </w:rPr>
              <w:t>Total (decrease) increase in net assets</w:t>
            </w: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(0.01)</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 Value, End of Period</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vMerge w:val="continue"/>
          </w:tcPr>
          <w:p>
            <w:pPr>
              <w:spacing w:after="0"/>
              <w:rPr>
                <w:sz w:val="18"/>
                <w:szCs w:val="18"/>
                <w:color w:val="auto"/>
              </w:rPr>
            </w:pP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16.60</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 (3)</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Total return based on net asset value (4)</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color w:val="auto"/>
              </w:rPr>
              <w:t>2.38%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51,887,708</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34,006,160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Ratios/Supplemental Data</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 (5)</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0"/>
              </w:rPr>
              <w:t>Ratio of net investment income to average net assets (5)</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(5)</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804,755</w:t>
            </w:r>
          </w:p>
        </w:tc>
        <w:tc>
          <w:tcPr>
            <w:tcW w:w="620" w:type="dxa"/>
            <w:vAlign w:val="bottom"/>
          </w:tcPr>
          <w:p>
            <w:pPr>
              <w:spacing w:after="0"/>
              <w:rPr>
                <w:sz w:val="19"/>
                <w:szCs w:val="19"/>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519,345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10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80" w:right="240" w:hanging="572"/>
        <w:spacing w:after="0" w:line="250"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return is calculated as the change in market value per share during the period plus declared dividends per share, divided by the beginning market value per share.</w:t>
      </w:r>
    </w:p>
    <w:p>
      <w:pPr>
        <w:ind w:left="580" w:hanging="572"/>
        <w:spacing w:after="0" w:line="250"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80" w:right="100" w:hanging="572"/>
        <w:spacing w:after="0" w:line="261"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TPG Specialty Lending, Inc. is a Delaware corporation formed on July 21, 2010. The Adviser is our external manager. We have two wholly owned subsidiaries, TC Lending, LLC, a Delaware limited liability company, which holds a California finance lender and broker license, and TPG SL SPV, LLC, a Delaware limited liability company, in which we hold assets to support our asset-backed credit facility. Our results reflect our ramp-up of initial investments, which is now complete, as well as the ongoing measured growth of our portfolio of investments.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approximately $15.4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we have originated more than $2.6 billion aggregate principal amount of investments and retained approximately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2014, based on fair value, our borrowers had weighted average annual revenue of $169 million and weighted average annual EBITDA of $33 million.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our average investment size in our portfolio companies was $40 million.</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Adviser, we consider potential investments utilizing a four-tiered investment framework and against our existing portfolio as a whole:</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no industry represented more than 11.6% of our total investment portfolio.</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March 31, 2014, approximately 99.4%</w:t>
      </w:r>
      <w:r>
        <w:rPr>
          <w:rFonts w:ascii="Arial" w:cs="Arial" w:eastAsia="Arial" w:hAnsi="Arial"/>
          <w:sz w:val="16"/>
          <w:szCs w:val="16"/>
          <w:i w:val="1"/>
          <w:iCs w:val="1"/>
          <w:color w:val="auto"/>
        </w:rPr>
        <w:t xml:space="preserve"> </w:t>
      </w:r>
      <w:r>
        <w:rPr>
          <w:rFonts w:ascii="Arial" w:cs="Arial" w:eastAsia="Arial" w:hAnsi="Arial"/>
          <w:sz w:val="16"/>
          <w:szCs w:val="16"/>
          <w:color w:val="auto"/>
        </w:rPr>
        <w:t>of our portfolio at fair value was invested in secured debt, including 82.4%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2014, the weighted average term on new investment commitments in new portfolio companies was 4.7 years.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32"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March 31, 2014, we had call protection on 94.9% of our debt investments, with weighted average call prices of 107.0% for the first year, 103.3% for the second year and 101.3% for the third year, in each case from the date of the initial investment. As of March 31, 2014, 98.6% of our debt investments bore interest at floating rates, subject to interest rate floors, which we believe helps act as a portfolio-wide hedge against inflation.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with our Adviser, TSSP and TPG</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TPG Special Situations Partners, LLC (“TSSP”) and TPG Global, LLC (“TPG”).</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special situations and credit platform. TSSP had over $9.1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 three of these personnel are dedicated to our business, including 17 investment professionals.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Our debt investments typically have a term of two to six years, and, as of March 31, 2014, 98.6% bear interest at a floating rate, subject to interest rate floors. Interest on debt securities is generally payable quarterly or semiannually. Some of our investments provide for deferred interest payments or PIK interest. For the three months ended March 31, 2014, 2.0% of our total investment income was comprised of PIK interest income.</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59"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Amended and Restated Revolving Credit and Security Agreement between our wholly owned subsidiary, TPG SL SPV, LLC and Natixis, which we refer to as the SPV Asset Facility.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Trends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40" w:lineRule="exact"/>
        <w:rPr>
          <w:sz w:val="20"/>
          <w:szCs w:val="20"/>
          <w:color w:val="auto"/>
        </w:rPr>
      </w:pPr>
    </w:p>
    <w:p>
      <w:pPr>
        <w:ind w:right="400" w:firstLine="456"/>
        <w:spacing w:after="0" w:line="323" w:lineRule="auto"/>
        <w:rPr>
          <w:sz w:val="20"/>
          <w:szCs w:val="20"/>
          <w:color w:val="auto"/>
        </w:rPr>
      </w:pPr>
      <w:r>
        <w:rPr>
          <w:rFonts w:ascii="Arial" w:cs="Arial" w:eastAsia="Arial" w:hAnsi="Arial"/>
          <w:sz w:val="15"/>
          <w:szCs w:val="15"/>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of March 31, 2014, our portfolio at fair value consisted of 82.4% first-lien debt investments, 17.0% second-lien debt investments, 0.4% mezzanine debt investments, and 0.2% equity investments. As of December 31, 2013, our portfolio at fair value consisted of 86.3% first-lien debt investments, 13.5% second-lien debt investments, and 0.2% equity investments.</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of March 31, 2014 and December 31, 2013, our weighted average total yield of debt and income producing securities at fair value (which includes interest income and amortization of fees and discounts) was 10.2% and 10.4%, respectively, and our weighted average total yield of debt and income producing securities at amortized cost (which includes interest income and amortization of fees and discounts) was 10.4% and 10.6%, respectively.</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2014 and December 31, 2013, we had investments in 30 and 27 portfolio companies, respectively, with an aggregate fair value of $1,195.5 million and $1,016.5 million, respectively.</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three months ended March 31, 2014, we made new investment commitments of $314.6 million, $303.8 million in six new portfolio companies and $10.8 million in two existing portfolio companies. For this period, we had $101.2 million aggregate principal amount in exits and repayments, resulting in net portfolio growth of $187.0 million aggregate principal amount.</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 the three months ended March 31, 2013, we made new investment commitments of $58.5 million, $58.0 million in two new portfolio companies and $0.5 million in one existing portfolio company. For this period, we had $84.5 million aggregate principal amount in exits and repayments, resulting in a net portfolio decrease of $26.0 million aggregate principal amount.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activity for the three months ended March 31, 2014 and 2013 is presented below (information presented herein is at par value unless otherwise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29"/>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5840" w:type="dxa"/>
            <w:vAlign w:val="bottom"/>
            <w:vMerge w:val="restart"/>
          </w:tcPr>
          <w:p>
            <w:pPr>
              <w:spacing w:after="0"/>
              <w:rPr>
                <w:sz w:val="11"/>
                <w:szCs w:val="11"/>
                <w:color w:val="auto"/>
              </w:rPr>
            </w:pPr>
          </w:p>
        </w:tc>
        <w:tc>
          <w:tcPr>
            <w:tcW w:w="380" w:type="dxa"/>
            <w:vAlign w:val="bottom"/>
          </w:tcPr>
          <w:p>
            <w:pPr>
              <w:spacing w:after="0"/>
              <w:rPr>
                <w:sz w:val="11"/>
                <w:szCs w:val="11"/>
                <w:color w:val="auto"/>
              </w:rPr>
            </w:pPr>
          </w:p>
        </w:tc>
        <w:tc>
          <w:tcPr>
            <w:tcW w:w="1620" w:type="dxa"/>
            <w:vAlign w:val="bottom"/>
            <w:tcBorders>
              <w:top w:val="single" w:sz="8" w:color="auto"/>
            </w:tcBorders>
            <w:gridSpan w:val="3"/>
          </w:tcPr>
          <w:p>
            <w:pPr>
              <w:jc w:val="right"/>
              <w:ind w:right="980"/>
              <w:spacing w:after="0" w:line="129" w:lineRule="exact"/>
              <w:rPr>
                <w:sz w:val="20"/>
                <w:szCs w:val="20"/>
                <w:color w:val="auto"/>
              </w:rPr>
            </w:pPr>
            <w:r>
              <w:rPr>
                <w:rFonts w:ascii="Arial" w:cs="Arial" w:eastAsia="Arial" w:hAnsi="Arial"/>
                <w:sz w:val="14"/>
                <w:szCs w:val="14"/>
                <w:b w:val="1"/>
                <w:bCs w:val="1"/>
                <w:color w:val="auto"/>
                <w:w w:val="95"/>
              </w:rPr>
              <w:t>March 31,</w:t>
            </w: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58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w w:val="96"/>
              </w:rPr>
              <w:t>2014</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3"/>
              <w:spacing w:after="0" w:line="148"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New investment commitments:</w:t>
            </w: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Gross originations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369.6</w:t>
            </w:r>
          </w:p>
        </w:tc>
        <w:tc>
          <w:tcPr>
            <w:tcW w:w="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Less: syndications/sell downs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Total new investment commitments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314.6</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First-lien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218.0</w:t>
            </w:r>
          </w:p>
        </w:tc>
        <w:tc>
          <w:tcPr>
            <w:tcW w:w="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Mezzanine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288.2</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First-lien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101.2</w:t>
            </w:r>
          </w:p>
        </w:tc>
        <w:tc>
          <w:tcPr>
            <w:tcW w:w="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Mezzanine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101.2</w:t>
            </w:r>
          </w:p>
        </w:tc>
        <w:tc>
          <w:tcPr>
            <w:tcW w:w="9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w:t>
            </w:r>
            <w:r>
              <w:rPr>
                <w:rFonts w:ascii="Arial" w:cs="Arial" w:eastAsia="Arial" w:hAnsi="Arial"/>
                <w:sz w:val="18"/>
                <w:szCs w:val="18"/>
                <w:u w:val="single" w:color="auto"/>
                <w:color w:val="auto"/>
              </w:rPr>
              <w:t>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Average new investment commitment amount in new portfolio companies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50.6</w:t>
            </w:r>
          </w:p>
        </w:tc>
        <w:tc>
          <w:tcPr>
            <w:tcW w:w="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Weighted average term for new investment commitments in new portfolio</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companies (in years)</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Percentage of new debt investment commitments at floating rates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98.5%</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Weighted average spread over LIBOR of new floating rate investment commitments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8"/>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2014 and December 31, 2013, our investments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2780" w:type="dxa"/>
            <w:vAlign w:val="bottom"/>
            <w:vMerge w:val="restart"/>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0"/>
              </w:rPr>
              <w:t>March 31, 2014</w:t>
            </w: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8"/>
              </w:rPr>
              <w:t>December 31, 2013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Fair Value</w:t>
            </w:r>
          </w:p>
        </w:tc>
        <w:tc>
          <w:tcPr>
            <w:tcW w:w="540" w:type="dxa"/>
            <w:vAlign w:val="bottom"/>
          </w:tcPr>
          <w:p>
            <w:pPr>
              <w:spacing w:after="0"/>
              <w:rPr>
                <w:sz w:val="12"/>
                <w:szCs w:val="12"/>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Amortized Cost</w:t>
            </w:r>
          </w:p>
        </w:tc>
        <w:tc>
          <w:tcPr>
            <w:tcW w:w="540" w:type="dxa"/>
            <w:vAlign w:val="bottom"/>
          </w:tcPr>
          <w:p>
            <w:pPr>
              <w:spacing w:after="0"/>
              <w:rPr>
                <w:sz w:val="12"/>
                <w:szCs w:val="12"/>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Fair Value</w:t>
            </w:r>
          </w:p>
        </w:tc>
        <w:tc>
          <w:tcPr>
            <w:tcW w:w="540" w:type="dxa"/>
            <w:vAlign w:val="bottom"/>
          </w:tcPr>
          <w:p>
            <w:pPr>
              <w:spacing w:after="0"/>
              <w:rPr>
                <w:sz w:val="12"/>
                <w:szCs w:val="12"/>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Amortized Cost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984.7</w:t>
            </w:r>
          </w:p>
        </w:tc>
        <w:tc>
          <w:tcPr>
            <w:tcW w:w="5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970.4</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877.2</w:t>
            </w: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863.4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203.8</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137.5</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1,195.5</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1,172.</w:t>
            </w:r>
            <w:r>
              <w:rPr>
                <w:rFonts w:ascii="Arial" w:cs="Arial" w:eastAsia="Arial" w:hAnsi="Arial"/>
                <w:sz w:val="18"/>
                <w:szCs w:val="18"/>
                <w:u w:val="single" w:color="auto"/>
                <w:color w:val="auto"/>
                <w:w w:val="89"/>
              </w:rPr>
              <w:t>4</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1,016.5</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80" w:type="dxa"/>
            <w:vAlign w:val="bottom"/>
            <w:vMerge w:val="restart"/>
          </w:tcPr>
          <w:p>
            <w:pPr>
              <w:jc w:val="right"/>
              <w:ind w:right="272"/>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amortized cost of our performing and non-accrual investments as of March 31, 2014 and December 31,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43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w w:val="88"/>
              </w:rPr>
              <w:t>March 31, 2014</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134"/>
        </w:trPr>
        <w:tc>
          <w:tcPr>
            <w:tcW w:w="460" w:type="dxa"/>
            <w:vAlign w:val="bottom"/>
            <w:vMerge w:val="continue"/>
          </w:tcPr>
          <w:p>
            <w:pPr>
              <w:spacing w:after="0"/>
              <w:rPr>
                <w:sz w:val="11"/>
                <w:szCs w:val="11"/>
                <w:color w:val="auto"/>
              </w:rPr>
            </w:pPr>
          </w:p>
        </w:tc>
        <w:tc>
          <w:tcPr>
            <w:tcW w:w="840" w:type="dxa"/>
            <w:vAlign w:val="bottom"/>
            <w:tcBorders>
              <w:bottom w:val="single" w:sz="8" w:color="auto"/>
            </w:tcBorders>
            <w:gridSpan w:val="2"/>
            <w:vMerge w:val="continue"/>
          </w:tcPr>
          <w:p>
            <w:pPr>
              <w:spacing w:after="0"/>
              <w:rPr>
                <w:sz w:val="11"/>
                <w:szCs w:val="11"/>
                <w:color w:val="auto"/>
              </w:rPr>
            </w:pPr>
          </w:p>
        </w:tc>
        <w:tc>
          <w:tcPr>
            <w:tcW w:w="4360" w:type="dxa"/>
            <w:vAlign w:val="bottom"/>
            <w:vMerge w:val="continue"/>
          </w:tcPr>
          <w:p>
            <w:pPr>
              <w:spacing w:after="0"/>
              <w:rPr>
                <w:sz w:val="11"/>
                <w:szCs w:val="11"/>
                <w:color w:val="auto"/>
              </w:rPr>
            </w:pPr>
          </w:p>
        </w:tc>
        <w:tc>
          <w:tcPr>
            <w:tcW w:w="15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Amortized Cost</w:t>
            </w:r>
          </w:p>
        </w:tc>
        <w:tc>
          <w:tcPr>
            <w:tcW w:w="6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2"/>
              </w:rPr>
              <w:t>Percentage</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Amortized Cost</w:t>
            </w: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Performing</w:t>
            </w: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200" w:type="dxa"/>
            <w:vAlign w:val="bottom"/>
            <w:gridSpan w:val="3"/>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1,172.4</w:t>
            </w:r>
          </w:p>
        </w:tc>
        <w:tc>
          <w:tcPr>
            <w:tcW w:w="6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100.0%</w:t>
            </w:r>
          </w:p>
        </w:tc>
        <w:tc>
          <w:tcPr>
            <w:tcW w:w="3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997.3</w:t>
            </w:r>
          </w:p>
        </w:tc>
        <w:tc>
          <w:tcPr>
            <w:tcW w:w="36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Non-accrual (1)</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r>
              <w:rPr>
                <w:rFonts w:ascii="Arial" w:cs="Arial" w:eastAsia="Arial" w:hAnsi="Arial"/>
                <w:sz w:val="18"/>
                <w:szCs w:val="18"/>
                <w:u w:val="single" w:color="auto"/>
                <w:color w:val="auto"/>
              </w:rPr>
              <w:t>4</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4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weighted average yields and interest rates of our debt investments at fair value as of March 31, 2014 and December 31, 2013 were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0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March 31, 2014</w:t>
            </w:r>
          </w:p>
        </w:tc>
        <w:tc>
          <w:tcPr>
            <w:tcW w:w="1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r>
      <w:tr>
        <w:trPr>
          <w:trHeight w:val="188"/>
        </w:trPr>
        <w:tc>
          <w:tcPr>
            <w:tcW w:w="48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Weighted average total yield of debt and income producing</w:t>
            </w:r>
          </w:p>
        </w:tc>
        <w:tc>
          <w:tcPr>
            <w:tcW w:w="5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24"/>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20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10.2%</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08"/>
        </w:trPr>
        <w:tc>
          <w:tcPr>
            <w:tcW w:w="4800" w:type="dxa"/>
            <w:vAlign w:val="bottom"/>
          </w:tcPr>
          <w:p>
            <w:pPr>
              <w:spacing w:after="0"/>
              <w:rPr>
                <w:sz w:val="20"/>
                <w:szCs w:val="20"/>
                <w:color w:val="auto"/>
              </w:rPr>
            </w:pPr>
            <w:r>
              <w:rPr>
                <w:rFonts w:ascii="Arial" w:cs="Arial" w:eastAsia="Arial" w:hAnsi="Arial"/>
                <w:sz w:val="18"/>
                <w:szCs w:val="18"/>
                <w:color w:val="auto"/>
                <w:w w:val="97"/>
              </w:rPr>
              <w:t>Weighted average interest rate of debt and income producing</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48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2080" w:type="dxa"/>
            <w:vAlign w:val="bottom"/>
            <w:gridSpan w:val="3"/>
          </w:tcPr>
          <w:p>
            <w:pPr>
              <w:jc w:val="right"/>
              <w:ind w:right="500"/>
              <w:spacing w:after="0"/>
              <w:rPr>
                <w:sz w:val="20"/>
                <w:szCs w:val="20"/>
                <w:color w:val="auto"/>
              </w:rPr>
            </w:pPr>
            <w:r>
              <w:rPr>
                <w:rFonts w:ascii="Arial" w:cs="Arial" w:eastAsia="Arial" w:hAnsi="Arial"/>
                <w:sz w:val="18"/>
                <w:szCs w:val="18"/>
                <w:color w:val="auto"/>
              </w:rPr>
              <w:t>9.8%</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20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15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59" w:lineRule="exact"/>
        <w:rPr>
          <w:sz w:val="20"/>
          <w:szCs w:val="20"/>
          <w:color w:val="auto"/>
        </w:rPr>
      </w:pPr>
    </w:p>
    <w:p>
      <w:pPr>
        <w:ind w:left="900" w:right="2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distribution of our investments on the 1 to 5 investment performance rating scale at fair value as of March 31, 2014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4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86"/>
              </w:rPr>
              <w:t>Investment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Arial" w:cs="Arial" w:eastAsia="Arial" w:hAnsi="Arial"/>
                <w:sz w:val="14"/>
                <w:szCs w:val="14"/>
                <w:b w:val="1"/>
                <w:bCs w:val="1"/>
                <w:color w:val="auto"/>
              </w:rPr>
              <w:t>March 31, 2014</w:t>
            </w: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87"/>
              </w:rPr>
              <w:t>December 31, 2013</w:t>
            </w:r>
          </w:p>
        </w:tc>
        <w:tc>
          <w:tcPr>
            <w:tcW w:w="0" w:type="dxa"/>
            <w:vAlign w:val="bottom"/>
          </w:tcPr>
          <w:p>
            <w:pPr>
              <w:spacing w:after="0"/>
              <w:rPr>
                <w:sz w:val="1"/>
                <w:szCs w:val="1"/>
                <w:color w:val="auto"/>
              </w:rPr>
            </w:pPr>
          </w:p>
        </w:tc>
      </w:tr>
      <w:tr>
        <w:trPr>
          <w:trHeight w:val="116"/>
        </w:trPr>
        <w:tc>
          <w:tcPr>
            <w:tcW w:w="2440" w:type="dxa"/>
            <w:vAlign w:val="bottom"/>
            <w:gridSpan w:val="2"/>
            <w:vMerge w:val="continue"/>
          </w:tcPr>
          <w:p>
            <w:pPr>
              <w:spacing w:after="0"/>
              <w:rPr>
                <w:sz w:val="10"/>
                <w:szCs w:val="10"/>
                <w:color w:val="auto"/>
              </w:rPr>
            </w:pPr>
          </w:p>
        </w:tc>
        <w:tc>
          <w:tcPr>
            <w:tcW w:w="200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2"/>
                <w:szCs w:val="12"/>
                <w:b w:val="1"/>
                <w:bCs w:val="1"/>
                <w:color w:val="auto"/>
              </w:rPr>
              <w:t>Investments at</w:t>
            </w:r>
          </w:p>
        </w:tc>
        <w:tc>
          <w:tcPr>
            <w:tcW w:w="84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Borders>
              <w:top w:val="single" w:sz="8" w:color="auto"/>
            </w:tcBorders>
            <w:gridSpan w:val="2"/>
          </w:tcPr>
          <w:p>
            <w:pPr>
              <w:ind w:left="20"/>
              <w:spacing w:after="0" w:line="116" w:lineRule="exact"/>
              <w:rPr>
                <w:sz w:val="20"/>
                <w:szCs w:val="20"/>
                <w:color w:val="auto"/>
              </w:rPr>
            </w:pPr>
            <w:r>
              <w:rPr>
                <w:rFonts w:ascii="Arial" w:cs="Arial" w:eastAsia="Arial" w:hAnsi="Arial"/>
                <w:sz w:val="12"/>
                <w:szCs w:val="12"/>
                <w:b w:val="1"/>
                <w:bCs w:val="1"/>
                <w:color w:val="auto"/>
                <w:w w:val="97"/>
              </w:rPr>
              <w:t>Investments at</w:t>
            </w:r>
          </w:p>
        </w:tc>
        <w:tc>
          <w:tcPr>
            <w:tcW w:w="1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00" w:type="dxa"/>
            <w:vAlign w:val="bottom"/>
          </w:tcPr>
          <w:p>
            <w:pPr>
              <w:spacing w:after="0"/>
              <w:rPr>
                <w:sz w:val="12"/>
                <w:szCs w:val="12"/>
                <w:color w:val="auto"/>
              </w:rPr>
            </w:pPr>
          </w:p>
        </w:tc>
        <w:tc>
          <w:tcPr>
            <w:tcW w:w="1900" w:type="dxa"/>
            <w:vAlign w:val="bottom"/>
            <w:gridSpan w:val="2"/>
          </w:tcPr>
          <w:p>
            <w:pPr>
              <w:jc w:val="center"/>
              <w:ind w:right="1192"/>
              <w:spacing w:after="0" w:line="149" w:lineRule="exact"/>
              <w:rPr>
                <w:sz w:val="20"/>
                <w:szCs w:val="20"/>
                <w:color w:val="auto"/>
              </w:rPr>
            </w:pPr>
            <w:r>
              <w:rPr>
                <w:rFonts w:ascii="Arial" w:cs="Arial" w:eastAsia="Arial" w:hAnsi="Arial"/>
                <w:sz w:val="14"/>
                <w:szCs w:val="14"/>
                <w:b w:val="1"/>
                <w:bCs w:val="1"/>
                <w:color w:val="auto"/>
                <w:w w:val="89"/>
              </w:rPr>
              <w:t>Fair Value</w:t>
            </w:r>
          </w:p>
        </w:tc>
        <w:tc>
          <w:tcPr>
            <w:tcW w:w="15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89"/>
              </w:rPr>
              <w:t>Fair Value</w:t>
            </w:r>
          </w:p>
        </w:tc>
        <w:tc>
          <w:tcPr>
            <w:tcW w:w="11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75"/>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Rating</w:t>
            </w:r>
          </w:p>
        </w:tc>
        <w:tc>
          <w:tcPr>
            <w:tcW w:w="104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($in millions)</w:t>
            </w:r>
          </w:p>
        </w:tc>
        <w:tc>
          <w:tcPr>
            <w:tcW w:w="1140" w:type="dxa"/>
            <w:vAlign w:val="bottom"/>
          </w:tcPr>
          <w:p>
            <w:pPr>
              <w:spacing w:after="0"/>
              <w:rPr>
                <w:sz w:val="15"/>
                <w:szCs w:val="15"/>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Total Portfolio</w:t>
            </w:r>
          </w:p>
        </w:tc>
        <w:tc>
          <w:tcPr>
            <w:tcW w:w="5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($in millions)</w:t>
            </w:r>
          </w:p>
        </w:tc>
        <w:tc>
          <w:tcPr>
            <w:tcW w:w="11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Total Portfolio</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10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c>
          <w:tcPr>
            <w:tcW w:w="1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83.4%</w:t>
            </w: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114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120.5</w:t>
            </w:r>
          </w:p>
        </w:tc>
        <w:tc>
          <w:tcPr>
            <w:tcW w:w="114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116.4</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114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jc w:val="center"/>
              <w:ind w:right="104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1,195.5</w:t>
            </w:r>
          </w:p>
        </w:tc>
        <w:tc>
          <w:tcPr>
            <w:tcW w:w="1140" w:type="dxa"/>
            <w:vAlign w:val="bottom"/>
          </w:tcPr>
          <w:p>
            <w:pPr>
              <w:spacing w:after="0"/>
              <w:rPr>
                <w:sz w:val="19"/>
                <w:szCs w:val="19"/>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1,016.5</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months ended March 31, 2014 and 2013 were as follows:</w:t>
      </w:r>
    </w:p>
    <w:p>
      <w:pPr>
        <w:sectPr>
          <w:pgSz w:w="11900" w:h="16838" w:orient="portrait"/>
          <w:cols w:equalWidth="0" w:num="1">
            <w:col w:w="11380"/>
          </w:cols>
          <w:pgMar w:left="240" w:top="459" w:right="27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440" w:type="dxa"/>
            <w:vAlign w:val="bottom"/>
            <w:gridSpan w:val="3"/>
            <w:vMerge w:val="restart"/>
          </w:tcPr>
          <w:p>
            <w:pPr>
              <w:ind w:left="2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6"/>
          </w:tcPr>
          <w:p>
            <w:pPr>
              <w:ind w:left="18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40" w:type="dxa"/>
            <w:vAlign w:val="bottom"/>
            <w:gridSpan w:val="3"/>
            <w:vMerge w:val="continue"/>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Borders>
              <w:top w:val="single" w:sz="8" w:color="auto"/>
            </w:tcBorders>
          </w:tcPr>
          <w:p>
            <w:pPr>
              <w:jc w:val="right"/>
              <w:ind w:right="1"/>
              <w:spacing w:after="0" w:line="129"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5"/>
              </w:rPr>
              <w:t>$ 33.5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$ 20.8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 before income taxes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20" w:type="dxa"/>
            <w:vAlign w:val="bottom"/>
            <w:gridSpan w:val="2"/>
          </w:tcPr>
          <w:p>
            <w:pPr>
              <w:ind w:left="440"/>
              <w:spacing w:after="0"/>
              <w:rPr>
                <w:sz w:val="20"/>
                <w:szCs w:val="20"/>
                <w:color w:val="auto"/>
              </w:rPr>
            </w:pPr>
            <w:r>
              <w:rPr>
                <w:rFonts w:ascii="Arial" w:cs="Arial" w:eastAsia="Arial" w:hAnsi="Arial"/>
                <w:sz w:val="18"/>
                <w:szCs w:val="18"/>
                <w:color w:val="auto"/>
              </w:rPr>
              <w:t>Income taxes, including excise taxes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gridSpan w:val="5"/>
          </w:tcPr>
          <w:p>
            <w:pPr>
              <w:spacing w:after="0"/>
              <w:rPr>
                <w:sz w:val="20"/>
                <w:szCs w:val="20"/>
                <w:color w:val="auto"/>
              </w:rPr>
            </w:pPr>
            <w:r>
              <w:rPr>
                <w:rFonts w:ascii="Arial" w:cs="Arial" w:eastAsia="Arial" w:hAnsi="Arial"/>
                <w:sz w:val="18"/>
                <w:szCs w:val="18"/>
                <w:color w:val="auto"/>
                <w:w w:val="94"/>
              </w:rPr>
              <w:t>Net realized gains (losses) on investments, including foreign exchange forward contracts (1)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 (1)</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2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$ 25.3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440" w:type="dxa"/>
            <w:vAlign w:val="bottom"/>
            <w:gridSpan w:val="3"/>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600" w:type="dxa"/>
            <w:vAlign w:val="bottom"/>
            <w:gridSpan w:val="4"/>
          </w:tcPr>
          <w:p>
            <w:pPr>
              <w:spacing w:after="0"/>
              <w:rPr>
                <w:sz w:val="20"/>
                <w:szCs w:val="20"/>
                <w:color w:val="auto"/>
              </w:rPr>
            </w:pPr>
            <w:r>
              <w:rPr>
                <w:rFonts w:ascii="Arial" w:cs="Arial" w:eastAsia="Arial" w:hAnsi="Arial"/>
                <w:sz w:val="18"/>
                <w:szCs w:val="18"/>
                <w:color w:val="auto"/>
              </w:rPr>
              <w:t>(1)   Includes foreign exchange hedging activity</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00" w:type="dxa"/>
            <w:vAlign w:val="bottom"/>
            <w:gridSpan w:val="4"/>
          </w:tcPr>
          <w:p>
            <w:pPr>
              <w:spacing w:after="0"/>
              <w:rPr>
                <w:sz w:val="20"/>
                <w:szCs w:val="20"/>
                <w:color w:val="auto"/>
              </w:rPr>
            </w:pPr>
            <w:r>
              <w:rPr>
                <w:rFonts w:ascii="Arial" w:cs="Arial" w:eastAsia="Arial" w:hAnsi="Arial"/>
                <w:sz w:val="18"/>
                <w:szCs w:val="18"/>
                <w:i w:val="1"/>
                <w:iCs w:val="1"/>
                <w:color w:val="auto"/>
              </w:rPr>
              <w:t>Investment Income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5440" w:type="dxa"/>
            <w:vAlign w:val="bottom"/>
            <w:gridSpan w:val="3"/>
            <w:vMerge w:val="restart"/>
          </w:tcPr>
          <w:p>
            <w:pPr>
              <w:ind w:left="2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40" w:type="dxa"/>
            <w:vAlign w:val="bottom"/>
            <w:gridSpan w:val="3"/>
            <w:vMerge w:val="continue"/>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80"/>
              <w:spacing w:after="0" w:line="129"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from investments</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w:t>
            </w:r>
          </w:p>
        </w:tc>
        <w:tc>
          <w:tcPr>
            <w:tcW w:w="820" w:type="dxa"/>
            <w:vAlign w:val="bottom"/>
            <w:gridSpan w:val="3"/>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11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$20.6 million for the three months ended March 31, 2013 to $31.1 million for the three months ended March 31, 2014, primarily due to the increase in the size of our portfolio. The average size of our total investment portfolio increased from $640 million during the three months ended March 31, 2013 to $1.1 billion during the three months ended March 31, 2014. In addition, accelerated amortization of upfront fees primarily from unscheduled paydowns decreased from $1.6 million for the three months ended March 31, 2013 to $1.2 million for the three months ended March 31, 2014; and prepayment fees decreased from $1.4 million for the three months ended March 31,</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2013 to $1.0 million for the three months ended March 31, 2014. The accelerated amortization and prepayment fees primarily resulted from full paydowns on two portfolio investments during the three months ended March 31, 2013 and from full paydowns on three portfolio investments during the three months ended March 31, 2014. Other income increased from $0.2 million for the three months ended March 31, 2013 to $2.4 million for the three months ended March 31, 2014, primarily due to higher syndication, amendment and agency fees earned during the first quarter of 2014.</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17"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months ended March 31, 2014 and 2013 were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53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5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2014</w:t>
            </w: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w:t>
            </w: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 related to Pre-incentive fee net investment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Directors’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Expenses</w:t>
            </w:r>
          </w:p>
        </w:tc>
        <w:tc>
          <w:tcPr>
            <w:tcW w:w="180" w:type="dxa"/>
            <w:vAlign w:val="bottom"/>
            <w:gridSpan w:val="2"/>
          </w:tcPr>
          <w:p>
            <w:pPr>
              <w:jc w:val="right"/>
              <w:ind w:right="51"/>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Interest, including other debt financing expenses, increased from $2.3 million for the three months ended March 31, 2013 to $3.8 million for the three months ended March 31, 2014. This increase was primarily due to an increase in the average debt outstanding from $188 million for the three months ended March 31, 2013 to $471 million for the three months ended March 31, 2014. The average stated interest rate on our debt outstanding decreased from 2.8% for the three months ended March 31, 2013 to 2.5% for the three months ended March 31, 2014.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Management Fees (net of waivers) increased from $1.5 million for the three months ended March 31, 2013 to $1.7 million for the three months ended March 31, 2014. Management Fees increased from $3.0 million for the three months ended March 31, 2013 to $4.2 million for the three months ended March 31, 2014 due to the increase in total assets, which increased from an average of $819 million for the three months ended March 31, 2013 to an average of $1.1 billion for the three months ended March 31, 2014. Management Fees waived increased from $1.5 million for the three months ended March 31, 2013 to $2.5 million for the three months ended March 31, 2014 due to an increase in total assets, as described below.</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Until our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our IPO, the Adviser does not intend to waive its right to receive the full Management Fee, and accordingly, we will be required to pay the full amount of the Management Fee.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Incentive Fees related to pre-Incentive Fee net investment income increased from $2.4 million for the three months ended March 31, 2013 to $3.8 million for the three months ended March 31, 2014. This increase resulted from the increase in the size of the portfolio and related increase in pre-Incentive Fee net investment income. Incentive Fees related to capital gains increased from $0.3 million for the three months ended March 31, 2013 to $0.6 million for the three months ended March 31, 2014 due to changes in unrealized gains and losses on our investments, realized gains on our investments and realized losses on foreign currency forward contracts.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Professional fees increased from $0.6 million for the three months ended March 31, 2013 to $1.2 million for the three months ended March 31, 2014 and other general and administrative fees increased from $0.5 million for the three months ended March 31, 2013 to $1.0 million for the three months ended March 31, 2014, both due to an increase in costs associated with servicing a growing investment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three months ended March 31, 2014 and 2013 we recorded a net expense of $9 thousand and $4 thousand, respectively, for U.S. federal excise tax.</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Gains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three months ended March 31, 2014, we had $1.6 million of net realized losses on foreign currency forward contracts. During the three months ended March 31, 2013, we had $0.4 million of net realized gains.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realized gains and losses on investments and foreign currency forward contracts during the three months ended March 31, 2014 and 2013 consisted of the following:</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61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6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Centaur, LLC</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Embarcadero Technologies,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Newark Group, Inc.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Net Realized Gains (losses)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Cash Flow Realized Gross Internal Rate of Return</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Since we began investing in 2011 through March 31, 2014, our exited investments have resulted in an aggregate cash flow realized gross internal rate of return to us of 15.3% (based on cash invested of $459 million and total proceeds from these exited investments of $528 million). Seventy eight percent of these exited investments resulted in an aggregate cash flow realized gross internal rate of return to us of 10% or greater.</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represent any inception-to-date realized losses on foreign currency forward contracts allocable to the investment, if any.</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represent any inception-to-date realized gains on foreign currency forward contracts allocable to the investment, if any.</w:t>
      </w:r>
    </w:p>
    <w:p>
      <w:pPr>
        <w:spacing w:after="0" w:line="11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Gains/Losses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value our investments quarterly and any changes in fair value are recorded as unrealized gains or losses.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three months ended March 31, 2014 and 2013, the net change in unrealized gains and losses on our investment portfolio, including losses on foreign currency transactions, consisted of the following:</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554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6"/>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554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unrealized gains on investments</w:t>
            </w: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Change in unrealized losses on investments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4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on investments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Foreign currency borrowings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Unrealized Gains on foreign currency transactions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three months ended March 31, 2014, we had $8.6 million in unrealized appreciation on investments which was partially offset by $4.7 million in unrealized depreciation on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three months ended March 31, 2013, we had $4.7 million in unrealized appreciation on investments which was partially offset by $2.8 million in unrealized depreciation on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three months ended March 31, 2014, we settled our foreign currency forward contracts related to our investments in Jeeves Information Systems AB and Soho House Bond Ltd., which in total generated a realized loss of $1.6 million. We did not enter into new foreign currency forward contracts related to these investments nor did we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capital commitments of our existing investors terminated 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2014 and December 31, 2013, our asset coverage ratio was 300.1% and 232.9%, respectively.</w:t>
      </w:r>
    </w:p>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Cash and cash equivalents as of March 31, 2014, taken together with cash available under our credit facilities, is expected to be sufficient for our investing activities and to conduct our operations in the near term. On February 27, 2014, we terminated the Subscription Credit Facility, effective March 4, 2014. The outstanding balance under the Subscription Credit Facility was paid down prior to terminating the facility.</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March 31, 2014, we had $28.8 million in cash and cash equivalents, an increase of $25.3 million from December 31, 2013. The increase was primarily attributable to drawing cash from our credit facility for two existing investments for which we funded upsizes for immediately after the period ended, as well as cash received on March 31, 2014 from amortization and interest payments and a partial sell down for one investment. During the three months ended March 31, 2014, we used $151.5 million in cash for operating activities, primarily as a result of funding of portfolio investments of $325.3 million. This was partially offset by proceeds from investments of $50.0 million, repayments on investments of $103.6 million, an increase in net assets resulting from operations of $25.3 million and other operating activity of $5.1 million. Lastly, cash provided by financing activities was $176.9 million during the period, primarily due to proceeds from issuance of common stock of $216.6 million partially offset by net repayments on debt of $29.6 million, debt issuance costs of $3.1 million and dividends paid of $7.0 million.</w:t>
      </w:r>
    </w:p>
    <w:p>
      <w:pPr>
        <w:spacing w:after="0" w:line="14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March 31, 2014, we had $8.5 million of restricted cash in our wholly owned subsidiary TPG SL SPV, an increase of $2.2 million from December 31, 2013.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Issuances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$15.4 million.</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December 31, 2013,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March 31, 2014, we had drawn down a total of $0.6 billion of capital and issued 38.9 million shares, excluding equity and shares issued through our dividend reinvestment plan. As of December 31, 2013, over $0.9 billion of capital commitments remained unfunded. These unfunded commitments terminated upon the completion of our IPO, and hence as of March 31, 2014 no longer remain in effect.</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three months ended March 31, 2014 and 2013, we received fundings from drawdown notices to our investors relating to the issuance of 4,234,501 shares and 2,079,224 shares, respectively, of our common stock for aggregate proceeds of $65 million and $32 million, respectively. Proceeds from the issuances were used in investing activities and for other general corporate purposes.</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addition to the drawdowns noted above, during the three months ended March 31, 2014 and 2013, we issued 502,200 and 343,981 shares of our common stock, respectively, to shareholders who have not opted out of our dividend reinvestment plan for proceeds of $7.8 million and $5.2 million, respectively.</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On May 1, 2014, pursuant to its dividend reinvestment plan, we issued 410,183 shares in connection with the dividend that was paid on April 30, 2014 to shareholders who opted out of the dividend reinvestment plan. This dividend was declared on March 26, 2014 for shareholders of record on March 31, 2014.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March 31, 2014 and December 31, 2013:</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March 31, 2014</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496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3"/>
          </w:tcPr>
          <w:p>
            <w:pPr>
              <w:jc w:val="center"/>
              <w:ind w:right="74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4960" w:type="dxa"/>
            <w:vAlign w:val="bottom"/>
            <w:vMerge w:val="continue"/>
          </w:tcPr>
          <w:p>
            <w:pPr>
              <w:spacing w:after="0"/>
              <w:rPr>
                <w:sz w:val="14"/>
                <w:szCs w:val="14"/>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Outstanding</w:t>
            </w:r>
          </w:p>
        </w:tc>
        <w:tc>
          <w:tcPr>
            <w:tcW w:w="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SPV Asset Facility (2)</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9"/>
              </w:rPr>
              <w:t>175.0</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153.2</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Revolving Credit Facility (3)</w:t>
            </w:r>
          </w:p>
        </w:tc>
        <w:tc>
          <w:tcPr>
            <w:tcW w:w="24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581.3</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Debt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756.3</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 2013</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496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3"/>
          </w:tcPr>
          <w:p>
            <w:pPr>
              <w:jc w:val="center"/>
              <w:ind w:right="74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4960" w:type="dxa"/>
            <w:vAlign w:val="bottom"/>
            <w:vMerge w:val="continue"/>
          </w:tcPr>
          <w:p>
            <w:pPr>
              <w:spacing w:after="0"/>
              <w:rPr>
                <w:sz w:val="14"/>
                <w:szCs w:val="14"/>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Outstanding</w:t>
            </w:r>
          </w:p>
        </w:tc>
        <w:tc>
          <w:tcPr>
            <w:tcW w:w="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Subscription Credit Facility (4)</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9"/>
              </w:rPr>
              <w:t>100.0</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32.0</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SPV Asset Facility (2)</w:t>
            </w:r>
          </w:p>
        </w:tc>
        <w:tc>
          <w:tcPr>
            <w:tcW w:w="24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100.0</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400.0</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322.5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 Debt</w:t>
            </w: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2"/>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600.</w:t>
            </w:r>
            <w:r>
              <w:rPr>
                <w:rFonts w:ascii="Arial" w:cs="Arial" w:eastAsia="Arial" w:hAnsi="Arial"/>
                <w:sz w:val="18"/>
                <w:szCs w:val="18"/>
                <w:u w:val="single" w:color="auto"/>
                <w:color w:val="auto"/>
                <w:w w:val="84"/>
              </w:rPr>
              <w:t>0</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January 21, 2014, we amended the SPV Asset Facility to increase the size of the facility to $175.0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February 27, 2014, we amended the Revolving Credit Facility to increase the size of the facility to $581.3 million.</w:t>
      </w:r>
    </w:p>
    <w:p>
      <w:pPr>
        <w:spacing w:after="0" w:line="9" w:lineRule="exact"/>
        <w:rPr>
          <w:rFonts w:ascii="Arial" w:cs="Arial" w:eastAsia="Arial" w:hAnsi="Arial"/>
          <w:sz w:val="18"/>
          <w:szCs w:val="18"/>
          <w:color w:val="auto"/>
        </w:rPr>
      </w:pPr>
    </w:p>
    <w:p>
      <w:pPr>
        <w:ind w:left="460" w:right="740" w:hanging="452"/>
        <w:spacing w:after="0" w:line="26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March 31, 2014 and December 31, 2013, we were in compliance with the terms of our debt arrangements. We intend to continue to utilize our credit facilities to fund investments and for other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The second amended and restated Revolving Credit Facility, among other things:</w:t>
      </w:r>
    </w:p>
    <w:p>
      <w:pPr>
        <w:spacing w:after="0" w:line="5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56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jc w:val="center"/>
        <w:ind w:left="640" w:right="60"/>
        <w:spacing w:after="0" w:line="440" w:lineRule="auto"/>
        <w:rPr>
          <w:sz w:val="20"/>
          <w:szCs w:val="20"/>
          <w:color w:val="auto"/>
        </w:rPr>
      </w:pPr>
      <w:r>
        <w:rPr>
          <w:rFonts w:ascii="Arial" w:cs="Arial" w:eastAsia="Arial" w:hAnsi="Arial"/>
          <w:sz w:val="18"/>
          <w:szCs w:val="18"/>
          <w:color w:val="auto"/>
        </w:rPr>
        <w:t>Net proceeds received from the closing of our IPO and concurrent private placement were used to pay down borrowings on the Revolving Credit Facility. 45</w:t>
      </w:r>
    </w:p>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may borrow amounts in U.S. dollars or certain other permitted currencies. In connection with settling our foreign currency forward contracts related to our investments in Jeeves Information Systems AB and Soho House Bond Ltd., during the three months ended March 31, 2014 we borrowed in foreign currencies from our Revolving Credit Facility. As of March 31, 2014, we have outstanding debt denominated in Swedish Krona of 218,379,000 and outstanding debt denominated in Pound Sterling of 7,000,000 on our Revolving Credit Facility, included in the Borrowings Outstanding amount in the table above.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Revolving Credit Facility is guaranteed by TC Lending, LLC and certain of our domestic subsidiaries that are formed or acquired by us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Revolving Credit Facility is secured by a perfected first-priority security interest in substantially all the portfolio investments held by us and each guarantor.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Proceeds from borrowings may be used for general corporate purposes, including the funding of portfolio investments.</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May 8, 2012, the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SPV Asset Facility.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lowers the interest rate currently applicable on our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2014 and December 31, 2013, TPG SL SPV had $350.4 million and $184.3 million, respectively, in investments at fair value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$155.1 million and $78.3 million, respectively, in liabilities, including the outstanding borrowings, on its balance sheet. As of March 31, 2014 and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TPG SL SPV had $8.5 million and $6.3 million, respectively, in restricted cash, a component of prepaid expenses and other assets, in the accompanying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our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2014 and December 31, 2013, we had the following commitments to fund investments: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66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22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03"/>
        </w:trPr>
        <w:tc>
          <w:tcPr>
            <w:tcW w:w="4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0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2"/>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23.7</w:t>
            </w:r>
          </w:p>
        </w:tc>
        <w:tc>
          <w:tcPr>
            <w:tcW w:w="10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Senior secured term loan commitments</w:t>
            </w:r>
          </w:p>
        </w:tc>
        <w:tc>
          <w:tcPr>
            <w:tcW w:w="1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r>
      <w:tr>
        <w:trPr>
          <w:trHeight w:val="216"/>
        </w:trPr>
        <w:tc>
          <w:tcPr>
            <w:tcW w:w="44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44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is from the Adviser and its affiliates ($76.7 million unfunded). These unfunded commitments terminated upon the completion of our IPO, and hence as of March 31, 2014 no longer remain in effect.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March 31, 2014 and December 31, 2013, we had outstanding commitments to fund investments totaling $55.7 million and $55.0 million, respectively.</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March 31, 2014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85"/>
              </w:rPr>
              <w:t>Payments Due by Period</w:t>
            </w: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3820" w:type="dxa"/>
            <w:vAlign w:val="bottom"/>
            <w:vMerge w:val="restart"/>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82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460" w:type="dxa"/>
            <w:vAlign w:val="bottom"/>
          </w:tcPr>
          <w:p>
            <w:pPr>
              <w:spacing w:after="0" w:line="148" w:lineRule="exact"/>
              <w:rPr>
                <w:sz w:val="20"/>
                <w:szCs w:val="20"/>
                <w:color w:val="auto"/>
              </w:rPr>
            </w:pPr>
            <w:r>
              <w:rPr>
                <w:rFonts w:ascii="Arial" w:cs="Arial" w:eastAsia="Arial" w:hAnsi="Arial"/>
                <w:sz w:val="14"/>
                <w:szCs w:val="14"/>
                <w:b w:val="1"/>
                <w:bCs w:val="1"/>
                <w:color w:val="auto"/>
              </w:rPr>
              <w:t>1 year</w:t>
            </w:r>
          </w:p>
        </w:tc>
        <w:tc>
          <w:tcPr>
            <w:tcW w:w="440" w:type="dxa"/>
            <w:vAlign w:val="bottom"/>
          </w:tcPr>
          <w:p>
            <w:pPr>
              <w:spacing w:after="0"/>
              <w:rPr>
                <w:sz w:val="14"/>
                <w:szCs w:val="14"/>
                <w:color w:val="auto"/>
              </w:rPr>
            </w:pPr>
          </w:p>
        </w:tc>
        <w:tc>
          <w:tcPr>
            <w:tcW w:w="5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1-3 years</w:t>
            </w:r>
          </w:p>
        </w:tc>
        <w:tc>
          <w:tcPr>
            <w:tcW w:w="420" w:type="dxa"/>
            <w:vAlign w:val="bottom"/>
          </w:tcPr>
          <w:p>
            <w:pPr>
              <w:spacing w:after="0"/>
              <w:rPr>
                <w:sz w:val="14"/>
                <w:szCs w:val="14"/>
                <w:color w:val="auto"/>
              </w:rPr>
            </w:pPr>
          </w:p>
        </w:tc>
        <w:tc>
          <w:tcPr>
            <w:tcW w:w="5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2"/>
              </w:rPr>
              <w:t>3-5 years</w:t>
            </w:r>
          </w:p>
        </w:tc>
        <w:tc>
          <w:tcPr>
            <w:tcW w:w="460" w:type="dxa"/>
            <w:vAlign w:val="bottom"/>
          </w:tcPr>
          <w:p>
            <w:pPr>
              <w:spacing w:after="0"/>
              <w:rPr>
                <w:sz w:val="14"/>
                <w:szCs w:val="14"/>
                <w:color w:val="auto"/>
              </w:rPr>
            </w:pPr>
          </w:p>
        </w:tc>
        <w:tc>
          <w:tcPr>
            <w:tcW w:w="8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6"/>
              </w:rPr>
              <w:t>After 5 years</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SPV Asset Facility</w:t>
            </w:r>
          </w:p>
        </w:tc>
        <w:tc>
          <w:tcPr>
            <w:tcW w:w="20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$153.2</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248.9</w:t>
            </w: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2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248.9</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8"/>
                <w:szCs w:val="18"/>
                <w:u w:val="single" w:color="auto"/>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 w:lineRule="exact"/>
        <w:rPr>
          <w:sz w:val="20"/>
          <w:szCs w:val="20"/>
          <w:color w:val="auto"/>
        </w:rPr>
      </w:pPr>
    </w:p>
    <w:p>
      <w:pPr>
        <w:ind w:left="900" w:right="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98.2 % of our capital gain net income, adjusted for certain ordinary gains and losses, recognized for the twelve-month period ending on October 31 of that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2013, filed with the SEC on March 4, 2014, and our Form 10-K/A, filed with the SEC on March 14, 2014, and elsewhere in our filings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March 31, 2014, 98.6% of our debt investments bore interest at floating rates, subject to interest rate floors. Our credit facilities also bear interest at floating rates.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Assuming that our consolidated balance sheet as of March 31, 2014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Net</w:t>
            </w:r>
          </w:p>
        </w:tc>
      </w:tr>
      <w:tr>
        <w:trPr>
          <w:trHeight w:val="149"/>
        </w:trPr>
        <w:tc>
          <w:tcPr>
            <w:tcW w:w="7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Basis Point Change</w:t>
            </w: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Income</w:t>
            </w: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Expense</w:t>
            </w:r>
          </w:p>
        </w:tc>
        <w:tc>
          <w:tcPr>
            <w:tcW w:w="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7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23.2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12.0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11.2</w:t>
            </w:r>
          </w:p>
        </w:tc>
        <w:tc>
          <w:tcPr>
            <w:tcW w:w="100" w:type="dxa"/>
            <w:vAlign w:val="bottom"/>
            <w:shd w:val="clear" w:color="auto" w:fill="CCEEFF"/>
          </w:tcPr>
          <w:p>
            <w:pPr>
              <w:spacing w:after="0"/>
              <w:rPr>
                <w:sz w:val="17"/>
                <w:szCs w:val="17"/>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11.4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bl>
    <w:p>
      <w:pPr>
        <w:spacing w:after="0" w:line="14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i w:val="1"/>
          <w:iCs w:val="1"/>
          <w:color w:val="auto"/>
        </w:rPr>
        <w:t>Evaluation of Disclosure Controls and Procedures</w:t>
      </w:r>
      <w:r>
        <w:rPr>
          <w:rFonts w:ascii="Arial" w:cs="Arial" w:eastAsia="Arial" w:hAnsi="Arial"/>
          <w:sz w:val="15"/>
          <w:szCs w:val="15"/>
          <w:color w:val="auto"/>
        </w:rPr>
        <w:t>. As of the end of the period covered by this report, we carried out an evaluation, under the supervision</w:t>
      </w:r>
      <w:r>
        <w:rPr>
          <w:rFonts w:ascii="Arial" w:cs="Arial" w:eastAsia="Arial" w:hAnsi="Arial"/>
          <w:sz w:val="15"/>
          <w:szCs w:val="15"/>
          <w:i w:val="1"/>
          <w:iCs w:val="1"/>
          <w:color w:val="auto"/>
        </w:rPr>
        <w:t xml:space="preserve"> </w:t>
      </w:r>
      <w:r>
        <w:rPr>
          <w:rFonts w:ascii="Arial" w:cs="Arial" w:eastAsia="Arial" w:hAnsi="Arial"/>
          <w:sz w:val="15"/>
          <w:szCs w:val="15"/>
          <w:color w:val="auto"/>
        </w:rPr>
        <w:t>and with the participation of our management, including our Co-Chief Executive Officers and Chief Financial Officer, of the effectiveness of the design and operation of our disclosure controls and procedures (as defined in Rule 13a-15 under the Securities Exchange Act of 1934).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0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been no changes in our internal control over financial reporting that occurred during our</w:t>
      </w:r>
      <w:r>
        <w:rPr>
          <w:rFonts w:ascii="Arial" w:cs="Arial" w:eastAsia="Arial" w:hAnsi="Arial"/>
          <w:sz w:val="16"/>
          <w:szCs w:val="16"/>
          <w:i w:val="1"/>
          <w:iCs w:val="1"/>
          <w:color w:val="auto"/>
        </w:rPr>
        <w:t xml:space="preserve"> </w:t>
      </w:r>
      <w:r>
        <w:rPr>
          <w:rFonts w:ascii="Arial" w:cs="Arial" w:eastAsia="Arial" w:hAnsi="Arial"/>
          <w:sz w:val="16"/>
          <w:szCs w:val="16"/>
          <w:color w:val="auto"/>
        </w:rPr>
        <w:t>most recently completed fiscal quarter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Risk Factors” in our Annual Report on Form 10-K for the fiscal year ended December 31, 2013,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or about March 20, 2014, the Company entered into private placement agreements with certain of its existing investors relating to the sale of 3,124,984 shares of the Company’s common stock, at a price of $16.00 per share, for an aggregate offering price of $50.0 million (the “Private Placement”). The offering was contingent on the closing of the Company’s IPO.</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sale of the common stock was exempt from the registration requirements of the Securities Act of 1933, as amended, pursuant to Section 4(a)(2) thereof. The Company has not engaged in general solicitation or advertising with regard to the issuance and sale of the common stock in the Private Placement and has not offered securities to the public in connection with such issuance and sale.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provides information regarding purchases of our common shares by our Adviser and its affiliates for each month in the three month period ended March 31,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1"/>
              </w:rPr>
              <w:t>Shares Purchased as</w:t>
            </w:r>
          </w:p>
        </w:tc>
        <w:tc>
          <w:tcPr>
            <w:tcW w:w="16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 except per share amounts)</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6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34"/>
        </w:trPr>
        <w:tc>
          <w:tcPr>
            <w:tcW w:w="4800" w:type="dxa"/>
            <w:vAlign w:val="bottom"/>
            <w:gridSpan w:val="3"/>
            <w:vMerge w:val="continue"/>
          </w:tcPr>
          <w:p>
            <w:pPr>
              <w:spacing w:after="0"/>
              <w:rPr>
                <w:sz w:val="11"/>
                <w:szCs w:val="11"/>
                <w:color w:val="auto"/>
              </w:rPr>
            </w:pPr>
          </w:p>
        </w:tc>
        <w:tc>
          <w:tcPr>
            <w:tcW w:w="17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Average Price Paid</w:t>
            </w:r>
          </w:p>
        </w:tc>
        <w:tc>
          <w:tcPr>
            <w:tcW w:w="10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Total Number of</w:t>
            </w:r>
          </w:p>
        </w:tc>
        <w:tc>
          <w:tcPr>
            <w:tcW w:w="660" w:type="dxa"/>
            <w:vAlign w:val="bottom"/>
          </w:tcPr>
          <w:p>
            <w:pPr>
              <w:spacing w:after="0"/>
              <w:rPr>
                <w:sz w:val="11"/>
                <w:szCs w:val="11"/>
                <w:color w:val="auto"/>
              </w:rPr>
            </w:pPr>
          </w:p>
        </w:tc>
        <w:tc>
          <w:tcPr>
            <w:tcW w:w="16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5"/>
              </w:rPr>
              <w:t>Announced Plans 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49"/>
        </w:trPr>
        <w:tc>
          <w:tcPr>
            <w:tcW w:w="15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Period</w:t>
            </w:r>
          </w:p>
        </w:tc>
        <w:tc>
          <w:tcPr>
            <w:tcW w:w="1040" w:type="dxa"/>
            <w:vAlign w:val="bottom"/>
            <w:tcBorders>
              <w:bottom w:val="single" w:sz="8" w:color="auto"/>
            </w:tcBorders>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per Share</w:t>
            </w:r>
          </w:p>
        </w:tc>
        <w:tc>
          <w:tcPr>
            <w:tcW w:w="10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Shares Purchased</w:t>
            </w:r>
          </w:p>
        </w:tc>
        <w:tc>
          <w:tcPr>
            <w:tcW w:w="660" w:type="dxa"/>
            <w:vAlign w:val="bottom"/>
          </w:tcPr>
          <w:p>
            <w:pPr>
              <w:spacing w:after="0"/>
              <w:rPr>
                <w:sz w:val="12"/>
                <w:szCs w:val="12"/>
                <w:color w:val="auto"/>
              </w:rPr>
            </w:pPr>
          </w:p>
        </w:tc>
        <w:tc>
          <w:tcPr>
            <w:tcW w:w="168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Programs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January 2014</w:t>
            </w:r>
          </w:p>
        </w:tc>
        <w:tc>
          <w:tcPr>
            <w:tcW w:w="10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15.35</w:t>
            </w: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330,508</w:t>
            </w: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330,508</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71,631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February 2014</w:t>
            </w:r>
          </w:p>
        </w:tc>
        <w:tc>
          <w:tcPr>
            <w:tcW w:w="10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March 2014</w:t>
            </w:r>
          </w:p>
        </w:tc>
        <w:tc>
          <w:tcPr>
            <w:tcW w:w="10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6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194,897</w:t>
            </w:r>
          </w:p>
        </w:tc>
        <w:tc>
          <w:tcPr>
            <w:tcW w:w="6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194,897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58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525,405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525,405</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80" w:type="dxa"/>
            <w:vAlign w:val="bottom"/>
          </w:tcPr>
          <w:p>
            <w:pPr>
              <w:ind w:left="460"/>
              <w:spacing w:after="0"/>
              <w:rPr>
                <w:sz w:val="20"/>
                <w:szCs w:val="20"/>
                <w:color w:val="auto"/>
              </w:rPr>
            </w:pPr>
            <w:r>
              <w:rPr>
                <w:rFonts w:ascii="Arial" w:cs="Arial" w:eastAsia="Arial" w:hAnsi="Arial"/>
                <w:sz w:val="18"/>
                <w:szCs w:val="18"/>
                <w:color w:val="auto"/>
                <w:w w:val="92"/>
              </w:rPr>
              <w:t>Not applicable.</w:t>
            </w:r>
          </w:p>
        </w:tc>
        <w:tc>
          <w:tcPr>
            <w:tcW w:w="1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Item 4. Mine Safety Disclosures.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80" w:type="dxa"/>
            <w:vAlign w:val="bottom"/>
          </w:tcPr>
          <w:p>
            <w:pPr>
              <w:ind w:left="460"/>
              <w:spacing w:after="0"/>
              <w:rPr>
                <w:sz w:val="20"/>
                <w:szCs w:val="20"/>
                <w:color w:val="auto"/>
              </w:rPr>
            </w:pPr>
            <w:r>
              <w:rPr>
                <w:rFonts w:ascii="Arial" w:cs="Arial" w:eastAsia="Arial" w:hAnsi="Arial"/>
                <w:sz w:val="18"/>
                <w:szCs w:val="18"/>
                <w:color w:val="auto"/>
                <w:w w:val="92"/>
              </w:rPr>
              <w:t>Not applicable.</w:t>
            </w:r>
          </w:p>
        </w:tc>
        <w:tc>
          <w:tcPr>
            <w:tcW w:w="1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Item 5. Other Information.</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80" w:type="dxa"/>
            <w:vAlign w:val="bottom"/>
          </w:tcPr>
          <w:p>
            <w:pPr>
              <w:ind w:left="460"/>
              <w:spacing w:after="0"/>
              <w:rPr>
                <w:sz w:val="20"/>
                <w:szCs w:val="20"/>
                <w:color w:val="auto"/>
              </w:rPr>
            </w:pPr>
            <w:r>
              <w:rPr>
                <w:rFonts w:ascii="Arial" w:cs="Arial" w:eastAsia="Arial" w:hAnsi="Arial"/>
                <w:sz w:val="18"/>
                <w:szCs w:val="18"/>
                <w:color w:val="auto"/>
                <w:w w:val="92"/>
              </w:rPr>
              <w:t>Not applicable.</w:t>
            </w:r>
          </w:p>
        </w:tc>
        <w:tc>
          <w:tcPr>
            <w:tcW w:w="1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80" w:type="dxa"/>
            <w:vAlign w:val="bottom"/>
          </w:tcPr>
          <w:p>
            <w:pPr>
              <w:ind w:left="460"/>
              <w:spacing w:after="0"/>
              <w:rPr>
                <w:sz w:val="20"/>
                <w:szCs w:val="20"/>
                <w:color w:val="auto"/>
              </w:rPr>
            </w:pPr>
            <w:r>
              <w:rPr>
                <w:rFonts w:ascii="Arial" w:cs="Arial" w:eastAsia="Arial" w:hAnsi="Arial"/>
                <w:sz w:val="18"/>
                <w:szCs w:val="18"/>
                <w:b w:val="1"/>
                <w:bCs w:val="1"/>
                <w:color w:val="auto"/>
              </w:rPr>
              <w:t>(a) Exhibits.</w:t>
            </w:r>
          </w:p>
        </w:tc>
        <w:tc>
          <w:tcPr>
            <w:tcW w:w="10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580" w:type="dxa"/>
            <w:vAlign w:val="bottom"/>
          </w:tcPr>
          <w:p>
            <w:pPr>
              <w:jc w:val="right"/>
              <w:ind w:right="474"/>
              <w:spacing w:after="0"/>
              <w:rPr>
                <w:sz w:val="20"/>
                <w:szCs w:val="20"/>
                <w:color w:val="auto"/>
              </w:rPr>
            </w:pPr>
            <w:r>
              <w:rPr>
                <w:rFonts w:ascii="Arial" w:cs="Arial" w:eastAsia="Arial" w:hAnsi="Arial"/>
                <w:sz w:val="18"/>
                <w:szCs w:val="18"/>
                <w:color w:val="auto"/>
              </w:rPr>
              <w:t>3.1</w:t>
            </w: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96"/>
              </w:rPr>
              <w:t>Certificate of Amendment to Amended and Restated Certificate of Incorporation (incorporated by reference to Exhibit 3.1 to the</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5000" w:type="dxa"/>
            <w:vAlign w:val="bottom"/>
            <w:gridSpan w:val="5"/>
          </w:tcPr>
          <w:p>
            <w:pPr>
              <w:ind w:left="40"/>
              <w:spacing w:after="0"/>
              <w:rPr>
                <w:sz w:val="20"/>
                <w:szCs w:val="20"/>
                <w:color w:val="auto"/>
              </w:rPr>
            </w:pPr>
            <w:r>
              <w:rPr>
                <w:rFonts w:ascii="Arial" w:cs="Arial" w:eastAsia="Arial" w:hAnsi="Arial"/>
                <w:sz w:val="18"/>
                <w:szCs w:val="18"/>
                <w:color w:val="auto"/>
                <w:w w:val="95"/>
              </w:rPr>
              <w:t>Company’s Current Report on Form 8-K filed on March 12, 2014)</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580" w:type="dxa"/>
            <w:vAlign w:val="bottom"/>
          </w:tcPr>
          <w:p>
            <w:pPr>
              <w:jc w:val="right"/>
              <w:ind w:right="474"/>
              <w:spacing w:after="0"/>
              <w:rPr>
                <w:sz w:val="20"/>
                <w:szCs w:val="20"/>
                <w:color w:val="auto"/>
              </w:rPr>
            </w:pPr>
            <w:r>
              <w:rPr>
                <w:rFonts w:ascii="Arial" w:cs="Arial" w:eastAsia="Arial" w:hAnsi="Arial"/>
                <w:sz w:val="18"/>
                <w:szCs w:val="18"/>
                <w:color w:val="auto"/>
              </w:rPr>
              <w:t>4.1</w:t>
            </w: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91"/>
              </w:rPr>
              <w:t>Form of Private Placement Agreement (incorporated by reference to Exhibit (d)(3) to Amendment No. 2 to the Company’s Registration</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5000" w:type="dxa"/>
            <w:vAlign w:val="bottom"/>
            <w:gridSpan w:val="5"/>
          </w:tcPr>
          <w:p>
            <w:pPr>
              <w:ind w:left="40"/>
              <w:spacing w:after="0"/>
              <w:rPr>
                <w:sz w:val="20"/>
                <w:szCs w:val="20"/>
                <w:color w:val="auto"/>
              </w:rPr>
            </w:pPr>
            <w:r>
              <w:rPr>
                <w:rFonts w:ascii="Arial" w:cs="Arial" w:eastAsia="Arial" w:hAnsi="Arial"/>
                <w:sz w:val="18"/>
                <w:szCs w:val="18"/>
                <w:color w:val="auto"/>
              </w:rPr>
              <w:t>Statement on Form N-2 filed on March 12, 2014)</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580" w:type="dxa"/>
            <w:vAlign w:val="bottom"/>
          </w:tcPr>
          <w:p>
            <w:pPr>
              <w:jc w:val="right"/>
              <w:ind w:right="474"/>
              <w:spacing w:after="0"/>
              <w:rPr>
                <w:sz w:val="20"/>
                <w:szCs w:val="20"/>
                <w:color w:val="auto"/>
              </w:rPr>
            </w:pPr>
            <w:r>
              <w:rPr>
                <w:rFonts w:ascii="Arial" w:cs="Arial" w:eastAsia="Arial" w:hAnsi="Arial"/>
                <w:sz w:val="18"/>
                <w:szCs w:val="18"/>
                <w:color w:val="auto"/>
              </w:rPr>
              <w:t>10.1</w:t>
            </w: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89"/>
              </w:rPr>
              <w:t>Amended and Restated Revolving Credit and Security Agreement, dated as of January 21, 2014, among TPG SL SPV, LLC, as Borrower,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89"/>
              </w:rPr>
              <w:t>the Lenders from Time to Time Parties Hereto, Natixis, New York Branch, as Facility Agent and State Street Bank and Trust Company, as</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93"/>
              </w:rPr>
              <w:t>Collateral Agent (incorporated by reference to Exhibit 10.18 to the Company’s Annual Report on Form 10-K filed on March 4, 2014)</w:t>
            </w:r>
          </w:p>
        </w:tc>
        <w:tc>
          <w:tcPr>
            <w:tcW w:w="0" w:type="dxa"/>
            <w:vAlign w:val="bottom"/>
          </w:tcPr>
          <w:p>
            <w:pPr>
              <w:spacing w:after="0"/>
              <w:rPr>
                <w:sz w:val="1"/>
                <w:szCs w:val="1"/>
                <w:color w:val="auto"/>
              </w:rPr>
            </w:pPr>
          </w:p>
        </w:tc>
      </w:tr>
      <w:tr>
        <w:trPr>
          <w:trHeight w:val="318"/>
        </w:trPr>
        <w:tc>
          <w:tcPr>
            <w:tcW w:w="1580" w:type="dxa"/>
            <w:vAlign w:val="bottom"/>
          </w:tcPr>
          <w:p>
            <w:pPr>
              <w:jc w:val="right"/>
              <w:ind w:right="474"/>
              <w:spacing w:after="0"/>
              <w:rPr>
                <w:sz w:val="20"/>
                <w:szCs w:val="20"/>
                <w:color w:val="auto"/>
              </w:rPr>
            </w:pPr>
            <w:r>
              <w:rPr>
                <w:rFonts w:ascii="Arial" w:cs="Arial" w:eastAsia="Arial" w:hAnsi="Arial"/>
                <w:sz w:val="18"/>
                <w:szCs w:val="18"/>
                <w:color w:val="auto"/>
              </w:rPr>
              <w:t>10.2</w:t>
            </w: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88"/>
              </w:rPr>
              <w:t>Amended and Restated Master Sale and Contribution Agreement by and between TPG Specialty Lending, Inc., as the Originator and TPG</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89"/>
              </w:rPr>
              <w:t>SL SPV, LLC, as the Buyer, dated as of January 21, 2014 (incorporated by reference to Exhibit 10.19 to the Company’s Annual Report on</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Form 10-K filed on March 4, 2014)</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580" w:type="dxa"/>
            <w:vAlign w:val="bottom"/>
          </w:tcPr>
          <w:p>
            <w:pPr>
              <w:jc w:val="right"/>
              <w:ind w:right="474"/>
              <w:spacing w:after="0"/>
              <w:rPr>
                <w:sz w:val="20"/>
                <w:szCs w:val="20"/>
                <w:color w:val="auto"/>
              </w:rPr>
            </w:pPr>
            <w:r>
              <w:rPr>
                <w:rFonts w:ascii="Arial" w:cs="Arial" w:eastAsia="Arial" w:hAnsi="Arial"/>
                <w:sz w:val="18"/>
                <w:szCs w:val="18"/>
                <w:color w:val="auto"/>
              </w:rPr>
              <w:t>10.3</w:t>
            </w: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92"/>
              </w:rPr>
              <w:t>Second Amended and Restated Senior Secured Credit Agreement, dated February 27, 2014, among TPG Specialty Lending, Inc., as</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89"/>
              </w:rPr>
              <w:t>Borrower, the Lenders Party Hereto and SunTrust Bank, as Administrative Agent, and JPMorgan Chase Bank, N.A., as Syndication Agent</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8380" w:type="dxa"/>
            <w:vAlign w:val="bottom"/>
            <w:gridSpan w:val="9"/>
          </w:tcPr>
          <w:p>
            <w:pPr>
              <w:ind w:left="40"/>
              <w:spacing w:after="0"/>
              <w:rPr>
                <w:sz w:val="20"/>
                <w:szCs w:val="20"/>
                <w:color w:val="auto"/>
              </w:rPr>
            </w:pPr>
            <w:r>
              <w:rPr>
                <w:rFonts w:ascii="Arial" w:cs="Arial" w:eastAsia="Arial" w:hAnsi="Arial"/>
                <w:sz w:val="18"/>
                <w:szCs w:val="18"/>
                <w:color w:val="auto"/>
                <w:w w:val="91"/>
              </w:rPr>
              <w:t>(incorporated by reference to Exhibit 10.20 to the Company’s Annual Report on Form 10-K filed on March 4, 2014)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580" w:type="dxa"/>
            <w:vAlign w:val="bottom"/>
          </w:tcPr>
          <w:p>
            <w:pPr>
              <w:jc w:val="right"/>
              <w:ind w:right="474"/>
              <w:spacing w:after="0"/>
              <w:rPr>
                <w:sz w:val="20"/>
                <w:szCs w:val="20"/>
                <w:color w:val="auto"/>
              </w:rPr>
            </w:pPr>
            <w:r>
              <w:rPr>
                <w:rFonts w:ascii="Arial" w:cs="Arial" w:eastAsia="Arial" w:hAnsi="Arial"/>
                <w:sz w:val="18"/>
                <w:szCs w:val="18"/>
                <w:color w:val="auto"/>
              </w:rPr>
              <w:t>31.1</w:t>
            </w: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92"/>
              </w:rPr>
              <w:t>Certification of Co-Chief Executive Officer Pursuant to 18 U.S.C. Section 1350, as Adopted Pursuant to Section 302 of the Sarbanes-</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Oxley Act of 2002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580" w:type="dxa"/>
            <w:vAlign w:val="bottom"/>
          </w:tcPr>
          <w:p>
            <w:pPr>
              <w:jc w:val="right"/>
              <w:ind w:right="474"/>
              <w:spacing w:after="0"/>
              <w:rPr>
                <w:sz w:val="20"/>
                <w:szCs w:val="20"/>
                <w:color w:val="auto"/>
              </w:rPr>
            </w:pPr>
            <w:r>
              <w:rPr>
                <w:rFonts w:ascii="Arial" w:cs="Arial" w:eastAsia="Arial" w:hAnsi="Arial"/>
                <w:sz w:val="18"/>
                <w:szCs w:val="18"/>
                <w:color w:val="auto"/>
              </w:rPr>
              <w:t>31.2</w:t>
            </w: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92"/>
              </w:rPr>
              <w:t>Certification of Co-Chief Executive Officer Pursuant to 18 U.S.C. Section 1350, as Adopted Pursuant to Section 302 of the Sarbanes-</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Oxley Act of 2002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580" w:type="dxa"/>
            <w:vAlign w:val="bottom"/>
          </w:tcPr>
          <w:p>
            <w:pPr>
              <w:jc w:val="right"/>
              <w:ind w:right="474"/>
              <w:spacing w:after="0"/>
              <w:rPr>
                <w:sz w:val="20"/>
                <w:szCs w:val="20"/>
                <w:color w:val="auto"/>
              </w:rPr>
            </w:pPr>
            <w:r>
              <w:rPr>
                <w:rFonts w:ascii="Arial" w:cs="Arial" w:eastAsia="Arial" w:hAnsi="Arial"/>
                <w:sz w:val="18"/>
                <w:szCs w:val="18"/>
                <w:color w:val="auto"/>
              </w:rPr>
              <w:t>31.3</w:t>
            </w:r>
          </w:p>
        </w:tc>
        <w:tc>
          <w:tcPr>
            <w:tcW w:w="9840" w:type="dxa"/>
            <w:vAlign w:val="bottom"/>
            <w:gridSpan w:val="13"/>
          </w:tcPr>
          <w:p>
            <w:pPr>
              <w:ind w:left="4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302 of the Sarbanes-Oxley</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Act of 2002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620" w:right="20" w:hanging="4910"/>
        <w:spacing w:after="0" w:line="440" w:lineRule="auto"/>
        <w:tabs>
          <w:tab w:leader="none" w:pos="160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 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19"/>
                <w:szCs w:val="19"/>
                <w:color w:val="auto"/>
              </w:rPr>
            </w:pPr>
          </w:p>
        </w:tc>
        <w:tc>
          <w:tcPr>
            <w:tcW w:w="7940" w:type="dxa"/>
            <w:vAlign w:val="bottom"/>
            <w:gridSpan w:val="2"/>
          </w:tcPr>
          <w:p>
            <w:pPr>
              <w:ind w:left="2440"/>
              <w:spacing w:after="0"/>
              <w:rPr>
                <w:sz w:val="20"/>
                <w:szCs w:val="20"/>
                <w:color w:val="auto"/>
              </w:rPr>
            </w:pPr>
            <w:r>
              <w:rPr>
                <w:rFonts w:ascii="Arial" w:cs="Arial" w:eastAsia="Arial" w:hAnsi="Arial"/>
                <w:sz w:val="18"/>
                <w:szCs w:val="18"/>
                <w:color w:val="auto"/>
              </w:rPr>
              <w:t>TPG SPECIALTY LENDING, INC.</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Date: May 8, 2014</w:t>
            </w:r>
          </w:p>
        </w:tc>
        <w:tc>
          <w:tcPr>
            <w:tcW w:w="7940" w:type="dxa"/>
            <w:vAlign w:val="bottom"/>
            <w:gridSpan w:val="2"/>
          </w:tcPr>
          <w:p>
            <w:pPr>
              <w:ind w:left="2440"/>
              <w:spacing w:after="0"/>
              <w:rPr>
                <w:sz w:val="20"/>
                <w:szCs w:val="20"/>
                <w:color w:val="auto"/>
              </w:rPr>
            </w:pPr>
            <w:r>
              <w:rPr>
                <w:rFonts w:ascii="Arial" w:cs="Arial" w:eastAsia="Arial" w:hAnsi="Arial"/>
                <w:sz w:val="18"/>
                <w:szCs w:val="18"/>
                <w:color w:val="auto"/>
              </w:rPr>
              <w:t>By:  /s/ Joshua Easterly</w:t>
            </w:r>
          </w:p>
        </w:tc>
      </w:tr>
      <w:tr>
        <w:trPr>
          <w:trHeight w:val="202"/>
        </w:trPr>
        <w:tc>
          <w:tcPr>
            <w:tcW w:w="34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Joshua Easterly</w:t>
            </w:r>
          </w:p>
        </w:tc>
      </w:tr>
      <w:tr>
        <w:trPr>
          <w:trHeight w:val="222"/>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Date: May 8, 2014</w:t>
            </w:r>
          </w:p>
        </w:tc>
        <w:tc>
          <w:tcPr>
            <w:tcW w:w="7940" w:type="dxa"/>
            <w:vAlign w:val="bottom"/>
            <w:gridSpan w:val="2"/>
          </w:tcPr>
          <w:p>
            <w:pPr>
              <w:ind w:left="2440"/>
              <w:spacing w:after="0"/>
              <w:rPr>
                <w:sz w:val="20"/>
                <w:szCs w:val="20"/>
                <w:color w:val="auto"/>
              </w:rPr>
            </w:pPr>
            <w:r>
              <w:rPr>
                <w:rFonts w:ascii="Arial" w:cs="Arial" w:eastAsia="Arial" w:hAnsi="Arial"/>
                <w:sz w:val="18"/>
                <w:szCs w:val="18"/>
                <w:color w:val="auto"/>
              </w:rPr>
              <w:t>By:  /s/ Michael Fishman</w:t>
            </w:r>
          </w:p>
        </w:tc>
      </w:tr>
      <w:tr>
        <w:trPr>
          <w:trHeight w:val="202"/>
        </w:trPr>
        <w:tc>
          <w:tcPr>
            <w:tcW w:w="34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Date: May 8, 2014</w:t>
            </w:r>
          </w:p>
        </w:tc>
        <w:tc>
          <w:tcPr>
            <w:tcW w:w="7940" w:type="dxa"/>
            <w:vAlign w:val="bottom"/>
            <w:gridSpan w:val="2"/>
          </w:tcPr>
          <w:p>
            <w:pPr>
              <w:ind w:left="2440"/>
              <w:spacing w:after="0"/>
              <w:rPr>
                <w:sz w:val="20"/>
                <w:szCs w:val="20"/>
                <w:color w:val="auto"/>
              </w:rPr>
            </w:pPr>
            <w:r>
              <w:rPr>
                <w:rFonts w:ascii="Arial" w:cs="Arial" w:eastAsia="Arial" w:hAnsi="Arial"/>
                <w:sz w:val="18"/>
                <w:szCs w:val="18"/>
                <w:color w:val="auto"/>
              </w:rPr>
              <w:t>By:  /s/ Alan Kirshenbaum</w:t>
            </w:r>
          </w:p>
        </w:tc>
      </w:tr>
      <w:tr>
        <w:trPr>
          <w:trHeight w:val="202"/>
        </w:trPr>
        <w:tc>
          <w:tcPr>
            <w:tcW w:w="34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Alan Kirshenbaum</w:t>
            </w:r>
          </w:p>
        </w:tc>
      </w:tr>
      <w:tr>
        <w:trPr>
          <w:trHeight w:val="222"/>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348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52</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90"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Date: May 8, 2014</w:t>
            </w:r>
          </w:p>
        </w:tc>
        <w:tc>
          <w:tcPr>
            <w:tcW w:w="7800" w:type="dxa"/>
            <w:vAlign w:val="bottom"/>
            <w:gridSpan w:val="2"/>
          </w:tcPr>
          <w:p>
            <w:pPr>
              <w:ind w:left="2300"/>
              <w:spacing w:after="0"/>
              <w:rPr>
                <w:sz w:val="20"/>
                <w:szCs w:val="20"/>
                <w:color w:val="auto"/>
              </w:rPr>
            </w:pPr>
            <w:r>
              <w:rPr>
                <w:rFonts w:ascii="Arial" w:cs="Arial" w:eastAsia="Arial" w:hAnsi="Arial"/>
                <w:sz w:val="18"/>
                <w:szCs w:val="18"/>
                <w:color w:val="auto"/>
              </w:rPr>
              <w:t>By:  /s/ Joshua Easterly</w:t>
            </w:r>
          </w:p>
        </w:tc>
      </w:tr>
      <w:tr>
        <w:trPr>
          <w:trHeight w:val="202"/>
        </w:trPr>
        <w:tc>
          <w:tcPr>
            <w:tcW w:w="3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Joshua Easterly</w:t>
            </w:r>
          </w:p>
        </w:tc>
      </w:tr>
      <w:tr>
        <w:trPr>
          <w:trHeight w:val="222"/>
        </w:trPr>
        <w:tc>
          <w:tcPr>
            <w:tcW w:w="36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Date: May 8, 2014</w:t>
            </w:r>
          </w:p>
        </w:tc>
        <w:tc>
          <w:tcPr>
            <w:tcW w:w="7800" w:type="dxa"/>
            <w:vAlign w:val="bottom"/>
            <w:gridSpan w:val="2"/>
          </w:tcPr>
          <w:p>
            <w:pPr>
              <w:ind w:left="2300"/>
              <w:spacing w:after="0"/>
              <w:rPr>
                <w:sz w:val="20"/>
                <w:szCs w:val="20"/>
                <w:color w:val="auto"/>
              </w:rPr>
            </w:pPr>
            <w:r>
              <w:rPr>
                <w:rFonts w:ascii="Arial" w:cs="Arial" w:eastAsia="Arial" w:hAnsi="Arial"/>
                <w:sz w:val="18"/>
                <w:szCs w:val="18"/>
                <w:color w:val="auto"/>
              </w:rPr>
              <w:t>By:  /s/ Michael Fishman</w:t>
            </w:r>
          </w:p>
        </w:tc>
      </w:tr>
      <w:tr>
        <w:trPr>
          <w:trHeight w:val="202"/>
        </w:trPr>
        <w:tc>
          <w:tcPr>
            <w:tcW w:w="3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6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Alan Kirshenbaum, certify that:</w:t>
      </w:r>
    </w:p>
    <w:p>
      <w:pPr>
        <w:spacing w:after="0" w:line="90"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Date: May 8, 2014</w:t>
            </w:r>
          </w:p>
        </w:tc>
        <w:tc>
          <w:tcPr>
            <w:tcW w:w="7800" w:type="dxa"/>
            <w:vAlign w:val="bottom"/>
            <w:gridSpan w:val="2"/>
          </w:tcPr>
          <w:p>
            <w:pPr>
              <w:ind w:left="2300"/>
              <w:spacing w:after="0"/>
              <w:rPr>
                <w:sz w:val="20"/>
                <w:szCs w:val="20"/>
                <w:color w:val="auto"/>
              </w:rPr>
            </w:pPr>
            <w:r>
              <w:rPr>
                <w:rFonts w:ascii="Arial" w:cs="Arial" w:eastAsia="Arial" w:hAnsi="Arial"/>
                <w:sz w:val="18"/>
                <w:szCs w:val="18"/>
                <w:color w:val="auto"/>
              </w:rPr>
              <w:t>By:  /s/ Alan Kirshenbaum</w:t>
            </w:r>
          </w:p>
        </w:tc>
      </w:tr>
      <w:tr>
        <w:trPr>
          <w:trHeight w:val="202"/>
        </w:trPr>
        <w:tc>
          <w:tcPr>
            <w:tcW w:w="3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Alan Kirshenbaum</w:t>
            </w:r>
          </w:p>
        </w:tc>
      </w:tr>
      <w:tr>
        <w:trPr>
          <w:trHeight w:val="222"/>
        </w:trPr>
        <w:tc>
          <w:tcPr>
            <w:tcW w:w="36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March 31, 2014, as filed with the Securities and Exchange Commission on the date hereof (the “Report”), Joshua Easterly and Michael Fishman, as Co-Chief Executive Officers of the Company, and Alan Kirshenbaum, as Chief Financial Officer of the Company, each hereby certifies, pursuant to 18 U.S.C. § 1350, as adopted pursuant to § 906 of the Sarbanes-Oxley Act of 2002, that, to such officer’s knowledge:</w:t>
      </w:r>
    </w:p>
    <w:p>
      <w:pPr>
        <w:spacing w:after="0" w:line="62" w:lineRule="exact"/>
        <w:rPr>
          <w:sz w:val="20"/>
          <w:szCs w:val="20"/>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Joshua Easterly</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May 8, 2014</w:t>
            </w:r>
          </w:p>
        </w:tc>
      </w:tr>
      <w:tr>
        <w:trPr>
          <w:trHeight w:val="43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Fishman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rPr>
                <w:sz w:val="20"/>
                <w:szCs w:val="20"/>
                <w:color w:val="auto"/>
              </w:rPr>
            </w:pPr>
            <w:r>
              <w:rPr>
                <w:rFonts w:ascii="Arial" w:cs="Arial" w:eastAsia="Arial" w:hAnsi="Arial"/>
                <w:sz w:val="18"/>
                <w:szCs w:val="18"/>
                <w:color w:val="auto"/>
              </w:rPr>
              <w:t>Michael Fishman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May 8, 2014</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Alan Kirshenbaum</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2014</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2"/>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3"/>
    </w:lvl>
  </w:abstractNum>
  <w:abstractNum w:abstractNumId="12">
    <w:nsid w:val="1E7FF521"/>
    <w:multiLevelType w:val="hybridMultilevel"/>
    <w:lvl w:ilvl="0">
      <w:lvlJc w:val="left"/>
      <w:lvlText w:val="(%1)"/>
      <w:numFmt w:val="lowerRoman"/>
      <w:start w:val="1"/>
    </w:lvl>
  </w:abstractNum>
  <w:abstractNum w:abstractNumId="13">
    <w:nsid w:val="7C3DBD3D"/>
    <w:multiLevelType w:val="hybridMultilevel"/>
    <w:lvl w:ilvl="0">
      <w:lvlJc w:val="left"/>
      <w:lvlText w:val="(%1)"/>
      <w:numFmt w:val="lowerRoman"/>
      <w:start w:val="2"/>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5"/>
    </w:lvl>
  </w:abstractNum>
  <w:abstractNum w:abstractNumId="17">
    <w:nsid w:val="4516DDE9"/>
    <w:multiLevelType w:val="hybridMultilevel"/>
    <w:lvl w:ilvl="0">
      <w:lvlJc w:val="left"/>
      <w:lvlText w:val="%1."/>
      <w:numFmt w:val="decimal"/>
      <w:start w:val="6"/>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lvl w:ilvl="1">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8"/>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
      <w:numFmt w:val="bullet"/>
      <w:start w:val="1"/>
    </w:lvl>
    <w:lvl w:ilvl="1">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32"/>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2019-12-08T00:10:32Z</dcterms:created>
  <dcterms:modified xsi:type="dcterms:W3CDTF">2019-12-08T00:10:32Z</dcterms:modified>
</cp:coreProperties>
</file>