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Kirshenbaum Alan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TSLX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10/15/2014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7"/>
          </w:tcPr>
          <w:p>
            <w:pPr>
              <w:ind w:left="160"/>
              <w:spacing w:after="0" w:line="152"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76102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18"/>
                <w:szCs w:val="18"/>
                <w:color w:val="auto"/>
              </w:rPr>
            </w:pPr>
          </w:p>
        </w:tc>
        <w:tc>
          <w:tcPr>
            <w:tcW w:w="16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color w:val="0000FF"/>
              </w:rPr>
              <w:t>10/15/2014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P</w:t>
            </w:r>
            <w:r>
              <w:rPr>
                <w:rFonts w:ascii="Times New Roman" w:cs="Times New Roman" w:eastAsia="Times New Roman" w:hAnsi="Times New Roman"/>
                <w:sz w:val="11"/>
                <w:szCs w:val="11"/>
                <w:color w:val="008000"/>
              </w:rPr>
              <w:t>(1)</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0.45</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w:t>
            </w:r>
            <w:r>
              <w:rPr>
                <w:rFonts w:ascii="Times New Roman" w:cs="Times New Roman" w:eastAsia="Times New Roman" w:hAnsi="Times New Roman"/>
                <w:sz w:val="18"/>
                <w:szCs w:val="18"/>
                <w:color w:val="0000FF"/>
                <w:w w:val="88"/>
              </w:rPr>
              <w:t>15.66</w:t>
            </w:r>
            <w:r>
              <w:rPr>
                <w:rFonts w:ascii="Times New Roman" w:cs="Times New Roman" w:eastAsia="Times New Roman" w:hAnsi="Times New Roman"/>
                <w:sz w:val="22"/>
                <w:szCs w:val="22"/>
                <w:color w:val="008000"/>
                <w:w w:val="88"/>
                <w:vertAlign w:val="superscript"/>
              </w:rPr>
              <w:t>(2)</w:t>
            </w:r>
          </w:p>
        </w:tc>
        <w:tc>
          <w:tcPr>
            <w:tcW w:w="13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0000FF"/>
              </w:rPr>
              <w:t>4,180.98</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purchases reported in this Form 4 were effected pursuant to a Rule 10b5-1 trading plan adopted by TSL Advisers, LLC ("TSL Advisers"), dated as of March 11, 2014.</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purchased in multiple transactions at prices ranging from $15.65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8" w:lineRule="exact"/>
        <w:rPr>
          <w:rFonts w:ascii="Times New Roman" w:cs="Times New Roman" w:eastAsia="Times New Roman" w:hAnsi="Times New Roman"/>
          <w:sz w:val="14"/>
          <w:szCs w:val="14"/>
          <w:color w:val="008000"/>
        </w:rPr>
      </w:pPr>
    </w:p>
    <w:p>
      <w:pPr>
        <w:ind w:left="40" w:right="4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directly holds 2,799,817 shares of Common Stock of the Issuer, including 4,180.98 shares of Common Stock of the Issuer indirectly beneficially owned by Mr. Kirshenbaum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0" w:firstLine="9"/>
        <w:spacing w:after="0" w:line="241"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Kirshenbaum pursuant to the authorization and designation letter dated March 10, 2014, which was previously filed with the Securities and Exchange Commission as an exhibit to a Form 4 filed by Mr. Kirshenbaum on March 27, 2014 (SEC File No. 814-00854).</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10/17/2014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Alan Kirshenbaum (4)</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2019-12-16T07:56:15Z</dcterms:created>
  <dcterms:modified xsi:type="dcterms:W3CDTF">2019-12-16T07:56:15Z</dcterms:modified>
</cp:coreProperties>
</file>