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72" w:lineRule="exact"/>
        <w:rPr>
          <w:sz w:val="24"/>
          <w:szCs w:val="24"/>
          <w:color w:val="auto"/>
        </w:rPr>
      </w:pPr>
    </w:p>
    <w:p>
      <w:pPr>
        <w:ind w:left="4360" w:right="2060" w:hanging="4352"/>
        <w:spacing w:after="0" w:line="302" w:lineRule="auto"/>
        <w:tabs>
          <w:tab w:leader="none" w:pos="53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7"/>
          <w:szCs w:val="17"/>
          <w:b w:val="1"/>
          <w:bCs w:val="1"/>
          <w:color w:val="auto"/>
        </w:rPr>
        <w:t>For the fiscal year ended December 31, 2014</w:t>
      </w:r>
    </w:p>
    <w:p>
      <w:pPr>
        <w:ind w:left="5640"/>
        <w:spacing w:after="0"/>
        <w:rPr>
          <w:rFonts w:ascii="MS PGothic" w:cs="MS PGothic" w:eastAsia="MS PGothic" w:hAnsi="MS PGothic"/>
          <w:sz w:val="18"/>
          <w:szCs w:val="18"/>
          <w:color w:val="auto"/>
          <w:highlight w:val="black"/>
        </w:rPr>
      </w:pPr>
      <w:r>
        <w:rPr>
          <w:rFonts w:ascii="Arial" w:cs="Arial" w:eastAsia="Arial" w:hAnsi="Arial"/>
          <w:sz w:val="17"/>
          <w:szCs w:val="17"/>
          <w:b w:val="1"/>
          <w:bCs w:val="1"/>
          <w:color w:val="auto"/>
        </w:rPr>
        <w:t>or</w:t>
      </w:r>
    </w:p>
    <w:p>
      <w:pPr>
        <w:spacing w:after="0" w:line="67" w:lineRule="exact"/>
        <w:rPr>
          <w:sz w:val="24"/>
          <w:szCs w:val="24"/>
          <w:color w:val="auto"/>
        </w:rPr>
      </w:pPr>
    </w:p>
    <w:p>
      <w:pPr>
        <w:ind w:left="4420" w:right="1680" w:hanging="4412"/>
        <w:spacing w:after="0" w:line="324" w:lineRule="auto"/>
        <w:tabs>
          <w:tab w:leader="none" w:pos="53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7"/>
          <w:szCs w:val="17"/>
          <w:b w:val="1"/>
          <w:bCs w:val="1"/>
          <w:color w:val="auto"/>
        </w:rPr>
        <w:t>Commission file number 001-36364</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-311785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8200" w:type="dxa"/>
            <w:vAlign w:val="bottom"/>
            <w:gridSpan w:val="3"/>
          </w:tcPr>
          <w:p>
            <w:pPr>
              <w:jc w:val="center"/>
              <w:ind w:left="3140"/>
              <w:spacing w:after="0"/>
              <w:rPr>
                <w:sz w:val="20"/>
                <w:szCs w:val="20"/>
                <w:color w:val="auto"/>
              </w:rPr>
            </w:pPr>
            <w:r>
              <w:rPr>
                <w:rFonts w:ascii="Arial" w:cs="Arial" w:eastAsia="Arial" w:hAnsi="Arial"/>
                <w:sz w:val="17"/>
                <w:szCs w:val="17"/>
                <w:b w:val="1"/>
                <w:bCs w:val="1"/>
                <w:color w:val="auto"/>
                <w:w w:val="91"/>
              </w:rPr>
              <w:t>(Exact Name of Registrant as Specified in Its Charter)</w:t>
            </w: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580" w:type="dxa"/>
            <w:vAlign w:val="bottom"/>
          </w:tcPr>
          <w:p>
            <w:pPr>
              <w:jc w:val="center"/>
              <w:ind w:left="1060"/>
              <w:spacing w:after="0"/>
              <w:rPr>
                <w:sz w:val="20"/>
                <w:szCs w:val="20"/>
                <w:color w:val="auto"/>
              </w:rPr>
            </w:pPr>
            <w:r>
              <w:rPr>
                <w:rFonts w:ascii="Arial" w:cs="Arial" w:eastAsia="Arial" w:hAnsi="Arial"/>
                <w:sz w:val="17"/>
                <w:szCs w:val="17"/>
                <w:b w:val="1"/>
                <w:bCs w:val="1"/>
                <w:color w:val="auto"/>
                <w:w w:val="91"/>
              </w:rPr>
              <w:t>Delaware</w:t>
            </w:r>
          </w:p>
        </w:tc>
        <w:tc>
          <w:tcPr>
            <w:tcW w:w="5240" w:type="dxa"/>
            <w:vAlign w:val="bottom"/>
            <w:gridSpan w:val="4"/>
          </w:tcPr>
          <w:p>
            <w:pPr>
              <w:jc w:val="right"/>
              <w:ind w:right="755"/>
              <w:spacing w:after="0"/>
              <w:rPr>
                <w:sz w:val="20"/>
                <w:szCs w:val="20"/>
                <w:color w:val="auto"/>
              </w:rPr>
            </w:pPr>
            <w:r>
              <w:rPr>
                <w:rFonts w:ascii="Arial" w:cs="Arial" w:eastAsia="Arial" w:hAnsi="Arial"/>
                <w:sz w:val="17"/>
                <w:szCs w:val="17"/>
                <w:b w:val="1"/>
                <w:bCs w:val="1"/>
                <w:color w:val="auto"/>
              </w:rPr>
              <w:t>27-3380000</w:t>
            </w:r>
          </w:p>
        </w:tc>
        <w:tc>
          <w:tcPr>
            <w:tcW w:w="0" w:type="dxa"/>
            <w:vAlign w:val="bottom"/>
          </w:tcPr>
          <w:p>
            <w:pPr>
              <w:spacing w:after="0"/>
              <w:rPr>
                <w:sz w:val="1"/>
                <w:szCs w:val="1"/>
                <w:color w:val="auto"/>
              </w:rPr>
            </w:pPr>
          </w:p>
        </w:tc>
      </w:tr>
      <w:tr>
        <w:trPr>
          <w:trHeight w:val="149"/>
        </w:trPr>
        <w:tc>
          <w:tcPr>
            <w:tcW w:w="4580" w:type="dxa"/>
            <w:vAlign w:val="bottom"/>
          </w:tcPr>
          <w:p>
            <w:pPr>
              <w:jc w:val="center"/>
              <w:ind w:left="108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280" w:type="dxa"/>
            <w:vAlign w:val="bottom"/>
          </w:tcPr>
          <w:p>
            <w:pPr>
              <w:spacing w:after="0"/>
              <w:rPr>
                <w:sz w:val="12"/>
                <w:szCs w:val="12"/>
                <w:color w:val="auto"/>
              </w:rPr>
            </w:pPr>
          </w:p>
        </w:tc>
        <w:tc>
          <w:tcPr>
            <w:tcW w:w="2960" w:type="dxa"/>
            <w:vAlign w:val="bottom"/>
            <w:gridSpan w:val="3"/>
          </w:tcPr>
          <w:p>
            <w:pPr>
              <w:jc w:val="center"/>
              <w:ind w:left="388"/>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4580" w:type="dxa"/>
            <w:vAlign w:val="bottom"/>
          </w:tcPr>
          <w:p>
            <w:pPr>
              <w:jc w:val="center"/>
              <w:ind w:left="1080"/>
              <w:spacing w:after="0"/>
              <w:rPr>
                <w:sz w:val="20"/>
                <w:szCs w:val="20"/>
                <w:color w:val="auto"/>
              </w:rPr>
            </w:pPr>
            <w:r>
              <w:rPr>
                <w:rFonts w:ascii="Arial" w:cs="Arial" w:eastAsia="Arial" w:hAnsi="Arial"/>
                <w:sz w:val="14"/>
                <w:szCs w:val="14"/>
                <w:b w:val="1"/>
                <w:bCs w:val="1"/>
                <w:color w:val="auto"/>
                <w:w w:val="89"/>
              </w:rPr>
              <w:t>Incorporation or Organization)</w:t>
            </w:r>
          </w:p>
        </w:tc>
        <w:tc>
          <w:tcPr>
            <w:tcW w:w="2280" w:type="dxa"/>
            <w:vAlign w:val="bottom"/>
          </w:tcPr>
          <w:p>
            <w:pPr>
              <w:spacing w:after="0"/>
              <w:rPr>
                <w:sz w:val="15"/>
                <w:szCs w:val="15"/>
                <w:color w:val="auto"/>
              </w:rPr>
            </w:pPr>
          </w:p>
        </w:tc>
        <w:tc>
          <w:tcPr>
            <w:tcW w:w="296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287"/>
        </w:trPr>
        <w:tc>
          <w:tcPr>
            <w:tcW w:w="4580" w:type="dxa"/>
            <w:vAlign w:val="bottom"/>
          </w:tcPr>
          <w:p>
            <w:pPr>
              <w:jc w:val="center"/>
              <w:ind w:left="1080"/>
              <w:spacing w:after="0"/>
              <w:rPr>
                <w:sz w:val="20"/>
                <w:szCs w:val="20"/>
                <w:color w:val="auto"/>
              </w:rPr>
            </w:pPr>
            <w:r>
              <w:rPr>
                <w:rFonts w:ascii="Arial" w:cs="Arial" w:eastAsia="Arial" w:hAnsi="Arial"/>
                <w:sz w:val="17"/>
                <w:szCs w:val="17"/>
                <w:b w:val="1"/>
                <w:bCs w:val="1"/>
                <w:color w:val="auto"/>
                <w:w w:val="90"/>
              </w:rPr>
              <w:t>301 Commerce Street, Suite 3300,</w:t>
            </w:r>
          </w:p>
        </w:tc>
        <w:tc>
          <w:tcPr>
            <w:tcW w:w="2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580" w:type="dxa"/>
            <w:vAlign w:val="bottom"/>
          </w:tcPr>
          <w:p>
            <w:pPr>
              <w:jc w:val="center"/>
              <w:ind w:left="1060"/>
              <w:spacing w:after="0"/>
              <w:rPr>
                <w:sz w:val="20"/>
                <w:szCs w:val="20"/>
                <w:color w:val="auto"/>
              </w:rPr>
            </w:pPr>
            <w:r>
              <w:rPr>
                <w:rFonts w:ascii="Arial" w:cs="Arial" w:eastAsia="Arial" w:hAnsi="Arial"/>
                <w:sz w:val="17"/>
                <w:szCs w:val="17"/>
                <w:b w:val="1"/>
                <w:bCs w:val="1"/>
                <w:color w:val="auto"/>
                <w:w w:val="98"/>
              </w:rPr>
              <w:t>Fort Worth, TX</w:t>
            </w:r>
          </w:p>
        </w:tc>
        <w:tc>
          <w:tcPr>
            <w:tcW w:w="2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7"/>
                <w:szCs w:val="17"/>
                <w:b w:val="1"/>
                <w:bCs w:val="1"/>
                <w:color w:val="auto"/>
              </w:rPr>
              <w:t>76102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580" w:type="dxa"/>
            <w:vAlign w:val="bottom"/>
          </w:tcPr>
          <w:p>
            <w:pPr>
              <w:jc w:val="center"/>
              <w:ind w:left="108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8920" w:type="dxa"/>
            <w:vAlign w:val="bottom"/>
            <w:gridSpan w:val="4"/>
          </w:tcPr>
          <w:p>
            <w:pPr>
              <w:jc w:val="center"/>
              <w:ind w:left="2440"/>
              <w:spacing w:after="0"/>
              <w:rPr>
                <w:sz w:val="20"/>
                <w:szCs w:val="20"/>
                <w:color w:val="auto"/>
              </w:rPr>
            </w:pPr>
            <w:r>
              <w:rPr>
                <w:rFonts w:ascii="Arial" w:cs="Arial" w:eastAsia="Arial" w:hAnsi="Arial"/>
                <w:sz w:val="17"/>
                <w:szCs w:val="17"/>
                <w:b w:val="1"/>
                <w:bCs w:val="1"/>
                <w:color w:val="auto"/>
                <w:w w:val="90"/>
              </w:rPr>
              <w:t>Registrant’s Telephone Number, Including Area Code: (817) 871-4000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200" w:type="dxa"/>
            <w:vAlign w:val="bottom"/>
            <w:gridSpan w:val="3"/>
          </w:tcPr>
          <w:p>
            <w:pPr>
              <w:jc w:val="center"/>
              <w:ind w:left="3140"/>
              <w:spacing w:after="0"/>
              <w:rPr>
                <w:sz w:val="20"/>
                <w:szCs w:val="20"/>
                <w:color w:val="auto"/>
              </w:rPr>
            </w:pPr>
            <w:r>
              <w:rPr>
                <w:rFonts w:ascii="Arial" w:cs="Arial" w:eastAsia="Arial" w:hAnsi="Arial"/>
                <w:sz w:val="17"/>
                <w:szCs w:val="17"/>
                <w:b w:val="1"/>
                <w:bCs w:val="1"/>
                <w:color w:val="auto"/>
                <w:w w:val="89"/>
              </w:rPr>
              <w:t>Securities registered pursuant to Section 12(b) of the Act:</w:t>
            </w: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80" w:type="dxa"/>
            <w:vAlign w:val="bottom"/>
          </w:tcPr>
          <w:p>
            <w:pPr>
              <w:jc w:val="center"/>
              <w:ind w:left="1080"/>
              <w:spacing w:after="0"/>
              <w:rPr>
                <w:sz w:val="20"/>
                <w:szCs w:val="20"/>
                <w:color w:val="auto"/>
              </w:rPr>
            </w:pPr>
            <w:r>
              <w:rPr>
                <w:rFonts w:ascii="Arial" w:cs="Arial" w:eastAsia="Arial" w:hAnsi="Arial"/>
                <w:sz w:val="14"/>
                <w:szCs w:val="14"/>
                <w:b w:val="1"/>
                <w:bCs w:val="1"/>
                <w:color w:val="auto"/>
                <w:w w:val="84"/>
              </w:rPr>
              <w:t>Title of each class</w:t>
            </w:r>
          </w:p>
        </w:tc>
        <w:tc>
          <w:tcPr>
            <w:tcW w:w="2280" w:type="dxa"/>
            <w:vAlign w:val="bottom"/>
          </w:tcPr>
          <w:p>
            <w:pPr>
              <w:spacing w:after="0"/>
              <w:rPr>
                <w:sz w:val="18"/>
                <w:szCs w:val="18"/>
                <w:color w:val="auto"/>
              </w:rPr>
            </w:pPr>
          </w:p>
        </w:tc>
        <w:tc>
          <w:tcPr>
            <w:tcW w:w="296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22"/>
        </w:trPr>
        <w:tc>
          <w:tcPr>
            <w:tcW w:w="4580" w:type="dxa"/>
            <w:vAlign w:val="bottom"/>
          </w:tcPr>
          <w:p>
            <w:pPr>
              <w:jc w:val="center"/>
              <w:ind w:left="1080"/>
              <w:spacing w:after="0"/>
              <w:rPr>
                <w:sz w:val="20"/>
                <w:szCs w:val="20"/>
                <w:color w:val="auto"/>
              </w:rPr>
            </w:pPr>
            <w:r>
              <w:rPr>
                <w:rFonts w:ascii="Arial" w:cs="Arial" w:eastAsia="Arial" w:hAnsi="Arial"/>
                <w:sz w:val="17"/>
                <w:szCs w:val="17"/>
                <w:b w:val="1"/>
                <w:bCs w:val="1"/>
                <w:color w:val="auto"/>
                <w:w w:val="90"/>
              </w:rPr>
              <w:t>Common Stock, par value $0.01 per share</w:t>
            </w:r>
          </w:p>
        </w:tc>
        <w:tc>
          <w:tcPr>
            <w:tcW w:w="2280" w:type="dxa"/>
            <w:vAlign w:val="bottom"/>
          </w:tcPr>
          <w:p>
            <w:pPr>
              <w:spacing w:after="0"/>
              <w:rPr>
                <w:sz w:val="19"/>
                <w:szCs w:val="19"/>
                <w:color w:val="auto"/>
              </w:rPr>
            </w:pPr>
          </w:p>
        </w:tc>
        <w:tc>
          <w:tcPr>
            <w:tcW w:w="2960" w:type="dxa"/>
            <w:vAlign w:val="bottom"/>
            <w:gridSpan w:val="3"/>
          </w:tcPr>
          <w:p>
            <w:pPr>
              <w:jc w:val="center"/>
              <w:ind w:left="388"/>
              <w:spacing w:after="0"/>
              <w:rPr>
                <w:sz w:val="20"/>
                <w:szCs w:val="20"/>
                <w:color w:val="auto"/>
              </w:rPr>
            </w:pPr>
            <w:r>
              <w:rPr>
                <w:rFonts w:ascii="Arial" w:cs="Arial" w:eastAsia="Arial" w:hAnsi="Arial"/>
                <w:sz w:val="17"/>
                <w:szCs w:val="17"/>
                <w:b w:val="1"/>
                <w:bCs w:val="1"/>
                <w:color w:val="auto"/>
                <w:w w:val="90"/>
              </w:rPr>
              <w:t>The New York Stock Exchange</w:t>
            </w:r>
          </w:p>
        </w:tc>
        <w:tc>
          <w:tcPr>
            <w:tcW w:w="0" w:type="dxa"/>
            <w:vAlign w:val="bottom"/>
          </w:tcPr>
          <w:p>
            <w:pPr>
              <w:spacing w:after="0"/>
              <w:rPr>
                <w:sz w:val="1"/>
                <w:szCs w:val="1"/>
                <w:color w:val="auto"/>
              </w:rPr>
            </w:pPr>
          </w:p>
        </w:tc>
      </w:tr>
      <w:tr>
        <w:trPr>
          <w:trHeight w:val="257"/>
        </w:trPr>
        <w:tc>
          <w:tcPr>
            <w:tcW w:w="8200" w:type="dxa"/>
            <w:vAlign w:val="bottom"/>
            <w:gridSpan w:val="3"/>
          </w:tcPr>
          <w:p>
            <w:pPr>
              <w:jc w:val="center"/>
              <w:ind w:left="3140"/>
              <w:spacing w:after="0"/>
              <w:rPr>
                <w:sz w:val="20"/>
                <w:szCs w:val="20"/>
                <w:color w:val="auto"/>
              </w:rPr>
            </w:pPr>
            <w:r>
              <w:rPr>
                <w:rFonts w:ascii="Arial" w:cs="Arial" w:eastAsia="Arial" w:hAnsi="Arial"/>
                <w:sz w:val="17"/>
                <w:szCs w:val="17"/>
                <w:b w:val="1"/>
                <w:bCs w:val="1"/>
                <w:color w:val="auto"/>
                <w:w w:val="89"/>
              </w:rPr>
              <w:t>Securities registered pursuant to Section 12(g) of the Act:</w:t>
            </w: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2"/>
                <w:szCs w:val="22"/>
                <w:color w:val="auto"/>
              </w:rPr>
            </w:pPr>
          </w:p>
        </w:tc>
        <w:tc>
          <w:tcPr>
            <w:tcW w:w="3620" w:type="dxa"/>
            <w:vAlign w:val="bottom"/>
            <w:gridSpan w:val="2"/>
          </w:tcPr>
          <w:p>
            <w:pPr>
              <w:jc w:val="center"/>
              <w:ind w:right="1288"/>
              <w:spacing w:after="0"/>
              <w:rPr>
                <w:sz w:val="20"/>
                <w:szCs w:val="20"/>
                <w:color w:val="auto"/>
              </w:rPr>
            </w:pPr>
            <w:r>
              <w:rPr>
                <w:rFonts w:ascii="Arial" w:cs="Arial" w:eastAsia="Arial" w:hAnsi="Arial"/>
                <w:sz w:val="17"/>
                <w:szCs w:val="17"/>
                <w:b w:val="1"/>
                <w:bCs w:val="1"/>
                <w:color w:val="auto"/>
                <w:w w:val="89"/>
              </w:rPr>
              <w:t>None</w:t>
            </w: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2"/>
                <w:szCs w:val="22"/>
                <w:color w:val="auto"/>
              </w:rPr>
            </w:pPr>
          </w:p>
        </w:tc>
        <w:tc>
          <w:tcPr>
            <w:tcW w:w="3620" w:type="dxa"/>
            <w:vAlign w:val="bottom"/>
            <w:gridSpan w:val="2"/>
          </w:tcPr>
          <w:p>
            <w:pPr>
              <w:jc w:val="center"/>
              <w:ind w:right="1288"/>
              <w:spacing w:after="0"/>
              <w:rPr>
                <w:sz w:val="20"/>
                <w:szCs w:val="20"/>
                <w:color w:val="auto"/>
              </w:rPr>
            </w:pPr>
            <w:r>
              <w:rPr>
                <w:rFonts w:ascii="Arial" w:cs="Arial" w:eastAsia="Arial" w:hAnsi="Arial"/>
                <w:sz w:val="17"/>
                <w:szCs w:val="17"/>
                <w:b w:val="1"/>
                <w:bCs w:val="1"/>
                <w:color w:val="auto"/>
                <w:w w:val="89"/>
              </w:rPr>
              <w:t>(Title of class)</w:t>
            </w: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5"/>
        </w:trPr>
        <w:tc>
          <w:tcPr>
            <w:tcW w:w="4580" w:type="dxa"/>
            <w:vAlign w:val="bottom"/>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1340" w:type="dxa"/>
            <w:vAlign w:val="bottom"/>
          </w:tcPr>
          <w:p>
            <w:pPr>
              <w:spacing w:after="0"/>
              <w:rPr>
                <w:sz w:val="7"/>
                <w:szCs w:val="7"/>
                <w:color w:val="auto"/>
              </w:rPr>
            </w:pPr>
          </w:p>
        </w:tc>
        <w:tc>
          <w:tcPr>
            <w:tcW w:w="720" w:type="dxa"/>
            <w:vAlign w:val="bottom"/>
            <w:vMerge w:val="restart"/>
          </w:tcPr>
          <w:p>
            <w:pP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6"/>
                <w:szCs w:val="16"/>
                <w:color w:val="auto"/>
              </w:rPr>
              <w:t>☐</w:t>
            </w:r>
          </w:p>
        </w:tc>
        <w:tc>
          <w:tcPr>
            <w:tcW w:w="900" w:type="dxa"/>
            <w:vAlign w:val="bottom"/>
            <w:vMerge w:val="restart"/>
          </w:tcPr>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62"/>
        </w:trPr>
        <w:tc>
          <w:tcPr>
            <w:tcW w:w="8200" w:type="dxa"/>
            <w:vAlign w:val="bottom"/>
            <w:gridSpan w:val="3"/>
          </w:tcPr>
          <w:p>
            <w:pPr>
              <w:spacing w:after="0"/>
              <w:rPr>
                <w:sz w:val="20"/>
                <w:szCs w:val="20"/>
                <w:color w:val="auto"/>
              </w:rPr>
            </w:pPr>
            <w:r>
              <w:rPr>
                <w:rFonts w:ascii="Arial" w:cs="Arial" w:eastAsia="Arial" w:hAnsi="Arial"/>
                <w:sz w:val="17"/>
                <w:szCs w:val="17"/>
                <w:color w:val="auto"/>
                <w:w w:val="93"/>
              </w:rPr>
              <w:t>Indicate by check mark if the registrant is a well-known seasoned issuer, as defined in Rule 405 of the Securities Act.</w:t>
            </w:r>
          </w:p>
        </w:tc>
        <w:tc>
          <w:tcPr>
            <w:tcW w:w="72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200" w:type="dxa"/>
            <w:vAlign w:val="bottom"/>
            <w:gridSpan w:val="3"/>
          </w:tcPr>
          <w:p>
            <w:pPr>
              <w:spacing w:after="0"/>
              <w:rPr>
                <w:sz w:val="20"/>
                <w:szCs w:val="20"/>
                <w:color w:val="auto"/>
              </w:rPr>
            </w:pPr>
            <w:r>
              <w:rPr>
                <w:rFonts w:ascii="Arial" w:cs="Arial" w:eastAsia="Arial" w:hAnsi="Arial"/>
                <w:sz w:val="17"/>
                <w:szCs w:val="17"/>
                <w:color w:val="auto"/>
                <w:w w:val="92"/>
              </w:rPr>
              <w:t>Indicate by check mark if the registrant is not required to file reports pursuant to Section 13 or Section 15(d) of the Act.</w:t>
            </w:r>
          </w:p>
        </w:tc>
        <w:tc>
          <w:tcPr>
            <w:tcW w:w="720" w:type="dxa"/>
            <w:vAlign w:val="bottom"/>
          </w:tcPr>
          <w:p>
            <w:pPr>
              <w:ind w:left="160"/>
              <w:spacing w:after="0" w:line="196" w:lineRule="exact"/>
              <w:rPr>
                <w:sz w:val="20"/>
                <w:szCs w:val="20"/>
                <w:color w:val="auto"/>
              </w:rPr>
            </w:pPr>
            <w:r>
              <w:rPr>
                <w:rFonts w:ascii="Arial" w:cs="Arial" w:eastAsia="Arial" w:hAnsi="Arial"/>
                <w:sz w:val="17"/>
                <w:szCs w:val="17"/>
                <w:color w:val="auto"/>
                <w:w w:val="98"/>
              </w:rPr>
              <w:t xml:space="preserve">YES </w:t>
            </w:r>
            <w:r>
              <w:rPr>
                <w:rFonts w:ascii="MS PGothic" w:cs="MS PGothic" w:eastAsia="MS PGothic" w:hAnsi="MS PGothic"/>
                <w:sz w:val="16"/>
                <w:szCs w:val="16"/>
                <w:color w:val="auto"/>
                <w:w w:val="98"/>
              </w:rPr>
              <w:t>☐</w:t>
            </w:r>
          </w:p>
        </w:tc>
        <w:tc>
          <w:tcPr>
            <w:tcW w:w="900" w:type="dxa"/>
            <w:vAlign w:val="bottom"/>
          </w:tcPr>
          <w:p>
            <w:pPr>
              <w:ind w:left="16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right="140"/>
        <w:spacing w:after="0" w:line="212"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26" w:lineRule="exact"/>
        <w:rPr>
          <w:sz w:val="24"/>
          <w:szCs w:val="24"/>
          <w:color w:val="auto"/>
        </w:rPr>
      </w:pPr>
    </w:p>
    <w:p>
      <w:pPr>
        <w:ind w:right="60"/>
        <w:spacing w:after="0" w:line="212"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26" w:lineRule="exact"/>
        <w:rPr>
          <w:sz w:val="24"/>
          <w:szCs w:val="24"/>
          <w:color w:val="auto"/>
        </w:rPr>
      </w:pPr>
    </w:p>
    <w:p>
      <w:pPr>
        <w:ind w:right="20"/>
        <w:spacing w:after="0" w:line="218"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25"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Securities Exchange Act. (Check one):</w:t>
      </w:r>
    </w:p>
    <w:p>
      <w:pPr>
        <w:sectPr>
          <w:pgSz w:w="11900" w:h="16838" w:orient="portrait"/>
          <w:cols w:equalWidth="0" w:num="1">
            <w:col w:w="11380"/>
          </w:cols>
          <w:pgMar w:left="240" w:top="310" w:right="279" w:bottom="1440" w:gutter="0" w:footer="0" w:header="0"/>
        </w:sectPr>
      </w:pPr>
    </w:p>
    <w:p>
      <w:pPr>
        <w:spacing w:after="0" w:line="2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4">
            <w:col w:w="1860" w:space="720"/>
            <w:col w:w="4760" w:space="720"/>
            <w:col w:w="2400" w:space="720"/>
            <w:col w:w="200"/>
          </w:cols>
          <w:pgMar w:left="240" w:top="310" w:right="279" w:bottom="1440" w:gutter="0" w:footer="0" w:header="0"/>
          <w:type w:val="continuous"/>
        </w:sectPr>
      </w:pPr>
    </w:p>
    <w:p>
      <w:pPr>
        <w:spacing w:after="0" w:line="22"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5"/>
          <w:szCs w:val="15"/>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1860" w:space="720"/>
            <w:col w:w="4760" w:space="720"/>
            <w:col w:w="2400" w:space="720"/>
            <w:col w:w="200"/>
          </w:cols>
          <w:pgMar w:left="240" w:top="310" w:right="279" w:bottom="1440" w:gutter="0" w:footer="0" w:header="0"/>
          <w:type w:val="continuous"/>
        </w:sectPr>
      </w:pPr>
    </w:p>
    <w:p>
      <w:pPr>
        <w:spacing w:after="0" w:line="2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8" w:lineRule="exact"/>
        <w:rPr>
          <w:sz w:val="24"/>
          <w:szCs w:val="24"/>
          <w:color w:val="auto"/>
        </w:rPr>
      </w:pPr>
    </w:p>
    <w:p>
      <w:pPr>
        <w:sectPr>
          <w:pgSz w:w="11900" w:h="16838" w:orient="portrait"/>
          <w:cols w:equalWidth="0" w:num="5">
            <w:col w:w="7060" w:space="160"/>
            <w:col w:w="320" w:space="80"/>
            <w:col w:w="160" w:space="160"/>
            <w:col w:w="260" w:space="80"/>
            <w:col w:w="3100"/>
          </w:cols>
          <w:pgMar w:left="240" w:top="310" w:right="279" w:bottom="1440" w:gutter="0" w:footer="0" w:header="0"/>
          <w:type w:val="continuous"/>
        </w:sectPr>
      </w:pPr>
    </w:p>
    <w:p>
      <w:pPr>
        <w:jc w:val="both"/>
        <w:ind w:right="20"/>
        <w:spacing w:after="0" w:line="261" w:lineRule="auto"/>
        <w:rPr>
          <w:sz w:val="20"/>
          <w:szCs w:val="20"/>
          <w:color w:val="auto"/>
        </w:rPr>
      </w:pPr>
      <w:r>
        <w:rPr>
          <w:rFonts w:ascii="Arial" w:cs="Arial" w:eastAsia="Arial" w:hAnsi="Arial"/>
          <w:sz w:val="17"/>
          <w:szCs w:val="17"/>
          <w:color w:val="auto"/>
        </w:rPr>
        <w:t>The aggregate market value of the voting stock held by non-affiliates of the registrant on June 30, 2014, based on the closing price on that date of $21.83 on The New York Stock Exchange, was approximately $1,093,965,960. The number of shares of the registrant’s common stock, $.01 par value per share, outstanding at February 24, 2015 was 53,959,848.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52070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6" w:lineRule="exact"/>
        <w:rPr>
          <w:sz w:val="24"/>
          <w:szCs w:val="24"/>
          <w:color w:val="auto"/>
        </w:rPr>
      </w:pPr>
    </w:p>
    <w:p>
      <w:pPr>
        <w:ind w:left="3760"/>
        <w:spacing w:after="0"/>
        <w:rPr>
          <w:sz w:val="20"/>
          <w:szCs w:val="20"/>
          <w:color w:val="auto"/>
        </w:rPr>
      </w:pPr>
      <w:r>
        <w:rPr>
          <w:rFonts w:ascii="Arial" w:cs="Arial" w:eastAsia="Arial" w:hAnsi="Arial"/>
          <w:sz w:val="17"/>
          <w:szCs w:val="17"/>
          <w:b w:val="1"/>
          <w:bCs w:val="1"/>
          <w:color w:val="auto"/>
        </w:rPr>
        <w:t>DOCUMENTS INCORPORATED BY REFERENCE</w:t>
      </w:r>
    </w:p>
    <w:p>
      <w:pPr>
        <w:spacing w:after="0" w:line="67" w:lineRule="exact"/>
        <w:rPr>
          <w:sz w:val="24"/>
          <w:szCs w:val="24"/>
          <w:color w:val="auto"/>
        </w:rPr>
      </w:pPr>
    </w:p>
    <w:p>
      <w:pPr>
        <w:spacing w:after="0"/>
        <w:rPr>
          <w:sz w:val="20"/>
          <w:szCs w:val="20"/>
          <w:color w:val="auto"/>
        </w:rPr>
      </w:pPr>
      <w:r>
        <w:rPr>
          <w:rFonts w:ascii="Arial" w:cs="Arial" w:eastAsia="Arial" w:hAnsi="Arial"/>
          <w:sz w:val="17"/>
          <w:szCs w:val="17"/>
          <w:color w:val="auto"/>
        </w:rPr>
        <w:t>Portions of the Registrant’s proxy statement for the 2015 annual meeting of stockholders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10"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40" w:type="dxa"/>
            <w:vAlign w:val="bottom"/>
            <w:gridSpan w:val="9"/>
          </w:tcPr>
          <w:p>
            <w:pPr>
              <w:jc w:val="center"/>
              <w:ind w:right="3460"/>
              <w:spacing w:after="0"/>
              <w:rPr>
                <w:sz w:val="20"/>
                <w:szCs w:val="20"/>
                <w:color w:val="auto"/>
              </w:rPr>
            </w:pPr>
            <w:r>
              <w:rPr>
                <w:rFonts w:ascii="Arial" w:cs="Arial" w:eastAsia="Arial" w:hAnsi="Arial"/>
                <w:sz w:val="22"/>
                <w:szCs w:val="22"/>
                <w:b w:val="1"/>
                <w:bCs w:val="1"/>
                <w:color w:val="auto"/>
                <w:w w:val="99"/>
              </w:rPr>
              <w:t>TPG SPECIALTY LENDING, INC.</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40" w:type="dxa"/>
            <w:vAlign w:val="bottom"/>
            <w:gridSpan w:val="9"/>
          </w:tcPr>
          <w:p>
            <w:pPr>
              <w:jc w:val="center"/>
              <w:ind w:right="3440"/>
              <w:spacing w:after="0"/>
              <w:rPr>
                <w:sz w:val="20"/>
                <w:szCs w:val="20"/>
                <w:color w:val="auto"/>
              </w:rPr>
            </w:pPr>
            <w:r>
              <w:rPr>
                <w:rFonts w:ascii="Arial" w:cs="Arial" w:eastAsia="Arial" w:hAnsi="Arial"/>
                <w:sz w:val="18"/>
                <w:szCs w:val="18"/>
                <w:b w:val="1"/>
                <w:bCs w:val="1"/>
                <w:color w:val="auto"/>
                <w:w w:val="93"/>
              </w:rPr>
              <w:t>Index to Annual Report on Form 10-K for</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40" w:type="dxa"/>
            <w:vAlign w:val="bottom"/>
            <w:gridSpan w:val="9"/>
          </w:tcPr>
          <w:p>
            <w:pPr>
              <w:jc w:val="center"/>
              <w:ind w:right="3440"/>
              <w:spacing w:after="0"/>
              <w:rPr>
                <w:sz w:val="20"/>
                <w:szCs w:val="20"/>
                <w:color w:val="auto"/>
              </w:rPr>
            </w:pPr>
            <w:r>
              <w:rPr>
                <w:rFonts w:ascii="Arial" w:cs="Arial" w:eastAsia="Arial" w:hAnsi="Arial"/>
                <w:sz w:val="18"/>
                <w:szCs w:val="18"/>
                <w:b w:val="1"/>
                <w:bCs w:val="1"/>
                <w:color w:val="auto"/>
                <w:w w:val="90"/>
              </w:rPr>
              <w:t>Year Ended December 31, 2014</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vMerge w:val="restart"/>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26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600" w:type="dxa"/>
            <w:vAlign w:val="bottom"/>
            <w:tcBorders>
              <w:bottom w:val="single" w:sz="8" w:color="0000EE"/>
            </w:tcBorders>
            <w:vMerge w:val="continue"/>
          </w:tcPr>
          <w:p>
            <w:pPr>
              <w:spacing w:after="0"/>
              <w:rPr>
                <w:sz w:val="13"/>
                <w:szCs w:val="13"/>
                <w:color w:val="auto"/>
              </w:rPr>
            </w:pPr>
          </w:p>
        </w:tc>
        <w:tc>
          <w:tcPr>
            <w:tcW w:w="260" w:type="dxa"/>
            <w:vAlign w:val="bottom"/>
            <w:gridSpan w:val="4"/>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60" w:type="dxa"/>
            <w:vAlign w:val="bottom"/>
            <w:gridSpan w:val="5"/>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9360" w:type="dxa"/>
            <w:vAlign w:val="bottom"/>
            <w:gridSpan w:val="1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1000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10000" w:type="dxa"/>
            <w:vAlign w:val="bottom"/>
            <w:gridSpan w:val="20"/>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Unresolved Staff Comments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Properties</w:t>
              </w:r>
            </w:hyperlink>
          </w:p>
        </w:tc>
        <w:tc>
          <w:tcPr>
            <w:tcW w:w="7960" w:type="dxa"/>
            <w:vAlign w:val="bottom"/>
            <w:gridSpan w:val="11"/>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Legal Proceedings</w:t>
              </w:r>
            </w:hyperlink>
          </w:p>
        </w:tc>
        <w:tc>
          <w:tcPr>
            <w:tcW w:w="8660" w:type="dxa"/>
            <w:vAlign w:val="bottom"/>
            <w:gridSpan w:val="1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10000" w:type="dxa"/>
            <w:vAlign w:val="bottom"/>
            <w:gridSpan w:val="2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Mine Safety Disclosures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18"/>
        </w:trPr>
        <w:tc>
          <w:tcPr>
            <w:tcW w:w="860" w:type="dxa"/>
            <w:vAlign w:val="bottom"/>
            <w:gridSpan w:val="5"/>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200" w:type="dxa"/>
            <w:vAlign w:val="bottom"/>
            <w:gridSpan w:val="3"/>
          </w:tcPr>
          <w:p>
            <w:pPr>
              <w:spacing w:after="0"/>
              <w:rPr>
                <w:sz w:val="17"/>
                <w:szCs w:val="17"/>
                <w:color w:val="auto"/>
              </w:rPr>
            </w:pPr>
          </w:p>
        </w:tc>
        <w:tc>
          <w:tcPr>
            <w:tcW w:w="80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Market for Registrant’s Common Equity, Related Stockholder Matters and Issuer Purchases of Equity Securities</w:t>
              </w:r>
            </w:hyperlink>
          </w:p>
        </w:tc>
        <w:tc>
          <w:tcPr>
            <w:tcW w:w="19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10000" w:type="dxa"/>
            <w:vAlign w:val="bottom"/>
            <w:gridSpan w:val="2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Selected Financial Data</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Management’s Discussion and Analysis of Financial Condition and Results of Operations</w:t>
              </w:r>
            </w:hyperlink>
          </w:p>
        </w:tc>
        <w:tc>
          <w:tcPr>
            <w:tcW w:w="354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73">
              <w:r>
                <w:rPr>
                  <w:rFonts w:ascii="Arial" w:cs="Arial" w:eastAsia="Arial" w:hAnsi="Arial"/>
                  <w:sz w:val="18"/>
                  <w:szCs w:val="18"/>
                  <w:color w:val="0000EE"/>
                  <w:w w:val="92"/>
                </w:rPr>
                <w:t>Quantitative and Qualitative Disclosures About Market Risk</w:t>
              </w:r>
            </w:hyperlink>
          </w:p>
        </w:tc>
        <w:tc>
          <w:tcPr>
            <w:tcW w:w="5640" w:type="dxa"/>
            <w:vAlign w:val="bottom"/>
            <w:gridSpan w:val="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10000" w:type="dxa"/>
            <w:vAlign w:val="bottom"/>
            <w:gridSpan w:val="2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Financial Statements and Supplementary Data</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11">
              <w:r>
                <w:rPr>
                  <w:rFonts w:ascii="Arial" w:cs="Arial" w:eastAsia="Arial" w:hAnsi="Arial"/>
                  <w:sz w:val="18"/>
                  <w:szCs w:val="18"/>
                  <w:color w:val="0000EE"/>
                  <w:w w:val="90"/>
                </w:rPr>
                <w:t>Changes in and Disagreements with Accountants on Accounting and Financial Disclosure</w:t>
              </w:r>
            </w:hyperlink>
          </w:p>
        </w:tc>
        <w:tc>
          <w:tcPr>
            <w:tcW w:w="352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10000" w:type="dxa"/>
            <w:vAlign w:val="bottom"/>
            <w:gridSpan w:val="20"/>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Controls and Procedures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Other Information</w:t>
              </w:r>
            </w:hyperlink>
          </w:p>
        </w:tc>
        <w:tc>
          <w:tcPr>
            <w:tcW w:w="8240" w:type="dxa"/>
            <w:vAlign w:val="bottom"/>
            <w:gridSpan w:val="1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18"/>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12">
              <w:r>
                <w:rPr>
                  <w:rFonts w:ascii="Arial" w:cs="Arial" w:eastAsia="Arial" w:hAnsi="Arial"/>
                  <w:sz w:val="18"/>
                  <w:szCs w:val="18"/>
                  <w:b w:val="1"/>
                  <w:bCs w:val="1"/>
                  <w:color w:val="0000EE"/>
                </w:rPr>
                <w:t>PART III</w:t>
              </w:r>
            </w:hyperlink>
          </w:p>
        </w:tc>
        <w:tc>
          <w:tcPr>
            <w:tcW w:w="1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12">
              <w:r>
                <w:rPr>
                  <w:rFonts w:ascii="Arial" w:cs="Arial" w:eastAsia="Arial" w:hAnsi="Arial"/>
                  <w:sz w:val="18"/>
                  <w:szCs w:val="18"/>
                  <w:color w:val="0000EE"/>
                  <w:w w:val="90"/>
                </w:rPr>
                <w:t>Directors, Executive Officers and Corporate Governance</w:t>
              </w:r>
            </w:hyperlink>
          </w:p>
        </w:tc>
        <w:tc>
          <w:tcPr>
            <w:tcW w:w="5900" w:type="dxa"/>
            <w:vAlign w:val="bottom"/>
            <w:gridSpan w:val="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10000" w:type="dxa"/>
            <w:vAlign w:val="bottom"/>
            <w:gridSpan w:val="20"/>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Executive Compensation</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12">
              <w:r>
                <w:rPr>
                  <w:rFonts w:ascii="Arial" w:cs="Arial" w:eastAsia="Arial" w:hAnsi="Arial"/>
                  <w:sz w:val="18"/>
                  <w:szCs w:val="18"/>
                  <w:color w:val="0000EE"/>
                  <w:w w:val="90"/>
                </w:rPr>
                <w:t>Security Ownership of Certain Beneficial Owners and Management and Related Stockholder Matters</w:t>
              </w:r>
            </w:hyperlink>
          </w:p>
        </w:tc>
        <w:tc>
          <w:tcPr>
            <w:tcW w:w="270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12">
              <w:r>
                <w:rPr>
                  <w:rFonts w:ascii="Arial" w:cs="Arial" w:eastAsia="Arial" w:hAnsi="Arial"/>
                  <w:sz w:val="18"/>
                  <w:szCs w:val="18"/>
                  <w:color w:val="0000EE"/>
                  <w:w w:val="89"/>
                </w:rPr>
                <w:t>Certain Relationships and Related Transactions, and Director Independence</w:t>
              </w:r>
            </w:hyperlink>
          </w:p>
        </w:tc>
        <w:tc>
          <w:tcPr>
            <w:tcW w:w="454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10000" w:type="dxa"/>
            <w:vAlign w:val="bottom"/>
            <w:gridSpan w:val="20"/>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Principal Accountant Fees and Services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18"/>
        </w:trPr>
        <w:tc>
          <w:tcPr>
            <w:tcW w:w="860" w:type="dxa"/>
            <w:vAlign w:val="bottom"/>
            <w:gridSpan w:val="5"/>
          </w:tcPr>
          <w:p>
            <w:pPr>
              <w:spacing w:after="0"/>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w w:val="95"/>
              </w:rPr>
              <w:t>ITEM 15.</w:t>
            </w:r>
          </w:p>
        </w:tc>
        <w:tc>
          <w:tcPr>
            <w:tcW w:w="140" w:type="dxa"/>
            <w:vAlign w:val="bottom"/>
            <w:gridSpan w:val="2"/>
          </w:tcPr>
          <w:p>
            <w:pPr>
              <w:spacing w:after="0"/>
              <w:rPr>
                <w:sz w:val="17"/>
                <w:szCs w:val="17"/>
                <w:color w:val="auto"/>
              </w:rPr>
            </w:pPr>
          </w:p>
        </w:tc>
        <w:tc>
          <w:tcPr>
            <w:tcW w:w="31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Exhibits and Financial Statement Schedules</w:t>
              </w:r>
            </w:hyperlink>
          </w:p>
        </w:tc>
        <w:tc>
          <w:tcPr>
            <w:tcW w:w="6840" w:type="dxa"/>
            <w:vAlign w:val="bottom"/>
            <w:gridSpan w:val="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This report contains forward-looking statements that involve substantial risks and uncertainties. These forward-looking statements are not historical facts, but rather are based on current expectations, estimates and projections about us, our current or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are difficult to predict, that could cause actual results to differ materially from those expressed or forecasted in the forward-looking statements.</w:t>
      </w:r>
    </w:p>
    <w:p>
      <w:pPr>
        <w:spacing w:after="0" w:line="178"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or SEC, the following factors, among others, could cause actual results to differ materially from forward-looking statements or historical performance:</w:t>
      </w:r>
    </w:p>
    <w:p>
      <w:pPr>
        <w:spacing w:after="0" w:line="73" w:lineRule="exact"/>
        <w:rPr>
          <w:sz w:val="20"/>
          <w:szCs w:val="20"/>
          <w:color w:val="auto"/>
        </w:rPr>
      </w:pPr>
    </w:p>
    <w:p>
      <w:pPr>
        <w:ind w:left="520" w:right="620" w:hanging="253"/>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62" w:lineRule="exact"/>
        <w:rPr>
          <w:rFonts w:ascii="Arial" w:cs="Arial" w:eastAsia="Arial" w:hAnsi="Arial"/>
          <w:sz w:val="18"/>
          <w:szCs w:val="18"/>
          <w:color w:val="auto"/>
        </w:rPr>
      </w:pPr>
    </w:p>
    <w:p>
      <w:pPr>
        <w:ind w:left="520" w:right="420" w:hanging="253"/>
        <w:spacing w:after="0" w:line="342"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15" w:lineRule="exact"/>
        <w:rPr>
          <w:rFonts w:ascii="Arial" w:cs="Arial" w:eastAsia="Arial" w:hAnsi="Arial"/>
          <w:sz w:val="16"/>
          <w:szCs w:val="16"/>
          <w:color w:val="auto"/>
        </w:rPr>
      </w:pPr>
    </w:p>
    <w:p>
      <w:pPr>
        <w:ind w:left="520" w:hanging="253"/>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risks, uncertainties and other factors we identify in the section entitled “Risk Factors” in this report and elsewhere in our filings with the SEC.</w:t>
      </w:r>
    </w:p>
    <w:p>
      <w:pPr>
        <w:spacing w:after="0" w:line="237"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or the Exchange Act, which preclude civil liability for certain forward-looking statements, do not apply to the forward-looking statements in this report because we are an investment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360" w:firstLine="259"/>
        <w:spacing w:after="0" w:line="264" w:lineRule="auto"/>
        <w:rPr>
          <w:sz w:val="20"/>
          <w:szCs w:val="20"/>
          <w:color w:val="auto"/>
        </w:rPr>
      </w:pPr>
      <w:r>
        <w:rPr>
          <w:rFonts w:ascii="Arial" w:cs="Arial" w:eastAsia="Arial" w:hAnsi="Arial"/>
          <w:sz w:val="18"/>
          <w:szCs w:val="18"/>
          <w:color w:val="auto"/>
        </w:rPr>
        <w:t>In this Annual Report, except where the context suggests otherwise, the terms “TSL,” “we,” “us,” “our,” and “the Company” refer to TPG Specialty Lending, Inc. The term “Adviser” refers to TSL Advisers, LLC, a Delaware limited liability company. The term “TSSP” refers to TPG Special Situations Partners. The term “TPG” refers to TPG Global, LLC and its affiliates.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firstLine="259"/>
        <w:spacing w:after="0" w:line="290"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through December 31, 2014, we have originated more than $3.3 billion aggregate principal amount of investments and retained approximately $2.4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December 31, 2014, our core portfolio, which excludes certain investments that fall outside of our typical borrower profile, companies had weighted average annual revenue of $145 million and weighted average annual EBITDA of $34 million.</w:t>
      </w:r>
    </w:p>
    <w:p>
      <w:pPr>
        <w:spacing w:after="0" w:line="166" w:lineRule="exact"/>
        <w:rPr>
          <w:sz w:val="20"/>
          <w:szCs w:val="20"/>
          <w:color w:val="auto"/>
        </w:rPr>
      </w:pPr>
    </w:p>
    <w:p>
      <w:pPr>
        <w:ind w:right="240" w:firstLine="259"/>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47"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In conducting our investment activities, we believe that we benefit from the significant scale and resources of our Adviser and its affiliates. We have operated our business as a business development company, or a BDC, since we began our investment activities in July 2011, and we are currently one of the largest BDCs by total assets.</w:t>
      </w:r>
    </w:p>
    <w:p>
      <w:pPr>
        <w:spacing w:after="0" w:line="181" w:lineRule="exact"/>
        <w:rPr>
          <w:sz w:val="20"/>
          <w:szCs w:val="20"/>
          <w:color w:val="auto"/>
        </w:rPr>
      </w:pPr>
    </w:p>
    <w:p>
      <w:pPr>
        <w:ind w:right="20" w:firstLine="259"/>
        <w:spacing w:after="0" w:line="288"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invest in first-lien debt, second-lien debt, mezzanine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As of December 31, 2014, based on fair value our portfolio consisted of 89.0% first-lien debt investments, 8.8% second-lien debt investments, 1.0% mezzanine debt investments, and 1.2% equity and other investments. Approximately 96.8% of our debt investments as of December 31, 2014 are floating rate in nature, subject to interest rate floors, which we believe helps act as a portfolio-wide hedge against inflation. As of December 31, 2014 and 2013, we had investments in 34 and 27 portfolio companies, respectively. As of December 31, 2014, our average investment size in each of our portfolio companies was approximately $37 million. We expect that no single investment will represent more than 15% of our total investment portfolio.</w:t>
      </w:r>
    </w:p>
    <w:p>
      <w:pPr>
        <w:spacing w:after="0" w:line="169"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As of December 31, 2014, our portfolio was invested across 19 different industries. The largest industries in our portfolio as of December 31, 2014 were healthcare and pharmaceuticals, business services, and financial services, which represented, as a percentage of our portfolio, 17.3%, 10.0%, and 8.4%, respectively, based on fair value.</w:t>
      </w:r>
    </w:p>
    <w:p>
      <w:pPr>
        <w:spacing w:after="0" w:line="181" w:lineRule="exact"/>
        <w:rPr>
          <w:sz w:val="20"/>
          <w:szCs w:val="20"/>
          <w:color w:val="auto"/>
        </w:rPr>
      </w:pPr>
    </w:p>
    <w:p>
      <w:pPr>
        <w:ind w:right="140" w:firstLine="259"/>
        <w:spacing w:after="0" w:line="257" w:lineRule="auto"/>
        <w:rPr>
          <w:sz w:val="20"/>
          <w:szCs w:val="20"/>
          <w:color w:val="auto"/>
        </w:rPr>
      </w:pPr>
      <w:r>
        <w:rPr>
          <w:rFonts w:ascii="Arial" w:cs="Arial" w:eastAsia="Arial" w:hAnsi="Arial"/>
          <w:sz w:val="18"/>
          <w:szCs w:val="18"/>
          <w:color w:val="auto"/>
        </w:rPr>
        <w:t>We are an externally managed, closed-end, non-diversified management investment company that has elected to be regulated as a BDC under the Investment Company Act of 1940, as amended, or the 1940 Act. In addition, for U.S. income tax purposes, we have elected to be treated as a regulated investment company, or RIC, under Subchapter M of the Internal Revenue Code of 1986, as amended, which we refer to as the Code. Because we elected to be a BDC and have elected to be treated as a RIC for U.S. tax purposes, our portfolio is and will continue to be subject to diversification and other requirements to maintain such status elections.</w:t>
      </w:r>
    </w:p>
    <w:p>
      <w:pPr>
        <w:spacing w:after="0" w:line="188" w:lineRule="exact"/>
        <w:rPr>
          <w:sz w:val="20"/>
          <w:szCs w:val="20"/>
          <w:color w:val="auto"/>
        </w:rPr>
      </w:pPr>
    </w:p>
    <w:p>
      <w:pPr>
        <w:ind w:right="100" w:firstLine="259"/>
        <w:spacing w:after="0" w:line="297" w:lineRule="auto"/>
        <w:rPr>
          <w:sz w:val="20"/>
          <w:szCs w:val="20"/>
          <w:color w:val="auto"/>
        </w:rPr>
      </w:pPr>
      <w:r>
        <w:rPr>
          <w:rFonts w:ascii="Arial" w:cs="Arial" w:eastAsia="Arial" w:hAnsi="Arial"/>
          <w:sz w:val="16"/>
          <w:szCs w:val="16"/>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the ratio of total assets (less total liabilities other than indebtedness) to total indebtedness plus preferred stock, is at least 200%. In determining whether to borrow money, we analyze the maturity, covenant package and rate structure of the proposed borrowings, as well as the risks of those borrowings compared to our investment outlook. The use of borrowed funds or the proceeds of preferred stock offerings to make investments has its own specific set of benefits and risks, and all of the costs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37" w:right="259" w:bottom="1440" w:gutter="0" w:footer="0" w:header="0"/>
        </w:sectPr>
      </w:pPr>
    </w:p>
    <w:bookmarkStart w:id="4" w:name="page5"/>
    <w:bookmarkEnd w:id="4"/>
    <w:p>
      <w:pPr>
        <w:ind w:right="120"/>
        <w:spacing w:after="0" w:line="308" w:lineRule="auto"/>
        <w:rPr>
          <w:sz w:val="20"/>
          <w:szCs w:val="20"/>
          <w:color w:val="auto"/>
        </w:rPr>
      </w:pPr>
      <w:r>
        <w:rPr>
          <w:rFonts w:ascii="Arial" w:cs="Arial" w:eastAsia="Arial" w:hAnsi="Arial"/>
          <w:sz w:val="17"/>
          <w:szCs w:val="17"/>
          <w:color w:val="auto"/>
        </w:rPr>
        <w:t>borrowing funds or issuing preferred stock are borne by us, and ultimately the holders of our common stock. See “ITEM 1A. Risk Factors—</w:t>
      </w:r>
      <w:r>
        <w:rPr>
          <w:rFonts w:ascii="Arial" w:cs="Arial" w:eastAsia="Arial" w:hAnsi="Arial"/>
          <w:sz w:val="17"/>
          <w:szCs w:val="17"/>
          <w:i w:val="1"/>
          <w:iCs w:val="1"/>
          <w:color w:val="auto"/>
        </w:rPr>
        <w:t>Risks Related to</w:t>
      </w:r>
      <w:r>
        <w:rPr>
          <w:rFonts w:ascii="Arial" w:cs="Arial" w:eastAsia="Arial" w:hAnsi="Arial"/>
          <w:sz w:val="17"/>
          <w:szCs w:val="17"/>
          <w:color w:val="auto"/>
        </w:rPr>
        <w:t xml:space="preserve"> </w:t>
      </w:r>
      <w:r>
        <w:rPr>
          <w:rFonts w:ascii="Arial" w:cs="Arial" w:eastAsia="Arial" w:hAnsi="Arial"/>
          <w:sz w:val="17"/>
          <w:szCs w:val="17"/>
          <w:i w:val="1"/>
          <w:iCs w:val="1"/>
          <w:color w:val="auto"/>
        </w:rPr>
        <w:t>Our Business and Structure—We borrow money, which magnifies the potential for gain or loss and increases the risk of investing in us.”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operations comprise only a single reportable segment.</w:t>
      </w:r>
    </w:p>
    <w:p>
      <w:pPr>
        <w:spacing w:after="0" w:line="212" w:lineRule="exact"/>
        <w:rPr>
          <w:sz w:val="20"/>
          <w:szCs w:val="20"/>
          <w:color w:val="auto"/>
        </w:rPr>
      </w:pPr>
    </w:p>
    <w:p>
      <w:pPr>
        <w:ind w:right="100" w:firstLine="259"/>
        <w:spacing w:after="0"/>
        <w:rPr>
          <w:sz w:val="20"/>
          <w:szCs w:val="20"/>
          <w:color w:val="auto"/>
        </w:rPr>
      </w:pPr>
      <w:r>
        <w:rPr>
          <w:rFonts w:ascii="Arial" w:cs="Arial" w:eastAsia="Arial" w:hAnsi="Arial"/>
          <w:sz w:val="17"/>
          <w:szCs w:val="17"/>
          <w:color w:val="auto"/>
        </w:rPr>
        <w:t>On November 3, 2014, our Board of Directors approved a stock repurchase plan, which we refer to as the Company 10b5-1 Plan, to acquire up to $50 million in the aggregate of our common stock at prices below our net asset value over a specified period, in accordance with the guidelines specified in Rule 10b-18 and Rule 10b5-1 of the Exchange Act. Unless extended or terminated by the Board of Directors, the Company 10b5-1 Plan will be in effect through the earlier of May 4, 2015 or such time as the approved $50 million repurchase amount has been fully utilized, subject to certain conditions. On February 20, 2015, our Board of Directors authorized the extension of the termination date of the Company 10b5-1 Plan from May 4, 2015 to June 30, 2015. As of December 31, 2014, no shares had been repurchased under the Company 10b5-1 Plan.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Adviser</w:t>
      </w:r>
    </w:p>
    <w:p>
      <w:pPr>
        <w:spacing w:after="0" w:line="117" w:lineRule="exact"/>
        <w:rPr>
          <w:sz w:val="20"/>
          <w:szCs w:val="20"/>
          <w:color w:val="auto"/>
        </w:rPr>
      </w:pPr>
    </w:p>
    <w:p>
      <w:pPr>
        <w:ind w:right="680" w:firstLine="259"/>
        <w:spacing w:after="0" w:line="342" w:lineRule="auto"/>
        <w:rPr>
          <w:sz w:val="20"/>
          <w:szCs w:val="20"/>
          <w:color w:val="auto"/>
        </w:rPr>
      </w:pPr>
      <w:r>
        <w:rPr>
          <w:rFonts w:ascii="Arial" w:cs="Arial" w:eastAsia="Arial" w:hAnsi="Arial"/>
          <w:sz w:val="16"/>
          <w:szCs w:val="16"/>
          <w:color w:val="auto"/>
        </w:rPr>
        <w:t>TSL Advisers, LLC is our external manager. Our Adviser is a Delaware limited liability company, our Adviser acts as our investment adviser and administrator, and is a registered investment adviser with the SEC under the Investment Advisers Act of 1940, as amended, or the Advisers Act.</w:t>
      </w:r>
    </w:p>
    <w:p>
      <w:pPr>
        <w:spacing w:after="0" w:line="124"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TPG Special Situations Partners, LLC, or “TSSP”.</w:t>
      </w:r>
    </w:p>
    <w:p>
      <w:pPr>
        <w:spacing w:after="0" w:line="188" w:lineRule="exact"/>
        <w:rPr>
          <w:sz w:val="20"/>
          <w:szCs w:val="20"/>
          <w:color w:val="auto"/>
        </w:rPr>
      </w:pPr>
    </w:p>
    <w:p>
      <w:pPr>
        <w:ind w:right="40" w:firstLine="259"/>
        <w:spacing w:after="0" w:line="271" w:lineRule="auto"/>
        <w:rPr>
          <w:sz w:val="20"/>
          <w:szCs w:val="20"/>
          <w:color w:val="auto"/>
        </w:rPr>
      </w:pPr>
      <w:r>
        <w:rPr>
          <w:rFonts w:ascii="Arial" w:cs="Arial" w:eastAsia="Arial" w:hAnsi="Arial"/>
          <w:sz w:val="17"/>
          <w:szCs w:val="17"/>
          <w:color w:val="auto"/>
        </w:rPr>
        <w:t>TSSP is the special situations and credit platform of TPG Global, LLC, or “TPG,” and encompasses TPG Specialty Lending, Inc., TPG Opportunities Partners and TSSP Adjacent Opportunities Partners, which invest in special situations and distressed investments across the credit cycle, Austin Credit Macro, which is focused on macro credit opportunities, and TPG Institutional Credit Partners, which is a “public-side” credit investment platform focused on investment opportunities in the broadly syndicated leveraged loan markets. TSSP had over $11 billion of assets under management as of December 31, 2014. TSSP has extensive experience with highly complex, global public and private investments executed through primary originations, secondary market purchases and restructurings, and has a team of over 90 investment and operating professionals as of December 31, 2014. Twenty four (24) of these personnel are dedicated to our business, including 17 investment professionals. The members of the Investment Review Committee are Joshua Easterly, Michael Fishman, Alan Waxman and David Stiepleman.</w:t>
      </w:r>
    </w:p>
    <w:p>
      <w:pPr>
        <w:spacing w:after="0" w:line="179"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TPG is a leading global private investment firm founded in 1992 with $65 billion of assets under management as of December 31, 2014, and offices in San Francisco, Fort Worth,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w:t>
      </w:r>
    </w:p>
    <w:p>
      <w:pPr>
        <w:spacing w:after="0" w:line="179" w:lineRule="exact"/>
        <w:rPr>
          <w:sz w:val="20"/>
          <w:szCs w:val="20"/>
          <w:color w:val="auto"/>
        </w:rPr>
      </w:pPr>
    </w:p>
    <w:p>
      <w:pPr>
        <w:ind w:right="260" w:firstLine="259"/>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70" w:lineRule="exact"/>
        <w:rPr>
          <w:sz w:val="20"/>
          <w:szCs w:val="20"/>
          <w:color w:val="auto"/>
        </w:rPr>
      </w:pPr>
    </w:p>
    <w:p>
      <w:pPr>
        <w:ind w:right="640" w:firstLine="259"/>
        <w:spacing w:after="0" w:line="342" w:lineRule="auto"/>
        <w:rPr>
          <w:sz w:val="20"/>
          <w:szCs w:val="20"/>
          <w:color w:val="auto"/>
        </w:rPr>
      </w:pPr>
      <w:r>
        <w:rPr>
          <w:rFonts w:ascii="Arial" w:cs="Arial" w:eastAsia="Arial" w:hAnsi="Arial"/>
          <w:sz w:val="16"/>
          <w:szCs w:val="16"/>
          <w:color w:val="auto"/>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57" w:right="239" w:bottom="1440" w:gutter="0" w:footer="0" w:header="0"/>
        </w:sectPr>
      </w:pPr>
    </w:p>
    <w:bookmarkStart w:id="5" w:name="page6"/>
    <w:bookmarkEnd w:id="5"/>
    <w:p>
      <w:pPr>
        <w:ind w:firstLine="259"/>
        <w:spacing w:after="0" w:line="276" w:lineRule="auto"/>
        <w:rPr>
          <w:sz w:val="20"/>
          <w:szCs w:val="20"/>
          <w:color w:val="auto"/>
        </w:rPr>
      </w:pPr>
      <w:r>
        <w:rPr>
          <w:rFonts w:ascii="Arial" w:cs="Arial" w:eastAsia="Arial" w:hAnsi="Arial"/>
          <w:sz w:val="17"/>
          <w:szCs w:val="17"/>
          <w:color w:val="auto"/>
        </w:rPr>
        <w:t>The Adviser’s services under the Investment Advisory Agreement are not exclusive, and the Adviser is free to furnish similar or other services to others so long as its services to us are not impaired. Under the terms of the Investment Advisory Agreement, we pay the Adviser the Management Fee and the Incentive Fee. For a discussion of the Management Fee and Incentive Fee payable by us to the Adviser, see “</w:t>
      </w:r>
      <w:r>
        <w:rPr>
          <w:rFonts w:ascii="Arial" w:cs="Arial" w:eastAsia="Arial" w:hAnsi="Arial"/>
          <w:sz w:val="17"/>
          <w:szCs w:val="17"/>
          <w:i w:val="1"/>
          <w:iCs w:val="1"/>
          <w:color w:val="auto"/>
        </w:rPr>
        <w:t>Management Agreements—Investment Advisory</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 Administration Agreement; License Agreement</w:t>
      </w:r>
      <w:r>
        <w:rPr>
          <w:rFonts w:ascii="Arial" w:cs="Arial" w:eastAsia="Arial" w:hAnsi="Arial"/>
          <w:sz w:val="17"/>
          <w:szCs w:val="17"/>
          <w:color w:val="auto"/>
        </w:rPr>
        <w:t>.” Our Board monitors the mix and performance of our investments over time and seeks to satisfy</w:t>
      </w:r>
      <w:r>
        <w:rPr>
          <w:rFonts w:ascii="Arial" w:cs="Arial" w:eastAsia="Arial" w:hAnsi="Arial"/>
          <w:sz w:val="17"/>
          <w:szCs w:val="17"/>
          <w:i w:val="1"/>
          <w:iCs w:val="1"/>
          <w:color w:val="auto"/>
        </w:rPr>
        <w:t xml:space="preserve"> </w:t>
      </w:r>
      <w:r>
        <w:rPr>
          <w:rFonts w:ascii="Arial" w:cs="Arial" w:eastAsia="Arial" w:hAnsi="Arial"/>
          <w:sz w:val="17"/>
          <w:szCs w:val="17"/>
          <w:color w:val="auto"/>
        </w:rPr>
        <w:t>itself that the Adviser is acting in our interests and that our fee structure appropriately incentivizes the Adviser to do so.</w:t>
      </w:r>
    </w:p>
    <w:p>
      <w:pPr>
        <w:spacing w:after="0" w:line="173" w:lineRule="exact"/>
        <w:rPr>
          <w:sz w:val="20"/>
          <w:szCs w:val="20"/>
          <w:color w:val="auto"/>
        </w:rPr>
      </w:pPr>
    </w:p>
    <w:p>
      <w:pPr>
        <w:ind w:right="460" w:firstLine="259"/>
        <w:spacing w:after="0" w:line="277" w:lineRule="auto"/>
        <w:rPr>
          <w:sz w:val="20"/>
          <w:szCs w:val="20"/>
          <w:color w:val="auto"/>
        </w:rPr>
      </w:pPr>
      <w:r>
        <w:rPr>
          <w:rFonts w:ascii="Arial" w:cs="Arial" w:eastAsia="Arial" w:hAnsi="Arial"/>
          <w:sz w:val="18"/>
          <w:szCs w:val="18"/>
          <w:color w:val="auto"/>
        </w:rPr>
        <w:t>On November 3, 2014, our Board renewed the Investment Advisory Agreement. Unless earlier terminated, the Investment Advisory Agreement will remain in effect until November 3, 2015, and may be extended subject to required approvals.</w:t>
      </w:r>
    </w:p>
    <w:p>
      <w:pPr>
        <w:spacing w:after="0" w:line="170" w:lineRule="exact"/>
        <w:rPr>
          <w:sz w:val="20"/>
          <w:szCs w:val="20"/>
          <w:color w:val="auto"/>
        </w:rPr>
      </w:pPr>
    </w:p>
    <w:p>
      <w:pPr>
        <w:ind w:firstLine="259"/>
        <w:spacing w:after="0" w:line="302" w:lineRule="auto"/>
        <w:rPr>
          <w:sz w:val="20"/>
          <w:szCs w:val="20"/>
          <w:color w:val="auto"/>
        </w:rPr>
      </w:pPr>
      <w:r>
        <w:rPr>
          <w:rFonts w:ascii="Arial" w:cs="Arial" w:eastAsia="Arial" w:hAnsi="Arial"/>
          <w:sz w:val="16"/>
          <w:szCs w:val="16"/>
          <w:color w:val="auto"/>
        </w:rPr>
        <w:t>In 2014, the Adviser entered into a purchase agreement, which we refer to as the Adviser 10b5-1 Plan, in accordance with Rules 10b5-1 and 10b-18 under the Exchange Act, under which an agent for the Adviser would buy up to $25 million in the aggregate of our common stock, subject to certain conditions. The Adviser 10b5-1 Plan expired in accordance with its terms on December 31, 2014. During the year ended December 31, 2014, 300 shares were purchased under the Adviser 10b5-1 Plan. These 300 shares were purchased prior to the approval and implementation of the Company 10b5-1 Plan.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Decision Process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investment approach involves, among other things:</w:t>
      </w:r>
    </w:p>
    <w:p>
      <w:pPr>
        <w:spacing w:after="0" w:line="117" w:lineRule="exact"/>
        <w:rPr>
          <w:sz w:val="20"/>
          <w:szCs w:val="20"/>
          <w:color w:val="auto"/>
        </w:rPr>
      </w:pPr>
    </w:p>
    <w:p>
      <w:pPr>
        <w:ind w:left="520" w:hanging="253"/>
        <w:spacing w:after="0"/>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assessment of the markets, overall macroeconomic environment and how the assessment may impact industry and investment selection;</w:t>
      </w:r>
    </w:p>
    <w:p>
      <w:pPr>
        <w:spacing w:after="0" w:line="128" w:lineRule="exact"/>
        <w:rPr>
          <w:rFonts w:ascii="Arial" w:cs="Arial" w:eastAsia="Arial" w:hAnsi="Arial"/>
          <w:sz w:val="17"/>
          <w:szCs w:val="17"/>
          <w:color w:val="auto"/>
        </w:rPr>
      </w:pPr>
    </w:p>
    <w:p>
      <w:pPr>
        <w:ind w:left="520" w:hanging="253"/>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225" w:lineRule="exact"/>
        <w:rPr>
          <w:sz w:val="20"/>
          <w:szCs w:val="20"/>
          <w:color w:val="auto"/>
        </w:rPr>
      </w:pPr>
    </w:p>
    <w:p>
      <w:pPr>
        <w:ind w:right="160" w:firstLine="259"/>
        <w:spacing w:after="0" w:line="308" w:lineRule="auto"/>
        <w:rPr>
          <w:sz w:val="20"/>
          <w:szCs w:val="20"/>
          <w:color w:val="auto"/>
        </w:rPr>
      </w:pPr>
      <w:r>
        <w:rPr>
          <w:rFonts w:ascii="Arial" w:cs="Arial" w:eastAsia="Arial" w:hAnsi="Arial"/>
          <w:sz w:val="17"/>
          <w:szCs w:val="17"/>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38" w:lineRule="exact"/>
        <w:rPr>
          <w:sz w:val="20"/>
          <w:szCs w:val="20"/>
          <w:color w:val="auto"/>
        </w:rPr>
      </w:pPr>
    </w:p>
    <w:p>
      <w:pPr>
        <w:ind w:left="520" w:hanging="253"/>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225"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Origination and Sourcing</w:t>
      </w:r>
    </w:p>
    <w:p>
      <w:pPr>
        <w:spacing w:after="0" w:line="117" w:lineRule="exact"/>
        <w:rPr>
          <w:sz w:val="20"/>
          <w:szCs w:val="20"/>
          <w:color w:val="auto"/>
        </w:rPr>
      </w:pPr>
    </w:p>
    <w:p>
      <w:pPr>
        <w:ind w:right="20" w:firstLine="259"/>
        <w:spacing w:after="0" w:line="297" w:lineRule="auto"/>
        <w:rPr>
          <w:sz w:val="20"/>
          <w:szCs w:val="20"/>
          <w:color w:val="auto"/>
        </w:rPr>
      </w:pPr>
      <w:r>
        <w:rPr>
          <w:rFonts w:ascii="Arial" w:cs="Arial" w:eastAsia="Arial" w:hAnsi="Arial"/>
          <w:sz w:val="16"/>
          <w:szCs w:val="16"/>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The substantial majority of our deals are informed by our current sector views and are sourced directly by our Adviser through our network contacts. We also identify opportunities through our Adviser’s relationships with TSSP and TPG.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Due Diligence Process</w:t>
      </w:r>
    </w:p>
    <w:p>
      <w:pPr>
        <w:spacing w:after="0" w:line="11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The process through which an investment decision is made involves extensive research into the company, its industry, its growth prospects and its ability to withstand adverse conditions. If the management group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79" w:lineRule="exact"/>
        <w:rPr>
          <w:sz w:val="20"/>
          <w:szCs w:val="20"/>
          <w:color w:val="auto"/>
        </w:rPr>
      </w:pPr>
    </w:p>
    <w:p>
      <w:pPr>
        <w:ind w:left="5660" w:right="2320" w:hanging="5393"/>
        <w:spacing w:after="0" w:line="528" w:lineRule="auto"/>
        <w:tabs>
          <w:tab w:leader="none" w:pos="515"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understanding the purpose of the loan, the key personnel and variables, as well as the sources and uses of the proceeds; 6</w:t>
      </w:r>
    </w:p>
    <w:p>
      <w:pPr>
        <w:sectPr>
          <w:pgSz w:w="11900" w:h="16838" w:orient="portrait"/>
          <w:cols w:equalWidth="0" w:num="1">
            <w:col w:w="11420"/>
          </w:cols>
          <w:pgMar w:left="240" w:top="557" w:right="239" w:bottom="1440" w:gutter="0" w:footer="0" w:header="0"/>
        </w:sectPr>
      </w:pPr>
    </w:p>
    <w:bookmarkStart w:id="6" w:name="page7"/>
    <w:bookmarkEnd w:id="6"/>
    <w:p>
      <w:pPr>
        <w:ind w:left="520" w:right="340" w:hanging="253"/>
        <w:spacing w:after="0" w:line="277"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meeting the company’s management, including top and middle-level executives, to get an insider’s view of the business, and to probe for potential weaknesses in business prospects;</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performing a detailed review of historical financial performance, including performance through various economic cycles, and the quality of earnings;</w:t>
      </w:r>
    </w:p>
    <w:p>
      <w:pPr>
        <w:spacing w:after="0" w:line="140" w:lineRule="exact"/>
        <w:rPr>
          <w:rFonts w:ascii="Arial" w:cs="Arial" w:eastAsia="Arial" w:hAnsi="Arial"/>
          <w:sz w:val="16"/>
          <w:szCs w:val="16"/>
          <w:color w:val="auto"/>
        </w:rPr>
      </w:pPr>
    </w:p>
    <w:p>
      <w:pPr>
        <w:ind w:left="520" w:hanging="253"/>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conducting a competitive analysis, and comparing the company to its main competitors on an operating, financial, market share and valuation basis;</w:t>
      </w:r>
    </w:p>
    <w:p>
      <w:pPr>
        <w:spacing w:after="0" w:line="140" w:lineRule="exact"/>
        <w:rPr>
          <w:rFonts w:ascii="Arial" w:cs="Arial" w:eastAsia="Arial" w:hAnsi="Arial"/>
          <w:sz w:val="16"/>
          <w:szCs w:val="16"/>
          <w:color w:val="auto"/>
        </w:rPr>
      </w:pPr>
    </w:p>
    <w:p>
      <w:pPr>
        <w:ind w:left="520" w:hanging="253"/>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leveraging TSSP and TPG internal resources with institutional knowledge of the company’s business;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Selective Investment Process</w:t>
      </w:r>
    </w:p>
    <w:p>
      <w:pPr>
        <w:spacing w:after="0" w:line="117"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After an investment has been identified and preliminary diligence has been completed, a credit research and analysis report is prepared. This report is reviewed by the senior investment professional in charge of the potential investment. If these senior and other investment professionals are in favor of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Formal Commitment</w:t>
      </w:r>
    </w:p>
    <w:p>
      <w:pPr>
        <w:spacing w:after="0" w:line="117" w:lineRule="exact"/>
        <w:rPr>
          <w:sz w:val="20"/>
          <w:szCs w:val="20"/>
          <w:color w:val="auto"/>
        </w:rPr>
      </w:pPr>
    </w:p>
    <w:p>
      <w:pPr>
        <w:ind w:right="40" w:firstLine="259"/>
        <w:spacing w:after="0" w:line="312" w:lineRule="auto"/>
        <w:rPr>
          <w:sz w:val="20"/>
          <w:szCs w:val="20"/>
          <w:color w:val="auto"/>
        </w:rPr>
      </w:pPr>
      <w:r>
        <w:rPr>
          <w:rFonts w:ascii="Arial" w:cs="Arial" w:eastAsia="Arial" w:hAnsi="Arial"/>
          <w:sz w:val="16"/>
          <w:szCs w:val="16"/>
          <w:color w:val="auto"/>
        </w:rPr>
        <w:t>Approval of an origination requires the approval of the Investment Review Committee or, depending on the size and nature of the investment, a portion thereof.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Monitoring</w:t>
      </w:r>
    </w:p>
    <w:p>
      <w:pPr>
        <w:spacing w:after="0" w:line="117"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Adviser has a number of methods of evaluating and monitoring the performance and fair value of our investments, which may include the following:</w:t>
      </w:r>
    </w:p>
    <w:p>
      <w:pPr>
        <w:spacing w:after="0" w:line="140" w:lineRule="exact"/>
        <w:rPr>
          <w:sz w:val="20"/>
          <w:szCs w:val="20"/>
          <w:color w:val="auto"/>
        </w:rPr>
      </w:pPr>
    </w:p>
    <w:p>
      <w:pPr>
        <w:ind w:left="520" w:hanging="253"/>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20" w:right="220" w:hanging="253"/>
        <w:spacing w:after="0" w:line="277"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3" w:lineRule="exact"/>
        <w:rPr>
          <w:sz w:val="20"/>
          <w:szCs w:val="20"/>
          <w:color w:val="auto"/>
        </w:rPr>
      </w:pPr>
    </w:p>
    <w:p>
      <w:pPr>
        <w:ind w:left="520" w:right="20" w:hanging="253"/>
        <w:spacing w:after="0" w:line="264"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73" w:lineRule="exact"/>
        <w:rPr>
          <w:rFonts w:ascii="Arial" w:cs="Arial" w:eastAsia="Arial" w:hAnsi="Arial"/>
          <w:sz w:val="18"/>
          <w:szCs w:val="18"/>
          <w:color w:val="auto"/>
        </w:rPr>
      </w:pPr>
    </w:p>
    <w:p>
      <w:pPr>
        <w:ind w:left="520" w:right="260" w:hanging="253"/>
        <w:spacing w:after="0" w:line="264"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49" w:right="259" w:bottom="1440" w:gutter="0" w:footer="0" w:header="0"/>
        </w:sectPr>
      </w:pPr>
    </w:p>
    <w:bookmarkStart w:id="7" w:name="page8"/>
    <w:bookmarkEnd w:id="7"/>
    <w:p>
      <w:pPr>
        <w:ind w:left="520" w:hanging="253"/>
        <w:spacing w:after="0" w:line="264"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73" w:lineRule="exact"/>
        <w:rPr>
          <w:rFonts w:ascii="Arial" w:cs="Arial" w:eastAsia="Arial" w:hAnsi="Arial"/>
          <w:sz w:val="18"/>
          <w:szCs w:val="18"/>
          <w:color w:val="auto"/>
        </w:rPr>
      </w:pPr>
    </w:p>
    <w:p>
      <w:pPr>
        <w:ind w:left="520" w:right="220" w:hanging="253"/>
        <w:spacing w:after="0" w:line="276"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64" w:lineRule="exact"/>
        <w:rPr>
          <w:rFonts w:ascii="Arial" w:cs="Arial" w:eastAsia="Arial" w:hAnsi="Arial"/>
          <w:sz w:val="17"/>
          <w:szCs w:val="17"/>
          <w:color w:val="auto"/>
        </w:rPr>
      </w:pPr>
    </w:p>
    <w:p>
      <w:pPr>
        <w:ind w:left="520" w:right="120" w:hanging="253"/>
        <w:spacing w:after="0" w:line="259"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7" w:lineRule="exact"/>
        <w:rPr>
          <w:sz w:val="20"/>
          <w:szCs w:val="20"/>
          <w:color w:val="auto"/>
        </w:rPr>
      </w:pPr>
    </w:p>
    <w:p>
      <w:pPr>
        <w:ind w:right="560" w:firstLine="259"/>
        <w:spacing w:after="0" w:line="277" w:lineRule="auto"/>
        <w:rPr>
          <w:sz w:val="20"/>
          <w:szCs w:val="20"/>
          <w:color w:val="auto"/>
        </w:rPr>
      </w:pPr>
      <w:r>
        <w:rPr>
          <w:rFonts w:ascii="Arial" w:cs="Arial" w:eastAsia="Arial" w:hAnsi="Arial"/>
          <w:sz w:val="18"/>
          <w:szCs w:val="18"/>
          <w:color w:val="auto"/>
        </w:rPr>
        <w:t xml:space="preserve">For more information on the investment performance ratings of our portfolio, see </w:t>
      </w:r>
      <w:r>
        <w:rPr>
          <w:rFonts w:ascii="Arial" w:cs="Arial" w:eastAsia="Arial" w:hAnsi="Arial"/>
          <w:sz w:val="18"/>
          <w:szCs w:val="18"/>
          <w:i w:val="1"/>
          <w:iCs w:val="1"/>
          <w:color w:val="auto"/>
        </w:rPr>
        <w:t>“ITEM 7.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OPERATIONS—Portfolio and Investment Activity.”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Review Committee</w:t>
      </w:r>
    </w:p>
    <w:p>
      <w:pPr>
        <w:spacing w:after="0" w:line="121"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The Adviser manages our portfolio under the general oversight of the Investment Review Committee. The Investment Review Committee includes certain individuals who are senior personnel of the Adviser and TSSP, as well as certain other persons appointed by the Adviser from time to time. Our Investment Team and the Investment Review Committee are supported by and have access to the investment professionals, analytical capabilities and support personnel of TPG.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Investments</w:t>
      </w:r>
    </w:p>
    <w:p>
      <w:pPr>
        <w:spacing w:after="0" w:line="121" w:lineRule="exact"/>
        <w:rPr>
          <w:sz w:val="20"/>
          <w:szCs w:val="20"/>
          <w:color w:val="auto"/>
        </w:rPr>
      </w:pPr>
    </w:p>
    <w:p>
      <w:pPr>
        <w:jc w:val="both"/>
        <w:ind w:right="80" w:firstLine="259"/>
        <w:spacing w:after="0" w:line="264" w:lineRule="auto"/>
        <w:rPr>
          <w:sz w:val="20"/>
          <w:szCs w:val="20"/>
          <w:color w:val="auto"/>
        </w:rPr>
      </w:pPr>
      <w:r>
        <w:rPr>
          <w:rFonts w:ascii="Arial" w:cs="Arial" w:eastAsia="Arial" w:hAnsi="Arial"/>
          <w:sz w:val="18"/>
          <w:szCs w:val="18"/>
          <w:color w:val="auto"/>
        </w:rPr>
        <w:t>Since beginning our investment activities in July 2011, we have sought to generate current income primarily in U.S.-domiciled middle market companies through direct originations of senior secured loans and, to a lesser extent, originations of mezzanine loans and investments in corporate bonds and equity and other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Investments</w:t>
      </w:r>
    </w:p>
    <w:p>
      <w:pPr>
        <w:spacing w:after="0" w:line="117" w:lineRule="exact"/>
        <w:rPr>
          <w:sz w:val="20"/>
          <w:szCs w:val="20"/>
          <w:color w:val="auto"/>
        </w:rPr>
      </w:pPr>
    </w:p>
    <w:p>
      <w:pPr>
        <w:ind w:right="260" w:firstLine="259"/>
        <w:spacing w:after="0" w:line="264" w:lineRule="auto"/>
        <w:rPr>
          <w:sz w:val="20"/>
          <w:szCs w:val="20"/>
          <w:color w:val="auto"/>
        </w:rPr>
      </w:pPr>
      <w:r>
        <w:rPr>
          <w:rFonts w:ascii="Arial" w:cs="Arial" w:eastAsia="Arial" w:hAnsi="Arial"/>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69" w:lineRule="exact"/>
        <w:rPr>
          <w:sz w:val="20"/>
          <w:szCs w:val="20"/>
          <w:color w:val="auto"/>
        </w:rPr>
      </w:pPr>
    </w:p>
    <w:p>
      <w:pPr>
        <w:ind w:left="520" w:right="80" w:hanging="253"/>
        <w:spacing w:after="0" w:line="261"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First-lien debt. </w:t>
      </w:r>
      <w:r>
        <w:rPr>
          <w:rFonts w:ascii="Arial" w:cs="Arial" w:eastAsia="Arial" w:hAnsi="Arial"/>
          <w:sz w:val="18"/>
          <w:szCs w:val="18"/>
          <w:color w:val="auto"/>
        </w:rPr>
        <w:t>First-lien debt is typically senior on a lien basis to other liabilities in the issuer’s capital structure and has the benefit of a first-priority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71" w:lineRule="exact"/>
        <w:rPr>
          <w:rFonts w:ascii="Arial" w:cs="Arial" w:eastAsia="Arial" w:hAnsi="Arial"/>
          <w:sz w:val="18"/>
          <w:szCs w:val="18"/>
          <w:color w:val="auto"/>
        </w:rPr>
      </w:pPr>
    </w:p>
    <w:p>
      <w:pPr>
        <w:ind w:left="780" w:right="40" w:hanging="254"/>
        <w:spacing w:after="0" w:line="282" w:lineRule="auto"/>
        <w:tabs>
          <w:tab w:leader="none" w:pos="78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Stand-alone first-lien loans. </w:t>
      </w:r>
      <w:r>
        <w:rPr>
          <w:rFonts w:ascii="Arial" w:cs="Arial" w:eastAsia="Arial" w:hAnsi="Arial"/>
          <w:sz w:val="18"/>
          <w:szCs w:val="18"/>
          <w:color w:val="auto"/>
        </w:rPr>
        <w:t>Stand-alone first-lien loans are traditional first-lien loans. All lenders in the facility have equal rights to the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subject to the first-priority security interest.</w:t>
      </w:r>
    </w:p>
    <w:p>
      <w:pPr>
        <w:spacing w:after="0" w:line="53" w:lineRule="exact"/>
        <w:rPr>
          <w:rFonts w:ascii="Arial" w:cs="Arial" w:eastAsia="Arial" w:hAnsi="Arial"/>
          <w:sz w:val="18"/>
          <w:szCs w:val="18"/>
          <w:color w:val="auto"/>
        </w:rPr>
      </w:pPr>
    </w:p>
    <w:p>
      <w:pPr>
        <w:ind w:left="780" w:right="20" w:hanging="254"/>
        <w:spacing w:after="0" w:line="255" w:lineRule="auto"/>
        <w:tabs>
          <w:tab w:leader="none" w:pos="78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“Last out” first-lien loans. </w:t>
      </w:r>
      <w:r>
        <w:rPr>
          <w:rFonts w:ascii="Arial" w:cs="Arial" w:eastAsia="Arial" w:hAnsi="Arial"/>
          <w:sz w:val="18"/>
          <w:szCs w:val="18"/>
          <w:color w:val="auto"/>
        </w:rPr>
        <w:t>“Last out” first-lien loans have a secondary priority behind super-senior “first out” first-lien loans in the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77" w:lineRule="exact"/>
        <w:rPr>
          <w:rFonts w:ascii="Arial" w:cs="Arial" w:eastAsia="Arial" w:hAnsi="Arial"/>
          <w:sz w:val="18"/>
          <w:szCs w:val="18"/>
          <w:color w:val="auto"/>
        </w:rPr>
      </w:pPr>
    </w:p>
    <w:p>
      <w:pPr>
        <w:ind w:left="780" w:right="240" w:hanging="254"/>
        <w:spacing w:after="0" w:line="289" w:lineRule="auto"/>
        <w:tabs>
          <w:tab w:leader="none" w:pos="780" w:val="left"/>
        </w:tabs>
        <w:numPr>
          <w:ilvl w:val="1"/>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“Unitranche” loans. </w:t>
      </w:r>
      <w:r>
        <w:rPr>
          <w:rFonts w:ascii="Arial" w:cs="Arial" w:eastAsia="Arial" w:hAnsi="Arial"/>
          <w:sz w:val="17"/>
          <w:szCs w:val="17"/>
          <w:color w:val="auto"/>
        </w:rPr>
        <w:t>Unitranche loans combine features of first-lien, second-lien and mezzanine debt, generally in a first-lien position. In many</w:t>
      </w:r>
      <w:r>
        <w:rPr>
          <w:rFonts w:ascii="Arial" w:cs="Arial" w:eastAsia="Arial" w:hAnsi="Arial"/>
          <w:sz w:val="17"/>
          <w:szCs w:val="17"/>
          <w:b w:val="1"/>
          <w:bCs w:val="1"/>
          <w:color w:val="auto"/>
        </w:rPr>
        <w:t xml:space="preserve"> </w:t>
      </w:r>
      <w:r>
        <w:rPr>
          <w:rFonts w:ascii="Arial" w:cs="Arial" w:eastAsia="Arial" w:hAnsi="Arial"/>
          <w:sz w:val="17"/>
          <w:szCs w:val="17"/>
          <w:color w:val="auto"/>
        </w:rPr>
        <w:t>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50" w:lineRule="exact"/>
        <w:rPr>
          <w:rFonts w:ascii="Arial" w:cs="Arial" w:eastAsia="Arial" w:hAnsi="Arial"/>
          <w:sz w:val="17"/>
          <w:szCs w:val="17"/>
          <w:color w:val="auto"/>
        </w:rPr>
      </w:pPr>
    </w:p>
    <w:p>
      <w:pPr>
        <w:ind w:left="520" w:right="140" w:hanging="253"/>
        <w:spacing w:after="0" w:line="282"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Second-lien debt. </w:t>
      </w:r>
      <w:r>
        <w:rPr>
          <w:rFonts w:ascii="Arial" w:cs="Arial" w:eastAsia="Arial" w:hAnsi="Arial"/>
          <w:sz w:val="18"/>
          <w:szCs w:val="18"/>
          <w:color w:val="auto"/>
        </w:rPr>
        <w:t>Our second-lien debt may include secured loans, and, to a lesser extent, secured corporate bonds, with a secondary priority behind</w:t>
      </w:r>
      <w:r>
        <w:rPr>
          <w:rFonts w:ascii="Arial" w:cs="Arial" w:eastAsia="Arial" w:hAnsi="Arial"/>
          <w:sz w:val="18"/>
          <w:szCs w:val="18"/>
          <w:b w:val="1"/>
          <w:bCs w:val="1"/>
          <w:color w:val="auto"/>
        </w:rPr>
        <w:t xml:space="preserve"> </w:t>
      </w:r>
      <w:r>
        <w:rPr>
          <w:rFonts w:ascii="Arial" w:cs="Arial" w:eastAsia="Arial" w:hAnsi="Arial"/>
          <w:sz w:val="18"/>
          <w:szCs w:val="18"/>
          <w:color w:val="auto"/>
        </w:rPr>
        <w:t>first-lien debt. Second-lien debt typically is senior on a lien basis to other liabilities in the issuer’s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49" w:right="259" w:bottom="1440" w:gutter="0" w:footer="0" w:header="0"/>
        </w:sectPr>
      </w:pPr>
    </w:p>
    <w:bookmarkStart w:id="8" w:name="page9"/>
    <w:bookmarkEnd w:id="8"/>
    <w:p>
      <w:pPr>
        <w:ind w:left="520"/>
        <w:spacing w:after="0" w:line="264" w:lineRule="auto"/>
        <w:rPr>
          <w:sz w:val="20"/>
          <w:szCs w:val="20"/>
          <w:color w:val="auto"/>
        </w:rPr>
      </w:pPr>
      <w:r>
        <w:rPr>
          <w:rFonts w:ascii="Arial" w:cs="Arial" w:eastAsia="Arial" w:hAnsi="Arial"/>
          <w:sz w:val="18"/>
          <w:szCs w:val="18"/>
          <w:color w:val="auto"/>
        </w:rPr>
        <w:t>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69" w:lineRule="exact"/>
        <w:rPr>
          <w:sz w:val="20"/>
          <w:szCs w:val="20"/>
          <w:color w:val="auto"/>
        </w:rPr>
      </w:pPr>
    </w:p>
    <w:p>
      <w:pPr>
        <w:ind w:left="520" w:right="20" w:hanging="253"/>
        <w:spacing w:after="0" w:line="295"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“Mezzanine” debt. </w:t>
      </w:r>
      <w:r>
        <w:rPr>
          <w:rFonts w:ascii="Arial" w:cs="Arial" w:eastAsia="Arial" w:hAnsi="Arial"/>
          <w:sz w:val="16"/>
          <w:szCs w:val="16"/>
          <w:color w:val="auto"/>
        </w:rPr>
        <w:t>Structurally, mezzanine debt usually ranks subordinate in priority of payment to first-lien and second-lien debt, is often unsecured</w:t>
      </w:r>
      <w:r>
        <w:rPr>
          <w:rFonts w:ascii="Arial" w:cs="Arial" w:eastAsia="Arial" w:hAnsi="Arial"/>
          <w:sz w:val="16"/>
          <w:szCs w:val="16"/>
          <w:b w:val="1"/>
          <w:bCs w:val="1"/>
          <w:color w:val="auto"/>
        </w:rPr>
        <w:t xml:space="preserve"> </w:t>
      </w:r>
      <w:r>
        <w:rPr>
          <w:rFonts w:ascii="Arial" w:cs="Arial" w:eastAsia="Arial" w:hAnsi="Arial"/>
          <w:sz w:val="16"/>
          <w:szCs w:val="16"/>
          <w:color w:val="auto"/>
        </w:rPr>
        <w:t>and may not have the benefit of financial covenants common in first-lien and second-lien debt. However, mezzanine debt ranks senior to common and preferred equity in an issuer’s capital structure. Mezzanine debt investments generally offer lenders fixed returns in the form of interest payments and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debt generally bears a higher stated interest rate than first-lien and second-lien debt.</w:t>
      </w:r>
    </w:p>
    <w:p>
      <w:pPr>
        <w:spacing w:after="0" w:line="160"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62" w:lineRule="exact"/>
        <w:rPr>
          <w:sz w:val="20"/>
          <w:szCs w:val="20"/>
          <w:color w:val="auto"/>
        </w:rPr>
      </w:pPr>
    </w:p>
    <w:p>
      <w:pPr>
        <w:ind w:left="520" w:hanging="253"/>
        <w:spacing w:after="0"/>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requiring a total return on our investments (including both interest and potential equity appreciation) that compensates us for credit risk; and</w:t>
      </w:r>
    </w:p>
    <w:p>
      <w:pPr>
        <w:spacing w:after="0" w:line="128" w:lineRule="exact"/>
        <w:rPr>
          <w:rFonts w:ascii="Arial" w:cs="Arial" w:eastAsia="Arial" w:hAnsi="Arial"/>
          <w:sz w:val="17"/>
          <w:szCs w:val="17"/>
          <w:color w:val="auto"/>
        </w:rPr>
      </w:pPr>
    </w:p>
    <w:p>
      <w:pPr>
        <w:ind w:left="520" w:right="80" w:hanging="253"/>
        <w:spacing w:after="0" w:line="259"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7" w:lineRule="exact"/>
        <w:rPr>
          <w:sz w:val="20"/>
          <w:szCs w:val="20"/>
          <w:color w:val="auto"/>
        </w:rPr>
      </w:pPr>
    </w:p>
    <w:p>
      <w:pPr>
        <w:ind w:right="140" w:firstLine="259"/>
        <w:spacing w:after="0" w:line="259" w:lineRule="auto"/>
        <w:rPr>
          <w:sz w:val="20"/>
          <w:szCs w:val="20"/>
          <w:color w:val="auto"/>
        </w:rPr>
      </w:pPr>
      <w:r>
        <w:rPr>
          <w:rFonts w:ascii="Arial" w:cs="Arial" w:eastAsia="Arial" w:hAnsi="Arial"/>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and Other Investments</w:t>
      </w:r>
    </w:p>
    <w:p>
      <w:pPr>
        <w:spacing w:after="0" w:line="117"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Our loans may include an equity interest in the issuer, such as a warrant or profit participation right. In certain instances, we also will make direct equity investments, although those situations are generally limited to those cases where we are also making an investment in a more senior part of the capital structure of the issuer.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480" w:firstLine="259"/>
        <w:spacing w:after="0" w:line="277" w:lineRule="auto"/>
        <w:rPr>
          <w:sz w:val="20"/>
          <w:szCs w:val="20"/>
          <w:color w:val="auto"/>
        </w:rPr>
      </w:pPr>
      <w:r>
        <w:rPr>
          <w:rFonts w:ascii="Arial" w:cs="Arial" w:eastAsia="Arial" w:hAnsi="Arial"/>
          <w:sz w:val="18"/>
          <w:szCs w:val="18"/>
          <w:color w:val="auto"/>
        </w:rPr>
        <w:t>As of December 31, 2014 and December 31, 2013, we had made investments with an aggregate fair value of $1,263.5 million and $1,016.5 million, respectively, in 34 and 27 portfolio companies, respectively.</w:t>
      </w:r>
    </w:p>
    <w:p>
      <w:pPr>
        <w:sectPr>
          <w:pgSz w:w="11900" w:h="16838" w:orient="portrait"/>
          <w:cols w:equalWidth="0" w:num="1">
            <w:col w:w="11380"/>
          </w:cols>
          <w:pgMar w:left="240" w:top="449" w:right="279" w:bottom="1440" w:gutter="0" w:footer="0" w:header="0"/>
        </w:sectPr>
      </w:pPr>
    </w:p>
    <w:p>
      <w:pPr>
        <w:spacing w:after="0" w:line="17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Investments consisted of the following at December 31, 2014 and 2013: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 in millions)</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First-lien debt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Second-lien debt investments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Mezzanine debt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Equity and other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79755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11"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Total Investments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 in millions)</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First-lien debt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Second-lien debt investments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Mezzanine debt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Equity and other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79755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11"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Total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December 31, 2014</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Net Unrealized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 xml:space="preserve">Amortized Cost </w:t>
            </w:r>
            <w:r>
              <w:rPr>
                <w:rFonts w:ascii="Arial" w:cs="Arial" w:eastAsia="Arial" w:hAnsi="Arial"/>
                <w:sz w:val="12"/>
                <w:szCs w:val="12"/>
                <w:b w:val="1"/>
                <w:bCs w:val="1"/>
                <w:color w:val="auto"/>
                <w:w w:val="96"/>
              </w:rPr>
              <w:t>(1)</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0"/>
              </w:rPr>
              <w:t>Gain (Loss)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1,127.2</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1,124.2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1,273.2</w:t>
            </w:r>
          </w:p>
        </w:tc>
        <w:tc>
          <w:tcPr>
            <w:tcW w:w="1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1,263.5</w:t>
            </w:r>
          </w:p>
        </w:tc>
        <w:tc>
          <w:tcPr>
            <w:tcW w:w="1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December 31, 2013</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Net Unrealized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6"/>
              </w:rPr>
              <w:t xml:space="preserve">Amortized Cost </w:t>
            </w:r>
            <w:r>
              <w:rPr>
                <w:rFonts w:ascii="Arial" w:cs="Arial" w:eastAsia="Arial" w:hAnsi="Arial"/>
                <w:sz w:val="12"/>
                <w:szCs w:val="12"/>
                <w:b w:val="1"/>
                <w:bCs w:val="1"/>
                <w:color w:val="auto"/>
                <w:w w:val="96"/>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133"/>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863.4</w:t>
            </w: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877.2</w:t>
            </w:r>
          </w:p>
        </w:tc>
        <w:tc>
          <w:tcPr>
            <w:tcW w:w="18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997.3</w:t>
            </w: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1,016.5</w:t>
            </w:r>
          </w:p>
        </w:tc>
        <w:tc>
          <w:tcPr>
            <w:tcW w:w="18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40" w:space="720"/>
            <w:col w:w="4820"/>
          </w:cols>
          <w:pgMar w:left="240" w:top="449" w:right="279" w:bottom="1440" w:gutter="0" w:footer="0" w:header="0"/>
          <w:type w:val="continuous"/>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40" w:top="449" w:right="279" w:bottom="1440" w:gutter="0" w:footer="0" w:header="0"/>
          <w:type w:val="continuous"/>
        </w:sectPr>
      </w:pPr>
    </w:p>
    <w:bookmarkStart w:id="9" w:name="page10"/>
    <w:bookmarkEnd w:id="9"/>
    <w:p>
      <w:pPr>
        <w:ind w:left="540" w:hanging="532"/>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industry composition of investments at fair value at December 31, 2014 and 2013 was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December 31, 2014</w:t>
            </w: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December 31, 2013</w:t>
            </w:r>
          </w:p>
        </w:tc>
        <w:tc>
          <w:tcPr>
            <w:tcW w:w="0" w:type="dxa"/>
            <w:vAlign w:val="bottom"/>
          </w:tcPr>
          <w:p>
            <w:pPr>
              <w:spacing w:after="0"/>
              <w:rPr>
                <w:sz w:val="1"/>
                <w:szCs w:val="1"/>
                <w:color w:val="auto"/>
              </w:rPr>
            </w:pPr>
          </w:p>
        </w:tc>
      </w:tr>
      <w:tr>
        <w:trPr>
          <w:trHeight w:val="20"/>
        </w:trPr>
        <w:tc>
          <w:tcPr>
            <w:tcW w:w="37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Aerospace and defense</w:t>
            </w:r>
          </w:p>
        </w:tc>
        <w:tc>
          <w:tcPr>
            <w:tcW w:w="13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60" w:type="dxa"/>
            <w:vAlign w:val="bottom"/>
            <w:vMerge w:val="continue"/>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vMerge w:val="continue"/>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Automotive</w:t>
            </w:r>
          </w:p>
        </w:tc>
        <w:tc>
          <w:tcPr>
            <w:tcW w:w="2880" w:type="dxa"/>
            <w:vAlign w:val="bottom"/>
            <w:gridSpan w:val="3"/>
          </w:tcPr>
          <w:p>
            <w:pPr>
              <w:jc w:val="right"/>
              <w:ind w:right="200"/>
              <w:spacing w:after="0"/>
              <w:rPr>
                <w:sz w:val="20"/>
                <w:szCs w:val="20"/>
                <w:color w:val="auto"/>
              </w:rPr>
            </w:pPr>
            <w:r>
              <w:rPr>
                <w:rFonts w:ascii="Arial" w:cs="Arial" w:eastAsia="Arial" w:hAnsi="Arial"/>
                <w:sz w:val="18"/>
                <w:szCs w:val="18"/>
                <w:color w:val="auto"/>
              </w:rPr>
              <w:t>2.7%</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Beverage, food, and tobacco</w:t>
            </w:r>
          </w:p>
        </w:tc>
        <w:tc>
          <w:tcPr>
            <w:tcW w:w="28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6.8%</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Business services</w:t>
            </w:r>
          </w:p>
        </w:tc>
        <w:tc>
          <w:tcPr>
            <w:tcW w:w="288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Communications</w:t>
            </w:r>
          </w:p>
        </w:tc>
        <w:tc>
          <w:tcPr>
            <w:tcW w:w="28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1.4%</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136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Containers and packaging</w:t>
            </w:r>
          </w:p>
        </w:tc>
        <w:tc>
          <w:tcPr>
            <w:tcW w:w="28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3.2%</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Education</w:t>
            </w:r>
          </w:p>
        </w:tc>
        <w:tc>
          <w:tcPr>
            <w:tcW w:w="2880" w:type="dxa"/>
            <w:vAlign w:val="bottom"/>
            <w:gridSpan w:val="3"/>
          </w:tcPr>
          <w:p>
            <w:pPr>
              <w:jc w:val="right"/>
              <w:ind w:right="200"/>
              <w:spacing w:after="0"/>
              <w:rPr>
                <w:sz w:val="20"/>
                <w:szCs w:val="20"/>
                <w:color w:val="auto"/>
              </w:rPr>
            </w:pPr>
            <w:r>
              <w:rPr>
                <w:rFonts w:ascii="Arial" w:cs="Arial" w:eastAsia="Arial" w:hAnsi="Arial"/>
                <w:sz w:val="18"/>
                <w:szCs w:val="18"/>
                <w:color w:val="auto"/>
              </w:rPr>
              <w:t>2.2%</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Electronics</w:t>
            </w:r>
          </w:p>
        </w:tc>
        <w:tc>
          <w:tcPr>
            <w:tcW w:w="28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6.2%</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Financial services</w:t>
            </w:r>
          </w:p>
        </w:tc>
        <w:tc>
          <w:tcPr>
            <w:tcW w:w="2880" w:type="dxa"/>
            <w:vAlign w:val="bottom"/>
            <w:gridSpan w:val="3"/>
          </w:tcPr>
          <w:p>
            <w:pPr>
              <w:jc w:val="right"/>
              <w:ind w:right="200"/>
              <w:spacing w:after="0"/>
              <w:rPr>
                <w:sz w:val="20"/>
                <w:szCs w:val="20"/>
                <w:color w:val="auto"/>
              </w:rPr>
            </w:pPr>
            <w:r>
              <w:rPr>
                <w:rFonts w:ascii="Arial" w:cs="Arial" w:eastAsia="Arial" w:hAnsi="Arial"/>
                <w:sz w:val="18"/>
                <w:szCs w:val="18"/>
                <w:color w:val="auto"/>
              </w:rPr>
              <w:t>8.4%</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Healthcare and pharmaceuticals</w:t>
            </w:r>
          </w:p>
        </w:tc>
        <w:tc>
          <w:tcPr>
            <w:tcW w:w="28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17.3%</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2880" w:type="dxa"/>
            <w:vAlign w:val="bottom"/>
            <w:gridSpan w:val="3"/>
          </w:tcPr>
          <w:p>
            <w:pPr>
              <w:jc w:val="right"/>
              <w:ind w:right="200"/>
              <w:spacing w:after="0"/>
              <w:rPr>
                <w:sz w:val="20"/>
                <w:szCs w:val="20"/>
                <w:color w:val="auto"/>
              </w:rPr>
            </w:pPr>
            <w:r>
              <w:rPr>
                <w:rFonts w:ascii="Arial" w:cs="Arial" w:eastAsia="Arial" w:hAnsi="Arial"/>
                <w:sz w:val="18"/>
                <w:szCs w:val="18"/>
                <w:color w:val="auto"/>
              </w:rPr>
              <w:t>5.9%</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Human resource support services</w:t>
            </w:r>
          </w:p>
        </w:tc>
        <w:tc>
          <w:tcPr>
            <w:tcW w:w="1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Insurance</w:t>
            </w:r>
          </w:p>
        </w:tc>
        <w:tc>
          <w:tcPr>
            <w:tcW w:w="2880" w:type="dxa"/>
            <w:vAlign w:val="bottom"/>
            <w:gridSpan w:val="3"/>
          </w:tcPr>
          <w:p>
            <w:pPr>
              <w:jc w:val="right"/>
              <w:ind w:right="200"/>
              <w:spacing w:after="0"/>
              <w:rPr>
                <w:sz w:val="20"/>
                <w:szCs w:val="20"/>
                <w:color w:val="auto"/>
              </w:rPr>
            </w:pPr>
            <w:r>
              <w:rPr>
                <w:rFonts w:ascii="Arial" w:cs="Arial" w:eastAsia="Arial" w:hAnsi="Arial"/>
                <w:sz w:val="18"/>
                <w:szCs w:val="18"/>
                <w:color w:val="auto"/>
              </w:rPr>
              <w:t>8.0%</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Internet services</w:t>
            </w:r>
          </w:p>
        </w:tc>
        <w:tc>
          <w:tcPr>
            <w:tcW w:w="28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3.2%</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Manufacturing</w:t>
            </w:r>
          </w:p>
        </w:tc>
        <w:tc>
          <w:tcPr>
            <w:tcW w:w="2880" w:type="dxa"/>
            <w:vAlign w:val="bottom"/>
            <w:gridSpan w:val="3"/>
          </w:tcPr>
          <w:p>
            <w:pPr>
              <w:jc w:val="right"/>
              <w:ind w:right="200"/>
              <w:spacing w:after="0"/>
              <w:rPr>
                <w:sz w:val="20"/>
                <w:szCs w:val="20"/>
                <w:color w:val="auto"/>
              </w:rPr>
            </w:pPr>
            <w:r>
              <w:rPr>
                <w:rFonts w:ascii="Arial" w:cs="Arial" w:eastAsia="Arial" w:hAnsi="Arial"/>
                <w:sz w:val="18"/>
                <w:szCs w:val="18"/>
                <w:color w:val="auto"/>
              </w:rPr>
              <w:t>3.5%</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Metals and mining</w:t>
            </w:r>
          </w:p>
        </w:tc>
        <w:tc>
          <w:tcPr>
            <w:tcW w:w="28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1.7%</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Office products</w:t>
            </w:r>
          </w:p>
        </w:tc>
        <w:tc>
          <w:tcPr>
            <w:tcW w:w="2880" w:type="dxa"/>
            <w:vAlign w:val="bottom"/>
            <w:gridSpan w:val="3"/>
          </w:tcPr>
          <w:p>
            <w:pPr>
              <w:jc w:val="right"/>
              <w:ind w:right="200"/>
              <w:spacing w:after="0"/>
              <w:rPr>
                <w:sz w:val="20"/>
                <w:szCs w:val="20"/>
                <w:color w:val="auto"/>
              </w:rPr>
            </w:pPr>
            <w:r>
              <w:rPr>
                <w:rFonts w:ascii="Arial" w:cs="Arial" w:eastAsia="Arial" w:hAnsi="Arial"/>
                <w:sz w:val="18"/>
                <w:szCs w:val="18"/>
                <w:color w:val="auto"/>
              </w:rPr>
              <w:t>2.8%</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Oil, gas and consumable fuels</w:t>
            </w:r>
          </w:p>
        </w:tc>
        <w:tc>
          <w:tcPr>
            <w:tcW w:w="28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8.2%</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Other</w:t>
            </w:r>
          </w:p>
        </w:tc>
        <w:tc>
          <w:tcPr>
            <w:tcW w:w="2880" w:type="dxa"/>
            <w:vAlign w:val="bottom"/>
            <w:gridSpan w:val="3"/>
          </w:tcPr>
          <w:p>
            <w:pPr>
              <w:jc w:val="right"/>
              <w:ind w:right="200"/>
              <w:spacing w:after="0"/>
              <w:rPr>
                <w:sz w:val="20"/>
                <w:szCs w:val="20"/>
                <w:color w:val="auto"/>
              </w:rPr>
            </w:pPr>
            <w:r>
              <w:rPr>
                <w:rFonts w:ascii="Arial" w:cs="Arial" w:eastAsia="Arial" w:hAnsi="Arial"/>
                <w:sz w:val="18"/>
                <w:szCs w:val="18"/>
                <w:color w:val="auto"/>
              </w:rPr>
              <w:t>0.4%</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Retail</w:t>
            </w:r>
          </w:p>
        </w:tc>
        <w:tc>
          <w:tcPr>
            <w:tcW w:w="28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3.3%</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Transportation</w:t>
            </w:r>
          </w:p>
        </w:tc>
        <w:tc>
          <w:tcPr>
            <w:tcW w:w="136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76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36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60" w:type="dxa"/>
            <w:vAlign w:val="bottom"/>
            <w:vMerge w:val="continue"/>
            <w:shd w:val="clear" w:color="auto" w:fill="CFF0FC"/>
          </w:tcPr>
          <w:p>
            <w:pPr>
              <w:spacing w:after="0"/>
              <w:rPr>
                <w:sz w:val="19"/>
                <w:szCs w:val="19"/>
                <w:color w:val="auto"/>
              </w:rPr>
            </w:pPr>
          </w:p>
        </w:tc>
        <w:tc>
          <w:tcPr>
            <w:tcW w:w="1360" w:type="dxa"/>
            <w:vAlign w:val="bottom"/>
            <w:vMerge w:val="continue"/>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7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We classify the industries of our portfolio companies by end-market (such as healthcare and pharmaceuticals, and business services) and not by the product or services (such as software) directed to those end-markets.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geographic composition of investments at fair value at December 31, 2014 and 2013 was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36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 2014</w:t>
            </w: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December 31, 2013</w:t>
            </w:r>
          </w:p>
        </w:tc>
        <w:tc>
          <w:tcPr>
            <w:tcW w:w="0" w:type="dxa"/>
            <w:vAlign w:val="bottom"/>
          </w:tcPr>
          <w:p>
            <w:pPr>
              <w:spacing w:after="0"/>
              <w:rPr>
                <w:sz w:val="1"/>
                <w:szCs w:val="1"/>
                <w:color w:val="auto"/>
              </w:rPr>
            </w:pPr>
          </w:p>
        </w:tc>
      </w:tr>
      <w:tr>
        <w:trPr>
          <w:trHeight w:val="223"/>
        </w:trPr>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0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40"/>
              <w:spacing w:after="0"/>
              <w:rPr>
                <w:sz w:val="20"/>
                <w:szCs w:val="20"/>
                <w:color w:val="auto"/>
              </w:rPr>
            </w:pPr>
            <w:r>
              <w:rPr>
                <w:rFonts w:ascii="Arial" w:cs="Arial" w:eastAsia="Arial" w:hAnsi="Arial"/>
                <w:sz w:val="18"/>
                <w:szCs w:val="18"/>
                <w:color w:val="auto"/>
              </w:rPr>
              <w:t>Midwest</w:t>
            </w:r>
          </w:p>
        </w:tc>
        <w:tc>
          <w:tcPr>
            <w:tcW w:w="3600" w:type="dxa"/>
            <w:vAlign w:val="bottom"/>
            <w:gridSpan w:val="3"/>
          </w:tcPr>
          <w:p>
            <w:pPr>
              <w:jc w:val="right"/>
              <w:ind w:right="200"/>
              <w:spacing w:after="0"/>
              <w:rPr>
                <w:sz w:val="20"/>
                <w:szCs w:val="20"/>
                <w:color w:val="auto"/>
              </w:rPr>
            </w:pPr>
            <w:r>
              <w:rPr>
                <w:rFonts w:ascii="Arial" w:cs="Arial" w:eastAsia="Arial" w:hAnsi="Arial"/>
                <w:sz w:val="18"/>
                <w:szCs w:val="18"/>
                <w:color w:val="auto"/>
              </w:rPr>
              <w:t>13.1%</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360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27.1%</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3040" w:type="dxa"/>
            <w:vAlign w:val="bottom"/>
          </w:tcPr>
          <w:p>
            <w:pPr>
              <w:ind w:left="240"/>
              <w:spacing w:after="0"/>
              <w:rPr>
                <w:sz w:val="20"/>
                <w:szCs w:val="20"/>
                <w:color w:val="auto"/>
              </w:rPr>
            </w:pPr>
            <w:r>
              <w:rPr>
                <w:rFonts w:ascii="Arial" w:cs="Arial" w:eastAsia="Arial" w:hAnsi="Arial"/>
                <w:sz w:val="18"/>
                <w:szCs w:val="18"/>
                <w:color w:val="auto"/>
              </w:rPr>
              <w:t>South</w:t>
            </w:r>
          </w:p>
        </w:tc>
        <w:tc>
          <w:tcPr>
            <w:tcW w:w="3600" w:type="dxa"/>
            <w:vAlign w:val="bottom"/>
            <w:gridSpan w:val="3"/>
          </w:tcPr>
          <w:p>
            <w:pPr>
              <w:jc w:val="right"/>
              <w:ind w:right="200"/>
              <w:spacing w:after="0"/>
              <w:rPr>
                <w:sz w:val="20"/>
                <w:szCs w:val="20"/>
                <w:color w:val="auto"/>
              </w:rPr>
            </w:pPr>
            <w:r>
              <w:rPr>
                <w:rFonts w:ascii="Arial" w:cs="Arial" w:eastAsia="Arial" w:hAnsi="Arial"/>
                <w:sz w:val="18"/>
                <w:szCs w:val="18"/>
                <w:color w:val="auto"/>
              </w:rPr>
              <w:t>23.6%</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360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23.6%</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Canada</w:t>
            </w:r>
          </w:p>
        </w:tc>
        <w:tc>
          <w:tcPr>
            <w:tcW w:w="3600" w:type="dxa"/>
            <w:vAlign w:val="bottom"/>
            <w:gridSpan w:val="3"/>
          </w:tcPr>
          <w:p>
            <w:pPr>
              <w:jc w:val="right"/>
              <w:ind w:right="200"/>
              <w:spacing w:after="0"/>
              <w:rPr>
                <w:sz w:val="20"/>
                <w:szCs w:val="20"/>
                <w:color w:val="auto"/>
              </w:rPr>
            </w:pPr>
            <w:r>
              <w:rPr>
                <w:rFonts w:ascii="Arial" w:cs="Arial" w:eastAsia="Arial" w:hAnsi="Arial"/>
                <w:sz w:val="18"/>
                <w:szCs w:val="18"/>
                <w:color w:val="auto"/>
              </w:rPr>
              <w:t>1.3%</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20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11.3%</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30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208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vMerge w:val="continue"/>
          </w:tcPr>
          <w:p>
            <w:pPr>
              <w:spacing w:after="0"/>
              <w:rPr>
                <w:sz w:val="19"/>
                <w:szCs w:val="19"/>
                <w:color w:val="auto"/>
              </w:rPr>
            </w:pPr>
          </w:p>
        </w:tc>
        <w:tc>
          <w:tcPr>
            <w:tcW w:w="2080" w:type="dxa"/>
            <w:vAlign w:val="bottom"/>
            <w:vMerge w:val="continue"/>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Commitments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2014 and 2013, we had the following commitments to fund investments: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208"/>
        </w:trPr>
        <w:tc>
          <w:tcPr>
            <w:tcW w:w="3600" w:type="dxa"/>
            <w:vAlign w:val="bottom"/>
          </w:tcPr>
          <w:p>
            <w:pPr>
              <w:spacing w:after="0"/>
              <w:rPr>
                <w:sz w:val="20"/>
                <w:szCs w:val="20"/>
                <w:color w:val="auto"/>
              </w:rPr>
            </w:pPr>
            <w:r>
              <w:rPr>
                <w:rFonts w:ascii="Arial" w:cs="Arial" w:eastAsia="Arial" w:hAnsi="Arial"/>
                <w:sz w:val="14"/>
                <w:szCs w:val="14"/>
                <w:color w:val="auto"/>
              </w:rPr>
              <w:t>($ in millions)</w:t>
            </w:r>
          </w:p>
        </w:tc>
        <w:tc>
          <w:tcPr>
            <w:tcW w:w="176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2014</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secured revolving loan commitments</w:t>
            </w:r>
          </w:p>
        </w:tc>
        <w:tc>
          <w:tcPr>
            <w:tcW w:w="17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Senior secured term loan commitments</w:t>
            </w:r>
          </w:p>
        </w:tc>
        <w:tc>
          <w:tcPr>
            <w:tcW w:w="17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w w:val="99"/>
              </w:rPr>
              <w:t>Total Portfolio Company Commitments</w:t>
            </w:r>
          </w:p>
        </w:tc>
        <w:tc>
          <w:tcPr>
            <w:tcW w:w="17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1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760" w:type="dxa"/>
            <w:vAlign w:val="bottom"/>
            <w:vMerge w:val="restart"/>
          </w:tcPr>
          <w:p>
            <w:pPr>
              <w:jc w:val="right"/>
              <w:ind w:right="1190"/>
              <w:spacing w:after="0"/>
              <w:rPr>
                <w:sz w:val="20"/>
                <w:szCs w:val="20"/>
                <w:color w:val="auto"/>
              </w:rPr>
            </w:pPr>
            <w:r>
              <w:rPr>
                <w:rFonts w:ascii="Arial" w:cs="Arial" w:eastAsia="Arial" w:hAnsi="Arial"/>
                <w:sz w:val="18"/>
                <w:szCs w:val="18"/>
                <w:color w:val="auto"/>
              </w:rPr>
              <w:t>10</w:t>
            </w: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60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240" w:top="341" w:right="77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We compete for investments with a number of BDCs and other investment funds (including private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Many of these entities have greater financial and managerial resources than we do. In addition, many of our competitors are not subject to the regulatory restrictions that the 1940 Act imposes on us as a BDC. For additional information concerning the competitive risks we expect to face, see “</w:t>
      </w:r>
      <w:r>
        <w:rPr>
          <w:rFonts w:ascii="Arial" w:cs="Arial" w:eastAsia="Arial" w:hAnsi="Arial"/>
          <w:sz w:val="18"/>
          <w:szCs w:val="18"/>
          <w:i w:val="1"/>
          <w:iCs w:val="1"/>
          <w:color w:val="auto"/>
        </w:rPr>
        <w:t>ITEM 1A. RISK FACTORS—Risks Related to Our Business and Structure</w:t>
      </w:r>
      <w:r>
        <w:rPr>
          <w:rFonts w:ascii="Arial" w:cs="Arial" w:eastAsia="Arial" w:hAnsi="Arial"/>
          <w:sz w:val="18"/>
          <w:szCs w:val="18"/>
          <w:color w:val="auto"/>
        </w:rPr>
        <w:t xml:space="preserve"> </w:t>
      </w:r>
      <w:r>
        <w:rPr>
          <w:rFonts w:ascii="Arial" w:cs="Arial" w:eastAsia="Arial" w:hAnsi="Arial"/>
          <w:sz w:val="18"/>
          <w:szCs w:val="18"/>
          <w:i w:val="1"/>
          <w:iCs w:val="1"/>
          <w:color w:val="auto"/>
        </w:rPr>
        <w:t>—We operate in a highly competitive market for investment opportunities.</w:t>
      </w:r>
      <w:r>
        <w:rPr>
          <w:rFonts w:ascii="Arial" w:cs="Arial" w:eastAsia="Arial" w:hAnsi="Arial"/>
          <w:sz w:val="18"/>
          <w:szCs w:val="18"/>
          <w:color w:val="auto"/>
        </w:rPr>
        <w: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 and Borrowings</w:t>
      </w:r>
    </w:p>
    <w:p>
      <w:pPr>
        <w:spacing w:after="0" w:line="117"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We anticipate generating cash in the future from issuances of common stock and cash flows from operations, including interest received on our cash and cash equivalents, U.S. government securities and other high-quality debt investments that mature in one year or less.</w:t>
      </w:r>
    </w:p>
    <w:p>
      <w:pPr>
        <w:spacing w:after="0" w:line="170" w:lineRule="exact"/>
        <w:rPr>
          <w:sz w:val="20"/>
          <w:szCs w:val="20"/>
          <w:color w:val="auto"/>
        </w:rPr>
      </w:pPr>
    </w:p>
    <w:p>
      <w:pPr>
        <w:jc w:val="both"/>
        <w:ind w:right="60" w:firstLine="259"/>
        <w:spacing w:after="0" w:line="286" w:lineRule="auto"/>
        <w:rPr>
          <w:sz w:val="20"/>
          <w:szCs w:val="20"/>
          <w:color w:val="auto"/>
        </w:rPr>
      </w:pPr>
      <w:r>
        <w:rPr>
          <w:rFonts w:ascii="Arial" w:cs="Arial" w:eastAsia="Arial" w:hAnsi="Arial"/>
          <w:sz w:val="17"/>
          <w:szCs w:val="17"/>
          <w:color w:val="auto"/>
        </w:rPr>
        <w:t>Additionally, we are permitted, under specified conditions, to issue multiple classes of indebtedness and one class of shares senior to our common stock if our asset coverage, as defined in the 1940 Act, is at least equal to 200% immediately after each such issuance. As of December 31, 2014 and 2013, our asset coverage was 311.0% and 232.9%, respectively. See “</w:t>
      </w:r>
      <w:r>
        <w:rPr>
          <w:rFonts w:ascii="Arial" w:cs="Arial" w:eastAsia="Arial" w:hAnsi="Arial"/>
          <w:sz w:val="17"/>
          <w:szCs w:val="17"/>
          <w:i w:val="1"/>
          <w:iCs w:val="1"/>
          <w:color w:val="auto"/>
        </w:rPr>
        <w:t>Regulation as a Business Development Company—Senior Securities</w:t>
      </w:r>
      <w:r>
        <w:rPr>
          <w:rFonts w:ascii="Arial" w:cs="Arial" w:eastAsia="Arial" w:hAnsi="Arial"/>
          <w:sz w:val="17"/>
          <w:szCs w:val="17"/>
          <w:color w:val="auto"/>
        </w:rPr>
        <w:t>” below.</w:t>
      </w:r>
    </w:p>
    <w:p>
      <w:pPr>
        <w:spacing w:after="0" w:line="166" w:lineRule="exact"/>
        <w:rPr>
          <w:sz w:val="20"/>
          <w:szCs w:val="20"/>
          <w:color w:val="auto"/>
        </w:rPr>
      </w:pPr>
    </w:p>
    <w:p>
      <w:pPr>
        <w:ind w:right="140" w:firstLine="259"/>
        <w:spacing w:after="0" w:line="259" w:lineRule="auto"/>
        <w:rPr>
          <w:sz w:val="20"/>
          <w:szCs w:val="20"/>
          <w:color w:val="auto"/>
        </w:rPr>
      </w:pPr>
      <w:r>
        <w:rPr>
          <w:rFonts w:ascii="Arial" w:cs="Arial" w:eastAsia="Arial" w:hAnsi="Arial"/>
          <w:sz w:val="18"/>
          <w:szCs w:val="18"/>
          <w:color w:val="auto"/>
        </w:rPr>
        <w:t>Furthermore, while any indebtedness and senior securities remain outstanding, we must make provisions to prohibit any distribution to our stockholders (which may cause us to fail to distribute amounts necessary to avoid entity-level taxation under the Code), or the repurchase of such securities or shares unless we meet the applicable asset coverage ratios at the time of the distribution or repurchase. In addition, we must also comply with positive and negative covenants customary for these types of facilities.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Debt Obligations</w:t>
      </w:r>
      <w:r>
        <w:rPr>
          <w:rFonts w:ascii="Arial" w:cs="Arial" w:eastAsia="Arial" w:hAnsi="Arial"/>
          <w:sz w:val="18"/>
          <w:szCs w:val="18"/>
          <w:color w:val="auto"/>
        </w:rPr>
        <w:t>. Our debt obligations consisted of the following as of December 31, 2014 and 2013:</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Borrowings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76"/>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5"/>
                <w:szCs w:val="15"/>
                <w:color w:val="auto"/>
              </w:rPr>
            </w:pPr>
          </w:p>
        </w:tc>
      </w:tr>
      <w:tr>
        <w:trPr>
          <w:trHeight w:val="219"/>
        </w:trPr>
        <w:tc>
          <w:tcPr>
            <w:tcW w:w="540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0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4"/>
                <w:szCs w:val="14"/>
                <w:b w:val="1"/>
                <w:bCs w:val="1"/>
                <w:color w:val="auto"/>
                <w:w w:val="93"/>
              </w:rPr>
              <w:t>Total Facility</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Outstanding</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r>
      <w:tr>
        <w:trPr>
          <w:trHeight w:val="223"/>
        </w:trPr>
        <w:tc>
          <w:tcPr>
            <w:tcW w:w="20" w:type="dxa"/>
            <w:vAlign w:val="bottom"/>
          </w:tcPr>
          <w:p>
            <w:pPr>
              <w:spacing w:after="0"/>
              <w:rPr>
                <w:sz w:val="19"/>
                <w:szCs w:val="19"/>
                <w:color w:val="auto"/>
              </w:rPr>
            </w:pPr>
          </w:p>
        </w:tc>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SPV Asset Facility </w:t>
            </w:r>
            <w:r>
              <w:rPr>
                <w:rFonts w:ascii="Arial" w:cs="Arial" w:eastAsia="Arial" w:hAnsi="Arial"/>
                <w:sz w:val="15"/>
                <w:szCs w:val="15"/>
                <w:color w:val="auto"/>
              </w:rPr>
              <w:t>(2)</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781.3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466.2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b w:val="1"/>
                <w:bCs w:val="1"/>
                <w:color w:val="auto"/>
              </w:rPr>
              <w:t>Total Debt Obligations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0"/>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Borrowings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76"/>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5"/>
                <w:szCs w:val="15"/>
                <w:color w:val="auto"/>
              </w:rPr>
            </w:pPr>
          </w:p>
        </w:tc>
      </w:tr>
      <w:tr>
        <w:trPr>
          <w:trHeight w:val="219"/>
        </w:trPr>
        <w:tc>
          <w:tcPr>
            <w:tcW w:w="540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0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4"/>
                <w:szCs w:val="14"/>
                <w:b w:val="1"/>
                <w:bCs w:val="1"/>
                <w:color w:val="auto"/>
                <w:w w:val="93"/>
              </w:rPr>
              <w:t>Total Facility</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Outstanding</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r>
      <w:tr>
        <w:trPr>
          <w:trHeight w:val="223"/>
        </w:trPr>
        <w:tc>
          <w:tcPr>
            <w:tcW w:w="20" w:type="dxa"/>
            <w:vAlign w:val="bottom"/>
          </w:tcPr>
          <w:p>
            <w:pPr>
              <w:spacing w:after="0"/>
              <w:rPr>
                <w:sz w:val="19"/>
                <w:szCs w:val="19"/>
                <w:color w:val="auto"/>
              </w:rPr>
            </w:pPr>
          </w:p>
        </w:tc>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Subscription Credit Facility </w:t>
            </w:r>
            <w:r>
              <w:rPr>
                <w:rFonts w:ascii="Arial" w:cs="Arial" w:eastAsia="Arial" w:hAnsi="Arial"/>
                <w:sz w:val="15"/>
                <w:szCs w:val="15"/>
                <w:color w:val="auto"/>
              </w:rPr>
              <w:t>(3)</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SPV Asset Facility</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b w:val="1"/>
                <w:bCs w:val="1"/>
                <w:color w:val="auto"/>
              </w:rPr>
              <w:t>Total Debt Obligations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5"/>
          <w:szCs w:val="15"/>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5"/>
          <w:szCs w:val="15"/>
          <w:color w:val="auto"/>
        </w:rPr>
      </w:pPr>
    </w:p>
    <w:p>
      <w:pPr>
        <w:ind w:left="540" w:right="20" w:hanging="532"/>
        <w:spacing w:after="0" w:line="250" w:lineRule="auto"/>
        <w:tabs>
          <w:tab w:leader="none" w:pos="540" w:val="left"/>
        </w:tabs>
        <w:numPr>
          <w:ilvl w:val="0"/>
          <w:numId w:val="15"/>
        </w:numPr>
        <w:rPr>
          <w:rFonts w:ascii="Arial" w:cs="Arial" w:eastAsia="Arial" w:hAnsi="Arial"/>
          <w:sz w:val="15"/>
          <w:szCs w:val="15"/>
          <w:color w:val="auto"/>
        </w:rPr>
      </w:pPr>
      <w:r>
        <w:rPr>
          <w:rFonts w:ascii="Arial" w:cs="Arial" w:eastAsia="Arial" w:hAnsi="Arial"/>
          <w:sz w:val="18"/>
          <w:szCs w:val="18"/>
          <w:color w:val="auto"/>
        </w:rPr>
        <w:t>The reinvestment period under the SPV Asset Facility terminated on January 21, 2015 and accordingly any undrawn availability under the facility also terminated.</w:t>
      </w:r>
    </w:p>
    <w:p>
      <w:pPr>
        <w:ind w:left="540" w:right="520" w:hanging="532"/>
        <w:spacing w:after="0" w:line="261" w:lineRule="auto"/>
        <w:tabs>
          <w:tab w:leader="none" w:pos="540" w:val="left"/>
        </w:tabs>
        <w:numPr>
          <w:ilvl w:val="0"/>
          <w:numId w:val="15"/>
        </w:numPr>
        <w:rPr>
          <w:rFonts w:ascii="Arial" w:cs="Arial" w:eastAsia="Arial" w:hAnsi="Arial"/>
          <w:sz w:val="15"/>
          <w:szCs w:val="15"/>
          <w:color w:val="auto"/>
        </w:rPr>
      </w:pPr>
      <w:r>
        <w:rPr>
          <w:rFonts w:ascii="Arial" w:cs="Arial" w:eastAsia="Arial" w:hAnsi="Arial"/>
          <w:sz w:val="18"/>
          <w:szCs w:val="18"/>
          <w:color w:val="auto"/>
        </w:rPr>
        <w:t>On February 27, 2014, we terminated the Subscription Credit Facility, effective March 4, 2014. The outstanding balance was paid down prior to terminating the facility.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years ended December 31, 2014, 2013 and 2012, the components of interest expense were as follows: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53"/>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228"/>
        </w:trPr>
        <w:tc>
          <w:tcPr>
            <w:tcW w:w="354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2820" w:type="dxa"/>
            <w:vAlign w:val="bottom"/>
            <w:gridSpan w:val="3"/>
          </w:tcPr>
          <w:p>
            <w:pPr>
              <w:ind w:left="1640"/>
              <w:spacing w:after="0"/>
              <w:rPr>
                <w:sz w:val="20"/>
                <w:szCs w:val="20"/>
                <w:color w:val="auto"/>
              </w:rPr>
            </w:pPr>
            <w:r>
              <w:rPr>
                <w:rFonts w:ascii="Arial" w:cs="Arial" w:eastAsia="Arial" w:hAnsi="Arial"/>
                <w:sz w:val="14"/>
                <w:szCs w:val="14"/>
                <w:b w:val="1"/>
                <w:bCs w:val="1"/>
                <w:color w:val="auto"/>
                <w:w w:val="91"/>
              </w:rPr>
              <w:t>December 31, 2014</w:t>
            </w:r>
          </w:p>
        </w:tc>
        <w:tc>
          <w:tcPr>
            <w:tcW w:w="1360" w:type="dxa"/>
            <w:vAlign w:val="bottom"/>
            <w:gridSpan w:val="3"/>
          </w:tcPr>
          <w:p>
            <w:pPr>
              <w:ind w:left="160"/>
              <w:spacing w:after="0"/>
              <w:rPr>
                <w:sz w:val="20"/>
                <w:szCs w:val="20"/>
                <w:color w:val="auto"/>
              </w:rPr>
            </w:pPr>
            <w:r>
              <w:rPr>
                <w:rFonts w:ascii="Arial" w:cs="Arial" w:eastAsia="Arial" w:hAnsi="Arial"/>
                <w:sz w:val="14"/>
                <w:szCs w:val="14"/>
                <w:b w:val="1"/>
                <w:bCs w:val="1"/>
                <w:color w:val="auto"/>
                <w:w w:val="93"/>
              </w:rPr>
              <w:t>December 31, 2013</w:t>
            </w:r>
          </w:p>
        </w:tc>
        <w:tc>
          <w:tcPr>
            <w:tcW w:w="1420" w:type="dxa"/>
            <w:vAlign w:val="bottom"/>
            <w:gridSpan w:val="4"/>
          </w:tcPr>
          <w:p>
            <w:pPr>
              <w:ind w:left="160"/>
              <w:spacing w:after="0"/>
              <w:rPr>
                <w:sz w:val="20"/>
                <w:szCs w:val="20"/>
                <w:color w:val="auto"/>
              </w:rPr>
            </w:pPr>
            <w:r>
              <w:rPr>
                <w:rFonts w:ascii="Arial" w:cs="Arial" w:eastAsia="Arial" w:hAnsi="Arial"/>
                <w:sz w:val="14"/>
                <w:szCs w:val="14"/>
                <w:b w:val="1"/>
                <w:bCs w:val="1"/>
                <w:color w:val="auto"/>
                <w:w w:val="98"/>
              </w:rPr>
              <w:t>December 31, 2012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6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Commitment fees</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issuance costs</w:t>
            </w: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6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40" w:type="dxa"/>
            <w:vAlign w:val="bottom"/>
            <w:vMerge w:val="restart"/>
          </w:tcPr>
          <w:p>
            <w:pPr>
              <w:jc w:val="right"/>
              <w:ind w:right="439"/>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0" w:right="239" w:bottom="1440" w:gutter="0" w:footer="0" w:header="0"/>
        </w:sectPr>
      </w:pPr>
    </w:p>
    <w:bookmarkStart w:id="11" w:name="page12"/>
    <w:bookmarkEnd w:id="11"/>
    <w:p>
      <w:pPr>
        <w:ind w:right="260" w:firstLine="259"/>
        <w:spacing w:after="0" w:line="277" w:lineRule="auto"/>
        <w:rPr>
          <w:sz w:val="20"/>
          <w:szCs w:val="20"/>
          <w:color w:val="auto"/>
        </w:rPr>
      </w:pPr>
      <w:r>
        <w:rPr>
          <w:rFonts w:ascii="Arial" w:cs="Arial" w:eastAsia="Arial" w:hAnsi="Arial"/>
          <w:sz w:val="18"/>
          <w:szCs w:val="18"/>
          <w:color w:val="auto"/>
        </w:rPr>
        <w:t>For more information on our debt, see “</w:t>
      </w:r>
      <w:r>
        <w:rPr>
          <w:rFonts w:ascii="Arial" w:cs="Arial" w:eastAsia="Arial" w:hAnsi="Arial"/>
          <w:sz w:val="18"/>
          <w:szCs w:val="18"/>
          <w:i w:val="1"/>
          <w:iCs w:val="1"/>
          <w:color w:val="auto"/>
        </w:rPr>
        <w:t>ITEM 7. 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OPERATIONS——Financial Condition, Liquidity and Capital Resources.</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17"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To maintain our status as a RIC, we must distribute (or be treated as distributing) in each taxable year dividends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70" w:lineRule="exact"/>
        <w:rPr>
          <w:sz w:val="20"/>
          <w:szCs w:val="20"/>
          <w:color w:val="auto"/>
        </w:rPr>
      </w:pPr>
    </w:p>
    <w:p>
      <w:pPr>
        <w:ind w:left="520" w:hanging="253"/>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17" w:lineRule="exact"/>
        <w:rPr>
          <w:rFonts w:ascii="Arial" w:cs="Arial" w:eastAsia="Arial" w:hAnsi="Arial"/>
          <w:sz w:val="18"/>
          <w:szCs w:val="18"/>
          <w:color w:val="auto"/>
        </w:rPr>
      </w:pPr>
    </w:p>
    <w:p>
      <w:pPr>
        <w:ind w:left="520" w:right="120" w:hanging="253"/>
        <w:spacing w:after="0" w:line="27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180" w:firstLine="259"/>
        <w:spacing w:after="0" w:line="257" w:lineRule="auto"/>
        <w:rPr>
          <w:sz w:val="20"/>
          <w:szCs w:val="20"/>
          <w:color w:val="auto"/>
        </w:rPr>
      </w:pPr>
      <w:r>
        <w:rPr>
          <w:rFonts w:ascii="Arial" w:cs="Arial" w:eastAsia="Arial" w:hAnsi="Arial"/>
          <w:sz w:val="18"/>
          <w:szCs w:val="18"/>
          <w:color w:val="auto"/>
        </w:rPr>
        <w:t xml:space="preserve">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 </w:t>
      </w:r>
      <w:r>
        <w:rPr>
          <w:rFonts w:ascii="Arial" w:cs="Arial" w:eastAsia="Arial" w:hAnsi="Arial"/>
          <w:sz w:val="18"/>
          <w:szCs w:val="18"/>
          <w:i w:val="1"/>
          <w:iCs w:val="1"/>
          <w:color w:val="auto"/>
        </w:rPr>
        <w:t>See “ITEM 1A. RISK FACTORS—Risks Related to Our Business and Structure—We will be subject to corporate-level income tax if we are</w:t>
      </w:r>
      <w:r>
        <w:rPr>
          <w:rFonts w:ascii="Arial" w:cs="Arial" w:eastAsia="Arial" w:hAnsi="Arial"/>
          <w:sz w:val="18"/>
          <w:szCs w:val="18"/>
          <w:color w:val="auto"/>
        </w:rPr>
        <w:t xml:space="preserve"> </w:t>
      </w:r>
      <w:r>
        <w:rPr>
          <w:rFonts w:ascii="Arial" w:cs="Arial" w:eastAsia="Arial" w:hAnsi="Arial"/>
          <w:sz w:val="18"/>
          <w:szCs w:val="18"/>
          <w:i w:val="1"/>
          <w:iCs w:val="1"/>
          <w:color w:val="auto"/>
        </w:rPr>
        <w:t>unable to maintain our qualification as a RIC under Subchapter M of the Code.”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Reinvestment Plan</w:t>
      </w:r>
    </w:p>
    <w:p>
      <w:pPr>
        <w:spacing w:after="0" w:line="117" w:lineRule="exact"/>
        <w:rPr>
          <w:sz w:val="20"/>
          <w:szCs w:val="20"/>
          <w:color w:val="auto"/>
        </w:rPr>
      </w:pPr>
    </w:p>
    <w:p>
      <w:pPr>
        <w:ind w:right="180" w:firstLine="259"/>
        <w:spacing w:after="0" w:line="259"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187" w:lineRule="exact"/>
        <w:rPr>
          <w:sz w:val="20"/>
          <w:szCs w:val="20"/>
          <w:color w:val="auto"/>
        </w:rPr>
      </w:pPr>
    </w:p>
    <w:p>
      <w:pPr>
        <w:ind w:right="40" w:firstLine="259"/>
        <w:spacing w:after="0" w:line="276" w:lineRule="auto"/>
        <w:rPr>
          <w:sz w:val="20"/>
          <w:szCs w:val="20"/>
          <w:color w:val="auto"/>
        </w:rPr>
      </w:pPr>
      <w:r>
        <w:rPr>
          <w:rFonts w:ascii="Arial" w:cs="Arial" w:eastAsia="Arial" w:hAnsi="Arial"/>
          <w:sz w:val="17"/>
          <w:szCs w:val="17"/>
          <w:color w:val="auto"/>
        </w:rPr>
        <w:t>No action is required on the part of a registered stockholder to have its cash dividend or other distribution reinvested in our common stock. A registered stockholder is able to elect to receive an entire cash dividend or distribution in cash by notifying State Street Bank and Trust Company,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173" w:lineRule="exact"/>
        <w:rPr>
          <w:sz w:val="20"/>
          <w:szCs w:val="20"/>
          <w:color w:val="auto"/>
        </w:rPr>
      </w:pPr>
    </w:p>
    <w:p>
      <w:pPr>
        <w:ind w:firstLine="259"/>
        <w:spacing w:after="0" w:line="269" w:lineRule="auto"/>
        <w:rPr>
          <w:sz w:val="20"/>
          <w:szCs w:val="20"/>
          <w:color w:val="auto"/>
        </w:rPr>
      </w:pPr>
      <w:r>
        <w:rPr>
          <w:rFonts w:ascii="Arial" w:cs="Arial" w:eastAsia="Arial" w:hAnsi="Arial"/>
          <w:sz w:val="17"/>
          <w:szCs w:val="17"/>
          <w:color w:val="auto"/>
        </w:rPr>
        <w:t>Those stockholders whose shares are held by a broker or other financial intermediary may receive cash dividends and other distributions in cash by notifying their broker or other financial intermediary of their election. We expect to use primarily newly issued shares to make distributions under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or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3"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4" w:right="259" w:bottom="1440" w:gutter="0" w:footer="0" w:header="0"/>
        </w:sectPr>
      </w:pPr>
    </w:p>
    <w:bookmarkStart w:id="12" w:name="page13"/>
    <w:bookmarkEnd w:id="12"/>
    <w:p>
      <w:pPr>
        <w:ind w:right="420"/>
        <w:spacing w:after="0" w:line="277" w:lineRule="auto"/>
        <w:rPr>
          <w:sz w:val="20"/>
          <w:szCs w:val="20"/>
          <w:color w:val="auto"/>
        </w:rPr>
      </w:pPr>
      <w:r>
        <w:rPr>
          <w:rFonts w:ascii="Arial" w:cs="Arial" w:eastAsia="Arial" w:hAnsi="Arial"/>
          <w:sz w:val="18"/>
          <w:szCs w:val="18"/>
          <w:color w:val="auto"/>
        </w:rPr>
        <w:t>stockholders, the number of shares to be issued to the stockholder will be the amount equal to the total dollar amount of the cash dividend or distribution payable, net of applicable withholding taxes.</w:t>
      </w:r>
    </w:p>
    <w:p>
      <w:pPr>
        <w:spacing w:after="0" w:line="170" w:lineRule="exact"/>
        <w:rPr>
          <w:sz w:val="20"/>
          <w:szCs w:val="20"/>
          <w:color w:val="auto"/>
        </w:rPr>
      </w:pPr>
    </w:p>
    <w:p>
      <w:pPr>
        <w:jc w:val="both"/>
        <w:ind w:firstLine="259"/>
        <w:spacing w:after="0" w:line="302" w:lineRule="auto"/>
        <w:rPr>
          <w:sz w:val="20"/>
          <w:szCs w:val="20"/>
          <w:color w:val="auto"/>
        </w:rPr>
      </w:pPr>
      <w:r>
        <w:rPr>
          <w:rFonts w:ascii="Arial" w:cs="Arial" w:eastAsia="Arial" w:hAnsi="Arial"/>
          <w:sz w:val="16"/>
          <w:szCs w:val="16"/>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right="120" w:firstLine="259"/>
        <w:spacing w:after="0" w:line="271" w:lineRule="auto"/>
        <w:rPr>
          <w:sz w:val="20"/>
          <w:szCs w:val="20"/>
          <w:color w:val="auto"/>
        </w:rPr>
      </w:pPr>
      <w:r>
        <w:rPr>
          <w:rFonts w:ascii="Arial" w:cs="Arial" w:eastAsia="Arial" w:hAnsi="Arial"/>
          <w:sz w:val="17"/>
          <w:szCs w:val="17"/>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See “</w:t>
      </w:r>
      <w:r>
        <w:rPr>
          <w:rFonts w:ascii="Arial" w:cs="Arial" w:eastAsia="Arial" w:hAnsi="Arial"/>
          <w:sz w:val="17"/>
          <w:szCs w:val="17"/>
          <w:i w:val="1"/>
          <w:iCs w:val="1"/>
          <w:color w:val="auto"/>
        </w:rPr>
        <w:t>Investment Advisory Agreement; Administration Agreement; License Agreement</w:t>
      </w:r>
      <w:r>
        <w:rPr>
          <w:rFonts w:ascii="Arial" w:cs="Arial" w:eastAsia="Arial" w:hAnsi="Arial"/>
          <w:sz w:val="17"/>
          <w:szCs w:val="17"/>
          <w:color w:val="auto"/>
        </w:rPr>
        <w:t>”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 Administration Agreement; License Agreement</w:t>
      </w:r>
    </w:p>
    <w:p>
      <w:pPr>
        <w:spacing w:after="0" w:line="117" w:lineRule="exact"/>
        <w:rPr>
          <w:sz w:val="20"/>
          <w:szCs w:val="20"/>
          <w:color w:val="auto"/>
        </w:rPr>
      </w:pPr>
    </w:p>
    <w:p>
      <w:pPr>
        <w:ind w:right="640" w:firstLine="259"/>
        <w:spacing w:after="0" w:line="277"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subsequently amended on December 12, 2011.</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Under the Investment Advisory Agreement, the Adviser:</w:t>
      </w:r>
    </w:p>
    <w:p>
      <w:pPr>
        <w:spacing w:after="0" w:line="117" w:lineRule="exact"/>
        <w:rPr>
          <w:sz w:val="20"/>
          <w:szCs w:val="20"/>
          <w:color w:val="auto"/>
        </w:rPr>
      </w:pPr>
    </w:p>
    <w:p>
      <w:pPr>
        <w:ind w:left="520" w:hanging="253"/>
        <w:spacing w:after="0"/>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determines the composition of our portfolio, the nature and timing of the changes to our portfolio and the manner of implementing those changes;</w:t>
      </w:r>
    </w:p>
    <w:p>
      <w:pPr>
        <w:spacing w:after="0" w:line="128" w:lineRule="exact"/>
        <w:rPr>
          <w:rFonts w:ascii="Arial" w:cs="Arial" w:eastAsia="Arial" w:hAnsi="Arial"/>
          <w:sz w:val="17"/>
          <w:szCs w:val="17"/>
          <w:color w:val="auto"/>
        </w:rPr>
      </w:pPr>
    </w:p>
    <w:p>
      <w:pPr>
        <w:ind w:left="520" w:right="680" w:hanging="253"/>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closes, monitors and administers the investments we make, including the exercise of any rights in our capacity as a lender or equity holder; and</w:t>
      </w:r>
    </w:p>
    <w:p>
      <w:pPr>
        <w:spacing w:after="0" w:line="128" w:lineRule="exact"/>
        <w:rPr>
          <w:rFonts w:ascii="Arial" w:cs="Arial" w:eastAsia="Arial" w:hAnsi="Arial"/>
          <w:sz w:val="17"/>
          <w:szCs w:val="17"/>
          <w:color w:val="auto"/>
        </w:rPr>
      </w:pPr>
    </w:p>
    <w:p>
      <w:pPr>
        <w:ind w:left="520" w:right="120" w:hanging="253"/>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70"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70"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Under the terms of the Investment Advisory Agreement, we pay the Adviser a base management fee, or the “Management Fee,” and may also pay certain incentive fees, or “Incentive Fees”.</w:t>
      </w:r>
    </w:p>
    <w:p>
      <w:pPr>
        <w:spacing w:after="0" w:line="170"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year ended December 31, 2014, Management Fees were $18.3 million, of which $2.5 million were waived (see below).</w:t>
      </w:r>
    </w:p>
    <w:p>
      <w:pPr>
        <w:spacing w:after="0" w:line="225" w:lineRule="exact"/>
        <w:rPr>
          <w:sz w:val="20"/>
          <w:szCs w:val="20"/>
          <w:color w:val="auto"/>
        </w:rPr>
      </w:pPr>
    </w:p>
    <w:p>
      <w:pPr>
        <w:ind w:right="40" w:firstLine="259"/>
        <w:spacing w:after="0" w:line="302" w:lineRule="auto"/>
        <w:rPr>
          <w:sz w:val="20"/>
          <w:szCs w:val="20"/>
          <w:color w:val="auto"/>
        </w:rPr>
      </w:pPr>
      <w:r>
        <w:rPr>
          <w:rFonts w:ascii="Arial" w:cs="Arial" w:eastAsia="Arial" w:hAnsi="Arial"/>
          <w:sz w:val="16"/>
          <w:szCs w:val="16"/>
          <w:color w:val="auto"/>
        </w:rPr>
        <w:t>Until our initial public offering, or IPO, in March 2014,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were not subject to recoupment by the Adviser. Following the IPO, the Adviser has not waived its right to receive the full Management Fee and accordingly, we will be required to continue to pay the full amount of the Management Fee.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57" w:right="239" w:bottom="1440" w:gutter="0" w:footer="0" w:header="0"/>
        </w:sectPr>
      </w:pPr>
    </w:p>
    <w:bookmarkStart w:id="13" w:name="page14"/>
    <w:bookmarkEnd w:id="13"/>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780" w:right="40" w:hanging="513"/>
        <w:spacing w:after="0" w:line="271" w:lineRule="auto"/>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Through March 31, 2014, the quarter in which we completed our IPO, the first component, payable at the end of each quarter in arrears, equaled 100% of the pre-Incentive Fee net investment income in excess of a 1.5% quarterly “hurdle rate,” the calculation of which is further explained below, until the Adviser had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(7.04% annualized), which was the rate at which catch-up was achieved. Once the “hurdle rate” was reached and catch-up was achieved, 15% of any pre-Incentive Fee net investment income in excess of 1.76% in any quarter was payable to the Adviser.</w:t>
      </w:r>
    </w:p>
    <w:p>
      <w:pPr>
        <w:spacing w:after="0" w:line="70" w:lineRule="exact"/>
        <w:rPr>
          <w:rFonts w:ascii="Arial" w:cs="Arial" w:eastAsia="Arial" w:hAnsi="Arial"/>
          <w:sz w:val="17"/>
          <w:szCs w:val="17"/>
          <w:color w:val="auto"/>
        </w:rPr>
      </w:pPr>
    </w:p>
    <w:p>
      <w:pPr>
        <w:ind w:left="780"/>
        <w:spacing w:after="0" w:line="271" w:lineRule="auto"/>
        <w:rPr>
          <w:rFonts w:ascii="Arial" w:cs="Arial" w:eastAsia="Arial" w:hAnsi="Arial"/>
          <w:sz w:val="17"/>
          <w:szCs w:val="17"/>
          <w:color w:val="auto"/>
        </w:rPr>
      </w:pPr>
      <w:r>
        <w:rPr>
          <w:rFonts w:ascii="Arial" w:cs="Arial" w:eastAsia="Arial" w:hAnsi="Arial"/>
          <w:sz w:val="17"/>
          <w:szCs w:val="17"/>
          <w:color w:val="auto"/>
        </w:rPr>
        <w:t>Beginning April 1, 2014, the first quarter after our IPO,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0" w:lineRule="exact"/>
        <w:rPr>
          <w:rFonts w:ascii="Arial" w:cs="Arial" w:eastAsia="Arial" w:hAnsi="Arial"/>
          <w:sz w:val="17"/>
          <w:szCs w:val="17"/>
          <w:color w:val="auto"/>
        </w:rPr>
      </w:pPr>
    </w:p>
    <w:p>
      <w:pPr>
        <w:ind w:left="780" w:right="40"/>
        <w:spacing w:after="0" w:line="255" w:lineRule="auto"/>
        <w:rPr>
          <w:rFonts w:ascii="Arial" w:cs="Arial" w:eastAsia="Arial" w:hAnsi="Arial"/>
          <w:sz w:val="17"/>
          <w:szCs w:val="17"/>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81" w:lineRule="exact"/>
        <w:rPr>
          <w:rFonts w:ascii="Arial" w:cs="Arial" w:eastAsia="Arial" w:hAnsi="Arial"/>
          <w:sz w:val="17"/>
          <w:szCs w:val="17"/>
          <w:color w:val="auto"/>
        </w:rPr>
      </w:pPr>
    </w:p>
    <w:p>
      <w:pPr>
        <w:ind w:left="780" w:hanging="513"/>
        <w:spacing w:after="0" w:line="270" w:lineRule="auto"/>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Incentive Fee with respect to unrealized appreciation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w:t>
      </w:r>
    </w:p>
    <w:p>
      <w:pPr>
        <w:spacing w:after="0" w:line="182" w:lineRule="exact"/>
        <w:rPr>
          <w:sz w:val="20"/>
          <w:szCs w:val="20"/>
          <w:color w:val="auto"/>
        </w:rPr>
      </w:pPr>
    </w:p>
    <w:p>
      <w:pPr>
        <w:ind w:firstLine="259"/>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16" w:lineRule="exact"/>
        <w:rPr>
          <w:sz w:val="20"/>
          <w:szCs w:val="20"/>
          <w:color w:val="auto"/>
        </w:rPr>
      </w:pPr>
    </w:p>
    <w:p>
      <w:pPr>
        <w:ind w:left="520" w:hanging="253"/>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net assets as of the end of the calendar quarter immediately preceding the day; plus</w:t>
      </w:r>
    </w:p>
    <w:p>
      <w:pPr>
        <w:spacing w:after="0" w:line="117" w:lineRule="exact"/>
        <w:rPr>
          <w:rFonts w:ascii="Arial" w:cs="Arial" w:eastAsia="Arial" w:hAnsi="Arial"/>
          <w:sz w:val="18"/>
          <w:szCs w:val="18"/>
          <w:color w:val="auto"/>
        </w:rPr>
      </w:pPr>
    </w:p>
    <w:p>
      <w:pPr>
        <w:ind w:left="520" w:right="320" w:hanging="253"/>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our dividend reinvestment plan) from the beginning of the current quarter to the day; minus</w:t>
      </w:r>
    </w:p>
    <w:p>
      <w:pPr>
        <w:spacing w:after="0" w:line="62" w:lineRule="exact"/>
        <w:rPr>
          <w:rFonts w:ascii="Arial" w:cs="Arial" w:eastAsia="Arial" w:hAnsi="Arial"/>
          <w:sz w:val="18"/>
          <w:szCs w:val="18"/>
          <w:color w:val="auto"/>
        </w:rPr>
      </w:pPr>
    </w:p>
    <w:p>
      <w:pPr>
        <w:ind w:left="520" w:right="240" w:hanging="253"/>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70" w:lineRule="exact"/>
        <w:rPr>
          <w:sz w:val="20"/>
          <w:szCs w:val="20"/>
          <w:color w:val="auto"/>
        </w:rPr>
      </w:pPr>
    </w:p>
    <w:p>
      <w:pPr>
        <w:ind w:right="760" w:firstLine="259"/>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24"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557" w:right="279" w:bottom="1440" w:gutter="0" w:footer="0" w:header="0"/>
        </w:sectPr>
      </w:pPr>
    </w:p>
    <w:bookmarkStart w:id="14" w:name="page15"/>
    <w:bookmarkEnd w:id="14"/>
    <w:p>
      <w:pPr>
        <w:ind w:right="220"/>
        <w:spacing w:after="0" w:line="259" w:lineRule="auto"/>
        <w:rPr>
          <w:sz w:val="20"/>
          <w:szCs w:val="20"/>
          <w:color w:val="auto"/>
        </w:rPr>
      </w:pPr>
      <w:r>
        <w:rPr>
          <w:rFonts w:ascii="Arial" w:cs="Arial" w:eastAsia="Arial" w:hAnsi="Arial"/>
          <w:sz w:val="18"/>
          <w:szCs w:val="18"/>
          <w:color w:val="auto"/>
        </w:rPr>
        <w:t>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87"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We accrue the Incentive Fee taking into account unrealized gains and losses; however, Section 205(b)(3) of the Advisers Act, as amended, prohibits the Adviser from receiving the payment of fees until those gains are realized, if ever. There can be no assurance that such unrealized gains will be realized in the future. For the year ended December 31, 2014, Incentive Fees were $17.8 million, comprised of fees related to pre-incentive fee net investment income of $20.8 million offset by ($2.9) million of incentive fees related to capital gains and losses attributable to unrealized losses on investments and realized losses on foreign exchange transactions.</w:t>
      </w:r>
    </w:p>
    <w:p>
      <w:pPr>
        <w:spacing w:after="0" w:line="188" w:lineRule="exact"/>
        <w:rPr>
          <w:sz w:val="20"/>
          <w:szCs w:val="20"/>
          <w:color w:val="auto"/>
        </w:rPr>
      </w:pPr>
    </w:p>
    <w:p>
      <w:pPr>
        <w:ind w:right="240" w:firstLine="259"/>
        <w:spacing w:after="0" w:line="312" w:lineRule="auto"/>
        <w:rPr>
          <w:sz w:val="20"/>
          <w:szCs w:val="20"/>
          <w:color w:val="auto"/>
        </w:rPr>
      </w:pPr>
      <w:r>
        <w:rPr>
          <w:rFonts w:ascii="Arial" w:cs="Arial" w:eastAsia="Arial" w:hAnsi="Arial"/>
          <w:sz w:val="16"/>
          <w:szCs w:val="16"/>
          <w:color w:val="auto"/>
        </w:rPr>
        <w:t>On November 3, 2014, the Board renewed the Investment Advisory Agreement. Unless earlier terminated as described below, the Investment Advisory Agreement will remain in effect until November 3, 2015,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47" w:lineRule="exact"/>
        <w:rPr>
          <w:sz w:val="20"/>
          <w:szCs w:val="20"/>
          <w:color w:val="auto"/>
        </w:rPr>
      </w:pPr>
    </w:p>
    <w:p>
      <w:pPr>
        <w:ind w:right="400" w:firstLine="259"/>
        <w:spacing w:after="0" w:line="259" w:lineRule="auto"/>
        <w:rPr>
          <w:sz w:val="20"/>
          <w:szCs w:val="20"/>
          <w:color w:val="auto"/>
        </w:rPr>
      </w:pPr>
      <w:r>
        <w:rPr>
          <w:rFonts w:ascii="Arial" w:cs="Arial" w:eastAsia="Arial" w:hAnsi="Arial"/>
          <w:sz w:val="18"/>
          <w:szCs w:val="18"/>
          <w:color w:val="auto"/>
        </w:rPr>
        <w:t>The December 12, 2011 amendment to the Investment Advisory Agreement revised the base against which the 1.5% hurdle rate is measured when calculating the Adviser’s entitlement to receive a portion of our pre-Incentive Fee net investment income in any given calendar quarter. The amendment applied retroactively to October 1, 2011. Since the completion of our IPO, the base against which the hurdle rate is calculated is determined as described above in this section.</w:t>
      </w:r>
    </w:p>
    <w:p>
      <w:pPr>
        <w:spacing w:after="0" w:line="187"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70" w:lineRule="exact"/>
        <w:rPr>
          <w:sz w:val="20"/>
          <w:szCs w:val="20"/>
          <w:color w:val="auto"/>
        </w:rPr>
      </w:pPr>
    </w:p>
    <w:p>
      <w:pPr>
        <w:ind w:right="80" w:firstLine="259"/>
        <w:spacing w:after="0" w:line="272" w:lineRule="auto"/>
        <w:rPr>
          <w:sz w:val="20"/>
          <w:szCs w:val="20"/>
          <w:color w:val="auto"/>
        </w:rPr>
      </w:pPr>
      <w:r>
        <w:rPr>
          <w:rFonts w:ascii="Arial" w:cs="Arial" w:eastAsia="Arial" w:hAnsi="Arial"/>
          <w:sz w:val="17"/>
          <w:szCs w:val="17"/>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w:t>
      </w:r>
      <w:r>
        <w:rPr>
          <w:rFonts w:ascii="Arial" w:cs="Arial" w:eastAsia="Arial" w:hAnsi="Arial"/>
          <w:sz w:val="17"/>
          <w:szCs w:val="17"/>
          <w:i w:val="1"/>
          <w:iCs w:val="1"/>
          <w:color w:val="auto"/>
        </w:rPr>
        <w:t>Payment of</w:t>
      </w:r>
      <w:r>
        <w:rPr>
          <w:rFonts w:ascii="Arial" w:cs="Arial" w:eastAsia="Arial" w:hAnsi="Arial"/>
          <w:sz w:val="17"/>
          <w:szCs w:val="17"/>
          <w:color w:val="auto"/>
        </w:rPr>
        <w:t xml:space="preserve"> </w:t>
      </w:r>
      <w:r>
        <w:rPr>
          <w:rFonts w:ascii="Arial" w:cs="Arial" w:eastAsia="Arial" w:hAnsi="Arial"/>
          <w:sz w:val="17"/>
          <w:szCs w:val="17"/>
          <w:i w:val="1"/>
          <w:iCs w:val="1"/>
          <w:color w:val="auto"/>
        </w:rPr>
        <w:t>Our Expenses</w:t>
      </w:r>
      <w:r>
        <w:rPr>
          <w:rFonts w:ascii="Arial" w:cs="Arial" w:eastAsia="Arial" w:hAnsi="Arial"/>
          <w:sz w:val="17"/>
          <w:szCs w:val="17"/>
          <w:color w:val="auto"/>
        </w:rPr>
        <w:t>” below. In addition, the Adviser is permitted to delegate its duties under the Administration Agreement to affiliates or third parties and we pay</w:t>
      </w:r>
      <w:r>
        <w:rPr>
          <w:rFonts w:ascii="Arial" w:cs="Arial" w:eastAsia="Arial" w:hAnsi="Arial"/>
          <w:sz w:val="17"/>
          <w:szCs w:val="17"/>
          <w:i w:val="1"/>
          <w:iCs w:val="1"/>
          <w:color w:val="auto"/>
        </w:rPr>
        <w:t xml:space="preserve"> </w:t>
      </w:r>
      <w:r>
        <w:rPr>
          <w:rFonts w:ascii="Arial" w:cs="Arial" w:eastAsia="Arial" w:hAnsi="Arial"/>
          <w:sz w:val="17"/>
          <w:szCs w:val="17"/>
          <w:color w:val="auto"/>
        </w:rPr>
        <w:t>or reimburse the Adviser expenses incurred by any such affiliates or third parties for work done on our behalf. For the year ended December 31, 2014, we incurred expenses of $2.7 million for administrative services payable under the terms of the Administration Agreement.</w:t>
      </w:r>
    </w:p>
    <w:p>
      <w:pPr>
        <w:spacing w:after="0" w:line="178"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8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On November 3, 2014, the Board renewed the Administration Agreement. Unless earlier terminated as described below, the Administration Agreement will remain in effect until November 3, 2015,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20" w:firstLine="259"/>
        <w:spacing w:after="0" w:line="293"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such related activities (based on the percentage of time those individuals devote, on an estimated basis, to our business and affairs). Directors who are not affiliated with the Adviser receive compensation for their services and reimbursement of expenses incurred to attend meetings. See “</w:t>
      </w:r>
      <w:r>
        <w:rPr>
          <w:rFonts w:ascii="Arial" w:cs="Arial" w:eastAsia="Arial" w:hAnsi="Arial"/>
          <w:sz w:val="16"/>
          <w:szCs w:val="16"/>
          <w:i w:val="1"/>
          <w:iCs w:val="1"/>
          <w:color w:val="auto"/>
        </w:rPr>
        <w:t>ITEM 1A. RISK FACTORS—Risks Related to Our Business and Structure</w:t>
      </w:r>
      <w:r>
        <w:rPr>
          <w:rFonts w:ascii="Arial" w:cs="Arial" w:eastAsia="Arial" w:hAnsi="Arial"/>
          <w:sz w:val="16"/>
          <w:szCs w:val="16"/>
          <w:color w:val="auto"/>
        </w:rPr>
        <w:t xml:space="preserve"> </w:t>
      </w:r>
      <w:r>
        <w:rPr>
          <w:rFonts w:ascii="Arial" w:cs="Arial" w:eastAsia="Arial" w:hAnsi="Arial"/>
          <w:sz w:val="16"/>
          <w:szCs w:val="16"/>
          <w:i w:val="1"/>
          <w:iCs w:val="1"/>
          <w:color w:val="auto"/>
        </w:rPr>
        <w:t>—We are dependent upon management personnel of the Adviser, TSSP, TPG and their affiliates for our future success</w:t>
      </w:r>
      <w:r>
        <w:rPr>
          <w:rFonts w:ascii="Arial" w:cs="Arial" w:eastAsia="Arial" w:hAnsi="Arial"/>
          <w:sz w:val="16"/>
          <w:szCs w:val="16"/>
          <w:color w:val="auto"/>
        </w:rPr>
        <w:t>.”</w:t>
      </w:r>
    </w:p>
    <w:p>
      <w:pPr>
        <w:spacing w:after="0" w:line="165" w:lineRule="exact"/>
        <w:rPr>
          <w:sz w:val="20"/>
          <w:szCs w:val="20"/>
          <w:color w:val="auto"/>
        </w:rPr>
      </w:pPr>
    </w:p>
    <w:p>
      <w:pPr>
        <w:ind w:right="20" w:firstLine="259"/>
        <w:spacing w:after="0" w:line="270" w:lineRule="auto"/>
        <w:rPr>
          <w:sz w:val="20"/>
          <w:szCs w:val="20"/>
          <w:color w:val="auto"/>
        </w:rPr>
      </w:pPr>
      <w:r>
        <w:rPr>
          <w:rFonts w:ascii="Arial" w:cs="Arial" w:eastAsia="Arial" w:hAnsi="Arial"/>
          <w:sz w:val="17"/>
          <w:szCs w:val="17"/>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57" w:right="259" w:bottom="1440" w:gutter="0" w:footer="0" w:header="0"/>
        </w:sectPr>
      </w:pPr>
    </w:p>
    <w:bookmarkStart w:id="15" w:name="page16"/>
    <w:bookmarkEnd w:id="15"/>
    <w:p>
      <w:pPr>
        <w:spacing w:after="0" w:line="286" w:lineRule="auto"/>
        <w:rPr>
          <w:sz w:val="20"/>
          <w:szCs w:val="20"/>
          <w:color w:val="auto"/>
        </w:rPr>
      </w:pPr>
      <w:r>
        <w:rPr>
          <w:rFonts w:ascii="Arial" w:cs="Arial" w:eastAsia="Arial" w:hAnsi="Arial"/>
          <w:sz w:val="17"/>
          <w:szCs w:val="17"/>
          <w:color w:val="auto"/>
        </w:rPr>
        <w:t>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66" w:lineRule="exact"/>
        <w:rPr>
          <w:sz w:val="20"/>
          <w:szCs w:val="20"/>
          <w:color w:val="auto"/>
        </w:rPr>
      </w:pPr>
    </w:p>
    <w:p>
      <w:pPr>
        <w:ind w:right="260" w:firstLine="259"/>
        <w:spacing w:after="0" w:line="34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24"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32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Quarterly Incentive Fee Based on Net Investment Income</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152400</wp:posOffset>
            </wp:positionV>
            <wp:extent cx="4570730" cy="892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70730"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Percentage of pre-Incentive Fee net investment income allocated to income-related portion of Incentive Fee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 income – (management fee + other expenses)) = 1.425%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Pre-Incentive Fee net investment income does not exceed hurdle rate, therefore there is no Incentive Fee.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940" w:hanging="156"/>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940" w:hanging="156"/>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0.3%</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557" w:right="2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260" w:right="388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 0.32%</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940" w:hanging="156"/>
        <w:spacing w:after="0"/>
        <w:tabs>
          <w:tab w:leader="none" w:pos="9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940" w:hanging="156"/>
        <w:spacing w:after="0"/>
        <w:tabs>
          <w:tab w:leader="none" w:pos="9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940" w:hanging="156"/>
        <w:spacing w:after="0"/>
        <w:tabs>
          <w:tab w:leader="none" w:pos="9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0.513%</w:t>
      </w:r>
    </w:p>
    <w:p>
      <w:pPr>
        <w:spacing w:after="0" w:line="102"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6.0% annualized hurdle rate.</w:t>
      </w:r>
    </w:p>
    <w:p>
      <w:pPr>
        <w:spacing w:after="0" w:line="23"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1.5% annualized management fee.</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jc w:val="both"/>
        <w:ind w:left="540" w:right="20" w:hanging="532"/>
        <w:spacing w:after="0" w:line="265" w:lineRule="auto"/>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“catch-up” provision is intended to provide the Adviser with an Incentive Fee of 17.5% on all of our pre-Incentive Fee net investment income as if a hurdle rate did not apply when our net investment income exceeds 17.5% in any calendar quarter and is not applied once the Adviser has received 17.5% of investment income in a quarter. The “catch-up” portion of our pre-Incentive Fee Net Investment Income is the portion that exceeds the 1.5% hurdle rate but is less than or equal to approximately 1.82% (that is, 1.5% divided by (1 – 0.175)) in any fiscal quarter.</w:t>
      </w:r>
    </w:p>
    <w:p>
      <w:pPr>
        <w:spacing w:after="0" w:line="1"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520" w:hanging="253"/>
        <w:spacing w:after="0" w:line="264"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1: $10 million investment made in Company A (“Investment A”), $10 million investment made in Company B (“Investment B”), $10 million investment made in Company C (“Investment C”), $10 million investment made in Company D (“Investment D”) and $10 million investment made in Company E (“Investment E”).</w:t>
      </w:r>
    </w:p>
    <w:p>
      <w:pPr>
        <w:spacing w:after="0" w:line="73" w:lineRule="exact"/>
        <w:rPr>
          <w:rFonts w:ascii="Arial" w:cs="Arial" w:eastAsia="Arial" w:hAnsi="Arial"/>
          <w:sz w:val="18"/>
          <w:szCs w:val="18"/>
          <w:color w:val="auto"/>
        </w:rPr>
      </w:pPr>
    </w:p>
    <w:p>
      <w:pPr>
        <w:ind w:left="520" w:right="20" w:hanging="253"/>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62" w:lineRule="exact"/>
        <w:rPr>
          <w:rFonts w:ascii="Arial" w:cs="Arial" w:eastAsia="Arial" w:hAnsi="Arial"/>
          <w:sz w:val="18"/>
          <w:szCs w:val="18"/>
          <w:color w:val="auto"/>
        </w:rPr>
      </w:pPr>
    </w:p>
    <w:p>
      <w:pPr>
        <w:ind w:left="520" w:right="500" w:hanging="253"/>
        <w:spacing w:after="0" w:line="308"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38" w:lineRule="exact"/>
        <w:rPr>
          <w:rFonts w:ascii="Arial" w:cs="Arial" w:eastAsia="Arial" w:hAnsi="Arial"/>
          <w:sz w:val="17"/>
          <w:szCs w:val="17"/>
          <w:color w:val="auto"/>
        </w:rPr>
      </w:pPr>
    </w:p>
    <w:p>
      <w:pPr>
        <w:ind w:left="520" w:right="40" w:hanging="253"/>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62" w:lineRule="exact"/>
        <w:rPr>
          <w:rFonts w:ascii="Arial" w:cs="Arial" w:eastAsia="Arial" w:hAnsi="Arial"/>
          <w:sz w:val="18"/>
          <w:szCs w:val="18"/>
          <w:color w:val="auto"/>
        </w:rPr>
      </w:pPr>
    </w:p>
    <w:p>
      <w:pPr>
        <w:ind w:left="520" w:right="220" w:hanging="253"/>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Year 6: Investment B sold for $16 million, FMV of Investment E determined to be $8 million and FMV of Investment F determined to be $15 million.</w:t>
      </w:r>
    </w:p>
    <w:p>
      <w:pPr>
        <w:spacing w:after="0" w:line="140" w:lineRule="exact"/>
        <w:rPr>
          <w:rFonts w:ascii="Arial" w:cs="Arial" w:eastAsia="Arial" w:hAnsi="Arial"/>
          <w:sz w:val="16"/>
          <w:szCs w:val="16"/>
          <w:color w:val="auto"/>
        </w:rPr>
      </w:pPr>
    </w:p>
    <w:p>
      <w:pPr>
        <w:ind w:left="520" w:hanging="253"/>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661" w:right="279" w:bottom="1440" w:gutter="0" w:footer="0" w:header="0"/>
        </w:sectPr>
      </w:pPr>
    </w:p>
    <w:bookmarkStart w:id="17" w:name="page18"/>
    <w:bookmarkEnd w:id="17"/>
    <w:p>
      <w:pPr>
        <w:ind w:left="260"/>
        <w:spacing w:after="0"/>
        <w:rPr>
          <w:sz w:val="20"/>
          <w:szCs w:val="20"/>
          <w:color w:val="auto"/>
        </w:rPr>
      </w:pPr>
      <w:r>
        <w:rPr>
          <w:rFonts w:ascii="Arial" w:cs="Arial" w:eastAsia="Arial" w:hAnsi="Arial"/>
          <w:sz w:val="18"/>
          <w:szCs w:val="18"/>
          <w:color w:val="auto"/>
        </w:rPr>
        <w:t>These assumptions are summarized in the following chart:</w:t>
      </w:r>
    </w:p>
    <w:p>
      <w:pPr>
        <w:spacing w:after="0" w:line="230" w:lineRule="exact"/>
        <w:rPr>
          <w:sz w:val="20"/>
          <w:szCs w:val="20"/>
          <w:color w:val="auto"/>
        </w:rPr>
      </w:pPr>
    </w:p>
    <w:tbl>
      <w:tblPr>
        <w:tblLayout w:type="fixed"/>
        <w:tblInd w:w="204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Cumulative</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Cumulative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Cumulative</w:t>
            </w:r>
          </w:p>
        </w:tc>
      </w:tr>
      <w:tr>
        <w:trPr>
          <w:trHeight w:val="162"/>
        </w:trPr>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Unrealized</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Realized</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Realized</w:t>
            </w:r>
          </w:p>
        </w:tc>
      </w:tr>
      <w:tr>
        <w:trPr>
          <w:trHeight w:val="162"/>
        </w:trPr>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Investment</w:t>
            </w: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Investment</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Investment</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Investment</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Investment</w:t>
            </w: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Investment</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r>
      <w:tr>
        <w:trPr>
          <w:trHeight w:val="171"/>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B</w:t>
            </w:r>
          </w:p>
        </w:tc>
        <w:tc>
          <w:tcPr>
            <w:tcW w:w="1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w:t>
            </w:r>
          </w:p>
        </w:tc>
        <w:tc>
          <w:tcPr>
            <w:tcW w:w="1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Depreciation</w:t>
            </w:r>
          </w:p>
        </w:tc>
        <w:tc>
          <w:tcPr>
            <w:tcW w:w="1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Year 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Year 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940" w:type="dxa"/>
            <w:vAlign w:val="bottom"/>
          </w:tcPr>
          <w:p>
            <w:pPr>
              <w:spacing w:after="0"/>
              <w:rPr>
                <w:sz w:val="20"/>
                <w:szCs w:val="20"/>
                <w:color w:val="auto"/>
              </w:rPr>
            </w:pPr>
            <w:r>
              <w:rPr>
                <w:rFonts w:ascii="Arial" w:cs="Arial" w:eastAsia="Arial" w:hAnsi="Arial"/>
                <w:sz w:val="18"/>
                <w:szCs w:val="18"/>
                <w:color w:val="auto"/>
              </w:rPr>
              <w:t>$10 million</w:t>
            </w:r>
          </w:p>
        </w:tc>
        <w:tc>
          <w:tcPr>
            <w:tcW w:w="1060" w:type="dxa"/>
            <w:vAlign w:val="bottom"/>
          </w:tcPr>
          <w:p>
            <w:pPr>
              <w:ind w:left="100"/>
              <w:spacing w:after="0"/>
              <w:rPr>
                <w:sz w:val="20"/>
                <w:szCs w:val="20"/>
                <w:color w:val="auto"/>
              </w:rPr>
            </w:pPr>
            <w:r>
              <w:rPr>
                <w:rFonts w:ascii="Arial" w:cs="Arial" w:eastAsia="Arial" w:hAnsi="Arial"/>
                <w:sz w:val="18"/>
                <w:szCs w:val="18"/>
                <w:color w:val="auto"/>
              </w:rPr>
              <w:t>$10 million</w:t>
            </w:r>
          </w:p>
        </w:tc>
        <w:tc>
          <w:tcPr>
            <w:tcW w:w="1040" w:type="dxa"/>
            <w:vAlign w:val="bottom"/>
          </w:tcPr>
          <w:p>
            <w:pPr>
              <w:ind w:left="100"/>
              <w:spacing w:after="0"/>
              <w:rPr>
                <w:sz w:val="20"/>
                <w:szCs w:val="20"/>
                <w:color w:val="auto"/>
              </w:rPr>
            </w:pPr>
            <w:r>
              <w:rPr>
                <w:rFonts w:ascii="Arial" w:cs="Arial" w:eastAsia="Arial" w:hAnsi="Arial"/>
                <w:sz w:val="18"/>
                <w:szCs w:val="18"/>
                <w:color w:val="auto"/>
              </w:rPr>
              <w:t>$10 million</w:t>
            </w:r>
          </w:p>
        </w:tc>
        <w:tc>
          <w:tcPr>
            <w:tcW w:w="1060" w:type="dxa"/>
            <w:vAlign w:val="bottom"/>
          </w:tcPr>
          <w:p>
            <w:pPr>
              <w:ind w:left="120"/>
              <w:spacing w:after="0"/>
              <w:rPr>
                <w:sz w:val="20"/>
                <w:szCs w:val="20"/>
                <w:color w:val="auto"/>
              </w:rPr>
            </w:pPr>
            <w:r>
              <w:rPr>
                <w:rFonts w:ascii="Arial" w:cs="Arial" w:eastAsia="Arial" w:hAnsi="Arial"/>
                <w:sz w:val="18"/>
                <w:szCs w:val="18"/>
                <w:color w:val="auto"/>
              </w:rPr>
              <w:t>$10 million</w:t>
            </w:r>
          </w:p>
        </w:tc>
        <w:tc>
          <w:tcPr>
            <w:tcW w:w="1060" w:type="dxa"/>
            <w:vAlign w:val="bottom"/>
          </w:tcPr>
          <w:p>
            <w:pPr>
              <w:ind w:left="100"/>
              <w:spacing w:after="0"/>
              <w:rPr>
                <w:sz w:val="20"/>
                <w:szCs w:val="20"/>
                <w:color w:val="auto"/>
              </w:rPr>
            </w:pPr>
            <w:r>
              <w:rPr>
                <w:rFonts w:ascii="Arial" w:cs="Arial" w:eastAsia="Arial" w:hAnsi="Arial"/>
                <w:sz w:val="18"/>
                <w:szCs w:val="18"/>
                <w:color w:val="auto"/>
              </w:rPr>
              <w:t>$10 million</w:t>
            </w:r>
          </w:p>
        </w:tc>
        <w:tc>
          <w:tcPr>
            <w:tcW w:w="740" w:type="dxa"/>
            <w:vAlign w:val="bottom"/>
          </w:tcPr>
          <w:p>
            <w:pPr>
              <w:ind w:left="120"/>
              <w:spacing w:after="0"/>
              <w:rPr>
                <w:sz w:val="20"/>
                <w:szCs w:val="20"/>
                <w:color w:val="auto"/>
              </w:rPr>
            </w:pPr>
            <w:r>
              <w:rPr>
                <w:rFonts w:ascii="Arial" w:cs="Arial" w:eastAsia="Arial" w:hAnsi="Arial"/>
                <w:sz w:val="18"/>
                <w:szCs w:val="18"/>
                <w:color w:val="auto"/>
              </w:rPr>
              <w:t>—</w:t>
            </w:r>
          </w:p>
        </w:tc>
        <w:tc>
          <w:tcPr>
            <w:tcW w:w="1360" w:type="dxa"/>
            <w:vAlign w:val="bottom"/>
          </w:tcPr>
          <w:p>
            <w:pPr>
              <w:ind w:left="440"/>
              <w:spacing w:after="0"/>
              <w:rPr>
                <w:sz w:val="20"/>
                <w:szCs w:val="20"/>
                <w:color w:val="auto"/>
              </w:rPr>
            </w:pPr>
            <w:r>
              <w:rPr>
                <w:rFonts w:ascii="Arial" w:cs="Arial" w:eastAsia="Arial" w:hAnsi="Arial"/>
                <w:sz w:val="18"/>
                <w:szCs w:val="18"/>
                <w:color w:val="auto"/>
              </w:rPr>
              <w:t>—</w:t>
            </w:r>
          </w:p>
        </w:tc>
        <w:tc>
          <w:tcPr>
            <w:tcW w:w="800" w:type="dxa"/>
            <w:vAlign w:val="bottom"/>
          </w:tcPr>
          <w:p>
            <w:pPr>
              <w:ind w:left="160"/>
              <w:spacing w:after="0"/>
              <w:rPr>
                <w:sz w:val="20"/>
                <w:szCs w:val="20"/>
                <w:color w:val="auto"/>
              </w:rPr>
            </w:pPr>
            <w:r>
              <w:rPr>
                <w:rFonts w:ascii="Arial" w:cs="Arial" w:eastAsia="Arial" w:hAnsi="Arial"/>
                <w:sz w:val="18"/>
                <w:szCs w:val="18"/>
                <w:color w:val="auto"/>
              </w:rPr>
              <w:t>—</w:t>
            </w:r>
          </w:p>
        </w:tc>
        <w:tc>
          <w:tcPr>
            <w:tcW w:w="1280" w:type="dxa"/>
            <w:vAlign w:val="bottom"/>
          </w:tcPr>
          <w:p>
            <w:pPr>
              <w:ind w:left="440"/>
              <w:spacing w:after="0"/>
              <w:rPr>
                <w:sz w:val="20"/>
                <w:szCs w:val="20"/>
                <w:color w:val="auto"/>
              </w:rPr>
            </w:pPr>
            <w:r>
              <w:rPr>
                <w:rFonts w:ascii="Arial" w:cs="Arial" w:eastAsia="Arial" w:hAnsi="Arial"/>
                <w:sz w:val="18"/>
                <w:szCs w:val="18"/>
                <w:color w:val="auto"/>
              </w:rPr>
              <w:t>—</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w w:val="99"/>
              </w:rPr>
              <w:t>(cost basis)</w:t>
            </w:r>
          </w:p>
        </w:tc>
        <w:tc>
          <w:tcPr>
            <w:tcW w:w="1060" w:type="dxa"/>
            <w:vAlign w:val="bottom"/>
          </w:tcPr>
          <w:p>
            <w:pPr>
              <w:ind w:left="100"/>
              <w:spacing w:after="0"/>
              <w:rPr>
                <w:sz w:val="20"/>
                <w:szCs w:val="20"/>
                <w:color w:val="auto"/>
              </w:rPr>
            </w:pPr>
            <w:r>
              <w:rPr>
                <w:rFonts w:ascii="Arial" w:cs="Arial" w:eastAsia="Arial" w:hAnsi="Arial"/>
                <w:sz w:val="18"/>
                <w:szCs w:val="18"/>
                <w:color w:val="auto"/>
              </w:rPr>
              <w:t>(cost basis)</w:t>
            </w:r>
          </w:p>
        </w:tc>
        <w:tc>
          <w:tcPr>
            <w:tcW w:w="1040" w:type="dxa"/>
            <w:vAlign w:val="bottom"/>
          </w:tcPr>
          <w:p>
            <w:pPr>
              <w:ind w:left="100"/>
              <w:spacing w:after="0"/>
              <w:rPr>
                <w:sz w:val="20"/>
                <w:szCs w:val="20"/>
                <w:color w:val="auto"/>
              </w:rPr>
            </w:pPr>
            <w:r>
              <w:rPr>
                <w:rFonts w:ascii="Arial" w:cs="Arial" w:eastAsia="Arial" w:hAnsi="Arial"/>
                <w:sz w:val="18"/>
                <w:szCs w:val="18"/>
                <w:color w:val="auto"/>
                <w:w w:val="99"/>
              </w:rPr>
              <w:t>(cost basis)</w:t>
            </w:r>
          </w:p>
        </w:tc>
        <w:tc>
          <w:tcPr>
            <w:tcW w:w="1060" w:type="dxa"/>
            <w:vAlign w:val="bottom"/>
          </w:tcPr>
          <w:p>
            <w:pPr>
              <w:ind w:left="120"/>
              <w:spacing w:after="0"/>
              <w:rPr>
                <w:sz w:val="20"/>
                <w:szCs w:val="20"/>
                <w:color w:val="auto"/>
              </w:rPr>
            </w:pPr>
            <w:r>
              <w:rPr>
                <w:rFonts w:ascii="Arial" w:cs="Arial" w:eastAsia="Arial" w:hAnsi="Arial"/>
                <w:sz w:val="18"/>
                <w:szCs w:val="18"/>
                <w:color w:val="auto"/>
                <w:w w:val="99"/>
              </w:rPr>
              <w:t>(cost basis)</w:t>
            </w:r>
          </w:p>
        </w:tc>
        <w:tc>
          <w:tcPr>
            <w:tcW w:w="1060" w:type="dxa"/>
            <w:vAlign w:val="bottom"/>
          </w:tcPr>
          <w:p>
            <w:pPr>
              <w:ind w:left="100"/>
              <w:spacing w:after="0"/>
              <w:rPr>
                <w:sz w:val="20"/>
                <w:szCs w:val="20"/>
                <w:color w:val="auto"/>
              </w:rPr>
            </w:pPr>
            <w:r>
              <w:rPr>
                <w:rFonts w:ascii="Arial" w:cs="Arial" w:eastAsia="Arial" w:hAnsi="Arial"/>
                <w:sz w:val="18"/>
                <w:szCs w:val="18"/>
                <w:color w:val="auto"/>
              </w:rPr>
              <w:t>(cost basis)</w:t>
            </w:r>
          </w:p>
        </w:tc>
        <w:tc>
          <w:tcPr>
            <w:tcW w:w="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$20 million</w:t>
            </w:r>
          </w:p>
        </w:tc>
        <w:tc>
          <w:tcPr>
            <w:tcW w:w="1060" w:type="dxa"/>
            <w:vAlign w:val="bottom"/>
          </w:tcPr>
          <w:p>
            <w:pPr>
              <w:ind w:left="100"/>
              <w:spacing w:after="0"/>
              <w:rPr>
                <w:sz w:val="20"/>
                <w:szCs w:val="20"/>
                <w:color w:val="auto"/>
              </w:rPr>
            </w:pPr>
            <w:r>
              <w:rPr>
                <w:rFonts w:ascii="Arial" w:cs="Arial" w:eastAsia="Arial" w:hAnsi="Arial"/>
                <w:sz w:val="18"/>
                <w:szCs w:val="18"/>
                <w:color w:val="auto"/>
              </w:rPr>
              <w:t>$8 million</w:t>
            </w:r>
          </w:p>
        </w:tc>
        <w:tc>
          <w:tcPr>
            <w:tcW w:w="1040" w:type="dxa"/>
            <w:vAlign w:val="bottom"/>
          </w:tcPr>
          <w:p>
            <w:pPr>
              <w:ind w:left="100"/>
              <w:spacing w:after="0"/>
              <w:rPr>
                <w:sz w:val="20"/>
                <w:szCs w:val="20"/>
                <w:color w:val="auto"/>
              </w:rPr>
            </w:pPr>
            <w:r>
              <w:rPr>
                <w:rFonts w:ascii="Arial" w:cs="Arial" w:eastAsia="Arial" w:hAnsi="Arial"/>
                <w:sz w:val="18"/>
                <w:szCs w:val="18"/>
                <w:color w:val="auto"/>
              </w:rPr>
              <w:t>$12 million</w:t>
            </w:r>
          </w:p>
        </w:tc>
        <w:tc>
          <w:tcPr>
            <w:tcW w:w="1060" w:type="dxa"/>
            <w:vAlign w:val="bottom"/>
          </w:tcPr>
          <w:p>
            <w:pPr>
              <w:ind w:left="120"/>
              <w:spacing w:after="0"/>
              <w:rPr>
                <w:sz w:val="20"/>
                <w:szCs w:val="20"/>
                <w:color w:val="auto"/>
              </w:rPr>
            </w:pPr>
            <w:r>
              <w:rPr>
                <w:rFonts w:ascii="Arial" w:cs="Arial" w:eastAsia="Arial" w:hAnsi="Arial"/>
                <w:sz w:val="18"/>
                <w:szCs w:val="18"/>
                <w:color w:val="auto"/>
              </w:rPr>
              <w:t>$10 million</w:t>
            </w:r>
          </w:p>
        </w:tc>
        <w:tc>
          <w:tcPr>
            <w:tcW w:w="1060" w:type="dxa"/>
            <w:vAlign w:val="bottom"/>
          </w:tcPr>
          <w:p>
            <w:pPr>
              <w:ind w:left="100"/>
              <w:spacing w:after="0"/>
              <w:rPr>
                <w:sz w:val="20"/>
                <w:szCs w:val="20"/>
                <w:color w:val="auto"/>
              </w:rPr>
            </w:pPr>
            <w:r>
              <w:rPr>
                <w:rFonts w:ascii="Arial" w:cs="Arial" w:eastAsia="Arial" w:hAnsi="Arial"/>
                <w:sz w:val="18"/>
                <w:szCs w:val="18"/>
                <w:color w:val="auto"/>
              </w:rPr>
              <w:t>$10 million</w:t>
            </w:r>
          </w:p>
        </w:tc>
        <w:tc>
          <w:tcPr>
            <w:tcW w:w="740" w:type="dxa"/>
            <w:vAlign w:val="bottom"/>
          </w:tcPr>
          <w:p>
            <w:pPr>
              <w:ind w:left="120"/>
              <w:spacing w:after="0"/>
              <w:rPr>
                <w:sz w:val="20"/>
                <w:szCs w:val="20"/>
                <w:color w:val="auto"/>
              </w:rPr>
            </w:pPr>
            <w:r>
              <w:rPr>
                <w:rFonts w:ascii="Arial" w:cs="Arial" w:eastAsia="Arial" w:hAnsi="Arial"/>
                <w:sz w:val="18"/>
                <w:szCs w:val="18"/>
                <w:color w:val="auto"/>
              </w:rPr>
              <w:t>—</w:t>
            </w:r>
          </w:p>
        </w:tc>
        <w:tc>
          <w:tcPr>
            <w:tcW w:w="1360" w:type="dxa"/>
            <w:vAlign w:val="bottom"/>
          </w:tcPr>
          <w:p>
            <w:pPr>
              <w:ind w:left="440"/>
              <w:spacing w:after="0"/>
              <w:rPr>
                <w:sz w:val="20"/>
                <w:szCs w:val="20"/>
                <w:color w:val="auto"/>
              </w:rPr>
            </w:pPr>
            <w:r>
              <w:rPr>
                <w:rFonts w:ascii="Arial" w:cs="Arial" w:eastAsia="Arial" w:hAnsi="Arial"/>
                <w:sz w:val="18"/>
                <w:szCs w:val="18"/>
                <w:color w:val="auto"/>
              </w:rPr>
              <w:t>$2 million</w:t>
            </w:r>
          </w:p>
        </w:tc>
        <w:tc>
          <w:tcPr>
            <w:tcW w:w="800" w:type="dxa"/>
            <w:vAlign w:val="bottom"/>
          </w:tcPr>
          <w:p>
            <w:pPr>
              <w:ind w:left="160"/>
              <w:spacing w:after="0"/>
              <w:rPr>
                <w:sz w:val="20"/>
                <w:szCs w:val="20"/>
                <w:color w:val="auto"/>
              </w:rPr>
            </w:pPr>
            <w:r>
              <w:rPr>
                <w:rFonts w:ascii="Arial" w:cs="Arial" w:eastAsia="Arial" w:hAnsi="Arial"/>
                <w:sz w:val="18"/>
                <w:szCs w:val="18"/>
                <w:color w:val="auto"/>
              </w:rPr>
              <w:t>—</w:t>
            </w:r>
          </w:p>
        </w:tc>
        <w:tc>
          <w:tcPr>
            <w:tcW w:w="1280" w:type="dxa"/>
            <w:vAlign w:val="bottom"/>
          </w:tcPr>
          <w:p>
            <w:pPr>
              <w:ind w:left="440"/>
              <w:spacing w:after="0"/>
              <w:rPr>
                <w:sz w:val="20"/>
                <w:szCs w:val="20"/>
                <w:color w:val="auto"/>
              </w:rPr>
            </w:pPr>
            <w:r>
              <w:rPr>
                <w:rFonts w:ascii="Arial" w:cs="Arial" w:eastAsia="Arial" w:hAnsi="Arial"/>
                <w:sz w:val="18"/>
                <w:szCs w:val="18"/>
                <w:color w:val="auto"/>
                <w:w w:val="95"/>
              </w:rPr>
              <w:t>$10 million</w:t>
            </w:r>
          </w:p>
        </w:tc>
      </w:tr>
      <w:tr>
        <w:trPr>
          <w:trHeight w:val="228"/>
        </w:trPr>
        <w:tc>
          <w:tcPr>
            <w:tcW w:w="940" w:type="dxa"/>
            <w:vAlign w:val="bottom"/>
          </w:tcPr>
          <w:p>
            <w:pPr>
              <w:spacing w:after="0"/>
              <w:rPr>
                <w:sz w:val="20"/>
                <w:szCs w:val="20"/>
                <w:color w:val="auto"/>
              </w:rPr>
            </w:pPr>
            <w:r>
              <w:rPr>
                <w:rFonts w:ascii="Arial" w:cs="Arial" w:eastAsia="Arial" w:hAnsi="Arial"/>
                <w:sz w:val="18"/>
                <w:szCs w:val="18"/>
                <w:color w:val="auto"/>
              </w:rPr>
              <w:t>(sale price)</w:t>
            </w:r>
          </w:p>
        </w:tc>
        <w:tc>
          <w:tcPr>
            <w:tcW w:w="1060" w:type="dxa"/>
            <w:vAlign w:val="bottom"/>
          </w:tcPr>
          <w:p>
            <w:pPr>
              <w:ind w:left="100"/>
              <w:spacing w:after="0"/>
              <w:rPr>
                <w:sz w:val="20"/>
                <w:szCs w:val="20"/>
                <w:color w:val="auto"/>
              </w:rPr>
            </w:pPr>
            <w:r>
              <w:rPr>
                <w:rFonts w:ascii="Arial" w:cs="Arial" w:eastAsia="Arial" w:hAnsi="Arial"/>
                <w:sz w:val="18"/>
                <w:szCs w:val="18"/>
                <w:color w:val="auto"/>
              </w:rPr>
              <w:t>FMV</w:t>
            </w:r>
          </w:p>
        </w:tc>
        <w:tc>
          <w:tcPr>
            <w:tcW w:w="1040" w:type="dxa"/>
            <w:vAlign w:val="bottom"/>
          </w:tcPr>
          <w:p>
            <w:pPr>
              <w:ind w:left="100"/>
              <w:spacing w:after="0"/>
              <w:rPr>
                <w:sz w:val="20"/>
                <w:szCs w:val="20"/>
                <w:color w:val="auto"/>
              </w:rPr>
            </w:pPr>
            <w:r>
              <w:rPr>
                <w:rFonts w:ascii="Arial" w:cs="Arial" w:eastAsia="Arial" w:hAnsi="Arial"/>
                <w:sz w:val="18"/>
                <w:szCs w:val="18"/>
                <w:color w:val="auto"/>
              </w:rPr>
              <w:t>FMV</w:t>
            </w:r>
          </w:p>
        </w:tc>
        <w:tc>
          <w:tcPr>
            <w:tcW w:w="1060" w:type="dxa"/>
            <w:vAlign w:val="bottom"/>
          </w:tcPr>
          <w:p>
            <w:pPr>
              <w:ind w:left="120"/>
              <w:spacing w:after="0"/>
              <w:rPr>
                <w:sz w:val="20"/>
                <w:szCs w:val="20"/>
                <w:color w:val="auto"/>
              </w:rPr>
            </w:pPr>
            <w:r>
              <w:rPr>
                <w:rFonts w:ascii="Arial" w:cs="Arial" w:eastAsia="Arial" w:hAnsi="Arial"/>
                <w:sz w:val="18"/>
                <w:szCs w:val="18"/>
                <w:color w:val="auto"/>
              </w:rPr>
              <w:t>FMV</w:t>
            </w:r>
          </w:p>
        </w:tc>
        <w:tc>
          <w:tcPr>
            <w:tcW w:w="1060" w:type="dxa"/>
            <w:vAlign w:val="bottom"/>
          </w:tcPr>
          <w:p>
            <w:pPr>
              <w:ind w:left="100"/>
              <w:spacing w:after="0"/>
              <w:rPr>
                <w:sz w:val="20"/>
                <w:szCs w:val="20"/>
                <w:color w:val="auto"/>
              </w:rPr>
            </w:pPr>
            <w:r>
              <w:rPr>
                <w:rFonts w:ascii="Arial" w:cs="Arial" w:eastAsia="Arial" w:hAnsi="Arial"/>
                <w:sz w:val="18"/>
                <w:szCs w:val="18"/>
                <w:color w:val="auto"/>
              </w:rPr>
              <w:t>FMV</w:t>
            </w:r>
          </w:p>
        </w:tc>
        <w:tc>
          <w:tcPr>
            <w:tcW w:w="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r>
    </w:tbl>
    <w:p>
      <w:pPr>
        <w:spacing w:after="0" w:line="10" w:lineRule="exact"/>
        <w:rPr>
          <w:sz w:val="20"/>
          <w:szCs w:val="20"/>
          <w:color w:val="auto"/>
        </w:rPr>
      </w:pPr>
    </w:p>
    <w:p>
      <w:pPr>
        <w:sectPr>
          <w:pgSz w:w="11900" w:h="16838" w:orient="portrait"/>
          <w:cols w:equalWidth="0" w:num="2">
            <w:col w:w="1320" w:space="720"/>
            <w:col w:w="9380"/>
          </w:cols>
          <w:pgMar w:left="240" w:top="557"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480" w:type="dxa"/>
            <w:vAlign w:val="bottom"/>
            <w:shd w:val="clear" w:color="auto" w:fill="CFF0FC"/>
          </w:tcPr>
          <w:p>
            <w:pPr>
              <w:spacing w:after="0"/>
              <w:rPr>
                <w:sz w:val="17"/>
                <w:szCs w:val="17"/>
                <w:color w:val="auto"/>
              </w:rPr>
            </w:pPr>
          </w:p>
        </w:tc>
        <w:tc>
          <w:tcPr>
            <w:tcW w:w="11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$8 million</w:t>
            </w:r>
          </w:p>
        </w:tc>
        <w:tc>
          <w:tcPr>
            <w:tcW w:w="1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$14 million</w:t>
            </w:r>
          </w:p>
        </w:tc>
        <w:tc>
          <w:tcPr>
            <w:tcW w:w="1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$14 million</w:t>
            </w:r>
          </w:p>
        </w:tc>
        <w:tc>
          <w:tcPr>
            <w:tcW w:w="10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$16 million</w:t>
            </w:r>
          </w:p>
        </w:tc>
        <w:tc>
          <w:tcPr>
            <w:tcW w:w="1060" w:type="dxa"/>
            <w:vAlign w:val="bottom"/>
            <w:shd w:val="clear" w:color="auto" w:fill="CFF0FC"/>
          </w:tcPr>
          <w:p>
            <w:pPr>
              <w:spacing w:after="0"/>
              <w:rPr>
                <w:sz w:val="17"/>
                <w:szCs w:val="17"/>
                <w:color w:val="auto"/>
              </w:rPr>
            </w:pPr>
          </w:p>
        </w:tc>
        <w:tc>
          <w:tcPr>
            <w:tcW w:w="1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 million</w:t>
            </w:r>
          </w:p>
        </w:tc>
        <w:tc>
          <w:tcPr>
            <w:tcW w:w="1100" w:type="dxa"/>
            <w:vAlign w:val="bottom"/>
            <w:shd w:val="clear" w:color="auto" w:fill="CFF0FC"/>
          </w:tcPr>
          <w:p>
            <w:pPr>
              <w:spacing w:after="0"/>
              <w:rPr>
                <w:sz w:val="17"/>
                <w:szCs w:val="17"/>
                <w:color w:val="auto"/>
              </w:rPr>
            </w:pPr>
          </w:p>
        </w:tc>
        <w:tc>
          <w:tcPr>
            <w:tcW w:w="10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$10 million</w:t>
            </w:r>
          </w:p>
        </w:tc>
        <w:tc>
          <w:tcPr>
            <w:tcW w:w="0" w:type="dxa"/>
            <w:vAlign w:val="bottom"/>
          </w:tcPr>
          <w:p>
            <w:pPr>
              <w:spacing w:after="0"/>
              <w:rPr>
                <w:sz w:val="1"/>
                <w:szCs w:val="1"/>
                <w:color w:val="auto"/>
              </w:rPr>
            </w:pPr>
          </w:p>
        </w:tc>
      </w:tr>
      <w:tr>
        <w:trPr>
          <w:trHeight w:val="216"/>
        </w:trPr>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Year 3 (IPO)</w:t>
            </w:r>
          </w:p>
        </w:tc>
        <w:tc>
          <w:tcPr>
            <w:tcW w:w="1180" w:type="dxa"/>
            <w:vAlign w:val="bottom"/>
            <w:shd w:val="clear" w:color="auto" w:fill="CFF0FC"/>
          </w:tcPr>
          <w:p>
            <w:pPr>
              <w:spacing w:after="0"/>
              <w:rPr>
                <w:sz w:val="18"/>
                <w:szCs w:val="18"/>
                <w:color w:val="auto"/>
              </w:rPr>
            </w:pPr>
          </w:p>
        </w:tc>
        <w:tc>
          <w:tcPr>
            <w:tcW w:w="13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FMV at</w:t>
            </w:r>
          </w:p>
        </w:tc>
        <w:tc>
          <w:tcPr>
            <w:tcW w:w="1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FMV at</w:t>
            </w:r>
          </w:p>
        </w:tc>
        <w:tc>
          <w:tcPr>
            <w:tcW w:w="1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FMV at</w:t>
            </w:r>
          </w:p>
        </w:tc>
        <w:tc>
          <w:tcPr>
            <w:tcW w:w="10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FMV at</w:t>
            </w:r>
          </w:p>
        </w:tc>
        <w:tc>
          <w:tcPr>
            <w:tcW w:w="10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3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IPO</w:t>
            </w:r>
          </w:p>
        </w:tc>
        <w:tc>
          <w:tcPr>
            <w:tcW w:w="1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IPO</w:t>
            </w:r>
          </w:p>
        </w:tc>
        <w:tc>
          <w:tcPr>
            <w:tcW w:w="1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IPO</w:t>
            </w:r>
          </w:p>
        </w:tc>
        <w:tc>
          <w:tcPr>
            <w:tcW w:w="10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IPO</w:t>
            </w:r>
          </w:p>
        </w:tc>
        <w:tc>
          <w:tcPr>
            <w:tcW w:w="1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20"/>
                <w:szCs w:val="20"/>
                <w:color w:val="auto"/>
              </w:rPr>
            </w:pPr>
          </w:p>
        </w:tc>
        <w:tc>
          <w:tcPr>
            <w:tcW w:w="11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480" w:type="dxa"/>
            <w:vAlign w:val="bottom"/>
            <w:vMerge w:val="restart"/>
          </w:tcPr>
          <w:p>
            <w:pPr>
              <w:spacing w:after="0"/>
              <w:rPr>
                <w:sz w:val="20"/>
                <w:szCs w:val="20"/>
                <w:color w:val="auto"/>
              </w:rPr>
            </w:pPr>
            <w:r>
              <w:rPr>
                <w:rFonts w:ascii="Arial" w:cs="Arial" w:eastAsia="Arial" w:hAnsi="Arial"/>
                <w:sz w:val="18"/>
                <w:szCs w:val="18"/>
                <w:color w:val="auto"/>
              </w:rPr>
              <w:t>Year 4</w:t>
            </w:r>
          </w:p>
        </w:tc>
        <w:tc>
          <w:tcPr>
            <w:tcW w:w="1180" w:type="dxa"/>
            <w:vAlign w:val="bottom"/>
          </w:tcPr>
          <w:p>
            <w:pPr>
              <w:ind w:left="560"/>
              <w:spacing w:after="0"/>
              <w:rPr>
                <w:sz w:val="20"/>
                <w:szCs w:val="20"/>
                <w:color w:val="auto"/>
              </w:rPr>
            </w:pPr>
            <w:r>
              <w:rPr>
                <w:rFonts w:ascii="Arial" w:cs="Arial" w:eastAsia="Arial" w:hAnsi="Arial"/>
                <w:sz w:val="18"/>
                <w:szCs w:val="18"/>
                <w:color w:val="auto"/>
              </w:rPr>
              <w:t>—</w:t>
            </w:r>
          </w:p>
        </w:tc>
        <w:tc>
          <w:tcPr>
            <w:tcW w:w="1380" w:type="dxa"/>
            <w:vAlign w:val="bottom"/>
          </w:tcPr>
          <w:p>
            <w:pPr>
              <w:ind w:left="420"/>
              <w:spacing w:after="0"/>
              <w:rPr>
                <w:sz w:val="20"/>
                <w:szCs w:val="20"/>
                <w:color w:val="auto"/>
              </w:rPr>
            </w:pPr>
            <w:r>
              <w:rPr>
                <w:rFonts w:ascii="Arial" w:cs="Arial" w:eastAsia="Arial" w:hAnsi="Arial"/>
                <w:sz w:val="18"/>
                <w:szCs w:val="18"/>
                <w:color w:val="auto"/>
              </w:rPr>
              <w:t>$10 million</w:t>
            </w:r>
          </w:p>
        </w:tc>
        <w:tc>
          <w:tcPr>
            <w:tcW w:w="1040" w:type="dxa"/>
            <w:vAlign w:val="bottom"/>
          </w:tcPr>
          <w:p>
            <w:pPr>
              <w:ind w:left="100"/>
              <w:spacing w:after="0"/>
              <w:rPr>
                <w:sz w:val="20"/>
                <w:szCs w:val="20"/>
                <w:color w:val="auto"/>
              </w:rPr>
            </w:pPr>
            <w:r>
              <w:rPr>
                <w:rFonts w:ascii="Arial" w:cs="Arial" w:eastAsia="Arial" w:hAnsi="Arial"/>
                <w:sz w:val="18"/>
                <w:szCs w:val="18"/>
                <w:color w:val="auto"/>
              </w:rPr>
              <w:t>$16 million</w:t>
            </w:r>
          </w:p>
        </w:tc>
        <w:tc>
          <w:tcPr>
            <w:tcW w:w="1060" w:type="dxa"/>
            <w:vAlign w:val="bottom"/>
          </w:tcPr>
          <w:p>
            <w:pPr>
              <w:ind w:left="120"/>
              <w:spacing w:after="0"/>
              <w:rPr>
                <w:sz w:val="20"/>
                <w:szCs w:val="20"/>
                <w:color w:val="auto"/>
              </w:rPr>
            </w:pPr>
            <w:r>
              <w:rPr>
                <w:rFonts w:ascii="Arial" w:cs="Arial" w:eastAsia="Arial" w:hAnsi="Arial"/>
                <w:sz w:val="18"/>
                <w:szCs w:val="18"/>
                <w:color w:val="auto"/>
              </w:rPr>
              <w:t>$12 million</w:t>
            </w:r>
          </w:p>
        </w:tc>
        <w:tc>
          <w:tcPr>
            <w:tcW w:w="1060" w:type="dxa"/>
            <w:vAlign w:val="bottom"/>
          </w:tcPr>
          <w:p>
            <w:pPr>
              <w:ind w:left="100"/>
              <w:spacing w:after="0"/>
              <w:rPr>
                <w:sz w:val="20"/>
                <w:szCs w:val="20"/>
                <w:color w:val="auto"/>
              </w:rPr>
            </w:pPr>
            <w:r>
              <w:rPr>
                <w:rFonts w:ascii="Arial" w:cs="Arial" w:eastAsia="Arial" w:hAnsi="Arial"/>
                <w:sz w:val="18"/>
                <w:szCs w:val="18"/>
                <w:color w:val="auto"/>
              </w:rPr>
              <w:t>$14 million</w:t>
            </w:r>
          </w:p>
        </w:tc>
        <w:tc>
          <w:tcPr>
            <w:tcW w:w="1060" w:type="dxa"/>
            <w:vAlign w:val="bottom"/>
          </w:tcPr>
          <w:p>
            <w:pPr>
              <w:ind w:left="120"/>
              <w:spacing w:after="0"/>
              <w:rPr>
                <w:sz w:val="20"/>
                <w:szCs w:val="20"/>
                <w:color w:val="auto"/>
              </w:rPr>
            </w:pPr>
            <w:r>
              <w:rPr>
                <w:rFonts w:ascii="Arial" w:cs="Arial" w:eastAsia="Arial" w:hAnsi="Arial"/>
                <w:sz w:val="18"/>
                <w:szCs w:val="18"/>
                <w:color w:val="auto"/>
              </w:rPr>
              <w:t>$10 million</w:t>
            </w:r>
          </w:p>
        </w:tc>
        <w:tc>
          <w:tcPr>
            <w:tcW w:w="104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ind w:left="160"/>
              <w:spacing w:after="0"/>
              <w:rPr>
                <w:sz w:val="20"/>
                <w:szCs w:val="20"/>
                <w:color w:val="auto"/>
              </w:rPr>
            </w:pPr>
            <w:r>
              <w:rPr>
                <w:rFonts w:ascii="Arial" w:cs="Arial" w:eastAsia="Arial" w:hAnsi="Arial"/>
                <w:sz w:val="18"/>
                <w:szCs w:val="18"/>
                <w:color w:val="auto"/>
              </w:rPr>
              <w:t>—</w:t>
            </w:r>
          </w:p>
        </w:tc>
        <w:tc>
          <w:tcPr>
            <w:tcW w:w="1020" w:type="dxa"/>
            <w:vAlign w:val="bottom"/>
          </w:tcPr>
          <w:p>
            <w:pPr>
              <w:ind w:left="140"/>
              <w:spacing w:after="0"/>
              <w:rPr>
                <w:sz w:val="20"/>
                <w:szCs w:val="20"/>
                <w:color w:val="auto"/>
              </w:rPr>
            </w:pPr>
            <w:r>
              <w:rPr>
                <w:rFonts w:ascii="Arial" w:cs="Arial" w:eastAsia="Arial" w:hAnsi="Arial"/>
                <w:sz w:val="18"/>
                <w:szCs w:val="18"/>
                <w:color w:val="auto"/>
                <w:w w:val="99"/>
              </w:rPr>
              <w:t>$12 million</w:t>
            </w:r>
          </w:p>
        </w:tc>
        <w:tc>
          <w:tcPr>
            <w:tcW w:w="0" w:type="dxa"/>
            <w:vAlign w:val="bottom"/>
          </w:tcPr>
          <w:p>
            <w:pPr>
              <w:spacing w:after="0"/>
              <w:rPr>
                <w:sz w:val="1"/>
                <w:szCs w:val="1"/>
                <w:color w:val="auto"/>
              </w:rPr>
            </w:pPr>
          </w:p>
        </w:tc>
      </w:tr>
      <w:tr>
        <w:trPr>
          <w:trHeight w:val="122"/>
        </w:trPr>
        <w:tc>
          <w:tcPr>
            <w:tcW w:w="14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80" w:type="dxa"/>
            <w:vAlign w:val="bottom"/>
            <w:vMerge w:val="restart"/>
          </w:tcPr>
          <w:p>
            <w:pPr>
              <w:ind w:left="420"/>
              <w:spacing w:after="0"/>
              <w:rPr>
                <w:sz w:val="20"/>
                <w:szCs w:val="20"/>
                <w:color w:val="auto"/>
              </w:rPr>
            </w:pPr>
            <w:r>
              <w:rPr>
                <w:rFonts w:ascii="Arial" w:cs="Arial" w:eastAsia="Arial" w:hAnsi="Arial"/>
                <w:sz w:val="18"/>
                <w:szCs w:val="18"/>
                <w:color w:val="auto"/>
              </w:rPr>
              <w:t>FMV</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FMV</w:t>
            </w:r>
          </w:p>
        </w:tc>
        <w:tc>
          <w:tcPr>
            <w:tcW w:w="1060" w:type="dxa"/>
            <w:vAlign w:val="bottom"/>
            <w:vMerge w:val="restart"/>
          </w:tcPr>
          <w:p>
            <w:pPr>
              <w:ind w:left="120"/>
              <w:spacing w:after="0"/>
              <w:rPr>
                <w:sz w:val="20"/>
                <w:szCs w:val="20"/>
                <w:color w:val="auto"/>
              </w:rPr>
            </w:pPr>
            <w:r>
              <w:rPr>
                <w:rFonts w:ascii="Arial" w:cs="Arial" w:eastAsia="Arial" w:hAnsi="Arial"/>
                <w:sz w:val="18"/>
                <w:szCs w:val="18"/>
                <w:color w:val="auto"/>
              </w:rPr>
              <w:t>(sale price)</w:t>
            </w:r>
          </w:p>
        </w:tc>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FMV</w:t>
            </w:r>
          </w:p>
        </w:tc>
        <w:tc>
          <w:tcPr>
            <w:tcW w:w="1060" w:type="dxa"/>
            <w:vAlign w:val="bottom"/>
            <w:vMerge w:val="restart"/>
          </w:tcPr>
          <w:p>
            <w:pPr>
              <w:ind w:left="120"/>
              <w:spacing w:after="0"/>
              <w:rPr>
                <w:sz w:val="20"/>
                <w:szCs w:val="20"/>
                <w:color w:val="auto"/>
              </w:rPr>
            </w:pPr>
            <w:r>
              <w:rPr>
                <w:rFonts w:ascii="Arial" w:cs="Arial" w:eastAsia="Arial" w:hAnsi="Arial"/>
                <w:sz w:val="18"/>
                <w:szCs w:val="18"/>
                <w:color w:val="auto"/>
                <w:w w:val="99"/>
              </w:rPr>
              <w:t>(cost basis)</w:t>
            </w: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4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Year 5</w:t>
            </w:r>
          </w:p>
        </w:tc>
        <w:tc>
          <w:tcPr>
            <w:tcW w:w="11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$14 million</w:t>
            </w:r>
          </w:p>
        </w:tc>
        <w:tc>
          <w:tcPr>
            <w:tcW w:w="1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$20 million</w:t>
            </w:r>
          </w:p>
        </w:tc>
        <w:tc>
          <w:tcPr>
            <w:tcW w:w="1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$10 million</w:t>
            </w:r>
          </w:p>
        </w:tc>
        <w:tc>
          <w:tcPr>
            <w:tcW w:w="1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$12 million</w:t>
            </w:r>
          </w:p>
        </w:tc>
        <w:tc>
          <w:tcPr>
            <w:tcW w:w="1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$22 million</w:t>
            </w:r>
          </w:p>
        </w:tc>
        <w:tc>
          <w:tcPr>
            <w:tcW w:w="0" w:type="dxa"/>
            <w:vAlign w:val="bottom"/>
          </w:tcPr>
          <w:p>
            <w:pPr>
              <w:spacing w:after="0"/>
              <w:rPr>
                <w:sz w:val="1"/>
                <w:szCs w:val="1"/>
                <w:color w:val="auto"/>
              </w:rPr>
            </w:pPr>
          </w:p>
        </w:tc>
      </w:tr>
      <w:tr>
        <w:trPr>
          <w:trHeight w:val="122"/>
        </w:trPr>
        <w:tc>
          <w:tcPr>
            <w:tcW w:w="1480" w:type="dxa"/>
            <w:vAlign w:val="bottom"/>
            <w:vMerge w:val="continue"/>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380" w:type="dxa"/>
            <w:vAlign w:val="bottom"/>
            <w:vMerge w:val="restart"/>
            <w:shd w:val="clear" w:color="auto" w:fill="CFF0FC"/>
          </w:tcPr>
          <w:p>
            <w:pPr>
              <w:ind w:left="420"/>
              <w:spacing w:after="0"/>
              <w:rPr>
                <w:sz w:val="20"/>
                <w:szCs w:val="20"/>
                <w:color w:val="auto"/>
              </w:rPr>
            </w:pPr>
            <w:r>
              <w:rPr>
                <w:rFonts w:ascii="Arial" w:cs="Arial" w:eastAsia="Arial" w:hAnsi="Arial"/>
                <w:sz w:val="18"/>
                <w:szCs w:val="18"/>
                <w:color w:val="auto"/>
              </w:rPr>
              <w:t>FMV</w:t>
            </w:r>
          </w:p>
        </w:tc>
        <w:tc>
          <w:tcPr>
            <w:tcW w:w="1040" w:type="dxa"/>
            <w:vAlign w:val="bottom"/>
            <w:vMerge w:val="restart"/>
            <w:shd w:val="clear" w:color="auto" w:fill="CFF0FC"/>
          </w:tcPr>
          <w:p>
            <w:pPr>
              <w:ind w:left="100"/>
              <w:spacing w:after="0"/>
              <w:rPr>
                <w:sz w:val="20"/>
                <w:szCs w:val="20"/>
                <w:color w:val="auto"/>
              </w:rPr>
            </w:pPr>
            <w:r>
              <w:rPr>
                <w:rFonts w:ascii="Arial" w:cs="Arial" w:eastAsia="Arial" w:hAnsi="Arial"/>
                <w:sz w:val="18"/>
                <w:szCs w:val="18"/>
                <w:color w:val="auto"/>
              </w:rPr>
              <w:t>(sale price)</w:t>
            </w:r>
          </w:p>
        </w:tc>
        <w:tc>
          <w:tcPr>
            <w:tcW w:w="106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ind w:left="100"/>
              <w:spacing w:after="0"/>
              <w:rPr>
                <w:sz w:val="20"/>
                <w:szCs w:val="20"/>
                <w:color w:val="auto"/>
              </w:rPr>
            </w:pPr>
            <w:r>
              <w:rPr>
                <w:rFonts w:ascii="Arial" w:cs="Arial" w:eastAsia="Arial" w:hAnsi="Arial"/>
                <w:sz w:val="18"/>
                <w:szCs w:val="18"/>
                <w:color w:val="auto"/>
              </w:rPr>
              <w:t>FMV</w:t>
            </w:r>
          </w:p>
        </w:tc>
        <w:tc>
          <w:tcPr>
            <w:tcW w:w="106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FMV</w:t>
            </w:r>
          </w:p>
        </w:tc>
        <w:tc>
          <w:tcPr>
            <w:tcW w:w="104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380" w:type="dxa"/>
            <w:vAlign w:val="bottom"/>
            <w:vMerge w:val="continue"/>
            <w:shd w:val="clear" w:color="auto" w:fill="CFF0FC"/>
          </w:tcPr>
          <w:p>
            <w:pPr>
              <w:spacing w:after="0"/>
              <w:rPr>
                <w:sz w:val="9"/>
                <w:szCs w:val="9"/>
                <w:color w:val="auto"/>
              </w:rPr>
            </w:pPr>
          </w:p>
        </w:tc>
        <w:tc>
          <w:tcPr>
            <w:tcW w:w="1040" w:type="dxa"/>
            <w:vAlign w:val="bottom"/>
            <w:vMerge w:val="continue"/>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480" w:type="dxa"/>
            <w:vAlign w:val="bottom"/>
            <w:vMerge w:val="restart"/>
          </w:tcPr>
          <w:p>
            <w:pPr>
              <w:spacing w:after="0"/>
              <w:rPr>
                <w:sz w:val="20"/>
                <w:szCs w:val="20"/>
                <w:color w:val="auto"/>
              </w:rPr>
            </w:pPr>
            <w:r>
              <w:rPr>
                <w:rFonts w:ascii="Arial" w:cs="Arial" w:eastAsia="Arial" w:hAnsi="Arial"/>
                <w:sz w:val="18"/>
                <w:szCs w:val="18"/>
                <w:color w:val="auto"/>
              </w:rPr>
              <w:t>Year 6</w:t>
            </w:r>
          </w:p>
        </w:tc>
        <w:tc>
          <w:tcPr>
            <w:tcW w:w="1180" w:type="dxa"/>
            <w:vAlign w:val="bottom"/>
          </w:tcPr>
          <w:p>
            <w:pPr>
              <w:ind w:left="560"/>
              <w:spacing w:after="0"/>
              <w:rPr>
                <w:sz w:val="20"/>
                <w:szCs w:val="20"/>
                <w:color w:val="auto"/>
              </w:rPr>
            </w:pPr>
            <w:r>
              <w:rPr>
                <w:rFonts w:ascii="Arial" w:cs="Arial" w:eastAsia="Arial" w:hAnsi="Arial"/>
                <w:sz w:val="18"/>
                <w:szCs w:val="18"/>
                <w:color w:val="auto"/>
              </w:rPr>
              <w:t>—</w:t>
            </w:r>
          </w:p>
        </w:tc>
        <w:tc>
          <w:tcPr>
            <w:tcW w:w="1380" w:type="dxa"/>
            <w:vAlign w:val="bottom"/>
          </w:tcPr>
          <w:p>
            <w:pPr>
              <w:ind w:left="420"/>
              <w:spacing w:after="0"/>
              <w:rPr>
                <w:sz w:val="20"/>
                <w:szCs w:val="20"/>
                <w:color w:val="auto"/>
              </w:rPr>
            </w:pPr>
            <w:r>
              <w:rPr>
                <w:rFonts w:ascii="Arial" w:cs="Arial" w:eastAsia="Arial" w:hAnsi="Arial"/>
                <w:sz w:val="18"/>
                <w:szCs w:val="18"/>
                <w:color w:val="auto"/>
              </w:rPr>
              <w:t>$16 million</w:t>
            </w:r>
          </w:p>
        </w:tc>
        <w:tc>
          <w:tcPr>
            <w:tcW w:w="1040" w:type="dxa"/>
            <w:vAlign w:val="bottom"/>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ind w:left="100"/>
              <w:spacing w:after="0"/>
              <w:rPr>
                <w:sz w:val="20"/>
                <w:szCs w:val="20"/>
                <w:color w:val="auto"/>
              </w:rPr>
            </w:pPr>
            <w:r>
              <w:rPr>
                <w:rFonts w:ascii="Arial" w:cs="Arial" w:eastAsia="Arial" w:hAnsi="Arial"/>
                <w:sz w:val="18"/>
                <w:szCs w:val="18"/>
                <w:color w:val="auto"/>
              </w:rPr>
              <w:t>$8 million</w:t>
            </w:r>
          </w:p>
        </w:tc>
        <w:tc>
          <w:tcPr>
            <w:tcW w:w="1060" w:type="dxa"/>
            <w:vAlign w:val="bottom"/>
          </w:tcPr>
          <w:p>
            <w:pPr>
              <w:ind w:left="120"/>
              <w:spacing w:after="0"/>
              <w:rPr>
                <w:sz w:val="20"/>
                <w:szCs w:val="20"/>
                <w:color w:val="auto"/>
              </w:rPr>
            </w:pPr>
            <w:r>
              <w:rPr>
                <w:rFonts w:ascii="Arial" w:cs="Arial" w:eastAsia="Arial" w:hAnsi="Arial"/>
                <w:sz w:val="18"/>
                <w:szCs w:val="18"/>
                <w:color w:val="auto"/>
              </w:rPr>
              <w:t>$15 million</w:t>
            </w:r>
          </w:p>
        </w:tc>
        <w:tc>
          <w:tcPr>
            <w:tcW w:w="1040" w:type="dxa"/>
            <w:vAlign w:val="bottom"/>
          </w:tcPr>
          <w:p>
            <w:pPr>
              <w:ind w:left="120"/>
              <w:spacing w:after="0"/>
              <w:rPr>
                <w:sz w:val="20"/>
                <w:szCs w:val="20"/>
                <w:color w:val="auto"/>
              </w:rPr>
            </w:pPr>
            <w:r>
              <w:rPr>
                <w:rFonts w:ascii="Arial" w:cs="Arial" w:eastAsia="Arial" w:hAnsi="Arial"/>
                <w:sz w:val="18"/>
                <w:szCs w:val="18"/>
                <w:color w:val="auto"/>
              </w:rPr>
              <w:t>$2 million</w:t>
            </w:r>
          </w:p>
        </w:tc>
        <w:tc>
          <w:tcPr>
            <w:tcW w:w="1100" w:type="dxa"/>
            <w:vAlign w:val="bottom"/>
          </w:tcPr>
          <w:p>
            <w:pPr>
              <w:ind w:left="160"/>
              <w:spacing w:after="0"/>
              <w:rPr>
                <w:sz w:val="20"/>
                <w:szCs w:val="20"/>
                <w:color w:val="auto"/>
              </w:rPr>
            </w:pPr>
            <w:r>
              <w:rPr>
                <w:rFonts w:ascii="Arial" w:cs="Arial" w:eastAsia="Arial" w:hAnsi="Arial"/>
                <w:sz w:val="18"/>
                <w:szCs w:val="18"/>
                <w:color w:val="auto"/>
              </w:rPr>
              <w:t>—</w:t>
            </w:r>
          </w:p>
        </w:tc>
        <w:tc>
          <w:tcPr>
            <w:tcW w:w="1020" w:type="dxa"/>
            <w:vAlign w:val="bottom"/>
          </w:tcPr>
          <w:p>
            <w:pPr>
              <w:ind w:left="140"/>
              <w:spacing w:after="0"/>
              <w:rPr>
                <w:sz w:val="20"/>
                <w:szCs w:val="20"/>
                <w:color w:val="auto"/>
              </w:rPr>
            </w:pPr>
            <w:r>
              <w:rPr>
                <w:rFonts w:ascii="Arial" w:cs="Arial" w:eastAsia="Arial" w:hAnsi="Arial"/>
                <w:sz w:val="18"/>
                <w:szCs w:val="18"/>
                <w:color w:val="auto"/>
                <w:w w:val="99"/>
              </w:rPr>
              <w:t>$28 million</w:t>
            </w:r>
          </w:p>
        </w:tc>
        <w:tc>
          <w:tcPr>
            <w:tcW w:w="0" w:type="dxa"/>
            <w:vAlign w:val="bottom"/>
          </w:tcPr>
          <w:p>
            <w:pPr>
              <w:spacing w:after="0"/>
              <w:rPr>
                <w:sz w:val="1"/>
                <w:szCs w:val="1"/>
                <w:color w:val="auto"/>
              </w:rPr>
            </w:pPr>
          </w:p>
        </w:tc>
      </w:tr>
      <w:tr>
        <w:trPr>
          <w:trHeight w:val="122"/>
        </w:trPr>
        <w:tc>
          <w:tcPr>
            <w:tcW w:w="14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80" w:type="dxa"/>
            <w:vAlign w:val="bottom"/>
            <w:vMerge w:val="restart"/>
          </w:tcPr>
          <w:p>
            <w:pPr>
              <w:ind w:left="420"/>
              <w:spacing w:after="0"/>
              <w:rPr>
                <w:sz w:val="20"/>
                <w:szCs w:val="20"/>
                <w:color w:val="auto"/>
              </w:rPr>
            </w:pPr>
            <w:r>
              <w:rPr>
                <w:rFonts w:ascii="Arial" w:cs="Arial" w:eastAsia="Arial" w:hAnsi="Arial"/>
                <w:sz w:val="18"/>
                <w:szCs w:val="18"/>
                <w:color w:val="auto"/>
              </w:rPr>
              <w:t>(sale price)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FMV</w:t>
            </w:r>
          </w:p>
        </w:tc>
        <w:tc>
          <w:tcPr>
            <w:tcW w:w="1060" w:type="dxa"/>
            <w:vAlign w:val="bottom"/>
            <w:vMerge w:val="restart"/>
          </w:tcPr>
          <w:p>
            <w:pPr>
              <w:ind w:left="120"/>
              <w:spacing w:after="0"/>
              <w:rPr>
                <w:sz w:val="20"/>
                <w:szCs w:val="20"/>
                <w:color w:val="auto"/>
              </w:rPr>
            </w:pPr>
            <w:r>
              <w:rPr>
                <w:rFonts w:ascii="Arial" w:cs="Arial" w:eastAsia="Arial" w:hAnsi="Arial"/>
                <w:sz w:val="18"/>
                <w:szCs w:val="18"/>
                <w:color w:val="auto"/>
              </w:rPr>
              <w:t>FMV</w:t>
            </w: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4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Year 7</w:t>
            </w:r>
          </w:p>
        </w:tc>
        <w:tc>
          <w:tcPr>
            <w:tcW w:w="11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$8 million</w:t>
            </w:r>
          </w:p>
        </w:tc>
        <w:tc>
          <w:tcPr>
            <w:tcW w:w="1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$17 million</w:t>
            </w:r>
          </w:p>
        </w:tc>
        <w:tc>
          <w:tcPr>
            <w:tcW w:w="1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$2 million</w:t>
            </w:r>
          </w:p>
        </w:tc>
        <w:tc>
          <w:tcPr>
            <w:tcW w:w="10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$28 million</w:t>
            </w:r>
          </w:p>
        </w:tc>
        <w:tc>
          <w:tcPr>
            <w:tcW w:w="0" w:type="dxa"/>
            <w:vAlign w:val="bottom"/>
          </w:tcPr>
          <w:p>
            <w:pPr>
              <w:spacing w:after="0"/>
              <w:rPr>
                <w:sz w:val="1"/>
                <w:szCs w:val="1"/>
                <w:color w:val="auto"/>
              </w:rPr>
            </w:pPr>
          </w:p>
        </w:tc>
      </w:tr>
      <w:tr>
        <w:trPr>
          <w:trHeight w:val="122"/>
        </w:trPr>
        <w:tc>
          <w:tcPr>
            <w:tcW w:w="1480" w:type="dxa"/>
            <w:vAlign w:val="bottom"/>
            <w:vMerge w:val="continue"/>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ind w:left="100"/>
              <w:spacing w:after="0"/>
              <w:rPr>
                <w:sz w:val="20"/>
                <w:szCs w:val="20"/>
                <w:color w:val="auto"/>
              </w:rPr>
            </w:pPr>
            <w:r>
              <w:rPr>
                <w:rFonts w:ascii="Arial" w:cs="Arial" w:eastAsia="Arial" w:hAnsi="Arial"/>
                <w:sz w:val="18"/>
                <w:szCs w:val="18"/>
                <w:color w:val="auto"/>
              </w:rPr>
              <w:t>(sale price)</w:t>
            </w:r>
          </w:p>
        </w:tc>
        <w:tc>
          <w:tcPr>
            <w:tcW w:w="106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FMV</w:t>
            </w:r>
          </w:p>
        </w:tc>
        <w:tc>
          <w:tcPr>
            <w:tcW w:w="104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480" w:type="dxa"/>
            <w:vAlign w:val="bottom"/>
            <w:vMerge w:val="restart"/>
          </w:tcPr>
          <w:p>
            <w:pPr>
              <w:spacing w:after="0"/>
              <w:rPr>
                <w:sz w:val="20"/>
                <w:szCs w:val="20"/>
                <w:color w:val="auto"/>
              </w:rPr>
            </w:pPr>
            <w:r>
              <w:rPr>
                <w:rFonts w:ascii="Arial" w:cs="Arial" w:eastAsia="Arial" w:hAnsi="Arial"/>
                <w:sz w:val="18"/>
                <w:szCs w:val="18"/>
                <w:color w:val="auto"/>
              </w:rPr>
              <w:t>Year 8</w:t>
            </w:r>
          </w:p>
        </w:tc>
        <w:tc>
          <w:tcPr>
            <w:tcW w:w="1180" w:type="dxa"/>
            <w:vAlign w:val="bottom"/>
          </w:tcPr>
          <w:p>
            <w:pPr>
              <w:ind w:left="560"/>
              <w:spacing w:after="0"/>
              <w:rPr>
                <w:sz w:val="20"/>
                <w:szCs w:val="20"/>
                <w:color w:val="auto"/>
              </w:rPr>
            </w:pPr>
            <w:r>
              <w:rPr>
                <w:rFonts w:ascii="Arial" w:cs="Arial" w:eastAsia="Arial" w:hAnsi="Arial"/>
                <w:sz w:val="18"/>
                <w:szCs w:val="18"/>
                <w:color w:val="auto"/>
              </w:rPr>
              <w:t>—</w:t>
            </w:r>
          </w:p>
        </w:tc>
        <w:tc>
          <w:tcPr>
            <w:tcW w:w="1380" w:type="dxa"/>
            <w:vAlign w:val="bottom"/>
          </w:tcPr>
          <w:p>
            <w:pPr>
              <w:ind w:left="420"/>
              <w:spacing w:after="0"/>
              <w:rPr>
                <w:sz w:val="20"/>
                <w:szCs w:val="20"/>
                <w:color w:val="auto"/>
              </w:rPr>
            </w:pPr>
            <w:r>
              <w:rPr>
                <w:rFonts w:ascii="Arial" w:cs="Arial" w:eastAsia="Arial" w:hAnsi="Arial"/>
                <w:sz w:val="18"/>
                <w:szCs w:val="18"/>
                <w:color w:val="auto"/>
              </w:rPr>
              <w:t>—</w:t>
            </w:r>
          </w:p>
        </w:tc>
        <w:tc>
          <w:tcPr>
            <w:tcW w:w="1040" w:type="dxa"/>
            <w:vAlign w:val="bottom"/>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ind w:left="120"/>
              <w:spacing w:after="0"/>
              <w:rPr>
                <w:sz w:val="20"/>
                <w:szCs w:val="20"/>
                <w:color w:val="auto"/>
              </w:rPr>
            </w:pPr>
            <w:r>
              <w:rPr>
                <w:rFonts w:ascii="Arial" w:cs="Arial" w:eastAsia="Arial" w:hAnsi="Arial"/>
                <w:sz w:val="18"/>
                <w:szCs w:val="18"/>
                <w:color w:val="auto"/>
              </w:rPr>
              <w:t>$18 million</w:t>
            </w:r>
          </w:p>
        </w:tc>
        <w:tc>
          <w:tcPr>
            <w:tcW w:w="104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ind w:left="160"/>
              <w:spacing w:after="0"/>
              <w:rPr>
                <w:sz w:val="20"/>
                <w:szCs w:val="20"/>
                <w:color w:val="auto"/>
              </w:rPr>
            </w:pPr>
            <w:r>
              <w:rPr>
                <w:rFonts w:ascii="Arial" w:cs="Arial" w:eastAsia="Arial" w:hAnsi="Arial"/>
                <w:sz w:val="18"/>
                <w:szCs w:val="18"/>
                <w:color w:val="auto"/>
              </w:rPr>
              <w:t>$2 million</w:t>
            </w:r>
          </w:p>
        </w:tc>
        <w:tc>
          <w:tcPr>
            <w:tcW w:w="1020" w:type="dxa"/>
            <w:vAlign w:val="bottom"/>
          </w:tcPr>
          <w:p>
            <w:pPr>
              <w:ind w:left="140"/>
              <w:spacing w:after="0"/>
              <w:rPr>
                <w:sz w:val="20"/>
                <w:szCs w:val="20"/>
                <w:color w:val="auto"/>
              </w:rPr>
            </w:pPr>
            <w:r>
              <w:rPr>
                <w:rFonts w:ascii="Arial" w:cs="Arial" w:eastAsia="Arial" w:hAnsi="Arial"/>
                <w:sz w:val="18"/>
                <w:szCs w:val="18"/>
                <w:color w:val="auto"/>
                <w:w w:val="99"/>
              </w:rPr>
              <w:t>$36 million</w:t>
            </w:r>
          </w:p>
        </w:tc>
        <w:tc>
          <w:tcPr>
            <w:tcW w:w="0" w:type="dxa"/>
            <w:vAlign w:val="bottom"/>
          </w:tcPr>
          <w:p>
            <w:pPr>
              <w:spacing w:after="0"/>
              <w:rPr>
                <w:sz w:val="1"/>
                <w:szCs w:val="1"/>
                <w:color w:val="auto"/>
              </w:rPr>
            </w:pPr>
          </w:p>
        </w:tc>
      </w:tr>
      <w:tr>
        <w:trPr>
          <w:trHeight w:val="122"/>
        </w:trPr>
        <w:tc>
          <w:tcPr>
            <w:tcW w:w="14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vMerge w:val="restart"/>
          </w:tcPr>
          <w:p>
            <w:pPr>
              <w:ind w:left="120"/>
              <w:spacing w:after="0"/>
              <w:rPr>
                <w:sz w:val="20"/>
                <w:szCs w:val="20"/>
                <w:color w:val="auto"/>
              </w:rPr>
            </w:pPr>
            <w:r>
              <w:rPr>
                <w:rFonts w:ascii="Arial" w:cs="Arial" w:eastAsia="Arial" w:hAnsi="Arial"/>
                <w:sz w:val="18"/>
                <w:szCs w:val="18"/>
                <w:color w:val="auto"/>
              </w:rPr>
              <w:t>(sale price)</w:t>
            </w: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capital gains portion of the Incentive Fee would be:</w:t>
      </w:r>
    </w:p>
    <w:p>
      <w:pPr>
        <w:spacing w:after="0" w:line="117" w:lineRule="exact"/>
        <w:rPr>
          <w:sz w:val="20"/>
          <w:szCs w:val="20"/>
          <w:color w:val="auto"/>
        </w:rPr>
      </w:pPr>
    </w:p>
    <w:p>
      <w:pPr>
        <w:ind w:left="520" w:hanging="253"/>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Year 2:</w:t>
      </w:r>
    </w:p>
    <w:p>
      <w:pPr>
        <w:spacing w:after="0" w:line="117" w:lineRule="exact"/>
        <w:rPr>
          <w:sz w:val="20"/>
          <w:szCs w:val="20"/>
          <w:color w:val="auto"/>
        </w:rPr>
      </w:pPr>
    </w:p>
    <w:p>
      <w:pPr>
        <w:ind w:left="1040" w:right="820"/>
        <w:spacing w:after="0" w:line="277" w:lineRule="auto"/>
        <w:rPr>
          <w:sz w:val="20"/>
          <w:szCs w:val="20"/>
          <w:color w:val="auto"/>
        </w:rPr>
      </w:pPr>
      <w:r>
        <w:rPr>
          <w:rFonts w:ascii="Arial" w:cs="Arial" w:eastAsia="Arial" w:hAnsi="Arial"/>
          <w:sz w:val="18"/>
          <w:szCs w:val="18"/>
          <w:color w:val="auto"/>
        </w:rPr>
        <w:t xml:space="preserve">Capital Gains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62" w:lineRule="exact"/>
        <w:rPr>
          <w:sz w:val="20"/>
          <w:szCs w:val="20"/>
          <w:color w:val="auto"/>
        </w:rPr>
      </w:pPr>
    </w:p>
    <w:p>
      <w:pPr>
        <w:ind w:left="520" w:hanging="253"/>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 3:</w:t>
      </w:r>
    </w:p>
    <w:p>
      <w:pPr>
        <w:spacing w:after="0" w:line="117" w:lineRule="exact"/>
        <w:rPr>
          <w:sz w:val="20"/>
          <w:szCs w:val="20"/>
          <w:color w:val="auto"/>
        </w:rPr>
      </w:pPr>
    </w:p>
    <w:p>
      <w:pPr>
        <w:ind w:left="1040" w:right="480"/>
        <w:spacing w:after="0" w:line="308" w:lineRule="auto"/>
        <w:rPr>
          <w:sz w:val="20"/>
          <w:szCs w:val="20"/>
          <w:color w:val="auto"/>
        </w:rPr>
      </w:pPr>
      <w:r>
        <w:rPr>
          <w:rFonts w:ascii="Arial" w:cs="Arial" w:eastAsia="Arial" w:hAnsi="Arial"/>
          <w:sz w:val="17"/>
          <w:szCs w:val="17"/>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7"/>
          <w:szCs w:val="17"/>
          <w:b w:val="1"/>
          <w:bCs w:val="1"/>
          <w:color w:val="auto"/>
        </w:rPr>
        <w:t>$0.00</w:t>
      </w:r>
    </w:p>
    <w:p>
      <w:pPr>
        <w:spacing w:after="0" w:line="38" w:lineRule="exact"/>
        <w:rPr>
          <w:sz w:val="20"/>
          <w:szCs w:val="20"/>
          <w:color w:val="auto"/>
        </w:rPr>
      </w:pPr>
    </w:p>
    <w:p>
      <w:pPr>
        <w:ind w:left="1040" w:right="460"/>
        <w:spacing w:after="0" w:line="277" w:lineRule="auto"/>
        <w:rPr>
          <w:sz w:val="20"/>
          <w:szCs w:val="20"/>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62" w:lineRule="exact"/>
        <w:rPr>
          <w:sz w:val="20"/>
          <w:szCs w:val="20"/>
          <w:color w:val="auto"/>
        </w:rPr>
      </w:pPr>
    </w:p>
    <w:p>
      <w:pPr>
        <w:ind w:left="520" w:hanging="253"/>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Year 4:</w:t>
      </w:r>
    </w:p>
    <w:p>
      <w:pPr>
        <w:spacing w:after="0" w:line="117" w:lineRule="exact"/>
        <w:rPr>
          <w:sz w:val="20"/>
          <w:szCs w:val="20"/>
          <w:color w:val="auto"/>
        </w:rPr>
      </w:pPr>
    </w:p>
    <w:p>
      <w:pPr>
        <w:ind w:left="1040" w:right="180"/>
        <w:spacing w:after="0" w:line="277" w:lineRule="auto"/>
        <w:rPr>
          <w:sz w:val="20"/>
          <w:szCs w:val="20"/>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62" w:lineRule="exact"/>
        <w:rPr>
          <w:sz w:val="20"/>
          <w:szCs w:val="20"/>
          <w:color w:val="auto"/>
        </w:rPr>
      </w:pPr>
    </w:p>
    <w:p>
      <w:pPr>
        <w:ind w:left="1040" w:right="500"/>
        <w:spacing w:after="0" w:line="277" w:lineRule="auto"/>
        <w:rPr>
          <w:sz w:val="20"/>
          <w:szCs w:val="20"/>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57" w:right="239" w:bottom="1440" w:gutter="0" w:footer="0" w:header="0"/>
          <w:type w:val="continuous"/>
        </w:sectPr>
      </w:pPr>
    </w:p>
    <w:bookmarkStart w:id="18" w:name="page19"/>
    <w:bookmarkEnd w:id="18"/>
    <w:p>
      <w:pPr>
        <w:ind w:left="520" w:hanging="253"/>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Year 5:</w:t>
      </w:r>
    </w:p>
    <w:p>
      <w:pPr>
        <w:spacing w:after="0" w:line="117" w:lineRule="exact"/>
        <w:rPr>
          <w:sz w:val="20"/>
          <w:szCs w:val="20"/>
          <w:color w:val="auto"/>
        </w:rPr>
      </w:pPr>
    </w:p>
    <w:p>
      <w:pPr>
        <w:ind w:left="1040" w:right="20"/>
        <w:spacing w:after="0" w:line="277" w:lineRule="auto"/>
        <w:rPr>
          <w:sz w:val="20"/>
          <w:szCs w:val="20"/>
          <w:color w:val="auto"/>
        </w:rPr>
      </w:pPr>
      <w:r>
        <w:rPr>
          <w:rFonts w:ascii="Arial" w:cs="Arial" w:eastAsia="Arial" w:hAnsi="Arial"/>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Arial" w:cs="Arial" w:eastAsia="Arial" w:hAnsi="Arial"/>
          <w:sz w:val="18"/>
          <w:szCs w:val="18"/>
          <w:b w:val="1"/>
          <w:bCs w:val="1"/>
          <w:color w:val="auto"/>
        </w:rPr>
        <w:t>$1.65 million</w:t>
      </w:r>
    </w:p>
    <w:p>
      <w:pPr>
        <w:spacing w:after="0" w:line="62" w:lineRule="exact"/>
        <w:rPr>
          <w:sz w:val="20"/>
          <w:szCs w:val="20"/>
          <w:color w:val="auto"/>
        </w:rPr>
      </w:pPr>
    </w:p>
    <w:p>
      <w:pPr>
        <w:ind w:left="1940"/>
        <w:spacing w:after="0" w:line="308" w:lineRule="auto"/>
        <w:rPr>
          <w:sz w:val="20"/>
          <w:szCs w:val="20"/>
          <w:color w:val="auto"/>
        </w:rPr>
      </w:pPr>
      <w:r>
        <w:rPr>
          <w:rFonts w:ascii="Arial" w:cs="Arial" w:eastAsia="Arial" w:hAnsi="Arial"/>
          <w:sz w:val="17"/>
          <w:szCs w:val="17"/>
          <w:color w:val="auto"/>
        </w:rPr>
        <w:t xml:space="preserve">Weighted Percentage = (15% multiplied by ($16 million Pre-IPO Gain Amount divided by $22 million Total Gain Amount)) plus (17.5% multiplied by ($6 million Post-IPO Gain Amount divided by $22 million Total Gain Amount)) = </w:t>
      </w:r>
      <w:r>
        <w:rPr>
          <w:rFonts w:ascii="Arial" w:cs="Arial" w:eastAsia="Arial" w:hAnsi="Arial"/>
          <w:sz w:val="17"/>
          <w:szCs w:val="17"/>
          <w:b w:val="1"/>
          <w:bCs w:val="1"/>
          <w:color w:val="auto"/>
        </w:rPr>
        <w:t>15.68%</w:t>
      </w:r>
    </w:p>
    <w:p>
      <w:pPr>
        <w:spacing w:after="0" w:line="38" w:lineRule="exact"/>
        <w:rPr>
          <w:sz w:val="20"/>
          <w:szCs w:val="20"/>
          <w:color w:val="auto"/>
        </w:rPr>
      </w:pPr>
    </w:p>
    <w:p>
      <w:pPr>
        <w:ind w:left="520" w:hanging="253"/>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Year 6:</w:t>
      </w:r>
    </w:p>
    <w:p>
      <w:pPr>
        <w:spacing w:after="0" w:line="117" w:lineRule="exact"/>
        <w:rPr>
          <w:sz w:val="20"/>
          <w:szCs w:val="20"/>
          <w:color w:val="auto"/>
        </w:rPr>
      </w:pPr>
    </w:p>
    <w:p>
      <w:pPr>
        <w:ind w:left="1040" w:right="320"/>
        <w:spacing w:after="0" w:line="34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6"/>
          <w:szCs w:val="16"/>
          <w:b w:val="1"/>
          <w:bCs w:val="1"/>
          <w:color w:val="auto"/>
        </w:rPr>
        <w:t>$0.73 million</w:t>
      </w:r>
    </w:p>
    <w:p>
      <w:pPr>
        <w:spacing w:after="0" w:line="16" w:lineRule="exact"/>
        <w:rPr>
          <w:sz w:val="20"/>
          <w:szCs w:val="20"/>
          <w:color w:val="auto"/>
        </w:rPr>
      </w:pPr>
    </w:p>
    <w:p>
      <w:pPr>
        <w:ind w:left="1040" w:right="34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62" w:lineRule="exact"/>
        <w:rPr>
          <w:sz w:val="20"/>
          <w:szCs w:val="20"/>
          <w:color w:val="auto"/>
        </w:rPr>
      </w:pPr>
    </w:p>
    <w:p>
      <w:pPr>
        <w:ind w:left="520" w:hanging="253"/>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Year 7:</w:t>
      </w:r>
    </w:p>
    <w:p>
      <w:pPr>
        <w:spacing w:after="0" w:line="117" w:lineRule="exact"/>
        <w:rPr>
          <w:sz w:val="20"/>
          <w:szCs w:val="20"/>
          <w:color w:val="auto"/>
        </w:rPr>
      </w:pPr>
    </w:p>
    <w:p>
      <w:pPr>
        <w:ind w:left="1040" w:right="240"/>
        <w:spacing w:after="0" w:line="308" w:lineRule="auto"/>
        <w:rPr>
          <w:sz w:val="20"/>
          <w:szCs w:val="20"/>
          <w:color w:val="auto"/>
        </w:rPr>
      </w:pPr>
      <w:r>
        <w:rPr>
          <w:rFonts w:ascii="Arial" w:cs="Arial" w:eastAsia="Arial" w:hAnsi="Arial"/>
          <w:sz w:val="17"/>
          <w:szCs w:val="17"/>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7"/>
          <w:szCs w:val="17"/>
          <w:b w:val="1"/>
          <w:bCs w:val="1"/>
          <w:color w:val="auto"/>
        </w:rPr>
        <w:t>$0.00</w:t>
      </w:r>
    </w:p>
    <w:p>
      <w:pPr>
        <w:spacing w:after="0" w:line="38" w:lineRule="exact"/>
        <w:rPr>
          <w:sz w:val="20"/>
          <w:szCs w:val="20"/>
          <w:color w:val="auto"/>
        </w:rPr>
      </w:pPr>
    </w:p>
    <w:p>
      <w:pPr>
        <w:ind w:left="1040" w:right="34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62" w:lineRule="exact"/>
        <w:rPr>
          <w:sz w:val="20"/>
          <w:szCs w:val="20"/>
          <w:color w:val="auto"/>
        </w:rPr>
      </w:pPr>
    </w:p>
    <w:p>
      <w:pPr>
        <w:ind w:left="520" w:hanging="253"/>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Year 8:</w:t>
      </w:r>
    </w:p>
    <w:p>
      <w:pPr>
        <w:spacing w:after="0" w:line="117" w:lineRule="exact"/>
        <w:rPr>
          <w:sz w:val="20"/>
          <w:szCs w:val="20"/>
          <w:color w:val="auto"/>
        </w:rPr>
      </w:pPr>
    </w:p>
    <w:p>
      <w:pPr>
        <w:ind w:left="1040" w:right="240"/>
        <w:spacing w:after="0" w:line="342" w:lineRule="auto"/>
        <w:rPr>
          <w:sz w:val="20"/>
          <w:szCs w:val="20"/>
          <w:color w:val="auto"/>
        </w:rPr>
      </w:pPr>
      <w:r>
        <w:rPr>
          <w:rFonts w:ascii="Arial" w:cs="Arial" w:eastAsia="Arial" w:hAnsi="Arial"/>
          <w:sz w:val="16"/>
          <w:szCs w:val="16"/>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6"/>
          <w:szCs w:val="16"/>
          <w:b w:val="1"/>
          <w:bCs w:val="1"/>
          <w:color w:val="auto"/>
        </w:rPr>
        <w:t>$1.39 million</w:t>
      </w:r>
    </w:p>
    <w:p>
      <w:pPr>
        <w:spacing w:after="0" w:line="16" w:lineRule="exact"/>
        <w:rPr>
          <w:sz w:val="20"/>
          <w:szCs w:val="20"/>
          <w:color w:val="auto"/>
        </w:rPr>
      </w:pPr>
    </w:p>
    <w:p>
      <w:pPr>
        <w:ind w:left="1040" w:right="34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$36 million Total Gain Amount)) plus (17.5% multiplied by ($18 million Post-IPO Gain Amount divided by $36 million Total Gain Amount)) = </w:t>
      </w:r>
      <w:r>
        <w:rPr>
          <w:rFonts w:ascii="Arial" w:cs="Arial" w:eastAsia="Arial" w:hAnsi="Arial"/>
          <w:sz w:val="18"/>
          <w:szCs w:val="18"/>
          <w:b w:val="1"/>
          <w:bCs w:val="1"/>
          <w:color w:val="auto"/>
        </w:rPr>
        <w:t>16.39%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of Our Expenses</w:t>
      </w:r>
    </w:p>
    <w:p>
      <w:pPr>
        <w:spacing w:after="0" w:line="117"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73" w:lineRule="exact"/>
        <w:rPr>
          <w:sz w:val="20"/>
          <w:szCs w:val="20"/>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20" w:right="320" w:hanging="253"/>
        <w:spacing w:after="0" w:line="264"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3" w:lineRule="exact"/>
        <w:rPr>
          <w:rFonts w:ascii="Arial" w:cs="Arial" w:eastAsia="Arial" w:hAnsi="Arial"/>
          <w:sz w:val="18"/>
          <w:szCs w:val="18"/>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28" w:lineRule="exact"/>
        <w:rPr>
          <w:rFonts w:ascii="Arial" w:cs="Arial" w:eastAsia="Arial" w:hAnsi="Arial"/>
          <w:sz w:val="17"/>
          <w:szCs w:val="17"/>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240" w:top="449" w:right="399" w:bottom="1440" w:gutter="0" w:footer="0" w:header="0"/>
        </w:sectPr>
      </w:pPr>
    </w:p>
    <w:bookmarkStart w:id="19" w:name="page20"/>
    <w:bookmarkEnd w:id="19"/>
    <w:p>
      <w:pPr>
        <w:ind w:left="520" w:hanging="253"/>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20" w:hanging="253"/>
        <w:spacing w:after="0" w:line="286" w:lineRule="auto"/>
        <w:tabs>
          <w:tab w:leader="none" w:pos="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57" w:lineRule="exact"/>
        <w:rPr>
          <w:rFonts w:ascii="Arial" w:cs="Arial" w:eastAsia="Arial" w:hAnsi="Arial"/>
          <w:sz w:val="17"/>
          <w:szCs w:val="17"/>
          <w:color w:val="auto"/>
        </w:rPr>
      </w:pPr>
    </w:p>
    <w:p>
      <w:pPr>
        <w:ind w:left="520" w:right="300" w:hanging="253"/>
        <w:spacing w:after="0" w:line="342" w:lineRule="auto"/>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20" w:hanging="253"/>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We subsequently reimburse the Adviser for those amounts paid on our behalf.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All of the expenses described above are ultimately borne by our stockholders.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Duration and Termination</w:t>
      </w:r>
    </w:p>
    <w:p>
      <w:pPr>
        <w:spacing w:after="0" w:line="117" w:lineRule="exact"/>
        <w:rPr>
          <w:sz w:val="20"/>
          <w:szCs w:val="20"/>
          <w:color w:val="auto"/>
        </w:rPr>
      </w:pPr>
    </w:p>
    <w:p>
      <w:pPr>
        <w:ind w:right="40" w:firstLine="259"/>
        <w:spacing w:after="0" w:line="290" w:lineRule="auto"/>
        <w:rPr>
          <w:sz w:val="20"/>
          <w:szCs w:val="20"/>
          <w:color w:val="auto"/>
        </w:rPr>
      </w:pPr>
      <w:r>
        <w:rPr>
          <w:rFonts w:ascii="Arial" w:cs="Arial" w:eastAsia="Arial" w:hAnsi="Arial"/>
          <w:sz w:val="16"/>
          <w:szCs w:val="16"/>
          <w:color w:val="auto"/>
        </w:rPr>
        <w:t>Unless earlier terminated as described below, both the Investment Advisory Agreement and the Administration Agreement will remain in effect until November 3, 2015,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the directors of the Board who are not “interested persons” of us, the Adviser or any of our or its respective affiliates, as defined in the 1940 Act (known as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See “</w:t>
      </w:r>
      <w:r>
        <w:rPr>
          <w:rFonts w:ascii="Arial" w:cs="Arial" w:eastAsia="Arial" w:hAnsi="Arial"/>
          <w:sz w:val="16"/>
          <w:szCs w:val="16"/>
          <w:i w:val="1"/>
          <w:iCs w:val="1"/>
          <w:color w:val="auto"/>
        </w:rPr>
        <w:t>ITEM 1A. RISK FACTORS—Risks</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to Our Business and Structure—We are dependent upon management personnel of the Adviser, TSSP, TPG and their affiliates for our future success</w:t>
      </w:r>
      <w:r>
        <w:rPr>
          <w:rFonts w:ascii="Arial" w:cs="Arial" w:eastAsia="Arial" w:hAnsi="Arial"/>
          <w:sz w:val="16"/>
          <w:szCs w:val="16"/>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right="20" w:firstLine="259"/>
        <w:spacing w:after="0" w:line="286"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49"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Board Approval of the Investment Advisory Agreement</w:t>
      </w:r>
    </w:p>
    <w:p>
      <w:pPr>
        <w:spacing w:after="0" w:line="117" w:lineRule="exact"/>
        <w:rPr>
          <w:sz w:val="20"/>
          <w:szCs w:val="20"/>
          <w:color w:val="auto"/>
        </w:rPr>
      </w:pPr>
    </w:p>
    <w:p>
      <w:pPr>
        <w:jc w:val="both"/>
        <w:ind w:right="40" w:firstLine="259"/>
        <w:spacing w:after="0" w:line="286" w:lineRule="auto"/>
        <w:rPr>
          <w:sz w:val="20"/>
          <w:szCs w:val="20"/>
          <w:color w:val="auto"/>
        </w:rPr>
      </w:pPr>
      <w:r>
        <w:rPr>
          <w:rFonts w:ascii="Arial" w:cs="Arial" w:eastAsia="Arial" w:hAnsi="Arial"/>
          <w:sz w:val="17"/>
          <w:szCs w:val="17"/>
          <w:color w:val="auto"/>
        </w:rPr>
        <w:t>Our Board, including our Independent Directors, and holders of a majority of our outstanding securities, approved our Investment Advisory Agreement in December 2011. Our Board, including a majority of the Independent Directors, renewed it in November 2014. In its consideration of the Investment Advisory Agreement at the time of approval and renewal, the Board focused on information it had received relating to, among other things:</w:t>
      </w:r>
    </w:p>
    <w:p>
      <w:pPr>
        <w:spacing w:after="0" w:line="57" w:lineRule="exact"/>
        <w:rPr>
          <w:sz w:val="20"/>
          <w:szCs w:val="20"/>
          <w:color w:val="auto"/>
        </w:rPr>
      </w:pPr>
    </w:p>
    <w:p>
      <w:pPr>
        <w:ind w:left="520" w:hanging="253"/>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investment performance and the performance of the Adviser;</w:t>
      </w:r>
    </w:p>
    <w:p>
      <w:pPr>
        <w:spacing w:after="0" w:line="117" w:lineRule="exact"/>
        <w:rPr>
          <w:rFonts w:ascii="Arial" w:cs="Arial" w:eastAsia="Arial" w:hAnsi="Arial"/>
          <w:sz w:val="18"/>
          <w:szCs w:val="18"/>
          <w:color w:val="auto"/>
        </w:rPr>
      </w:pPr>
    </w:p>
    <w:p>
      <w:pPr>
        <w:ind w:left="520" w:right="120" w:hanging="253"/>
        <w:spacing w:after="0" w:line="277"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existing and potential sources of indirect income to the Adviser from its relationships with us and the profitability of those income sources;</w:t>
      </w:r>
    </w:p>
    <w:p>
      <w:pPr>
        <w:spacing w:after="0" w:line="128" w:lineRule="exact"/>
        <w:rPr>
          <w:rFonts w:ascii="Arial" w:cs="Arial" w:eastAsia="Arial" w:hAnsi="Arial"/>
          <w:sz w:val="17"/>
          <w:szCs w:val="17"/>
          <w:color w:val="auto"/>
        </w:rPr>
      </w:pPr>
    </w:p>
    <w:p>
      <w:pPr>
        <w:ind w:left="520" w:hanging="253"/>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information about the services to be performed and the personnel performing those services under the Investment Advisory Agreement;</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Adviser and its respective affiliates;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225"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170"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as a Business Development Company</w:t>
      </w:r>
    </w:p>
    <w:p>
      <w:pPr>
        <w:spacing w:after="0" w:line="121" w:lineRule="exact"/>
        <w:rPr>
          <w:sz w:val="20"/>
          <w:szCs w:val="20"/>
          <w:color w:val="auto"/>
        </w:rPr>
      </w:pPr>
    </w:p>
    <w:p>
      <w:pPr>
        <w:ind w:right="240" w:firstLine="259"/>
        <w:spacing w:after="0" w:line="264"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81" w:lineRule="exact"/>
        <w:rPr>
          <w:sz w:val="20"/>
          <w:szCs w:val="20"/>
          <w:color w:val="auto"/>
        </w:rPr>
      </w:pPr>
    </w:p>
    <w:p>
      <w:pPr>
        <w:ind w:right="180" w:firstLine="259"/>
        <w:spacing w:after="0" w:line="257"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8"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As a BDC, we are permitted, under specified conditions, to issue multiple classes of indebtedness and one class of shares senior to our common stock if our asset coverage, as defined in the 1940 Act, is at least equal to 200% immediately after any borrowing or issuance.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w:t>
      </w:r>
      <w:r>
        <w:rPr>
          <w:rFonts w:ascii="Arial" w:cs="Arial" w:eastAsia="Arial" w:hAnsi="Arial"/>
          <w:sz w:val="17"/>
          <w:szCs w:val="17"/>
          <w:i w:val="1"/>
          <w:iCs w:val="1"/>
          <w:color w:val="auto"/>
        </w:rPr>
        <w:t>ITEM 1A. 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FACTORS—Risks Related to Our Business and Structure—We borrow money, which magnifies the potential for gain or loss and increases the risk of investing in us</w:t>
      </w:r>
      <w:r>
        <w:rPr>
          <w:rFonts w:ascii="Arial" w:cs="Arial" w:eastAsia="Arial" w:hAnsi="Arial"/>
          <w:sz w:val="17"/>
          <w:szCs w:val="17"/>
          <w:color w:val="auto"/>
        </w:rPr>
        <w:t>.” As of December 31, 2014 and 2013, our asset coverage was 311.0% and 232.9%, respectively.</w:t>
      </w:r>
    </w:p>
    <w:p>
      <w:pPr>
        <w:spacing w:after="0" w:line="178"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and (b) more than 50% of the outstanding voting securities of such company.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do not anticipate any substantial change in the nature of our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65" w:right="239" w:bottom="1440" w:gutter="0" w:footer="0" w:header="0"/>
        </w:sectPr>
      </w:pPr>
    </w:p>
    <w:bookmarkStart w:id="21" w:name="page22"/>
    <w:bookmarkEnd w:id="21"/>
    <w:p>
      <w:pPr>
        <w:ind w:right="120" w:firstLine="259"/>
        <w:spacing w:after="0" w:line="273" w:lineRule="auto"/>
        <w:rPr>
          <w:sz w:val="20"/>
          <w:szCs w:val="20"/>
          <w:color w:val="auto"/>
        </w:rPr>
      </w:pPr>
      <w:r>
        <w:rPr>
          <w:rFonts w:ascii="Arial" w:cs="Arial" w:eastAsia="Arial" w:hAnsi="Arial"/>
          <w:sz w:val="17"/>
          <w:szCs w:val="17"/>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“—Regulated Investment Company Classification” for more information.</w:t>
      </w:r>
    </w:p>
    <w:p>
      <w:pPr>
        <w:spacing w:after="0" w:line="178" w:lineRule="exact"/>
        <w:rPr>
          <w:sz w:val="20"/>
          <w:szCs w:val="20"/>
          <w:color w:val="auto"/>
        </w:rPr>
      </w:pPr>
    </w:p>
    <w:p>
      <w:pPr>
        <w:ind w:right="300" w:firstLine="259"/>
        <w:spacing w:after="0" w:line="259" w:lineRule="auto"/>
        <w:rPr>
          <w:sz w:val="20"/>
          <w:szCs w:val="20"/>
          <w:color w:val="auto"/>
        </w:rPr>
      </w:pPr>
      <w:r>
        <w:rPr>
          <w:rFonts w:ascii="Arial" w:cs="Arial" w:eastAsia="Arial" w:hAnsi="Arial"/>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87" w:lineRule="exact"/>
        <w:rPr>
          <w:sz w:val="20"/>
          <w:szCs w:val="20"/>
          <w:color w:val="auto"/>
        </w:rPr>
      </w:pPr>
    </w:p>
    <w:p>
      <w:pPr>
        <w:ind w:firstLine="259"/>
        <w:spacing w:after="0" w:line="290" w:lineRule="auto"/>
        <w:rPr>
          <w:sz w:val="20"/>
          <w:szCs w:val="20"/>
          <w:color w:val="auto"/>
        </w:rPr>
      </w:pPr>
      <w:r>
        <w:rPr>
          <w:rFonts w:ascii="Arial" w:cs="Arial" w:eastAsia="Arial" w:hAnsi="Arial"/>
          <w:sz w:val="16"/>
          <w:szCs w:val="16"/>
          <w:color w:val="auto"/>
        </w:rPr>
        <w:t>We are generally not able to issue and sell our common stock at a price below net asset value per share. See “</w:t>
      </w:r>
      <w:r>
        <w:rPr>
          <w:rFonts w:ascii="Arial" w:cs="Arial" w:eastAsia="Arial" w:hAnsi="Arial"/>
          <w:sz w:val="16"/>
          <w:szCs w:val="16"/>
          <w:i w:val="1"/>
          <w:iCs w:val="1"/>
          <w:color w:val="auto"/>
        </w:rPr>
        <w:t>ITEM 1A. RISK FACTORS—Risks Related to</w:t>
      </w:r>
      <w:r>
        <w:rPr>
          <w:rFonts w:ascii="Arial" w:cs="Arial" w:eastAsia="Arial" w:hAnsi="Arial"/>
          <w:sz w:val="16"/>
          <w:szCs w:val="16"/>
          <w:color w:val="auto"/>
        </w:rPr>
        <w:t xml:space="preserve"> </w:t>
      </w:r>
      <w:r>
        <w:rPr>
          <w:rFonts w:ascii="Arial" w:cs="Arial" w:eastAsia="Arial" w:hAnsi="Arial"/>
          <w:sz w:val="16"/>
          <w:szCs w:val="16"/>
          <w:i w:val="1"/>
          <w:iCs w:val="1"/>
          <w:color w:val="auto"/>
        </w:rPr>
        <w:t>Our Business and Structure—Regulations governing our operation as a BDC affect our ability to, and the way in which we, raise additional capital.</w:t>
      </w:r>
      <w:r>
        <w:rPr>
          <w:rFonts w:ascii="Arial" w:cs="Arial" w:eastAsia="Arial" w:hAnsi="Arial"/>
          <w:sz w:val="16"/>
          <w:szCs w:val="16"/>
          <w:color w:val="auto"/>
        </w:rPr>
        <w:t>” We</w:t>
      </w:r>
      <w:r>
        <w:rPr>
          <w:rFonts w:ascii="Arial" w:cs="Arial" w:eastAsia="Arial" w:hAnsi="Arial"/>
          <w:sz w:val="16"/>
          <w:szCs w:val="16"/>
          <w:i w:val="1"/>
          <w:iCs w:val="1"/>
          <w:color w:val="auto"/>
        </w:rPr>
        <w:t xml:space="preserve"> </w:t>
      </w:r>
      <w:r>
        <w:rPr>
          <w:rFonts w:ascii="Arial" w:cs="Arial" w:eastAsia="Arial" w:hAnsi="Arial"/>
          <w:sz w:val="16"/>
          <w:szCs w:val="16"/>
          <w:color w:val="auto"/>
        </w:rPr>
        <w:t>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We may in the future seek such approval; however, there is no assurance such approval will be obtained.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66"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relief order (other than in certain limited situations pursuant to current regulatory guidance).</w:t>
      </w:r>
    </w:p>
    <w:p>
      <w:pPr>
        <w:spacing w:after="0" w:line="187" w:lineRule="exact"/>
        <w:rPr>
          <w:sz w:val="20"/>
          <w:szCs w:val="20"/>
          <w:color w:val="auto"/>
        </w:rPr>
      </w:pPr>
    </w:p>
    <w:p>
      <w:pPr>
        <w:ind w:right="180" w:firstLine="259"/>
        <w:spacing w:after="0" w:line="257" w:lineRule="auto"/>
        <w:rPr>
          <w:sz w:val="20"/>
          <w:szCs w:val="20"/>
          <w:color w:val="auto"/>
        </w:rPr>
      </w:pPr>
      <w:r>
        <w:rPr>
          <w:rFonts w:ascii="Arial" w:cs="Arial" w:eastAsia="Arial" w:hAnsi="Arial"/>
          <w:sz w:val="18"/>
          <w:szCs w:val="18"/>
          <w:color w:val="auto"/>
        </w:rPr>
        <w:t>On December 16, 2014, we were granted an exemptive relief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 These conditions include, among others, prior approval by a majority of our Independent Directors. The terms and conditions of the investment applicable to any affiliates of TSSP and TPG also must be the same as those applicable to us.</w:t>
      </w:r>
    </w:p>
    <w:p>
      <w:pPr>
        <w:spacing w:after="0" w:line="188" w:lineRule="exact"/>
        <w:rPr>
          <w:sz w:val="20"/>
          <w:szCs w:val="20"/>
          <w:color w:val="auto"/>
        </w:rPr>
      </w:pPr>
    </w:p>
    <w:p>
      <w:pPr>
        <w:ind w:right="120" w:firstLine="259"/>
        <w:spacing w:after="0" w:line="273" w:lineRule="auto"/>
        <w:rPr>
          <w:sz w:val="20"/>
          <w:szCs w:val="20"/>
          <w:color w:val="auto"/>
        </w:rPr>
      </w:pPr>
      <w:r>
        <w:rPr>
          <w:rFonts w:ascii="Arial" w:cs="Arial" w:eastAsia="Arial" w:hAnsi="Arial"/>
          <w:sz w:val="17"/>
          <w:szCs w:val="17"/>
          <w:color w:val="auto"/>
        </w:rPr>
        <w:t>Pursuant to the exemptive relief order, to the extent the size of an investment opportunity exceeds the amount our Adviser independently determines is appropriate for us to invest, our affiliates may be able to co-invest with us, subject to the approval of a majority of our independent directors. We believe our ability to co-invest with TSSP and TPG affiliates will be particularly useful where we identify larger capital commitments than otherwise would be appropriate for us. We expect that with the ability to co-invest with TSSP and TPG affiliates we will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8" w:lineRule="exact"/>
        <w:rPr>
          <w:sz w:val="20"/>
          <w:szCs w:val="20"/>
          <w:color w:val="auto"/>
        </w:rPr>
      </w:pPr>
    </w:p>
    <w:p>
      <w:pPr>
        <w:jc w:val="both"/>
        <w:ind w:right="420" w:firstLine="259"/>
        <w:spacing w:after="0" w:line="342" w:lineRule="auto"/>
        <w:rPr>
          <w:sz w:val="20"/>
          <w:szCs w:val="20"/>
          <w:color w:val="auto"/>
        </w:rPr>
      </w:pPr>
      <w:r>
        <w:rPr>
          <w:rFonts w:ascii="Arial" w:cs="Arial" w:eastAsia="Arial" w:hAnsi="Arial"/>
          <w:sz w:val="16"/>
          <w:szCs w:val="16"/>
          <w:color w:val="auto"/>
        </w:rPr>
        <w:t>Further, in accordance with the exemptive relief order, we have undertaken that, in connection with any commitment to a co-investment or follow-on investment, a “required majority” (as defined in Section 57(o) of the 1940 Act) of Independent Directors must make certain conclusions, including that:</w:t>
      </w:r>
    </w:p>
    <w:p>
      <w:pPr>
        <w:spacing w:after="0" w:line="16" w:lineRule="exact"/>
        <w:rPr>
          <w:sz w:val="20"/>
          <w:szCs w:val="20"/>
          <w:color w:val="auto"/>
        </w:rPr>
      </w:pPr>
    </w:p>
    <w:p>
      <w:pPr>
        <w:ind w:left="520" w:right="340" w:hanging="253"/>
        <w:spacing w:after="0" w:line="277"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our investment strategies and policies;</w:t>
      </w:r>
    </w:p>
    <w:p>
      <w:pPr>
        <w:spacing w:after="0" w:line="117" w:lineRule="exact"/>
        <w:rPr>
          <w:rFonts w:ascii="Arial" w:cs="Arial" w:eastAsia="Arial" w:hAnsi="Arial"/>
          <w:sz w:val="18"/>
          <w:szCs w:val="18"/>
          <w:color w:val="auto"/>
        </w:rPr>
      </w:pPr>
    </w:p>
    <w:p>
      <w:pPr>
        <w:ind w:left="520" w:right="240" w:hanging="253"/>
        <w:spacing w:after="0" w:line="277"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investment by our affiliate would not disadvantage us, and our participation is not on a basis different from or less advantageous than that of our affiliate; and</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investment will not benefit any affiliate other than the affiliate participating in the investment, and as otherwise permitted by the order.</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ITEM 13. CERTAIN RELATIONSHIPS AND RELATED TRANSACTIONS, AND DIRECTOR INDEPENDENCE.</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57" w:right="239" w:bottom="1440" w:gutter="0" w:footer="0" w:header="0"/>
        </w:sectPr>
      </w:pPr>
    </w:p>
    <w:bookmarkStart w:id="22" w:name="page23"/>
    <w:bookmarkEnd w:id="22"/>
    <w:p>
      <w:pPr>
        <w:ind w:left="2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a BDC, we are subject to certain risks and uncertainties. See “</w:t>
      </w:r>
      <w:r>
        <w:rPr>
          <w:rFonts w:ascii="Arial" w:cs="Arial" w:eastAsia="Arial" w:hAnsi="Arial"/>
          <w:sz w:val="17"/>
          <w:szCs w:val="17"/>
          <w:i w:val="1"/>
          <w:iCs w:val="1"/>
          <w:color w:val="auto"/>
        </w:rPr>
        <w:t>ITEM 1A. RISK FACTORS—Risks Related to Our Business and Structure.</w:t>
      </w:r>
      <w:r>
        <w:rPr>
          <w:rFonts w:ascii="Arial" w:cs="Arial" w:eastAsia="Arial" w:hAnsi="Arial"/>
          <w:sz w:val="17"/>
          <w:szCs w:val="17"/>
          <w:color w:val="auto"/>
        </w:rPr>
        <w: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Qualifying Assets</w:t>
      </w:r>
    </w:p>
    <w:p>
      <w:pPr>
        <w:spacing w:after="0" w:line="117"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73" w:lineRule="exact"/>
        <w:rPr>
          <w:sz w:val="20"/>
          <w:szCs w:val="20"/>
          <w:color w:val="auto"/>
        </w:rPr>
      </w:pPr>
    </w:p>
    <w:p>
      <w:pPr>
        <w:ind w:left="520" w:hanging="253"/>
        <w:spacing w:after="0" w:line="288" w:lineRule="auto"/>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w:t>
      </w:r>
    </w:p>
    <w:p>
      <w:pPr>
        <w:ind w:left="520"/>
        <w:spacing w:after="0"/>
        <w:rPr>
          <w:rFonts w:ascii="Arial" w:cs="Arial" w:eastAsia="Arial" w:hAnsi="Arial"/>
          <w:sz w:val="16"/>
          <w:szCs w:val="16"/>
          <w:color w:val="auto"/>
        </w:rPr>
      </w:pPr>
      <w:r>
        <w:rPr>
          <w:rFonts w:ascii="Arial" w:cs="Arial" w:eastAsia="Arial" w:hAnsi="Arial"/>
          <w:sz w:val="18"/>
          <w:szCs w:val="18"/>
          <w:color w:val="auto"/>
        </w:rPr>
        <w:t>1940 Act as any issuer which:</w:t>
      </w:r>
    </w:p>
    <w:p>
      <w:pPr>
        <w:spacing w:after="0" w:line="102" w:lineRule="exact"/>
        <w:rPr>
          <w:rFonts w:ascii="Arial" w:cs="Arial" w:eastAsia="Arial" w:hAnsi="Arial"/>
          <w:sz w:val="16"/>
          <w:szCs w:val="16"/>
          <w:color w:val="auto"/>
        </w:rPr>
      </w:pPr>
    </w:p>
    <w:p>
      <w:pPr>
        <w:ind w:left="780" w:hanging="254"/>
        <w:spacing w:after="0"/>
        <w:tabs>
          <w:tab w:leader="none" w:pos="7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17" w:lineRule="exact"/>
        <w:rPr>
          <w:rFonts w:ascii="Arial" w:cs="Arial" w:eastAsia="Arial" w:hAnsi="Arial"/>
          <w:sz w:val="18"/>
          <w:szCs w:val="18"/>
          <w:color w:val="auto"/>
        </w:rPr>
      </w:pPr>
    </w:p>
    <w:p>
      <w:pPr>
        <w:ind w:left="780" w:right="200" w:hanging="254"/>
        <w:spacing w:after="0" w:line="277" w:lineRule="auto"/>
        <w:tabs>
          <w:tab w:leader="none" w:pos="7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62" w:lineRule="exact"/>
        <w:rPr>
          <w:rFonts w:ascii="Arial" w:cs="Arial" w:eastAsia="Arial" w:hAnsi="Arial"/>
          <w:sz w:val="18"/>
          <w:szCs w:val="18"/>
          <w:color w:val="auto"/>
        </w:rPr>
      </w:pPr>
    </w:p>
    <w:p>
      <w:pPr>
        <w:ind w:left="780" w:hanging="254"/>
        <w:spacing w:after="0"/>
        <w:tabs>
          <w:tab w:leader="none" w:pos="7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17" w:lineRule="exact"/>
        <w:rPr>
          <w:rFonts w:ascii="Arial" w:cs="Arial" w:eastAsia="Arial" w:hAnsi="Arial"/>
          <w:sz w:val="18"/>
          <w:szCs w:val="18"/>
          <w:color w:val="auto"/>
        </w:rPr>
      </w:pPr>
    </w:p>
    <w:p>
      <w:pPr>
        <w:ind w:left="1280" w:hanging="238"/>
        <w:spacing w:after="0"/>
        <w:tabs>
          <w:tab w:leader="none" w:pos="1280" w:val="left"/>
        </w:tabs>
        <w:numPr>
          <w:ilvl w:val="2"/>
          <w:numId w:val="35"/>
        </w:numPr>
        <w:rPr>
          <w:rFonts w:ascii="Arial" w:cs="Arial" w:eastAsia="Arial" w:hAnsi="Arial"/>
          <w:sz w:val="16"/>
          <w:szCs w:val="16"/>
          <w:color w:val="auto"/>
        </w:rPr>
      </w:pPr>
      <w:r>
        <w:rPr>
          <w:rFonts w:ascii="Arial" w:cs="Arial" w:eastAsia="Arial" w:hAnsi="Arial"/>
          <w:sz w:val="16"/>
          <w:szCs w:val="16"/>
          <w:color w:val="auto"/>
        </w:rPr>
        <w:t>has an equity market capitalization of less than $250 million or does not have any class of securities listed on a national securities exchange;</w:t>
      </w:r>
    </w:p>
    <w:p>
      <w:pPr>
        <w:spacing w:after="0" w:line="140" w:lineRule="exact"/>
        <w:rPr>
          <w:rFonts w:ascii="Arial" w:cs="Arial" w:eastAsia="Arial" w:hAnsi="Arial"/>
          <w:sz w:val="16"/>
          <w:szCs w:val="16"/>
          <w:color w:val="auto"/>
        </w:rPr>
      </w:pPr>
    </w:p>
    <w:p>
      <w:pPr>
        <w:ind w:left="1280" w:right="60" w:hanging="238"/>
        <w:spacing w:after="0" w:line="264" w:lineRule="auto"/>
        <w:tabs>
          <w:tab w:leader="none" w:pos="1280" w:val="left"/>
        </w:tabs>
        <w:numPr>
          <w:ilvl w:val="2"/>
          <w:numId w:val="35"/>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73" w:lineRule="exact"/>
        <w:rPr>
          <w:rFonts w:ascii="Arial" w:cs="Arial" w:eastAsia="Arial" w:hAnsi="Arial"/>
          <w:sz w:val="18"/>
          <w:szCs w:val="18"/>
          <w:color w:val="auto"/>
        </w:rPr>
      </w:pPr>
    </w:p>
    <w:p>
      <w:pPr>
        <w:ind w:left="1280" w:hanging="238"/>
        <w:spacing w:after="0"/>
        <w:tabs>
          <w:tab w:leader="none" w:pos="1280" w:val="left"/>
        </w:tabs>
        <w:numPr>
          <w:ilvl w:val="2"/>
          <w:numId w:val="35"/>
        </w:numPr>
        <w:rPr>
          <w:rFonts w:ascii="Arial" w:cs="Arial" w:eastAsia="Arial" w:hAnsi="Arial"/>
          <w:sz w:val="17"/>
          <w:szCs w:val="17"/>
          <w:color w:val="auto"/>
        </w:rPr>
      </w:pPr>
      <w:r>
        <w:rPr>
          <w:rFonts w:ascii="Arial" w:cs="Arial" w:eastAsia="Arial" w:hAnsi="Arial"/>
          <w:sz w:val="17"/>
          <w:szCs w:val="17"/>
          <w:color w:val="auto"/>
        </w:rPr>
        <w:t>is a small and solvent company having total assets of not more than $4 million and capital and surplus of not less than $2 million.</w:t>
      </w:r>
    </w:p>
    <w:p>
      <w:pPr>
        <w:spacing w:after="0" w:line="128" w:lineRule="exact"/>
        <w:rPr>
          <w:rFonts w:ascii="Arial" w:cs="Arial" w:eastAsia="Arial" w:hAnsi="Arial"/>
          <w:sz w:val="17"/>
          <w:szCs w:val="17"/>
          <w:color w:val="auto"/>
        </w:rPr>
      </w:pPr>
    </w:p>
    <w:p>
      <w:pPr>
        <w:ind w:left="520" w:hanging="253"/>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117" w:lineRule="exact"/>
        <w:rPr>
          <w:rFonts w:ascii="Arial" w:cs="Arial" w:eastAsia="Arial" w:hAnsi="Arial"/>
          <w:sz w:val="18"/>
          <w:szCs w:val="18"/>
          <w:color w:val="auto"/>
        </w:rPr>
      </w:pPr>
    </w:p>
    <w:p>
      <w:pPr>
        <w:ind w:left="520" w:right="100" w:hanging="253"/>
        <w:spacing w:after="0" w:line="312" w:lineRule="auto"/>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38" w:lineRule="exact"/>
        <w:rPr>
          <w:rFonts w:ascii="Arial" w:cs="Arial" w:eastAsia="Arial" w:hAnsi="Arial"/>
          <w:sz w:val="16"/>
          <w:szCs w:val="16"/>
          <w:color w:val="auto"/>
        </w:rPr>
      </w:pPr>
    </w:p>
    <w:p>
      <w:pPr>
        <w:ind w:left="520" w:right="220" w:hanging="253"/>
        <w:spacing w:after="0" w:line="277"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62" w:lineRule="exact"/>
        <w:rPr>
          <w:rFonts w:ascii="Arial" w:cs="Arial" w:eastAsia="Arial" w:hAnsi="Arial"/>
          <w:sz w:val="18"/>
          <w:szCs w:val="18"/>
          <w:color w:val="auto"/>
        </w:rPr>
      </w:pPr>
    </w:p>
    <w:p>
      <w:pPr>
        <w:ind w:left="520" w:right="360" w:hanging="253"/>
        <w:spacing w:after="0" w:line="277"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right="140" w:firstLine="259"/>
        <w:spacing w:after="0" w:line="259" w:lineRule="auto"/>
        <w:rPr>
          <w:sz w:val="20"/>
          <w:szCs w:val="20"/>
          <w:color w:val="auto"/>
        </w:rPr>
      </w:pPr>
      <w:r>
        <w:rPr>
          <w:rFonts w:ascii="Arial" w:cs="Arial" w:eastAsia="Arial" w:hAnsi="Arial"/>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Our Adviser will monitor the creditworthiness of the counterparties with which we enter into repurchase agreement transactions.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Managerial Assistance to Portfolio Companies</w:t>
      </w:r>
    </w:p>
    <w:p>
      <w:pPr>
        <w:spacing w:after="0" w:line="117" w:lineRule="exact"/>
        <w:rPr>
          <w:sz w:val="20"/>
          <w:szCs w:val="20"/>
          <w:color w:val="auto"/>
        </w:rPr>
      </w:pPr>
    </w:p>
    <w:p>
      <w:pPr>
        <w:ind w:right="40" w:firstLine="259"/>
        <w:spacing w:after="0" w:line="272" w:lineRule="auto"/>
        <w:rPr>
          <w:sz w:val="20"/>
          <w:szCs w:val="20"/>
          <w:color w:val="auto"/>
        </w:rPr>
      </w:pPr>
      <w:r>
        <w:rPr>
          <w:rFonts w:ascii="Arial" w:cs="Arial" w:eastAsia="Arial" w:hAnsi="Arial"/>
          <w:sz w:val="17"/>
          <w:szCs w:val="17"/>
          <w:color w:val="auto"/>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557"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Senior Securities</w:t>
      </w:r>
    </w:p>
    <w:p>
      <w:pPr>
        <w:spacing w:after="0" w:line="117" w:lineRule="exact"/>
        <w:rPr>
          <w:sz w:val="20"/>
          <w:szCs w:val="20"/>
          <w:color w:val="auto"/>
        </w:rPr>
      </w:pPr>
    </w:p>
    <w:p>
      <w:pPr>
        <w:ind w:firstLine="259"/>
        <w:spacing w:after="0" w:line="342" w:lineRule="auto"/>
        <w:rPr>
          <w:sz w:val="20"/>
          <w:szCs w:val="20"/>
          <w:color w:val="auto"/>
        </w:rPr>
      </w:pPr>
      <w:r>
        <w:rPr>
          <w:rFonts w:ascii="Arial" w:cs="Arial" w:eastAsia="Arial" w:hAnsi="Arial"/>
          <w:sz w:val="16"/>
          <w:szCs w:val="16"/>
          <w:color w:val="auto"/>
        </w:rPr>
        <w:t>As a BDC, we generally must have 200% asset coverage for our debt after incurring any new indebtedness, meaning that the total value of our assets must be at least twice the amount of the debt (i.e., 50% leverage). As of December 31, 2014 and 2013, our asset coverage was 311.0% and 232.9%, respectively.</w:t>
      </w:r>
    </w:p>
    <w:p>
      <w:pPr>
        <w:spacing w:after="0" w:line="124"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shares senior to our common stock if our asset coverage, as defined in the 1940 Act, is at least equal to 200% immediately after each such issuance. In addition, while any preferred stock or publicly-traded debt securities are outstanding, we may be prohibited from making distributions to our stockholders or the repurchasing of such securities or shares unless we meet the applicable asset coverage ratios at the time of the distribution or repurchase. We may also borrow amounts up to 5% of the value of our total assets for temporary or emergency purposes without regard to asset coverage.</w:t>
      </w:r>
    </w:p>
    <w:p>
      <w:pPr>
        <w:spacing w:after="0" w:line="188" w:lineRule="exact"/>
        <w:rPr>
          <w:sz w:val="20"/>
          <w:szCs w:val="20"/>
          <w:color w:val="auto"/>
        </w:rPr>
      </w:pPr>
    </w:p>
    <w:p>
      <w:pPr>
        <w:ind w:right="240" w:firstLine="259"/>
        <w:spacing w:after="0" w:line="277" w:lineRule="auto"/>
        <w:rPr>
          <w:sz w:val="20"/>
          <w:szCs w:val="20"/>
          <w:color w:val="auto"/>
        </w:rPr>
      </w:pPr>
      <w:r>
        <w:rPr>
          <w:rFonts w:ascii="Arial" w:cs="Arial" w:eastAsia="Arial" w:hAnsi="Arial"/>
          <w:sz w:val="18"/>
          <w:szCs w:val="18"/>
          <w:color w:val="auto"/>
        </w:rPr>
        <w:t>The 1940 Act imposes limitations on a BDC’s issuance of preferred stock, which is considered “senior securities” and thus is subject to the 200% asset coverage requirement described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Ethics</w:t>
      </w:r>
    </w:p>
    <w:p>
      <w:pPr>
        <w:spacing w:after="0" w:line="117"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As required by the Advisers Act and the 1940 Act, we and the Adviser have adopted a code of ethics which applies to, among others, our and our Adviser’s executive officers, including our Co-Chief Executive Officers and Chief Financial Officer, as well as our Adviser’s officers, directors and employees. The code of ethics establishes procedures for personal investments and restricts certain personal securities transactions. Personnel subject to the code may invest in securities for their personal investment accounts, including securities that may be purchased or held by us, so long as such investments are made in accordance with the code’s requirements. There have been no material changes to our Code of Business Conduct and Ethics or material waivers of the code that apply to our Co-Chief Executive Officers or Chief Financial Officer.</w:t>
      </w:r>
    </w:p>
    <w:p>
      <w:pPr>
        <w:spacing w:after="0" w:line="178"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We hereby undertake to provide a copy of the code to any person, without charge, upon request. Requests for a copy of this code may be made in writing addressed to the Secretary of the Company, Jennifer Mello, TPG Specialty Lending, Inc., 345 California Street, Suite 3300, San Francisco, CA 94104, Attention: TSL Investor Relations, or by emailing us at IRTSL@tpg.com.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Policies and Procedures</w:t>
      </w:r>
    </w:p>
    <w:p>
      <w:pPr>
        <w:spacing w:after="0" w:line="117" w:lineRule="exact"/>
        <w:rPr>
          <w:sz w:val="20"/>
          <w:szCs w:val="20"/>
          <w:color w:val="auto"/>
        </w:rPr>
      </w:pPr>
    </w:p>
    <w:p>
      <w:pPr>
        <w:ind w:right="340" w:firstLine="259"/>
        <w:spacing w:after="0" w:line="286" w:lineRule="auto"/>
        <w:rPr>
          <w:sz w:val="20"/>
          <w:szCs w:val="20"/>
          <w:color w:val="auto"/>
        </w:rPr>
      </w:pPr>
      <w:r>
        <w:rPr>
          <w:rFonts w:ascii="Arial" w:cs="Arial" w:eastAsia="Arial" w:hAnsi="Arial"/>
          <w:sz w:val="17"/>
          <w:szCs w:val="17"/>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Sarbanes-Oxley Act of 2002</w:t>
      </w:r>
    </w:p>
    <w:p>
      <w:pPr>
        <w:spacing w:after="0" w:line="117"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The Sarbanes-Oxley Act of 2002 imposes a wide variety of regulatory requirements on certain publicly held companies and their insiders. Assuming certain requirements are met, many of these requirements affect us. For example:</w:t>
      </w:r>
    </w:p>
    <w:p>
      <w:pPr>
        <w:spacing w:after="0" w:line="62" w:lineRule="exact"/>
        <w:rPr>
          <w:sz w:val="20"/>
          <w:szCs w:val="20"/>
          <w:color w:val="auto"/>
        </w:rPr>
      </w:pPr>
    </w:p>
    <w:p>
      <w:pPr>
        <w:ind w:left="520" w:right="540" w:hanging="253"/>
        <w:spacing w:after="0" w:line="27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pursuant to Rule 13a-14 of the Exchange Act, our Co-Chief Executive Officers and Chief Financial Officer certify the accuracy of the financial statements contained in our periodic reports;</w:t>
      </w:r>
    </w:p>
    <w:p>
      <w:pPr>
        <w:spacing w:after="0" w:line="62" w:lineRule="exact"/>
        <w:rPr>
          <w:rFonts w:ascii="Arial" w:cs="Arial" w:eastAsia="Arial" w:hAnsi="Arial"/>
          <w:sz w:val="18"/>
          <w:szCs w:val="18"/>
          <w:color w:val="auto"/>
        </w:rPr>
      </w:pPr>
    </w:p>
    <w:p>
      <w:pPr>
        <w:ind w:left="520" w:right="800" w:hanging="253"/>
        <w:spacing w:after="0" w:line="27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62" w:lineRule="exact"/>
        <w:rPr>
          <w:rFonts w:ascii="Arial" w:cs="Arial" w:eastAsia="Arial" w:hAnsi="Arial"/>
          <w:sz w:val="18"/>
          <w:szCs w:val="18"/>
          <w:color w:val="auto"/>
        </w:rPr>
      </w:pPr>
    </w:p>
    <w:p>
      <w:pPr>
        <w:ind w:left="520" w:right="100" w:hanging="253"/>
        <w:spacing w:after="0" w:line="342" w:lineRule="auto"/>
        <w:tabs>
          <w:tab w:leader="none" w:pos="5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pursuant to Rule 13a-15 of the Exchange Act, subject to certain assumptions, our management is required to prepare an annual report regarding its assessment of our internal control over financial reporting, which is required to be audited by our independent registered public accounting firm; and,</w:t>
      </w:r>
    </w:p>
    <w:p>
      <w:pPr>
        <w:spacing w:after="0" w:line="15" w:lineRule="exact"/>
        <w:rPr>
          <w:rFonts w:ascii="Arial" w:cs="Arial" w:eastAsia="Arial" w:hAnsi="Arial"/>
          <w:sz w:val="16"/>
          <w:szCs w:val="16"/>
          <w:color w:val="auto"/>
        </w:rPr>
      </w:pPr>
    </w:p>
    <w:p>
      <w:pPr>
        <w:jc w:val="both"/>
        <w:ind w:left="520" w:right="60" w:hanging="253"/>
        <w:spacing w:after="0" w:line="286"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66" w:lineRule="exact"/>
        <w:rPr>
          <w:sz w:val="20"/>
          <w:szCs w:val="20"/>
          <w:color w:val="auto"/>
        </w:rPr>
      </w:pPr>
    </w:p>
    <w:p>
      <w:pPr>
        <w:ind w:right="360" w:firstLine="259"/>
        <w:spacing w:after="0" w:line="264"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665"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The NYSE Corporate Governance Rules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NYSE has adopted corporate governance rules that listed companies must comply with. We are in compliance with these rules.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Policies and Procedures</w:t>
      </w:r>
    </w:p>
    <w:p>
      <w:pPr>
        <w:spacing w:after="0" w:line="117"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87" w:lineRule="exact"/>
        <w:rPr>
          <w:sz w:val="20"/>
          <w:szCs w:val="20"/>
          <w:color w:val="auto"/>
        </w:rPr>
      </w:pPr>
    </w:p>
    <w:p>
      <w:pPr>
        <w:ind w:right="20" w:firstLine="259"/>
        <w:spacing w:after="0" w:line="270" w:lineRule="auto"/>
        <w:rPr>
          <w:sz w:val="20"/>
          <w:szCs w:val="20"/>
          <w:color w:val="auto"/>
        </w:rPr>
      </w:pPr>
      <w:r>
        <w:rPr>
          <w:rFonts w:ascii="Arial" w:cs="Arial" w:eastAsia="Arial" w:hAnsi="Arial"/>
          <w:sz w:val="17"/>
          <w:szCs w:val="17"/>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Principles</w:t>
      </w:r>
    </w:p>
    <w:p>
      <w:pPr>
        <w:spacing w:after="0" w:line="117"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ind w:right="60" w:firstLine="259"/>
        <w:spacing w:after="0" w:line="271" w:lineRule="auto"/>
        <w:rPr>
          <w:sz w:val="20"/>
          <w:szCs w:val="20"/>
          <w:color w:val="auto"/>
        </w:rPr>
      </w:pPr>
      <w:r>
        <w:rPr>
          <w:rFonts w:ascii="Arial" w:cs="Arial" w:eastAsia="Arial" w:hAnsi="Arial"/>
          <w:sz w:val="17"/>
          <w:szCs w:val="17"/>
          <w:color w:val="auto"/>
        </w:rPr>
        <w:t>We generally will not receive any nonpublic personal information relating to stockholders who purchase common stock. We may collect nonpublic personal information regarding certain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79" w:lineRule="exact"/>
        <w:rPr>
          <w:sz w:val="20"/>
          <w:szCs w:val="20"/>
          <w:color w:val="auto"/>
        </w:rPr>
      </w:pPr>
    </w:p>
    <w:p>
      <w:pPr>
        <w:ind w:right="220" w:firstLine="259"/>
        <w:spacing w:after="0" w:line="259" w:lineRule="auto"/>
        <w:rPr>
          <w:sz w:val="20"/>
          <w:szCs w:val="20"/>
          <w:color w:val="auto"/>
        </w:rPr>
      </w:pPr>
      <w:r>
        <w:rPr>
          <w:rFonts w:ascii="Arial" w:cs="Arial" w:eastAsia="Arial" w:hAnsi="Arial"/>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 services to us and our investors. We maintain physical, electronic and procedural safeguards to seek to guard investor nonpublic personal information.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Obligations</w:t>
      </w:r>
    </w:p>
    <w:p>
      <w:pPr>
        <w:spacing w:after="0" w:line="117" w:lineRule="exact"/>
        <w:rPr>
          <w:sz w:val="20"/>
          <w:szCs w:val="20"/>
          <w:color w:val="auto"/>
        </w:rPr>
      </w:pPr>
    </w:p>
    <w:p>
      <w:pPr>
        <w:ind w:right="400" w:firstLine="259"/>
        <w:spacing w:after="0" w:line="264" w:lineRule="auto"/>
        <w:rPr>
          <w:sz w:val="20"/>
          <w:szCs w:val="20"/>
          <w:color w:val="auto"/>
        </w:rPr>
      </w:pPr>
      <w:r>
        <w:rPr>
          <w:rFonts w:ascii="Arial" w:cs="Arial" w:eastAsia="Arial" w:hAnsi="Arial"/>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 xml:space="preserve">We make available on our website (www.tpgspecialtylending.com) our proxy statements, our annual reports on Form 10-K, quarterly reports on Form 10-Q and our current reports on Form 8-K. We also provide electronic or paper copies of our filings free of charge upon request. Requests may be made in writing addressed to us at 345 California Street, Suite 3300, San Francisco, CA 94104, Attention: TSL Investor Relations, or by emailing us at </w:t>
      </w:r>
      <w:r>
        <w:rPr>
          <w:rFonts w:ascii="Arial" w:cs="Arial" w:eastAsia="Arial" w:hAnsi="Arial"/>
          <w:sz w:val="18"/>
          <w:szCs w:val="18"/>
          <w:i w:val="1"/>
          <w:iCs w:val="1"/>
          <w:color w:val="auto"/>
        </w:rPr>
        <w:t>IRTSL@tpg.com</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65" w:right="239" w:bottom="1440" w:gutter="0" w:footer="0" w:header="0"/>
        </w:sectPr>
      </w:pPr>
    </w:p>
    <w:bookmarkStart w:id="25" w:name="page26"/>
    <w:bookmarkEnd w:id="25"/>
    <w:p>
      <w:pPr>
        <w:ind w:right="120" w:firstLine="259"/>
        <w:spacing w:after="0" w:line="264" w:lineRule="auto"/>
        <w:rPr>
          <w:sz w:val="20"/>
          <w:szCs w:val="20"/>
          <w:color w:val="auto"/>
        </w:rPr>
      </w:pPr>
      <w:r>
        <w:rPr>
          <w:rFonts w:ascii="Arial" w:cs="Arial" w:eastAsia="Arial" w:hAnsi="Arial"/>
          <w:sz w:val="18"/>
          <w:szCs w:val="18"/>
          <w:color w:val="auto"/>
        </w:rPr>
        <w:t>Investors and the public may also read and copy any materials we file with the SEC at the SEC’s Public Reference Room at 100 F Street, Room 1580 Washington, DC 20549. The public may also obtain information on the operation of the Public Reference Room by calling the SEC at 1-800-SEC-0330. The SEC also maintains a website (www.sec.gov) that contains this information.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Regulated Investment Company Classification</w:t>
      </w:r>
    </w:p>
    <w:p>
      <w:pPr>
        <w:spacing w:after="0" w:line="117" w:lineRule="exact"/>
        <w:rPr>
          <w:sz w:val="20"/>
          <w:szCs w:val="20"/>
          <w:color w:val="auto"/>
        </w:rPr>
      </w:pPr>
    </w:p>
    <w:p>
      <w:pPr>
        <w:ind w:right="20" w:firstLine="259"/>
        <w:spacing w:after="0" w:line="279" w:lineRule="auto"/>
        <w:rPr>
          <w:sz w:val="20"/>
          <w:szCs w:val="20"/>
          <w:color w:val="auto"/>
        </w:rPr>
      </w:pPr>
      <w:r>
        <w:rPr>
          <w:rFonts w:ascii="Arial" w:cs="Arial" w:eastAsia="Arial" w:hAnsi="Arial"/>
          <w:sz w:val="17"/>
          <w:szCs w:val="17"/>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 In addition, certain distributions that we make to certain non-U.S. stockholders with respect to our taxable years commencing April 1, 2015 may be eligible for look-through tax treatment if Congress extends certain rules to apply to such taxable years.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117" w:lineRule="exact"/>
        <w:rPr>
          <w:sz w:val="20"/>
          <w:szCs w:val="20"/>
          <w:color w:val="auto"/>
        </w:rPr>
      </w:pPr>
    </w:p>
    <w:p>
      <w:pPr>
        <w:ind w:left="520" w:hanging="253"/>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117" w:lineRule="exact"/>
        <w:rPr>
          <w:rFonts w:ascii="Arial" w:cs="Arial" w:eastAsia="Arial" w:hAnsi="Arial"/>
          <w:sz w:val="18"/>
          <w:szCs w:val="18"/>
          <w:color w:val="auto"/>
        </w:rPr>
      </w:pPr>
    </w:p>
    <w:p>
      <w:pPr>
        <w:ind w:left="520" w:right="60" w:hanging="253"/>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 diversified holdings so that, subject to certain exceptions and cure periods, at the end of each quarter of our taxable year:</w:t>
      </w:r>
    </w:p>
    <w:p>
      <w:pPr>
        <w:spacing w:after="0" w:line="117" w:lineRule="exact"/>
        <w:rPr>
          <w:rFonts w:ascii="Arial" w:cs="Arial" w:eastAsia="Arial" w:hAnsi="Arial"/>
          <w:sz w:val="18"/>
          <w:szCs w:val="18"/>
          <w:color w:val="auto"/>
        </w:rPr>
      </w:pPr>
    </w:p>
    <w:p>
      <w:pPr>
        <w:ind w:left="780" w:right="300" w:hanging="254"/>
        <w:spacing w:after="0" w:line="286" w:lineRule="auto"/>
        <w:tabs>
          <w:tab w:leader="none" w:pos="7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57" w:lineRule="exact"/>
        <w:rPr>
          <w:rFonts w:ascii="Arial" w:cs="Arial" w:eastAsia="Arial" w:hAnsi="Arial"/>
          <w:sz w:val="17"/>
          <w:szCs w:val="17"/>
          <w:color w:val="auto"/>
        </w:rPr>
      </w:pPr>
    </w:p>
    <w:p>
      <w:pPr>
        <w:ind w:left="780" w:right="420" w:hanging="254"/>
        <w:spacing w:after="0" w:line="264" w:lineRule="auto"/>
        <w:tabs>
          <w:tab w:leader="none" w:pos="7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81"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70" w:lineRule="exact"/>
        <w:rPr>
          <w:sz w:val="20"/>
          <w:szCs w:val="20"/>
          <w:color w:val="auto"/>
        </w:rPr>
      </w:pPr>
    </w:p>
    <w:p>
      <w:pPr>
        <w:ind w:left="780" w:hanging="254"/>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17" w:lineRule="exact"/>
        <w:rPr>
          <w:rFonts w:ascii="Arial" w:cs="Arial" w:eastAsia="Arial" w:hAnsi="Arial"/>
          <w:sz w:val="18"/>
          <w:szCs w:val="18"/>
          <w:color w:val="auto"/>
        </w:rPr>
      </w:pPr>
    </w:p>
    <w:p>
      <w:pPr>
        <w:ind w:left="780" w:right="80" w:hanging="254"/>
        <w:spacing w:after="0" w:line="277"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62" w:lineRule="exact"/>
        <w:rPr>
          <w:rFonts w:ascii="Arial" w:cs="Arial" w:eastAsia="Arial" w:hAnsi="Arial"/>
          <w:sz w:val="18"/>
          <w:szCs w:val="18"/>
          <w:color w:val="auto"/>
        </w:rPr>
      </w:pPr>
    </w:p>
    <w:p>
      <w:pPr>
        <w:ind w:left="780" w:hanging="254"/>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200" w:firstLine="259"/>
        <w:spacing w:after="0" w:line="259" w:lineRule="auto"/>
        <w:rPr>
          <w:sz w:val="20"/>
          <w:szCs w:val="20"/>
          <w:color w:val="auto"/>
        </w:rPr>
      </w:pPr>
      <w:r>
        <w:rPr>
          <w:rFonts w:ascii="Arial" w:cs="Arial" w:eastAsia="Arial" w:hAnsi="Arial"/>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7"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We generally expect to distribute substantially all of our earnings on a quarterly basis, but will reinvest dividends and distributions on behalf of those investors that do not elect to receive their dividends in cash. See “—</w:t>
      </w:r>
      <w:r>
        <w:rPr>
          <w:rFonts w:ascii="Arial" w:cs="Arial" w:eastAsia="Arial" w:hAnsi="Arial"/>
          <w:sz w:val="18"/>
          <w:szCs w:val="18"/>
          <w:i w:val="1"/>
          <w:iCs w:val="1"/>
          <w:color w:val="auto"/>
        </w:rPr>
        <w:t>Dividend Policy</w:t>
      </w:r>
      <w:r>
        <w:rPr>
          <w:rFonts w:ascii="Arial" w:cs="Arial" w:eastAsia="Arial" w:hAnsi="Arial"/>
          <w:sz w:val="18"/>
          <w:szCs w:val="18"/>
          <w:color w:val="auto"/>
        </w:rPr>
        <w:t>” and “—</w:t>
      </w:r>
      <w:r>
        <w:rPr>
          <w:rFonts w:ascii="Arial" w:cs="Arial" w:eastAsia="Arial" w:hAnsi="Arial"/>
          <w:sz w:val="18"/>
          <w:szCs w:val="18"/>
          <w:i w:val="1"/>
          <w:iCs w:val="1"/>
          <w:color w:val="auto"/>
        </w:rPr>
        <w:t>Dividend Reinvestment Plan</w:t>
      </w:r>
      <w:r>
        <w:rPr>
          <w:rFonts w:ascii="Arial" w:cs="Arial" w:eastAsia="Arial" w:hAnsi="Arial"/>
          <w:sz w:val="18"/>
          <w:szCs w:val="18"/>
          <w:color w:val="auto"/>
        </w:rPr>
        <w:t>” for a description of our dividend policy and obligations. One or more of the considerations described below, however, could result in the deferral of dividend distributions until the end of the fiscal year:</w:t>
      </w:r>
    </w:p>
    <w:p>
      <w:pPr>
        <w:spacing w:after="0" w:line="79" w:lineRule="exact"/>
        <w:rPr>
          <w:sz w:val="20"/>
          <w:szCs w:val="20"/>
          <w:color w:val="auto"/>
        </w:rPr>
      </w:pPr>
    </w:p>
    <w:p>
      <w:pPr>
        <w:ind w:left="520" w:right="180" w:hanging="253"/>
        <w:spacing w:after="0" w:line="312" w:lineRule="auto"/>
        <w:tabs>
          <w:tab w:leader="none" w:pos="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38" w:lineRule="exact"/>
        <w:rPr>
          <w:rFonts w:ascii="Arial" w:cs="Arial" w:eastAsia="Arial" w:hAnsi="Arial"/>
          <w:sz w:val="16"/>
          <w:szCs w:val="16"/>
          <w:color w:val="auto"/>
        </w:rPr>
      </w:pPr>
    </w:p>
    <w:p>
      <w:pPr>
        <w:ind w:left="520" w:right="260" w:hanging="253"/>
        <w:spacing w:after="0" w:line="277"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57" w:right="239" w:bottom="1440" w:gutter="0" w:footer="0" w:header="0"/>
        </w:sectPr>
      </w:pPr>
    </w:p>
    <w:bookmarkStart w:id="26" w:name="page27"/>
    <w:bookmarkEnd w:id="26"/>
    <w:p>
      <w:pPr>
        <w:ind w:left="520" w:right="20" w:hanging="253"/>
        <w:spacing w:after="0" w:line="264"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withholding tax treatment of certain dividends payable to certain non-U.S. stockholders depends on whether and when Congress extends the look-through rules applicable to “interest-related dividends” and “short-term capital gain dividends.” The look-through rules expired for taxable years beginning after December 31, 2014.</w:t>
      </w:r>
    </w:p>
    <w:p>
      <w:pPr>
        <w:spacing w:after="0" w:line="181"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8" w:lineRule="exact"/>
        <w:rPr>
          <w:sz w:val="20"/>
          <w:szCs w:val="20"/>
          <w:color w:val="auto"/>
        </w:rPr>
      </w:pPr>
    </w:p>
    <w:p>
      <w:pPr>
        <w:ind w:right="180" w:firstLine="259"/>
        <w:spacing w:after="0" w:line="290"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ten years.</w:t>
      </w:r>
    </w:p>
    <w:p>
      <w:pPr>
        <w:spacing w:after="0" w:line="166"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Investing in our securities involves a number of significant risks. Before you invest in our securities, you should be aware of various risks associated with the investment, including those described below.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management personnel of the Adviser, TSSP, TPG and their affiliates for our future success.</w:t>
      </w:r>
    </w:p>
    <w:p>
      <w:pPr>
        <w:spacing w:after="0" w:line="117" w:lineRule="exact"/>
        <w:rPr>
          <w:sz w:val="20"/>
          <w:szCs w:val="20"/>
          <w:color w:val="auto"/>
        </w:rPr>
      </w:pPr>
    </w:p>
    <w:p>
      <w:pPr>
        <w:ind w:right="240" w:firstLine="259"/>
        <w:spacing w:after="0" w:line="276" w:lineRule="auto"/>
        <w:rPr>
          <w:sz w:val="20"/>
          <w:szCs w:val="20"/>
          <w:color w:val="auto"/>
        </w:rPr>
      </w:pPr>
      <w:r>
        <w:rPr>
          <w:rFonts w:ascii="Arial" w:cs="Arial" w:eastAsia="Arial" w:hAnsi="Arial"/>
          <w:sz w:val="17"/>
          <w:szCs w:val="17"/>
          <w:color w:val="auto"/>
        </w:rPr>
        <w:t>We depend on the experience, diligence, skill and network of business contacts of senior members of our Investment Team. Our Investment Team, together with other professionals at TSSP and TPG and their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73" w:lineRule="exact"/>
        <w:rPr>
          <w:sz w:val="20"/>
          <w:szCs w:val="20"/>
          <w:color w:val="auto"/>
        </w:rPr>
      </w:pPr>
    </w:p>
    <w:p>
      <w:pPr>
        <w:ind w:right="380" w:firstLine="259"/>
        <w:spacing w:after="0" w:line="259" w:lineRule="auto"/>
        <w:rPr>
          <w:sz w:val="20"/>
          <w:szCs w:val="20"/>
          <w:color w:val="auto"/>
        </w:rPr>
      </w:pPr>
      <w:r>
        <w:rPr>
          <w:rFonts w:ascii="Arial" w:cs="Arial" w:eastAsia="Arial" w:hAnsi="Arial"/>
          <w:sz w:val="18"/>
          <w:szCs w:val="18"/>
          <w:color w:val="auto"/>
        </w:rPr>
        <w:t>In addition, we cannot assure you that the Adviser will remain our investment adviser or that we will continue to have access to TSSP, TPG or their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117" w:lineRule="exact"/>
        <w:rPr>
          <w:sz w:val="20"/>
          <w:szCs w:val="20"/>
          <w:color w:val="auto"/>
        </w:rPr>
      </w:pPr>
    </w:p>
    <w:p>
      <w:pPr>
        <w:ind w:right="20" w:firstLine="259"/>
        <w:spacing w:after="0" w:line="302" w:lineRule="auto"/>
        <w:rPr>
          <w:sz w:val="20"/>
          <w:szCs w:val="20"/>
          <w:color w:val="auto"/>
        </w:rPr>
      </w:pPr>
      <w:r>
        <w:rPr>
          <w:rFonts w:ascii="Arial" w:cs="Arial" w:eastAsia="Arial" w:hAnsi="Arial"/>
          <w:sz w:val="16"/>
          <w:szCs w:val="16"/>
          <w:color w:val="auto"/>
        </w:rPr>
        <w:t>The 1940 Act imposes numerous constraints on the operations of BDCs. See “</w:t>
      </w:r>
      <w:r>
        <w:rPr>
          <w:rFonts w:ascii="Arial" w:cs="Arial" w:eastAsia="Arial" w:hAnsi="Arial"/>
          <w:sz w:val="16"/>
          <w:szCs w:val="16"/>
          <w:i w:val="1"/>
          <w:iCs w:val="1"/>
          <w:color w:val="auto"/>
        </w:rPr>
        <w:t>ITEM 1. BUSINESS—Regulation as a Business Development Company</w:t>
      </w:r>
      <w:r>
        <w:rPr>
          <w:rFonts w:ascii="Arial" w:cs="Arial" w:eastAsia="Arial" w:hAnsi="Arial"/>
          <w:sz w:val="16"/>
          <w:szCs w:val="16"/>
          <w:color w:val="auto"/>
        </w:rPr>
        <w:t>”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54"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49" w:right="259" w:bottom="1440" w:gutter="0" w:footer="0" w:header="0"/>
        </w:sectPr>
      </w:pPr>
    </w:p>
    <w:bookmarkStart w:id="27" w:name="page28"/>
    <w:bookmarkEnd w:id="27"/>
    <w:p>
      <w:pPr>
        <w:ind w:right="60"/>
        <w:spacing w:after="0" w:line="273" w:lineRule="auto"/>
        <w:rPr>
          <w:sz w:val="20"/>
          <w:szCs w:val="20"/>
          <w:color w:val="auto"/>
        </w:rPr>
      </w:pPr>
      <w:r>
        <w:rPr>
          <w:rFonts w:ascii="Arial" w:cs="Arial" w:eastAsia="Arial" w:hAnsi="Arial"/>
          <w:sz w:val="17"/>
          <w:szCs w:val="17"/>
          <w:color w:val="auto"/>
        </w:rPr>
        <w:t>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200%. Consequently, if the value of our assets declines,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78" w:lineRule="exact"/>
        <w:rPr>
          <w:sz w:val="20"/>
          <w:szCs w:val="20"/>
          <w:color w:val="auto"/>
        </w:rPr>
      </w:pPr>
    </w:p>
    <w:p>
      <w:pPr>
        <w:ind w:right="140" w:firstLine="259"/>
        <w:spacing w:after="0" w:line="255"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89" w:lineRule="exact"/>
        <w:rPr>
          <w:sz w:val="20"/>
          <w:szCs w:val="20"/>
          <w:color w:val="auto"/>
        </w:rPr>
      </w:pPr>
    </w:p>
    <w:p>
      <w:pPr>
        <w:ind w:firstLine="259"/>
        <w:spacing w:after="0" w:line="269" w:lineRule="auto"/>
        <w:rPr>
          <w:sz w:val="20"/>
          <w:szCs w:val="20"/>
          <w:color w:val="auto"/>
        </w:rPr>
      </w:pPr>
      <w:r>
        <w:rPr>
          <w:rFonts w:ascii="Arial" w:cs="Arial" w:eastAsia="Arial" w:hAnsi="Arial"/>
          <w:sz w:val="17"/>
          <w:szCs w:val="17"/>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We may in the future seek such approval;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80" w:lineRule="exact"/>
        <w:rPr>
          <w:sz w:val="20"/>
          <w:szCs w:val="20"/>
          <w:color w:val="auto"/>
        </w:rPr>
      </w:pPr>
    </w:p>
    <w:p>
      <w:pPr>
        <w:ind w:firstLine="259"/>
        <w:spacing w:after="0" w:line="288"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t>
      </w:r>
      <w:r>
        <w:rPr>
          <w:rFonts w:ascii="Arial" w:cs="Arial" w:eastAsia="Arial" w:hAnsi="Arial"/>
          <w:sz w:val="16"/>
          <w:szCs w:val="16"/>
          <w:i w:val="1"/>
          <w:iCs w:val="1"/>
          <w:color w:val="auto"/>
        </w:rPr>
        <w:t>—Risks Related to Our</w:t>
      </w:r>
      <w:r>
        <w:rPr>
          <w:rFonts w:ascii="Arial" w:cs="Arial" w:eastAsia="Arial" w:hAnsi="Arial"/>
          <w:sz w:val="16"/>
          <w:szCs w:val="16"/>
          <w:color w:val="auto"/>
        </w:rPr>
        <w:t xml:space="preserve"> </w:t>
      </w:r>
      <w:r>
        <w:rPr>
          <w:rFonts w:ascii="Arial" w:cs="Arial" w:eastAsia="Arial" w:hAnsi="Arial"/>
          <w:sz w:val="16"/>
          <w:szCs w:val="16"/>
          <w:i w:val="1"/>
          <w:iCs w:val="1"/>
          <w:color w:val="auto"/>
        </w:rPr>
        <w:t>Portfolio Company Investments</w:t>
      </w:r>
      <w:r>
        <w:rPr>
          <w:rFonts w:ascii="Arial" w:cs="Arial" w:eastAsia="Arial" w:hAnsi="Arial"/>
          <w:sz w:val="16"/>
          <w:szCs w:val="16"/>
          <w:b w:val="1"/>
          <w:bCs w:val="1"/>
          <w:color w:val="auto"/>
        </w:rPr>
        <w:t>—</w:t>
      </w:r>
      <w:r>
        <w:rPr>
          <w:rFonts w:ascii="Arial" w:cs="Arial" w:eastAsia="Arial" w:hAnsi="Arial"/>
          <w:sz w:val="16"/>
          <w:szCs w:val="16"/>
          <w:i w:val="1"/>
          <w:iCs w:val="1"/>
          <w:color w:val="auto"/>
        </w:rPr>
        <w:t>We may securitize certain of our investments, which may subject us to certain structured financing risks</w:t>
      </w:r>
      <w:r>
        <w:rPr>
          <w:rFonts w:ascii="Arial" w:cs="Arial" w:eastAsia="Arial" w:hAnsi="Arial"/>
          <w:sz w:val="16"/>
          <w:szCs w:val="16"/>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117" w:lineRule="exact"/>
        <w:rPr>
          <w:sz w:val="20"/>
          <w:szCs w:val="20"/>
          <w:color w:val="auto"/>
        </w:rPr>
      </w:pPr>
    </w:p>
    <w:p>
      <w:pPr>
        <w:ind w:firstLine="259"/>
        <w:spacing w:after="0" w:line="288" w:lineRule="auto"/>
        <w:rPr>
          <w:sz w:val="20"/>
          <w:szCs w:val="20"/>
          <w:color w:val="auto"/>
        </w:rPr>
      </w:pPr>
      <w:r>
        <w:rPr>
          <w:rFonts w:ascii="Arial" w:cs="Arial" w:eastAsia="Arial" w:hAnsi="Arial"/>
          <w:sz w:val="16"/>
          <w:szCs w:val="16"/>
          <w:color w:val="auto"/>
        </w:rPr>
        <w:t>As part of our business strategy, we borrow from and may in the future issue additional senior debt securities to banks, insurance companies and other lenders. Holders of these loans or senior securities would have fixed-dollar claims on our assets that are superior to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w:t>
      </w:r>
      <w:r>
        <w:rPr>
          <w:rFonts w:ascii="Arial" w:cs="Arial" w:eastAsia="Arial" w:hAnsi="Arial"/>
          <w:sz w:val="16"/>
          <w:szCs w:val="16"/>
          <w:i w:val="1"/>
          <w:iCs w:val="1"/>
          <w:color w:val="auto"/>
        </w:rPr>
        <w:t>—Risks Related to Our</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and Structure—Even in the event the value of your investment declines, the Management Fee and, in certain circumstances, the Incentive Fee will still be payable to the Adviser</w:t>
      </w:r>
      <w:r>
        <w:rPr>
          <w:rFonts w:ascii="Arial" w:cs="Arial" w:eastAsia="Arial" w:hAnsi="Arial"/>
          <w:sz w:val="16"/>
          <w:szCs w:val="16"/>
          <w:color w:val="auto"/>
        </w:rPr>
        <w:t>.” The amount of leverage that we employ will depend on our Adviser’s and our Board’s assessment of market and other factors</w:t>
      </w:r>
      <w:r>
        <w:rPr>
          <w:rFonts w:ascii="Arial" w:cs="Arial" w:eastAsia="Arial" w:hAnsi="Arial"/>
          <w:sz w:val="16"/>
          <w:szCs w:val="16"/>
          <w:i w:val="1"/>
          <w:iCs w:val="1"/>
          <w:color w:val="auto"/>
        </w:rPr>
        <w:t xml:space="preserve"> </w:t>
      </w:r>
      <w:r>
        <w:rPr>
          <w:rFonts w:ascii="Arial" w:cs="Arial" w:eastAsia="Arial" w:hAnsi="Arial"/>
          <w:sz w:val="16"/>
          <w:szCs w:val="16"/>
          <w:color w:val="auto"/>
        </w:rPr>
        <w:t>at the time of any proposed borrowing. We cannot assure you that we will be able to obtain credit at all or on terms acceptable to us.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57" w:right="239" w:bottom="1440" w:gutter="0" w:footer="0" w:header="0"/>
        </w:sectPr>
      </w:pPr>
    </w:p>
    <w:bookmarkStart w:id="28" w:name="page29"/>
    <w:bookmarkEnd w:id="28"/>
    <w:p>
      <w:pPr>
        <w:ind w:firstLine="259"/>
        <w:spacing w:after="0" w:line="272" w:lineRule="auto"/>
        <w:rPr>
          <w:sz w:val="20"/>
          <w:szCs w:val="20"/>
          <w:color w:val="auto"/>
        </w:rPr>
      </w:pPr>
      <w:r>
        <w:rPr>
          <w:rFonts w:ascii="Arial" w:cs="Arial" w:eastAsia="Arial" w:hAnsi="Arial"/>
          <w:sz w:val="17"/>
          <w:szCs w:val="17"/>
          <w:color w:val="auto"/>
        </w:rPr>
        <w:t>Our credit facilities also impose financial and operating covenants that restrict our business activities, remedies on default and similar matters. As of the date of this Annual Report, we are in compliance with the covenants of our credit facilities.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78" w:lineRule="exact"/>
        <w:rPr>
          <w:sz w:val="20"/>
          <w:szCs w:val="20"/>
          <w:color w:val="auto"/>
        </w:rPr>
      </w:pPr>
    </w:p>
    <w:p>
      <w:pPr>
        <w:ind w:right="100" w:firstLine="259"/>
        <w:spacing w:after="0" w:line="312" w:lineRule="auto"/>
        <w:rPr>
          <w:sz w:val="20"/>
          <w:szCs w:val="20"/>
          <w:color w:val="auto"/>
        </w:rPr>
      </w:pPr>
      <w:r>
        <w:rPr>
          <w:rFonts w:ascii="Arial" w:cs="Arial" w:eastAsia="Arial" w:hAnsi="Arial"/>
          <w:sz w:val="16"/>
          <w:szCs w:val="16"/>
          <w:color w:val="auto"/>
        </w:rPr>
        <w:t>As of December 31, 2014, we had $395.9 million of outstanding indebtedness, which had an annualized interest cost of 3.2% under the terms of our debt, excluding fees (such as fees on undrawn amounts and amortization of upfront fees). As of December 31, 2014, the interest rate on our 4.50% Convertible Senior Notes due 2019, or the Convertible Senior Notes, as adjusted to give effect to the interest rate swap, was three-month LIBOR plus 252.9 basis points.</w:t>
      </w:r>
    </w:p>
    <w:p>
      <w:pPr>
        <w:spacing w:after="0" w:line="147" w:lineRule="exact"/>
        <w:rPr>
          <w:sz w:val="20"/>
          <w:szCs w:val="20"/>
          <w:color w:val="auto"/>
        </w:rPr>
      </w:pPr>
    </w:p>
    <w:p>
      <w:pPr>
        <w:ind w:right="320" w:firstLine="259"/>
        <w:spacing w:after="0" w:line="264" w:lineRule="auto"/>
        <w:rPr>
          <w:sz w:val="20"/>
          <w:szCs w:val="20"/>
          <w:color w:val="auto"/>
        </w:rPr>
      </w:pPr>
      <w:r>
        <w:rPr>
          <w:rFonts w:ascii="Arial" w:cs="Arial" w:eastAsia="Arial" w:hAnsi="Arial"/>
          <w:sz w:val="18"/>
          <w:szCs w:val="18"/>
          <w:color w:val="auto"/>
        </w:rPr>
        <w:t>For us to cover these annualized interest payments on indebtedness, we must achieve annual returns on our investments of at least 1.0%.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117" w:lineRule="exact"/>
        <w:rPr>
          <w:sz w:val="20"/>
          <w:szCs w:val="20"/>
          <w:color w:val="auto"/>
        </w:rPr>
      </w:pPr>
    </w:p>
    <w:p>
      <w:pPr>
        <w:ind w:right="20" w:firstLine="259"/>
        <w:spacing w:after="0" w:line="293"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117" w:lineRule="exact"/>
        <w:rPr>
          <w:sz w:val="20"/>
          <w:szCs w:val="20"/>
          <w:color w:val="auto"/>
        </w:rPr>
      </w:pPr>
    </w:p>
    <w:p>
      <w:pPr>
        <w:ind w:right="20" w:firstLine="259"/>
        <w:spacing w:after="0" w:line="293" w:lineRule="auto"/>
        <w:rPr>
          <w:sz w:val="20"/>
          <w:szCs w:val="20"/>
          <w:color w:val="auto"/>
        </w:rPr>
      </w:pPr>
      <w:r>
        <w:rPr>
          <w:rFonts w:ascii="Arial" w:cs="Arial" w:eastAsia="Arial" w:hAnsi="Arial"/>
          <w:sz w:val="16"/>
          <w:szCs w:val="16"/>
          <w:color w:val="auto"/>
        </w:rPr>
        <w:t>As a BDC, under the 1940 Act we generally are not permitted to incur borrowings, issue debt securities or issue preferred stock unless immediately after the borrowing or issuance the ratio of total assets (less total liabilities other than indebtedness) to total indebtedness plus preferred stock is at least 200%. Legislation introduced in the U.S. House of Representatives, if passed, would modify this section of the 1940 Act and increase the amount of debt that BDCs may incur by modifying the asset coverage percentage from 200% to 150%. As a result, we may be able to incur additional indebtedness in the future and you may face increased investment risk. In addition, since our Management Fee is calculated as a percentage of the value of our gross assets, which includes cash, cash equivalents and any borrowings for investment purposes, our Management Fee expenses will increase if we incur additional indebtedness.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78"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57"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i w:val="1"/>
          <w:iCs w:val="1"/>
          <w:color w:val="auto"/>
        </w:rPr>
        <w:t>If we are unable to source investments, access financing or manage future growth effectively, we may be unable to achieve our investment objective.</w:t>
      </w:r>
    </w:p>
    <w:p>
      <w:pPr>
        <w:spacing w:after="0" w:line="140"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(since we no longer have the ability to call capital from our pre-IPO investors).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78"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2" w:lineRule="exact"/>
        <w:rPr>
          <w:sz w:val="20"/>
          <w:szCs w:val="20"/>
          <w:color w:val="auto"/>
        </w:rPr>
      </w:pPr>
    </w:p>
    <w:p>
      <w:pPr>
        <w:ind w:right="20" w:firstLine="259"/>
        <w:spacing w:after="0" w:line="293" w:lineRule="auto"/>
        <w:rPr>
          <w:sz w:val="20"/>
          <w:szCs w:val="20"/>
          <w:color w:val="auto"/>
        </w:rPr>
      </w:pPr>
      <w:r>
        <w:rPr>
          <w:rFonts w:ascii="Arial" w:cs="Arial" w:eastAsia="Arial" w:hAnsi="Arial"/>
          <w:sz w:val="16"/>
          <w:szCs w:val="16"/>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including investors in offerings of common stock pursuant to this prospectus. Given the subjective nature of the investment decisions that our Adviser will make on our behalf, we may not be able to monitor this potential conflict of interest.</w:t>
      </w:r>
    </w:p>
    <w:p>
      <w:pPr>
        <w:spacing w:after="0" w:line="165" w:lineRule="exact"/>
        <w:rPr>
          <w:sz w:val="20"/>
          <w:szCs w:val="20"/>
          <w:color w:val="auto"/>
        </w:rPr>
      </w:pPr>
    </w:p>
    <w:p>
      <w:pPr>
        <w:ind w:right="20" w:firstLine="259"/>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appreciation or depreciation,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7" w:lineRule="exact"/>
        <w:rPr>
          <w:sz w:val="20"/>
          <w:szCs w:val="20"/>
          <w:color w:val="auto"/>
        </w:rPr>
      </w:pPr>
    </w:p>
    <w:p>
      <w:pPr>
        <w:ind w:right="260" w:firstLine="259"/>
        <w:spacing w:after="0" w:line="302" w:lineRule="auto"/>
        <w:rPr>
          <w:sz w:val="20"/>
          <w:szCs w:val="20"/>
          <w:color w:val="auto"/>
        </w:rPr>
      </w:pPr>
      <w:r>
        <w:rPr>
          <w:rFonts w:ascii="Arial" w:cs="Arial" w:eastAsia="Arial" w:hAnsi="Arial"/>
          <w:sz w:val="16"/>
          <w:szCs w:val="16"/>
          <w:color w:val="auto"/>
        </w:rPr>
        <w:t>Also,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later incur significant realized capital losses and unrealized capital depreciation on the remaining investments in our portfolio during subsequent years. Incentive Fees earned in prior years cannot be clawed back even if we later incur losses.</w:t>
      </w:r>
    </w:p>
    <w:p>
      <w:pPr>
        <w:spacing w:after="0" w:line="154" w:lineRule="exact"/>
        <w:rPr>
          <w:sz w:val="20"/>
          <w:szCs w:val="20"/>
          <w:color w:val="auto"/>
        </w:rPr>
      </w:pPr>
    </w:p>
    <w:p>
      <w:pPr>
        <w:ind w:right="160" w:firstLine="259"/>
        <w:spacing w:after="0" w:line="293"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62" w:lineRule="exact"/>
        <w:rPr>
          <w:sz w:val="20"/>
          <w:szCs w:val="20"/>
          <w:color w:val="auto"/>
        </w:rPr>
      </w:pPr>
    </w:p>
    <w:p>
      <w:pPr>
        <w:ind w:right="160" w:firstLine="259"/>
        <w:spacing w:after="0" w:line="257" w:lineRule="auto"/>
        <w:rPr>
          <w:sz w:val="20"/>
          <w:szCs w:val="20"/>
          <w:color w:val="auto"/>
        </w:rPr>
      </w:pPr>
      <w:r>
        <w:rPr>
          <w:rFonts w:ascii="Arial" w:cs="Arial" w:eastAsia="Arial" w:hAnsi="Arial"/>
          <w:sz w:val="18"/>
          <w:szCs w:val="18"/>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65" w:right="239" w:bottom="1440" w:gutter="0" w:footer="0" w:header="0"/>
        </w:sectPr>
      </w:pPr>
    </w:p>
    <w:bookmarkStart w:id="30" w:name="page31"/>
    <w:bookmarkEnd w:id="30"/>
    <w:p>
      <w:pPr>
        <w:ind w:right="40"/>
        <w:spacing w:after="0" w:line="264" w:lineRule="auto"/>
        <w:rPr>
          <w:sz w:val="20"/>
          <w:szCs w:val="20"/>
          <w:color w:val="auto"/>
        </w:rPr>
      </w:pPr>
      <w:r>
        <w:rPr>
          <w:rFonts w:ascii="Arial" w:cs="Arial" w:eastAsia="Arial" w:hAnsi="Arial"/>
          <w:sz w:val="18"/>
          <w:szCs w:val="18"/>
          <w:color w:val="auto"/>
        </w:rPr>
        <w:t>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2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2" w:lineRule="exact"/>
        <w:rPr>
          <w:sz w:val="20"/>
          <w:szCs w:val="20"/>
          <w:color w:val="auto"/>
        </w:rPr>
      </w:pPr>
    </w:p>
    <w:p>
      <w:pPr>
        <w:jc w:val="both"/>
        <w:ind w:right="140" w:firstLine="259"/>
        <w:spacing w:after="0" w:line="302" w:lineRule="auto"/>
        <w:rPr>
          <w:sz w:val="20"/>
          <w:szCs w:val="20"/>
          <w:color w:val="auto"/>
        </w:rPr>
      </w:pPr>
      <w:r>
        <w:rPr>
          <w:rFonts w:ascii="Arial" w:cs="Arial" w:eastAsia="Arial" w:hAnsi="Arial"/>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46" w:lineRule="exact"/>
        <w:rPr>
          <w:sz w:val="20"/>
          <w:szCs w:val="20"/>
          <w:color w:val="auto"/>
        </w:rPr>
      </w:pPr>
    </w:p>
    <w:p>
      <w:pPr>
        <w:ind w:left="520" w:hanging="253"/>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must distribute (or be treated as distributing) dividends for tax purposes in each taxable year equal to at least 90% of each of:</w:t>
      </w:r>
    </w:p>
    <w:p>
      <w:pPr>
        <w:spacing w:after="0" w:line="117" w:lineRule="exact"/>
        <w:rPr>
          <w:rFonts w:ascii="Arial" w:cs="Arial" w:eastAsia="Arial" w:hAnsi="Arial"/>
          <w:sz w:val="18"/>
          <w:szCs w:val="18"/>
          <w:color w:val="auto"/>
        </w:rPr>
      </w:pPr>
    </w:p>
    <w:p>
      <w:pPr>
        <w:ind w:left="780" w:right="520" w:hanging="254"/>
        <w:spacing w:after="0" w:line="277" w:lineRule="auto"/>
        <w:tabs>
          <w:tab w:leader="none" w:pos="7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62" w:lineRule="exact"/>
        <w:rPr>
          <w:rFonts w:ascii="Arial" w:cs="Arial" w:eastAsia="Arial" w:hAnsi="Arial"/>
          <w:sz w:val="18"/>
          <w:szCs w:val="18"/>
          <w:color w:val="auto"/>
        </w:rPr>
      </w:pPr>
    </w:p>
    <w:p>
      <w:pPr>
        <w:ind w:left="780" w:hanging="254"/>
        <w:spacing w:after="0"/>
        <w:tabs>
          <w:tab w:leader="none" w:pos="7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our net tax-exempt income for that taxable year.</w:t>
      </w:r>
    </w:p>
    <w:p>
      <w:pPr>
        <w:spacing w:after="0" w:line="117" w:lineRule="exact"/>
        <w:rPr>
          <w:sz w:val="20"/>
          <w:szCs w:val="20"/>
          <w:color w:val="auto"/>
        </w:rPr>
      </w:pPr>
    </w:p>
    <w:p>
      <w:pPr>
        <w:ind w:left="520"/>
        <w:spacing w:after="0" w:line="302" w:lineRule="auto"/>
        <w:rPr>
          <w:sz w:val="20"/>
          <w:szCs w:val="20"/>
          <w:color w:val="auto"/>
        </w:rPr>
      </w:pPr>
      <w:r>
        <w:rPr>
          <w:rFonts w:ascii="Arial" w:cs="Arial" w:eastAsia="Arial" w:hAnsi="Arial"/>
          <w:sz w:val="16"/>
          <w:szCs w:val="16"/>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46" w:lineRule="exact"/>
        <w:rPr>
          <w:sz w:val="20"/>
          <w:szCs w:val="20"/>
          <w:color w:val="auto"/>
        </w:rPr>
      </w:pPr>
    </w:p>
    <w:p>
      <w:pPr>
        <w:ind w:left="520" w:right="80" w:hanging="253"/>
        <w:spacing w:after="0" w:line="277"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must derive at least 90% of our gross income for each taxable year from dividends, interest, gains from the sale of or other disposition of stock or securities or similar sources.</w:t>
      </w:r>
    </w:p>
    <w:p>
      <w:pPr>
        <w:spacing w:after="0" w:line="62" w:lineRule="exact"/>
        <w:rPr>
          <w:rFonts w:ascii="Arial" w:cs="Arial" w:eastAsia="Arial" w:hAnsi="Arial"/>
          <w:sz w:val="18"/>
          <w:szCs w:val="18"/>
          <w:color w:val="auto"/>
        </w:rPr>
      </w:pPr>
    </w:p>
    <w:p>
      <w:pPr>
        <w:ind w:left="520" w:right="360" w:hanging="253"/>
        <w:spacing w:after="0" w:line="312" w:lineRule="auto"/>
        <w:tabs>
          <w:tab w:leader="none" w:pos="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47"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62"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For the calendar years ended December 31, 2014 and December 31, 2013, we elected to retain approximately $28 million and $5 million of taxable income and capital gains, respectively, in order to provide us with additional liquidity and we recorded a net expense of $1.1 million and $0.2 million,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w:t>
      </w:r>
      <w:r>
        <w:rPr>
          <w:rFonts w:ascii="Arial" w:cs="Arial" w:eastAsia="Arial" w:hAnsi="Arial"/>
          <w:sz w:val="18"/>
          <w:szCs w:val="18"/>
          <w:i w:val="1"/>
          <w:iCs w:val="1"/>
          <w:color w:val="auto"/>
        </w:rPr>
        <w:t>ITEM 1. BUSINESS—Regulation as a Business Development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—Regulated Investment Company Classification</w:t>
      </w:r>
      <w:r>
        <w:rPr>
          <w:rFonts w:ascii="Arial" w:cs="Arial" w:eastAsia="Arial" w:hAnsi="Arial"/>
          <w:sz w:val="18"/>
          <w:szCs w:val="18"/>
          <w:color w:val="auto"/>
        </w:rPr>
        <w:t>” for more information.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Adviser and its affiliates, officers and employees may face certain conflicts of interest.</w:t>
      </w:r>
    </w:p>
    <w:p>
      <w:pPr>
        <w:spacing w:after="0" w:line="117" w:lineRule="exact"/>
        <w:rPr>
          <w:sz w:val="20"/>
          <w:szCs w:val="20"/>
          <w:color w:val="auto"/>
        </w:rPr>
      </w:pPr>
    </w:p>
    <w:p>
      <w:pPr>
        <w:ind w:right="40" w:firstLine="259"/>
        <w:spacing w:after="0" w:line="273" w:lineRule="auto"/>
        <w:rPr>
          <w:sz w:val="20"/>
          <w:szCs w:val="20"/>
          <w:color w:val="auto"/>
        </w:rPr>
      </w:pPr>
      <w:r>
        <w:rPr>
          <w:rFonts w:ascii="Arial" w:cs="Arial" w:eastAsia="Arial" w:hAnsi="Arial"/>
          <w:sz w:val="17"/>
          <w:szCs w:val="17"/>
          <w:color w:val="auto"/>
        </w:rPr>
        <w:t>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78"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TSSP or TPG may in the future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49" w:right="299" w:bottom="1440" w:gutter="0" w:footer="0" w:header="0"/>
        </w:sectPr>
      </w:pPr>
    </w:p>
    <w:bookmarkStart w:id="31" w:name="page32"/>
    <w:bookmarkEnd w:id="31"/>
    <w:p>
      <w:pPr>
        <w:ind w:right="120"/>
        <w:spacing w:after="0" w:line="276" w:lineRule="auto"/>
        <w:rPr>
          <w:sz w:val="20"/>
          <w:szCs w:val="20"/>
          <w:color w:val="auto"/>
        </w:rPr>
      </w:pPr>
      <w:r>
        <w:rPr>
          <w:rFonts w:ascii="Arial" w:cs="Arial" w:eastAsia="Arial" w:hAnsi="Arial"/>
          <w:sz w:val="17"/>
          <w:szCs w:val="17"/>
          <w:color w:val="auto"/>
        </w:rPr>
        <w:t>organize separate investment vehicles aimed specifically at non-U.S. middle-market loan originations or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TSSP or TPG senior professionals. As a result, the Adviser and its affiliates may face conflicts in allocating investment opportunities between us and those other entities. It is possible that we may not be given the opportunity to participate in certain investments made by other TSSP or TPG vehicles that would otherwise be suitable for us.</w:t>
      </w:r>
    </w:p>
    <w:p>
      <w:pPr>
        <w:spacing w:after="0" w:line="173"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If TPG and the Adviser were to determine that an investment is appropriate both for us and for one or more other TSSP or TPG vehicles, we would only be able to make the investment in conjunction with another vehicle to the extent the exemptive relief order granted to us by the SEC permits us to do so or the investment is otherwise permitted under relevant SEC guidance. On December 16, 2014, we obtained an exemptive relief order from the SEC permitting us to participate in certain co-investment transactions with certain of our affiliates, including investment funds managed by our affiliates, relating to middle-market loan originations for companies domiciled in the United States and certain follow-on investments in companies in which we have already invested and remain invested, in a manner consistent with our investment objectives and strategies as well as other pertinent factors, and pursuant to the conditions to the exemptive relief. We cannot assure you when or whether we will apply for any other exemptive relief in the future and whether such orders will be obtained.</w:t>
      </w:r>
    </w:p>
    <w:p>
      <w:pPr>
        <w:spacing w:after="0" w:line="2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Adviser can resign on 60 days’ notice. We may not be able to find a suitable replacement within that time, resulting in a disruption in our operations and a loss of the benefits from our relationship with TSSP and TPG.</w:t>
      </w:r>
    </w:p>
    <w:p>
      <w:pPr>
        <w:spacing w:after="0" w:line="62"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The Adviser has the right, under the Investment Advisory Agreement and the Administration Agreement, to resign at any time on 60 days’ written notice, regardless of whether we have found a replacement. In addition, our Board has the authority to remove the Adviser for any reason or for no reason, or may choose not to renew the Investment Advisory Agreement and the Administration Agreement. Furthermore, the Investment Advisory Agreement automatically terminates in the event of its assignment, as defined in the 1940 Act, by the Adviser, and requires stockholder consent to renew. If the Adviser resigns or is terminated, or if we do not obtain the requisite consents to renew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distributions, are likely to be adversely affected, and the value of our common stock may decline.</w:t>
      </w:r>
    </w:p>
    <w:p>
      <w:pPr>
        <w:spacing w:after="0" w:line="182" w:lineRule="exact"/>
        <w:rPr>
          <w:sz w:val="20"/>
          <w:szCs w:val="20"/>
          <w:color w:val="auto"/>
        </w:rPr>
      </w:pPr>
    </w:p>
    <w:p>
      <w:pPr>
        <w:ind w:right="60" w:firstLine="259"/>
        <w:spacing w:after="0" w:line="286" w:lineRule="auto"/>
        <w:rPr>
          <w:sz w:val="20"/>
          <w:szCs w:val="20"/>
          <w:color w:val="auto"/>
        </w:rPr>
      </w:pPr>
      <w:r>
        <w:rPr>
          <w:rFonts w:ascii="Arial" w:cs="Arial" w:eastAsia="Arial" w:hAnsi="Arial"/>
          <w:sz w:val="17"/>
          <w:szCs w:val="17"/>
          <w:color w:val="auto"/>
        </w:rPr>
        <w:t>Any new Investment Advisory Agreement also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66"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In addition, if the Adviser resigns or is terminated, we would lose the benefits of our relationship with TSSP and TPG, including insights into our existing portfolio, market expertise, sector and macroeconomic views and due diligence capabilities, as well as any investment opportunities referred to us by TSSP and TPG. We also would no longer be able to use TPG’s name and logo because our license agreement would terminate upon the termination of the Investment Advisory Agreement.</w:t>
      </w:r>
    </w:p>
    <w:p>
      <w:pPr>
        <w:spacing w:after="0" w:line="2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62" w:lineRule="exact"/>
        <w:rPr>
          <w:sz w:val="20"/>
          <w:szCs w:val="20"/>
          <w:color w:val="auto"/>
        </w:rPr>
      </w:pPr>
    </w:p>
    <w:p>
      <w:pPr>
        <w:ind w:firstLine="259"/>
        <w:spacing w:after="0" w:line="293" w:lineRule="auto"/>
        <w:rPr>
          <w:sz w:val="20"/>
          <w:szCs w:val="20"/>
          <w:color w:val="auto"/>
        </w:rPr>
      </w:pPr>
      <w:r>
        <w:rPr>
          <w:rFonts w:ascii="Arial" w:cs="Arial" w:eastAsia="Arial" w:hAnsi="Arial"/>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65" w:lineRule="exact"/>
        <w:rPr>
          <w:sz w:val="20"/>
          <w:szCs w:val="20"/>
          <w:color w:val="auto"/>
        </w:rPr>
      </w:pPr>
    </w:p>
    <w:p>
      <w:pPr>
        <w:ind w:firstLine="259"/>
        <w:spacing w:after="0" w:line="293" w:lineRule="auto"/>
        <w:rPr>
          <w:sz w:val="20"/>
          <w:szCs w:val="20"/>
          <w:color w:val="auto"/>
        </w:rPr>
      </w:pPr>
      <w:r>
        <w:rPr>
          <w:rFonts w:ascii="Arial" w:cs="Arial" w:eastAsia="Arial" w:hAnsi="Arial"/>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57" w:right="259" w:bottom="1440" w:gutter="0" w:footer="0" w:header="0"/>
        </w:sectPr>
      </w:pPr>
    </w:p>
    <w:bookmarkStart w:id="32" w:name="page33"/>
    <w:bookmarkEnd w:id="32"/>
    <w:p>
      <w:pPr>
        <w:ind w:right="300"/>
        <w:spacing w:after="0" w:line="302" w:lineRule="auto"/>
        <w:rPr>
          <w:sz w:val="20"/>
          <w:szCs w:val="20"/>
          <w:color w:val="auto"/>
        </w:rPr>
      </w:pPr>
      <w:r>
        <w:rPr>
          <w:rFonts w:ascii="Arial" w:cs="Arial" w:eastAsia="Arial" w:hAnsi="Arial"/>
          <w:sz w:val="16"/>
          <w:szCs w:val="16"/>
          <w:color w:val="auto"/>
        </w:rPr>
        <w:t>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to our incorporation, the Adviser and its management had no prior experience managing a BDC or a RIC.</w:t>
      </w:r>
    </w:p>
    <w:p>
      <w:pPr>
        <w:spacing w:after="0" w:line="117"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Prior to our incorporation, the senior members of our Investment Team had no experience managing a BDC or a RIC, and the investment philosophy and techniques used by the Adviser to manage us may differ from the investment philosophy and techniques previously employed by the senior members of our Investment Team in identifying and managing past investments. Accordingly, our performance may differ from the performance of other businesses or companies with which the senior members of our Investment Team have been affiliated.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our status as a BDC would reduce our operating flexibility.</w:t>
      </w:r>
    </w:p>
    <w:p>
      <w:pPr>
        <w:spacing w:after="0" w:line="117"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right="340" w:firstLine="259"/>
        <w:spacing w:after="0" w:line="279" w:lineRule="auto"/>
        <w:rPr>
          <w:sz w:val="20"/>
          <w:szCs w:val="20"/>
          <w:color w:val="auto"/>
        </w:rPr>
      </w:pPr>
      <w:r>
        <w:rPr>
          <w:rFonts w:ascii="Arial" w:cs="Arial" w:eastAsia="Arial" w:hAnsi="Arial"/>
          <w:sz w:val="17"/>
          <w:szCs w:val="17"/>
          <w:color w:val="auto"/>
        </w:rPr>
        <w:t>As a publicly traded company, we incur legal, accounting, investor relations and other expenses, including costs associated with corporate governance requirements, such as those under the Sarbanes-Oxley Act, other rules implemented by the SEC and the listing standards of the NYSE. Our independent registered public accounting firm is required to attest to the effectiveness of our internal controls over financial reporting pursuant to Section 404 of the Sarbanes-Oxley Act, which increases the costs associated with our periodic reporting requirements.</w:t>
      </w:r>
    </w:p>
    <w:p>
      <w:pPr>
        <w:spacing w:after="0" w:line="28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 over financial reporting. We may not complete our analysis of our internal control over financial reporting in a timely manner, or our internal controls may not be determined to be effective, which may adversely affect investor confidence in our company and, as a result, the value of our common stock.</w:t>
      </w:r>
    </w:p>
    <w:p>
      <w:pPr>
        <w:spacing w:after="0" w:line="73" w:lineRule="exact"/>
        <w:rPr>
          <w:sz w:val="20"/>
          <w:szCs w:val="20"/>
          <w:color w:val="auto"/>
        </w:rPr>
      </w:pPr>
    </w:p>
    <w:p>
      <w:pPr>
        <w:ind w:firstLine="259"/>
        <w:spacing w:after="0" w:line="254" w:lineRule="auto"/>
        <w:rPr>
          <w:sz w:val="20"/>
          <w:szCs w:val="20"/>
          <w:color w:val="auto"/>
        </w:rPr>
      </w:pPr>
      <w:r>
        <w:rPr>
          <w:rFonts w:ascii="Arial" w:cs="Arial" w:eastAsia="Arial" w:hAnsi="Arial"/>
          <w:sz w:val="18"/>
          <w:szCs w:val="18"/>
          <w:color w:val="auto"/>
        </w:rPr>
        <w:t>As of December 31, 2014, we are no longer an “emerging growth company,” as defined in the Jumpstart Our Business Startups Act of 2012, or the JOBS Act. As a result, we are now required to comply with the independent auditor attestation requirements of Section 404 of the Sarbanes-Oxley Act beginning with this Annual Report on Form 10-K. Complying with Section 404 requires a rigorous compliance program as well as adequate time and resources. We may not be able to complete our internal control evaluation, testing and any required remediation in a timely fashion. Additionally,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attest to management’s report on the effectiveness of our internal controls, we could lose investor confidence in the accuracy and completeness of our financial reports, which would have a material adverse effect on the price of our common stock.</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right="320" w:firstLine="259"/>
        <w:spacing w:after="0" w:line="259" w:lineRule="auto"/>
        <w:rPr>
          <w:sz w:val="20"/>
          <w:szCs w:val="20"/>
          <w:color w:val="auto"/>
        </w:rPr>
      </w:pPr>
      <w:r>
        <w:rPr>
          <w:rFonts w:ascii="Arial" w:cs="Arial" w:eastAsia="Arial" w:hAnsi="Arial"/>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29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62" w:lineRule="exact"/>
        <w:rPr>
          <w:sz w:val="20"/>
          <w:szCs w:val="20"/>
          <w:color w:val="auto"/>
        </w:rPr>
      </w:pPr>
    </w:p>
    <w:p>
      <w:pPr>
        <w:ind w:right="80" w:firstLine="259"/>
        <w:spacing w:after="0" w:line="255" w:lineRule="auto"/>
        <w:rPr>
          <w:sz w:val="20"/>
          <w:szCs w:val="20"/>
          <w:color w:val="auto"/>
        </w:rPr>
      </w:pPr>
      <w:r>
        <w:rPr>
          <w:rFonts w:ascii="Arial" w:cs="Arial" w:eastAsia="Arial" w:hAnsi="Arial"/>
          <w:sz w:val="18"/>
          <w:szCs w:val="18"/>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57" w:right="239" w:bottom="1440" w:gutter="0" w:footer="0" w:header="0"/>
        </w:sectPr>
      </w:pPr>
    </w:p>
    <w:bookmarkStart w:id="33" w:name="page34"/>
    <w:bookmarkEnd w:id="33"/>
    <w:p>
      <w:pPr>
        <w:ind w:right="60"/>
        <w:spacing w:after="0" w:line="269" w:lineRule="auto"/>
        <w:rPr>
          <w:sz w:val="20"/>
          <w:szCs w:val="20"/>
          <w:color w:val="auto"/>
        </w:rPr>
      </w:pPr>
      <w:r>
        <w:rPr>
          <w:rFonts w:ascii="Arial" w:cs="Arial" w:eastAsia="Arial" w:hAnsi="Arial"/>
          <w:sz w:val="17"/>
          <w:szCs w:val="17"/>
          <w:color w:val="auto"/>
        </w:rPr>
        <w:t>greater holders of our outstanding common stock and their affiliates or associates, unless the transaction has been approved by at least 80% of our Board, in which case approval by “a majority of the outstanding voting securities” (as defined in the 1940 Act) is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117"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62" w:lineRule="exact"/>
        <w:rPr>
          <w:sz w:val="20"/>
          <w:szCs w:val="20"/>
          <w:color w:val="auto"/>
        </w:rPr>
      </w:pPr>
    </w:p>
    <w:p>
      <w:pPr>
        <w:ind w:firstLine="259"/>
        <w:spacing w:after="0" w:line="302" w:lineRule="auto"/>
        <w:rPr>
          <w:sz w:val="20"/>
          <w:szCs w:val="20"/>
          <w:color w:val="auto"/>
        </w:rPr>
      </w:pPr>
      <w:r>
        <w:rPr>
          <w:rFonts w:ascii="Arial" w:cs="Arial" w:eastAsia="Arial" w:hAnsi="Arial"/>
          <w:sz w:val="16"/>
          <w:szCs w:val="16"/>
          <w:color w:val="auto"/>
        </w:rPr>
        <w:t>Our business is highly dependent on the communications and information systems of the Adviser, its affiliates and third parties.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46" w:lineRule="exact"/>
        <w:rPr>
          <w:sz w:val="20"/>
          <w:szCs w:val="20"/>
          <w:color w:val="auto"/>
        </w:rPr>
      </w:pPr>
    </w:p>
    <w:p>
      <w:pPr>
        <w:ind w:left="520" w:hanging="253"/>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225"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w:t>
      </w:r>
    </w:p>
    <w:p>
      <w:pPr>
        <w:spacing w:after="0" w:line="117"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make distributions.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117" w:lineRule="exact"/>
        <w:rPr>
          <w:sz w:val="20"/>
          <w:szCs w:val="20"/>
          <w:color w:val="auto"/>
        </w:rPr>
      </w:pPr>
    </w:p>
    <w:p>
      <w:pPr>
        <w:ind w:right="80" w:firstLine="259"/>
        <w:spacing w:after="0" w:line="291" w:lineRule="auto"/>
        <w:rPr>
          <w:sz w:val="20"/>
          <w:szCs w:val="20"/>
          <w:color w:val="auto"/>
        </w:rPr>
      </w:pPr>
      <w:r>
        <w:rPr>
          <w:rFonts w:ascii="Arial" w:cs="Arial" w:eastAsia="Arial" w:hAnsi="Arial"/>
          <w:sz w:val="16"/>
          <w:szCs w:val="16"/>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Any changes to the laws and regulations governing our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49" w:right="239" w:bottom="1440" w:gutter="0" w:footer="0" w:header="0"/>
        </w:sectPr>
      </w:pPr>
    </w:p>
    <w:bookmarkStart w:id="34" w:name="page35"/>
    <w:bookmarkEnd w:id="34"/>
    <w:p>
      <w:pPr>
        <w:ind w:right="40"/>
        <w:spacing w:after="0" w:line="286" w:lineRule="auto"/>
        <w:rPr>
          <w:sz w:val="20"/>
          <w:szCs w:val="20"/>
          <w:color w:val="auto"/>
        </w:rPr>
      </w:pPr>
      <w:r>
        <w:rPr>
          <w:rFonts w:ascii="Arial" w:cs="Arial" w:eastAsia="Arial" w:hAnsi="Arial"/>
          <w:sz w:val="17"/>
          <w:szCs w:val="17"/>
          <w:color w:val="auto"/>
        </w:rPr>
        <w:t>operations may cause us to alter our investment strategy to avail ourselves of new or different opportunities. For more information on tax regulatory risks, see “—Risks Related to our Portfolio Company Investments—Unless Congress renews certain exemptions that expired for taxable years commencing after December 31, 2014, certain dividend distributions we make to certain non-U.S. stockholders will be subject to U.S. withholding tax.”</w:t>
      </w:r>
    </w:p>
    <w:p>
      <w:pPr>
        <w:spacing w:after="0" w:line="166" w:lineRule="exact"/>
        <w:rPr>
          <w:sz w:val="20"/>
          <w:szCs w:val="20"/>
          <w:color w:val="auto"/>
        </w:rPr>
      </w:pPr>
    </w:p>
    <w:p>
      <w:pPr>
        <w:ind w:right="40" w:firstLine="259"/>
        <w:spacing w:after="0" w:line="271" w:lineRule="auto"/>
        <w:rPr>
          <w:sz w:val="20"/>
          <w:szCs w:val="20"/>
          <w:color w:val="auto"/>
        </w:rPr>
      </w:pPr>
      <w:r>
        <w:rPr>
          <w:rFonts w:ascii="Arial" w:cs="Arial" w:eastAsia="Arial" w:hAnsi="Arial"/>
          <w:sz w:val="17"/>
          <w:szCs w:val="17"/>
          <w:color w:val="auto"/>
        </w:rPr>
        <w:t>On July 21, 2010, the Wall Street Reform and Consumer Protection Act, or Dodd-Frank Act, was signed into law. Although passage of the Dodd-Frank Act has resulted in extensive rulemaking and regulatory changes that affect us and the financial industry as a whole, many of its provisions remain subject to extended implementation periods and delayed effective dates and will require extensive rulemaking by regulatory authorities. While the full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79" w:lineRule="exact"/>
        <w:rPr>
          <w:sz w:val="20"/>
          <w:szCs w:val="20"/>
          <w:color w:val="auto"/>
        </w:rPr>
      </w:pPr>
    </w:p>
    <w:p>
      <w:pPr>
        <w:ind w:right="60" w:firstLine="259"/>
        <w:spacing w:after="0" w:line="302" w:lineRule="auto"/>
        <w:rPr>
          <w:sz w:val="20"/>
          <w:szCs w:val="20"/>
          <w:color w:val="auto"/>
        </w:rPr>
      </w:pPr>
      <w:r>
        <w:rPr>
          <w:rFonts w:ascii="Arial" w:cs="Arial" w:eastAsia="Arial" w:hAnsi="Arial"/>
          <w:sz w:val="16"/>
          <w:szCs w:val="16"/>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140"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The U.S. capital markets experienced extreme volatility and disruption in recent years, leading to recessionary conditions and depressed levels of consumer and commercial spending. Disruptions in the capital markets increased the spread between the yields realized on risk-free and higher risk securities, resulting in illiquidity in parts of the capital markets. Although recent indicators suggest improvement in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89" w:lineRule="exact"/>
        <w:rPr>
          <w:sz w:val="20"/>
          <w:szCs w:val="20"/>
          <w:color w:val="auto"/>
        </w:rPr>
      </w:pPr>
    </w:p>
    <w:p>
      <w:pPr>
        <w:ind w:right="260" w:firstLine="259"/>
        <w:spacing w:after="0" w:line="257" w:lineRule="auto"/>
        <w:rPr>
          <w:sz w:val="20"/>
          <w:szCs w:val="20"/>
          <w:color w:val="auto"/>
        </w:rPr>
      </w:pPr>
      <w:r>
        <w:rPr>
          <w:rFonts w:ascii="Arial" w:cs="Arial" w:eastAsia="Arial" w:hAnsi="Arial"/>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80" w:lineRule="exact"/>
        <w:rPr>
          <w:sz w:val="20"/>
          <w:szCs w:val="20"/>
          <w:color w:val="auto"/>
        </w:rPr>
      </w:pPr>
    </w:p>
    <w:p>
      <w:pPr>
        <w:ind w:left="520" w:hanging="253"/>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receipt of a reduced level of interest income from our portfolio companies;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decreases in the value of collateral securing some of our loans and the value of our equity investments;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ultimately, losses or charge-offs related to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Uncertainty about financial stability could have a significant adverse effect on our business, results of operations and financial condition.</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Due to federal budget deficit concerns, S&amp;P downgraded the federal government’s credit rating from AAA to AA+ for the first time in history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August 5, 2011. Further, Moody’s and Fitch warned that they may downgrade the federal government’s credit rating. Further downgrades or warnings by S&amp;P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other rating agencies, and the government’s credit and deficit concerns in general, could cause interest rates and borrowing costs to rise, which may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negatively impact both the perception of credit risk associated with our debt portfolio and our ability to access the debt markets on favorable terms.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 a decreased credit rating could create broader financial turmoil and uncertainty, which may weigh heavily on our financial performance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value of our common stock. Also, to the extent uncertainty regarding any economic recovery in Europe continues to negatively impact consumer confidence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consumer credit factors, our business and results of operations could be significantly and adversely affected.</w:t>
      </w:r>
    </w:p>
    <w:p>
      <w:pPr>
        <w:spacing w:after="0" w:line="211"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On December 18, 2013, the U.S. Federal Reserve announced that it would scale back its bond-buying program, or quantitative easing, which is designed to stimulate the economy and expand the Federal Reserve’s holdings of long-term securities until key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49" w:right="239" w:bottom="1440" w:gutter="0" w:footer="0" w:header="0"/>
        </w:sectPr>
      </w:pPr>
    </w:p>
    <w:bookmarkStart w:id="35" w:name="page36"/>
    <w:bookmarkEnd w:id="35"/>
    <w:p>
      <w:pPr>
        <w:ind w:right="240"/>
        <w:spacing w:after="0" w:line="277" w:lineRule="auto"/>
        <w:rPr>
          <w:sz w:val="20"/>
          <w:szCs w:val="20"/>
          <w:color w:val="auto"/>
        </w:rPr>
      </w:pPr>
      <w:r>
        <w:rPr>
          <w:rFonts w:ascii="Arial" w:cs="Arial" w:eastAsia="Arial" w:hAnsi="Arial"/>
          <w:sz w:val="18"/>
          <w:szCs w:val="18"/>
          <w:color w:val="auto"/>
        </w:rPr>
        <w:t>economic indicators, such as the unemployment rate, show signs of improvement. The Federal Reserve signaled it would reduce its purchases of long-term Treasury bonds and would scale back on its purchases of mortgage-backed securities.</w:t>
      </w:r>
    </w:p>
    <w:p>
      <w:pPr>
        <w:spacing w:after="0" w:line="170" w:lineRule="exact"/>
        <w:rPr>
          <w:sz w:val="20"/>
          <w:szCs w:val="20"/>
          <w:color w:val="auto"/>
        </w:rPr>
      </w:pPr>
    </w:p>
    <w:p>
      <w:pPr>
        <w:ind w:right="480" w:firstLine="259"/>
        <w:spacing w:after="0" w:line="286" w:lineRule="auto"/>
        <w:rPr>
          <w:sz w:val="20"/>
          <w:szCs w:val="20"/>
          <w:color w:val="auto"/>
        </w:rPr>
      </w:pPr>
      <w:r>
        <w:rPr>
          <w:rFonts w:ascii="Arial" w:cs="Arial" w:eastAsia="Arial" w:hAnsi="Arial"/>
          <w:sz w:val="17"/>
          <w:szCs w:val="17"/>
          <w:color w:val="auto"/>
        </w:rPr>
        <w:t>It is unclear what effect, if any, the incremental reduction in the rate of the U.S. Federal Reserve’s monthly purchases will have on the value of our investments. However, it is possible that absent continued quantitative easing by the Federal Reserve, these developments could cause interest rates and borrowing costs to rise, which may negatively impact our ability to access the debt markets on favorable terms.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117"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color w:val="auto"/>
        </w:rPr>
        <w:t>We primarily invest in first-lien debt, second-lien debt, mezzanine debt or equity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88" w:lineRule="exact"/>
        <w:rPr>
          <w:sz w:val="20"/>
          <w:szCs w:val="20"/>
          <w:color w:val="auto"/>
        </w:rPr>
      </w:pPr>
    </w:p>
    <w:p>
      <w:pPr>
        <w:ind w:firstLine="259"/>
        <w:spacing w:after="0" w:line="253" w:lineRule="auto"/>
        <w:rPr>
          <w:sz w:val="20"/>
          <w:szCs w:val="20"/>
          <w:color w:val="auto"/>
        </w:rPr>
      </w:pPr>
      <w:r>
        <w:rPr>
          <w:rFonts w:ascii="Arial" w:cs="Arial" w:eastAsia="Arial" w:hAnsi="Arial"/>
          <w:sz w:val="18"/>
          <w:szCs w:val="18"/>
          <w:i w:val="1"/>
          <w:iCs w:val="1"/>
          <w:color w:val="auto"/>
        </w:rPr>
        <w:t>First-Lien Debt</w:t>
      </w:r>
      <w:r>
        <w:rPr>
          <w:rFonts w:ascii="Arial" w:cs="Arial" w:eastAsia="Arial" w:hAnsi="Arial"/>
          <w:sz w:val="18"/>
          <w:szCs w:val="18"/>
          <w:color w:val="auto"/>
        </w:rPr>
        <w:t>. When we make a first-lien loan, we generally take a security interest in the available assets of the portfolio company, including the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97"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i w:val="1"/>
          <w:iCs w:val="1"/>
          <w:color w:val="auto"/>
        </w:rPr>
        <w:t>Second-Lien and Mezzanine Debt</w:t>
      </w:r>
      <w:r>
        <w:rPr>
          <w:rFonts w:ascii="Arial" w:cs="Arial" w:eastAsia="Arial" w:hAnsi="Arial"/>
          <w:sz w:val="18"/>
          <w:szCs w:val="18"/>
          <w:color w:val="auto"/>
        </w:rPr>
        <w:t>. Our investments in second-lien and mezzanine debt generally are subordinated to senior loans and will either have</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security interests or be unsecured. As such, other creditors may rank senior to us in the event of insolvency. This may result in greater risk and loss of principal.</w:t>
      </w:r>
    </w:p>
    <w:p>
      <w:pPr>
        <w:spacing w:after="0" w:line="181" w:lineRule="exact"/>
        <w:rPr>
          <w:sz w:val="20"/>
          <w:szCs w:val="20"/>
          <w:color w:val="auto"/>
        </w:rPr>
      </w:pPr>
    </w:p>
    <w:p>
      <w:pPr>
        <w:ind w:right="140" w:firstLine="259"/>
        <w:spacing w:after="0" w:line="257" w:lineRule="auto"/>
        <w:rPr>
          <w:sz w:val="20"/>
          <w:szCs w:val="20"/>
          <w:color w:val="auto"/>
        </w:rPr>
      </w:pPr>
      <w:r>
        <w:rPr>
          <w:rFonts w:ascii="Arial" w:cs="Arial" w:eastAsia="Arial" w:hAnsi="Arial"/>
          <w:sz w:val="18"/>
          <w:szCs w:val="18"/>
          <w:i w:val="1"/>
          <w:iCs w:val="1"/>
          <w:color w:val="auto"/>
        </w:rPr>
        <w:t xml:space="preserve">Equity and Other Investments. </w:t>
      </w:r>
      <w:r>
        <w:rPr>
          <w:rFonts w:ascii="Arial" w:cs="Arial" w:eastAsia="Arial" w:hAnsi="Arial"/>
          <w:sz w:val="18"/>
          <w:szCs w:val="18"/>
          <w:color w:val="auto"/>
        </w:rPr>
        <w:t>When we invest in first-lien debt, second-lien debt or mezzanine debt, we may acquire equity securities, such as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and 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To the extent we invest in preferred securities, we may incur particular risks, including:</w:t>
      </w:r>
    </w:p>
    <w:p>
      <w:pPr>
        <w:spacing w:after="0" w:line="117" w:lineRule="exact"/>
        <w:rPr>
          <w:sz w:val="20"/>
          <w:szCs w:val="20"/>
          <w:color w:val="auto"/>
        </w:rPr>
      </w:pPr>
    </w:p>
    <w:p>
      <w:pPr>
        <w:ind w:left="780" w:right="220" w:hanging="254"/>
        <w:spacing w:after="0" w:line="264"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73" w:lineRule="exact"/>
        <w:rPr>
          <w:rFonts w:ascii="Arial" w:cs="Arial" w:eastAsia="Arial" w:hAnsi="Arial"/>
          <w:sz w:val="18"/>
          <w:szCs w:val="18"/>
          <w:color w:val="auto"/>
        </w:rPr>
      </w:pPr>
    </w:p>
    <w:p>
      <w:pPr>
        <w:ind w:left="780" w:right="160" w:hanging="254"/>
        <w:spacing w:after="0" w:line="277"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62" w:lineRule="exact"/>
        <w:rPr>
          <w:rFonts w:ascii="Arial" w:cs="Arial" w:eastAsia="Arial" w:hAnsi="Arial"/>
          <w:sz w:val="18"/>
          <w:szCs w:val="18"/>
          <w:color w:val="auto"/>
        </w:rPr>
      </w:pPr>
    </w:p>
    <w:p>
      <w:pPr>
        <w:ind w:left="780" w:right="20" w:hanging="254"/>
        <w:spacing w:after="0" w:line="264"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57" w:right="239" w:bottom="1440" w:gutter="0" w:footer="0" w:header="0"/>
        </w:sectPr>
      </w:pPr>
    </w:p>
    <w:bookmarkStart w:id="36" w:name="page37"/>
    <w:bookmarkEnd w:id="36"/>
    <w:p>
      <w:pPr>
        <w:ind w:left="260"/>
        <w:spacing w:after="0"/>
        <w:rPr>
          <w:sz w:val="20"/>
          <w:szCs w:val="20"/>
          <w:color w:val="auto"/>
        </w:rPr>
      </w:pPr>
      <w:r>
        <w:rPr>
          <w:rFonts w:ascii="Arial" w:cs="Arial" w:eastAsia="Arial" w:hAnsi="Arial"/>
          <w:sz w:val="18"/>
          <w:szCs w:val="18"/>
          <w:color w:val="auto"/>
        </w:rPr>
        <w:t>In addition, our investments generally involve a number of significant risks, including:</w:t>
      </w:r>
    </w:p>
    <w:p>
      <w:pPr>
        <w:spacing w:after="0" w:line="117" w:lineRule="exact"/>
        <w:rPr>
          <w:sz w:val="20"/>
          <w:szCs w:val="20"/>
          <w:color w:val="auto"/>
        </w:rPr>
      </w:pPr>
    </w:p>
    <w:p>
      <w:pPr>
        <w:ind w:left="780" w:right="40" w:hanging="254"/>
        <w:spacing w:after="0" w:line="264"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73" w:lineRule="exact"/>
        <w:rPr>
          <w:rFonts w:ascii="Arial" w:cs="Arial" w:eastAsia="Arial" w:hAnsi="Arial"/>
          <w:sz w:val="18"/>
          <w:szCs w:val="18"/>
          <w:color w:val="auto"/>
        </w:rPr>
      </w:pPr>
    </w:p>
    <w:p>
      <w:pPr>
        <w:ind w:left="780" w:right="340" w:hanging="254"/>
        <w:spacing w:after="0" w:line="342" w:lineRule="auto"/>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15" w:lineRule="exact"/>
        <w:rPr>
          <w:rFonts w:ascii="Arial" w:cs="Arial" w:eastAsia="Arial" w:hAnsi="Arial"/>
          <w:sz w:val="16"/>
          <w:szCs w:val="16"/>
          <w:color w:val="auto"/>
        </w:rPr>
      </w:pPr>
    </w:p>
    <w:p>
      <w:pPr>
        <w:ind w:left="780" w:right="40" w:hanging="254"/>
        <w:spacing w:after="0" w:line="264"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3" w:lineRule="exact"/>
        <w:rPr>
          <w:rFonts w:ascii="Arial" w:cs="Arial" w:eastAsia="Arial" w:hAnsi="Arial"/>
          <w:sz w:val="18"/>
          <w:szCs w:val="18"/>
          <w:color w:val="auto"/>
        </w:rPr>
      </w:pPr>
    </w:p>
    <w:p>
      <w:pPr>
        <w:ind w:left="780" w:right="120" w:hanging="254"/>
        <w:spacing w:after="0" w:line="264"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73" w:lineRule="exact"/>
        <w:rPr>
          <w:rFonts w:ascii="Arial" w:cs="Arial" w:eastAsia="Arial" w:hAnsi="Arial"/>
          <w:sz w:val="18"/>
          <w:szCs w:val="18"/>
          <w:color w:val="auto"/>
        </w:rPr>
      </w:pPr>
    </w:p>
    <w:p>
      <w:pPr>
        <w:ind w:left="780" w:right="20" w:hanging="254"/>
        <w:spacing w:after="0" w:line="277"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62" w:lineRule="exact"/>
        <w:rPr>
          <w:rFonts w:ascii="Arial" w:cs="Arial" w:eastAsia="Arial" w:hAnsi="Arial"/>
          <w:sz w:val="18"/>
          <w:szCs w:val="18"/>
          <w:color w:val="auto"/>
        </w:rPr>
      </w:pPr>
    </w:p>
    <w:p>
      <w:pPr>
        <w:ind w:left="780" w:right="640" w:hanging="254"/>
        <w:spacing w:after="0" w:line="277"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executive officers, directors and Adviser may, in the ordinary course of business, be named as defendants in litigation arising from our investments in the portfolio companies;</w:t>
      </w:r>
    </w:p>
    <w:p>
      <w:pPr>
        <w:spacing w:after="0" w:line="62" w:lineRule="exact"/>
        <w:rPr>
          <w:rFonts w:ascii="Arial" w:cs="Arial" w:eastAsia="Arial" w:hAnsi="Arial"/>
          <w:sz w:val="18"/>
          <w:szCs w:val="18"/>
          <w:color w:val="auto"/>
        </w:rPr>
      </w:pPr>
    </w:p>
    <w:p>
      <w:pPr>
        <w:ind w:left="780" w:hanging="254"/>
        <w:spacing w:after="0" w:line="342" w:lineRule="auto"/>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15" w:lineRule="exact"/>
        <w:rPr>
          <w:rFonts w:ascii="Arial" w:cs="Arial" w:eastAsia="Arial" w:hAnsi="Arial"/>
          <w:sz w:val="16"/>
          <w:szCs w:val="16"/>
          <w:color w:val="auto"/>
        </w:rPr>
      </w:pPr>
    </w:p>
    <w:p>
      <w:pPr>
        <w:ind w:left="780" w:right="200" w:hanging="254"/>
        <w:spacing w:after="0" w:line="277"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27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73"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in part on our gross assets.</w:t>
      </w:r>
    </w:p>
    <w:p>
      <w:pPr>
        <w:spacing w:after="0" w:line="178" w:lineRule="exact"/>
        <w:rPr>
          <w:sz w:val="20"/>
          <w:szCs w:val="20"/>
          <w:color w:val="auto"/>
        </w:rPr>
      </w:pPr>
    </w:p>
    <w:p>
      <w:pPr>
        <w:ind w:right="140" w:firstLine="259"/>
        <w:spacing w:after="0" w:line="254" w:lineRule="auto"/>
        <w:rPr>
          <w:sz w:val="20"/>
          <w:szCs w:val="20"/>
          <w:color w:val="auto"/>
        </w:rPr>
      </w:pPr>
      <w:r>
        <w:rPr>
          <w:rFonts w:ascii="Arial" w:cs="Arial" w:eastAsia="Arial" w:hAnsi="Arial"/>
          <w:sz w:val="18"/>
          <w:szCs w:val="18"/>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92" w:lineRule="exact"/>
        <w:rPr>
          <w:sz w:val="20"/>
          <w:szCs w:val="20"/>
          <w:color w:val="auto"/>
        </w:rPr>
      </w:pPr>
    </w:p>
    <w:p>
      <w:pPr>
        <w:jc w:val="both"/>
        <w:ind w:right="40" w:firstLine="259"/>
        <w:spacing w:after="0" w:line="312" w:lineRule="auto"/>
        <w:rPr>
          <w:sz w:val="20"/>
          <w:szCs w:val="20"/>
          <w:color w:val="auto"/>
        </w:rPr>
      </w:pPr>
      <w:r>
        <w:rPr>
          <w:rFonts w:ascii="Arial" w:cs="Arial" w:eastAsia="Arial" w:hAnsi="Arial"/>
          <w:sz w:val="16"/>
          <w:szCs w:val="16"/>
          <w:color w:val="auto"/>
        </w:rPr>
        <w:t>Decreases in the market values or fair values of our investments are recorded as unrealized depreciation. The effect of all of these factors on our portfolio can reduce our net asset value by increasing net unrealized depreciation in our portfolio. Depending on market conditions, we could incur substantial realized losses and may suffer unrealized losses, which could have a material adverse impact on our business, financial condition and results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557" w:right="279" w:bottom="1440" w:gutter="0" w:footer="0" w:header="0"/>
        </w:sectPr>
      </w:pPr>
    </w:p>
    <w:bookmarkStart w:id="37" w:name="page38"/>
    <w:bookmarkEnd w:id="37"/>
    <w:p>
      <w:pPr>
        <w:spacing w:after="0" w:line="286" w:lineRule="auto"/>
        <w:rPr>
          <w:sz w:val="20"/>
          <w:szCs w:val="20"/>
          <w:color w:val="auto"/>
        </w:rPr>
      </w:pPr>
      <w:r>
        <w:rPr>
          <w:rFonts w:ascii="Arial" w:cs="Arial" w:eastAsia="Arial" w:hAnsi="Arial"/>
          <w:sz w:val="17"/>
          <w:szCs w:val="17"/>
          <w:color w:val="auto"/>
        </w:rPr>
        <w:t>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7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38" w:lineRule="exact"/>
        <w:rPr>
          <w:sz w:val="20"/>
          <w:szCs w:val="20"/>
          <w:color w:val="auto"/>
        </w:rPr>
      </w:pPr>
    </w:p>
    <w:p>
      <w:pPr>
        <w:ind w:right="40" w:firstLine="259"/>
        <w:spacing w:after="0" w:line="290" w:lineRule="auto"/>
        <w:rPr>
          <w:sz w:val="20"/>
          <w:szCs w:val="20"/>
          <w:color w:val="auto"/>
        </w:rPr>
      </w:pPr>
      <w:r>
        <w:rPr>
          <w:rFonts w:ascii="Arial" w:cs="Arial" w:eastAsia="Arial" w:hAnsi="Arial"/>
          <w:sz w:val="16"/>
          <w:szCs w:val="16"/>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expect that no single investment will represent more than 15% of our investment portfolio, based on fair value, and are not targeting any specific industries, our investments may be focused on relatively few industries. For example, although we classify the industries of our portfolio companies by end-market (such as healthcare and pharmaceuticals,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securitize certain of our investments, which may subject us to certain structured financing risks.</w:t>
      </w:r>
    </w:p>
    <w:p>
      <w:pPr>
        <w:spacing w:after="0" w:line="117"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 For example, we could use our wholly owned subsidiary, TPG SL SPV, LLC, which holds the assets that support our asset-backed credit facility, the Amended and Restated Revolving Credit and Security Agreement between our wholly owned subsidiary, TPG SL SPV, LLC, and Natixis, New York Branch, which we refer to as the SPV Asset Facility, to form a CLO or other securitization vehicle in the future.</w:t>
      </w:r>
    </w:p>
    <w:p>
      <w:pPr>
        <w:spacing w:after="0" w:line="178" w:lineRule="exact"/>
        <w:rPr>
          <w:sz w:val="20"/>
          <w:szCs w:val="20"/>
          <w:color w:val="auto"/>
        </w:rPr>
      </w:pPr>
    </w:p>
    <w:p>
      <w:pPr>
        <w:ind w:right="100" w:firstLine="259"/>
        <w:spacing w:after="0" w:line="253" w:lineRule="auto"/>
        <w:rPr>
          <w:sz w:val="20"/>
          <w:szCs w:val="20"/>
          <w:color w:val="auto"/>
        </w:rPr>
      </w:pPr>
      <w:r>
        <w:rPr>
          <w:rFonts w:ascii="Arial" w:cs="Arial" w:eastAsia="Arial" w:hAnsi="Arial"/>
          <w:sz w:val="18"/>
          <w:szCs w:val="18"/>
          <w:color w:val="auto"/>
        </w:rPr>
        <w:t>If we were to create a CLO or other securitization vehicle, we would depend on distributions from the vehicle to make distributions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97" w:lineRule="exact"/>
        <w:rPr>
          <w:sz w:val="20"/>
          <w:szCs w:val="20"/>
          <w:color w:val="auto"/>
        </w:rPr>
      </w:pPr>
    </w:p>
    <w:p>
      <w:pPr>
        <w:ind w:right="20" w:firstLine="259"/>
        <w:spacing w:after="0" w:line="297" w:lineRule="auto"/>
        <w:rPr>
          <w:sz w:val="20"/>
          <w:szCs w:val="20"/>
          <w:color w:val="auto"/>
        </w:rPr>
      </w:pPr>
      <w:r>
        <w:rPr>
          <w:rFonts w:ascii="Arial" w:cs="Arial" w:eastAsia="Arial" w:hAnsi="Arial"/>
          <w:sz w:val="16"/>
          <w:szCs w:val="16"/>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58" w:lineRule="exact"/>
        <w:rPr>
          <w:sz w:val="20"/>
          <w:szCs w:val="20"/>
          <w:color w:val="auto"/>
        </w:rPr>
      </w:pPr>
    </w:p>
    <w:p>
      <w:pPr>
        <w:jc w:val="both"/>
        <w:ind w:right="440" w:firstLine="259"/>
        <w:spacing w:after="0" w:line="286" w:lineRule="auto"/>
        <w:rPr>
          <w:sz w:val="20"/>
          <w:szCs w:val="20"/>
          <w:color w:val="auto"/>
        </w:rPr>
      </w:pPr>
      <w:r>
        <w:rPr>
          <w:rFonts w:ascii="Arial" w:cs="Arial" w:eastAsia="Arial" w:hAnsi="Arial"/>
          <w:sz w:val="17"/>
          <w:szCs w:val="17"/>
          <w:color w:val="auto"/>
        </w:rPr>
        <w:t>We may be exposed to many of the same risks as described above with respect to our wholly owned subsidiary that supports our SPV Asset Facility. However, in the event we formed a CLO or other securitization vehicle, many of the risks described above would be heightened because we may incur a higher degree of leverage under a CLO or other securitization vehicle than we are permitted to incur under our SPV Asset Facility.</w:t>
      </w:r>
    </w:p>
    <w:p>
      <w:pPr>
        <w:spacing w:after="0" w:line="166" w:lineRule="exact"/>
        <w:rPr>
          <w:sz w:val="20"/>
          <w:szCs w:val="20"/>
          <w:color w:val="auto"/>
        </w:rPr>
      </w:pPr>
    </w:p>
    <w:p>
      <w:pPr>
        <w:ind w:right="140" w:firstLine="259"/>
        <w:spacing w:after="0" w:line="342" w:lineRule="auto"/>
        <w:rPr>
          <w:sz w:val="20"/>
          <w:szCs w:val="20"/>
          <w:color w:val="auto"/>
        </w:rPr>
      </w:pPr>
      <w:r>
        <w:rPr>
          <w:rFonts w:ascii="Arial" w:cs="Arial" w:eastAsia="Arial" w:hAnsi="Arial"/>
          <w:sz w:val="16"/>
          <w:szCs w:val="16"/>
          <w:color w:val="auto"/>
        </w:rPr>
        <w:t>Nonetheless, a CLO or other securitization vehicle, if created, also would likely be consolidated in our financial statements and consequently affect our asset coverage ratio, which may limit our ability to incur additional leverage. See “</w:t>
      </w:r>
      <w:r>
        <w:rPr>
          <w:rFonts w:ascii="Arial" w:cs="Arial" w:eastAsia="Arial" w:hAnsi="Arial"/>
          <w:sz w:val="16"/>
          <w:szCs w:val="16"/>
          <w:i w:val="1"/>
          <w:iCs w:val="1"/>
          <w:color w:val="auto"/>
        </w:rPr>
        <w:t>ITEM 1. BUSINESS – Regulation as a Business Development Company.”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49" w:right="239" w:bottom="1440" w:gutter="0" w:footer="0" w:header="0"/>
        </w:sectPr>
      </w:pPr>
    </w:p>
    <w:bookmarkStart w:id="38" w:name="page39"/>
    <w:bookmarkEnd w:id="38"/>
    <w:p>
      <w:pPr>
        <w:ind w:right="380"/>
        <w:spacing w:after="0" w:line="342" w:lineRule="auto"/>
        <w:rPr>
          <w:sz w:val="20"/>
          <w:szCs w:val="20"/>
          <w:color w:val="auto"/>
        </w:rPr>
      </w:pPr>
      <w:r>
        <w:rPr>
          <w:rFonts w:ascii="Arial" w:cs="Arial" w:eastAsia="Arial" w:hAnsi="Arial"/>
          <w:sz w:val="16"/>
          <w:szCs w:val="16"/>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16"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117" w:lineRule="exact"/>
        <w:rPr>
          <w:sz w:val="20"/>
          <w:szCs w:val="20"/>
          <w:color w:val="auto"/>
        </w:rPr>
      </w:pPr>
    </w:p>
    <w:p>
      <w:pPr>
        <w:ind w:right="60" w:firstLine="259"/>
        <w:spacing w:after="0" w:line="297" w:lineRule="auto"/>
        <w:rPr>
          <w:sz w:val="20"/>
          <w:szCs w:val="20"/>
          <w:color w:val="auto"/>
        </w:rPr>
      </w:pPr>
      <w:r>
        <w:rPr>
          <w:rFonts w:ascii="Arial" w:cs="Arial" w:eastAsia="Arial" w:hAnsi="Arial"/>
          <w:sz w:val="16"/>
          <w:szCs w:val="16"/>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payment obligations of our borrowers and result in challenges to their financial performance and ability to repay their obligations.</w:t>
      </w:r>
    </w:p>
    <w:p>
      <w:pPr>
        <w:spacing w:after="0" w:line="158"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w:t>
      </w:r>
    </w:p>
    <w:p>
      <w:pPr>
        <w:spacing w:after="0" w:line="187"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70"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color w:val="auto"/>
        </w:rPr>
        <w:t>We may use interest rate risk management techniques in an effort to limit our exposure to interest rate fluctuations. These techniques may include various interest rate hedging activities to the extent permitted by the 1940 Act. See “</w:t>
      </w:r>
      <w:r>
        <w:rPr>
          <w:rFonts w:ascii="Arial" w:cs="Arial" w:eastAsia="Arial" w:hAnsi="Arial"/>
          <w:sz w:val="18"/>
          <w:szCs w:val="18"/>
          <w:i w:val="1"/>
          <w:iCs w:val="1"/>
          <w:color w:val="auto"/>
        </w:rPr>
        <w:t>—Risks Related to Our Portfolio Company Investments—We expose ourselves to</w:t>
      </w:r>
      <w:r>
        <w:rPr>
          <w:rFonts w:ascii="Arial" w:cs="Arial" w:eastAsia="Arial" w:hAnsi="Arial"/>
          <w:sz w:val="18"/>
          <w:szCs w:val="18"/>
          <w:color w:val="auto"/>
        </w:rPr>
        <w:t xml:space="preserve"> </w:t>
      </w:r>
      <w:r>
        <w:rPr>
          <w:rFonts w:ascii="Arial" w:cs="Arial" w:eastAsia="Arial" w:hAnsi="Arial"/>
          <w:sz w:val="18"/>
          <w:szCs w:val="18"/>
          <w:i w:val="1"/>
          <w:iCs w:val="1"/>
          <w:color w:val="auto"/>
        </w:rPr>
        <w:t>risks when we engage in hedging transactions.</w:t>
      </w:r>
      <w:r>
        <w:rPr>
          <w:rFonts w:ascii="Arial" w:cs="Arial" w:eastAsia="Arial" w:hAnsi="Arial"/>
          <w:sz w:val="18"/>
          <w:szCs w:val="18"/>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expected returns on our invested capital.</w:t>
      </w:r>
    </w:p>
    <w:p>
      <w:pPr>
        <w:spacing w:after="0" w:line="117"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8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originating loans to companies that are experiencing significant financial or business difficulties, we may be exposed to distressed lending risks.</w:t>
      </w:r>
    </w:p>
    <w:p>
      <w:pPr>
        <w:spacing w:after="0" w:line="140" w:lineRule="exact"/>
        <w:rPr>
          <w:sz w:val="20"/>
          <w:szCs w:val="20"/>
          <w:color w:val="auto"/>
        </w:rPr>
      </w:pPr>
    </w:p>
    <w:p>
      <w:pPr>
        <w:ind w:right="80" w:firstLine="259"/>
        <w:spacing w:after="0" w:line="272" w:lineRule="auto"/>
        <w:rPr>
          <w:sz w:val="20"/>
          <w:szCs w:val="20"/>
          <w:color w:val="auto"/>
        </w:rPr>
      </w:pPr>
      <w:r>
        <w:rPr>
          <w:rFonts w:ascii="Arial" w:cs="Arial" w:eastAsia="Arial" w:hAnsi="Arial"/>
          <w:sz w:val="17"/>
          <w:szCs w:val="17"/>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65" w:right="239" w:bottom="1440" w:gutter="0" w:footer="0" w:header="0"/>
        </w:sectPr>
      </w:pPr>
    </w:p>
    <w:bookmarkStart w:id="39" w:name="page40"/>
    <w:bookmarkEnd w:id="39"/>
    <w:p>
      <w:pPr>
        <w:spacing w:after="0"/>
        <w:rPr>
          <w:sz w:val="20"/>
          <w:szCs w:val="20"/>
          <w:color w:val="auto"/>
        </w:rPr>
      </w:pPr>
      <w:r>
        <w:rPr>
          <w:rFonts w:ascii="Arial" w:cs="Arial" w:eastAsia="Arial" w:hAnsi="Arial"/>
          <w:sz w:val="15"/>
          <w:szCs w:val="15"/>
          <w:b w:val="1"/>
          <w:bCs w:val="1"/>
          <w:i w:val="1"/>
          <w:iCs w:val="1"/>
          <w:color w:val="auto"/>
        </w:rPr>
        <w:t>Our portfolio companies in some cases may incur debt or issue equity securities that rank equally with, or senior to, our investments in those companies.</w:t>
      </w:r>
    </w:p>
    <w:p>
      <w:pPr>
        <w:spacing w:after="0" w:line="152" w:lineRule="exact"/>
        <w:rPr>
          <w:sz w:val="20"/>
          <w:szCs w:val="20"/>
          <w:color w:val="auto"/>
        </w:rPr>
      </w:pPr>
    </w:p>
    <w:p>
      <w:pPr>
        <w:ind w:right="20" w:firstLine="259"/>
        <w:spacing w:after="0" w:line="270" w:lineRule="auto"/>
        <w:rPr>
          <w:sz w:val="20"/>
          <w:szCs w:val="20"/>
          <w:color w:val="auto"/>
        </w:rPr>
      </w:pPr>
      <w:r>
        <w:rPr>
          <w:rFonts w:ascii="Arial" w:cs="Arial" w:eastAsia="Arial" w:hAnsi="Arial"/>
          <w:sz w:val="17"/>
          <w:szCs w:val="17"/>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2"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117" w:lineRule="exact"/>
        <w:rPr>
          <w:sz w:val="20"/>
          <w:szCs w:val="20"/>
          <w:color w:val="auto"/>
        </w:rPr>
      </w:pPr>
    </w:p>
    <w:p>
      <w:pPr>
        <w:ind w:right="240" w:firstLine="259"/>
        <w:spacing w:after="0" w:line="279" w:lineRule="auto"/>
        <w:rPr>
          <w:sz w:val="20"/>
          <w:szCs w:val="20"/>
          <w:color w:val="auto"/>
        </w:rPr>
      </w:pPr>
      <w:r>
        <w:rPr>
          <w:rFonts w:ascii="Arial" w:cs="Arial" w:eastAsia="Arial" w:hAnsi="Arial"/>
          <w:sz w:val="17"/>
          <w:szCs w:val="17"/>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w:t>
      </w:r>
    </w:p>
    <w:p>
      <w:pPr>
        <w:spacing w:after="0" w:line="171"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88" w:lineRule="exact"/>
        <w:rPr>
          <w:sz w:val="20"/>
          <w:szCs w:val="20"/>
          <w:color w:val="auto"/>
        </w:rPr>
      </w:pPr>
    </w:p>
    <w:p>
      <w:pPr>
        <w:ind w:right="80" w:firstLine="259"/>
        <w:spacing w:after="0" w:line="312" w:lineRule="auto"/>
        <w:rPr>
          <w:sz w:val="20"/>
          <w:szCs w:val="20"/>
          <w:color w:val="auto"/>
        </w:rPr>
      </w:pPr>
      <w:r>
        <w:rPr>
          <w:rFonts w:ascii="Arial" w:cs="Arial" w:eastAsia="Arial" w:hAnsi="Arial"/>
          <w:sz w:val="16"/>
          <w:szCs w:val="16"/>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Following an initial investment in a portfolio company, we may make additional investments in that portfolio company as “follow-on” investments to:</w:t>
      </w:r>
    </w:p>
    <w:p>
      <w:pPr>
        <w:spacing w:after="0" w:line="129" w:lineRule="exact"/>
        <w:rPr>
          <w:sz w:val="20"/>
          <w:szCs w:val="20"/>
          <w:color w:val="auto"/>
        </w:rPr>
      </w:pPr>
    </w:p>
    <w:p>
      <w:pPr>
        <w:ind w:left="520" w:hanging="253"/>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225" w:lineRule="exact"/>
        <w:rPr>
          <w:sz w:val="20"/>
          <w:szCs w:val="20"/>
          <w:color w:val="auto"/>
        </w:rPr>
      </w:pPr>
    </w:p>
    <w:p>
      <w:pPr>
        <w:jc w:val="both"/>
        <w:ind w:right="120" w:firstLine="259"/>
        <w:spacing w:after="0" w:line="264" w:lineRule="auto"/>
        <w:rPr>
          <w:sz w:val="20"/>
          <w:szCs w:val="20"/>
          <w:color w:val="auto"/>
        </w:rPr>
      </w:pPr>
      <w:r>
        <w:rPr>
          <w:rFonts w:ascii="Arial" w:cs="Arial" w:eastAsia="Arial" w:hAnsi="Arial"/>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81" w:lineRule="exact"/>
        <w:rPr>
          <w:sz w:val="20"/>
          <w:szCs w:val="20"/>
          <w:color w:val="auto"/>
        </w:rPr>
      </w:pPr>
    </w:p>
    <w:p>
      <w:pPr>
        <w:ind w:right="240" w:firstLine="259"/>
        <w:spacing w:after="0" w:line="264" w:lineRule="auto"/>
        <w:rPr>
          <w:sz w:val="20"/>
          <w:szCs w:val="20"/>
          <w:color w:val="auto"/>
        </w:rPr>
      </w:pPr>
      <w:r>
        <w:rPr>
          <w:rFonts w:ascii="Arial" w:cs="Arial" w:eastAsia="Arial" w:hAnsi="Arial"/>
          <w:sz w:val="18"/>
          <w:szCs w:val="18"/>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665" w:right="259" w:bottom="1440" w:gutter="0" w:footer="0" w:header="0"/>
        </w:sectPr>
      </w:pPr>
    </w:p>
    <w:bookmarkStart w:id="40" w:name="page41"/>
    <w:bookmarkEnd w:id="40"/>
    <w:p>
      <w:pPr>
        <w:ind w:right="20"/>
        <w:spacing w:after="0" w:line="277" w:lineRule="auto"/>
        <w:rPr>
          <w:sz w:val="20"/>
          <w:szCs w:val="20"/>
          <w:color w:val="auto"/>
        </w:rPr>
      </w:pPr>
      <w:r>
        <w:rPr>
          <w:rFonts w:ascii="Arial" w:cs="Arial" w:eastAsia="Arial" w:hAnsi="Arial"/>
          <w:sz w:val="18"/>
          <w:szCs w:val="18"/>
          <w:color w:val="auto"/>
        </w:rPr>
        <w:t>not want to increase our concentration of risk, because we prefer other opportunities or because we are inhibited by compliance with BDC requirements or the desire to maintain our tax status.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117" w:lineRule="exact"/>
        <w:rPr>
          <w:sz w:val="20"/>
          <w:szCs w:val="20"/>
          <w:color w:val="auto"/>
        </w:rPr>
      </w:pPr>
    </w:p>
    <w:p>
      <w:pPr>
        <w:ind w:right="40" w:firstLine="259"/>
        <w:spacing w:after="0" w:line="271" w:lineRule="auto"/>
        <w:rPr>
          <w:sz w:val="20"/>
          <w:szCs w:val="20"/>
          <w:color w:val="auto"/>
        </w:rPr>
      </w:pPr>
      <w:r>
        <w:rPr>
          <w:rFonts w:ascii="Arial" w:cs="Arial" w:eastAsia="Arial" w:hAnsi="Arial"/>
          <w:sz w:val="17"/>
          <w:szCs w:val="17"/>
          <w:color w:val="auto"/>
        </w:rPr>
        <w:t>We are prohibited under the 1940 Act from participating in certain transactions with certain of our affiliates without the prior approval of our Independent Directors and, in some cases,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79" w:lineRule="exact"/>
        <w:rPr>
          <w:sz w:val="20"/>
          <w:szCs w:val="20"/>
          <w:color w:val="auto"/>
        </w:rPr>
      </w:pPr>
    </w:p>
    <w:p>
      <w:pPr>
        <w:ind w:right="200" w:firstLine="259"/>
        <w:spacing w:after="0" w:line="279" w:lineRule="auto"/>
        <w:rPr>
          <w:sz w:val="20"/>
          <w:szCs w:val="20"/>
          <w:color w:val="auto"/>
        </w:rPr>
      </w:pPr>
      <w:r>
        <w:rPr>
          <w:rFonts w:ascii="Arial" w:cs="Arial" w:eastAsia="Arial" w:hAnsi="Arial"/>
          <w:sz w:val="17"/>
          <w:szCs w:val="17"/>
          <w:color w:val="auto"/>
        </w:rPr>
        <w:t>The decision by TSSP, TPG or our Adviser to allocate an opportunity to another entity could cause us to forgo an investment opportunity that we otherwise would have made. We also generally will be unable to invest in any issuer in which TPG and its other affiliates or a fund managed by TPG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71" w:lineRule="exact"/>
        <w:rPr>
          <w:sz w:val="20"/>
          <w:szCs w:val="20"/>
          <w:color w:val="auto"/>
        </w:rPr>
      </w:pPr>
    </w:p>
    <w:p>
      <w:pPr>
        <w:ind w:right="80" w:firstLine="259"/>
        <w:spacing w:after="0" w:line="255" w:lineRule="auto"/>
        <w:rPr>
          <w:sz w:val="20"/>
          <w:szCs w:val="20"/>
          <w:color w:val="auto"/>
        </w:rPr>
      </w:pPr>
      <w:r>
        <w:rPr>
          <w:rFonts w:ascii="Arial" w:cs="Arial" w:eastAsia="Arial" w:hAnsi="Arial"/>
          <w:sz w:val="18"/>
          <w:szCs w:val="18"/>
          <w:color w:val="auto"/>
        </w:rPr>
        <w:t>On December 16, 2014, the SEC granted our exemptive relief order, permitting us to participate in certain co-investment transactions with certain of our affiliates, including investment funds managed by our affiliates, relating to middle-market loan originations for companies domiciled in the United States and certain follow-on investments in companies in which we have already invested and remain invested, in a manner consistent with our investment objectives and strategies as well as other pertinent factors, and pursuant to the conditions to the exemptive relief. Accordingly, we and our affiliates, including investment funds managed by our affiliates, will be only permitted to co-invest in accordance with the terms of the exemptive relief order or in the limited circumstances otherwise currently permitted by regulatory guidance.</w:t>
      </w:r>
    </w:p>
    <w:p>
      <w:pPr>
        <w:spacing w:after="0" w:line="30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62" w:lineRule="exact"/>
        <w:rPr>
          <w:sz w:val="20"/>
          <w:szCs w:val="20"/>
          <w:color w:val="auto"/>
        </w:rPr>
      </w:pPr>
    </w:p>
    <w:p>
      <w:pPr>
        <w:ind w:right="120" w:firstLine="259"/>
        <w:spacing w:after="0" w:line="255" w:lineRule="auto"/>
        <w:rPr>
          <w:sz w:val="20"/>
          <w:szCs w:val="20"/>
          <w:color w:val="auto"/>
        </w:rPr>
      </w:pPr>
      <w:r>
        <w:rPr>
          <w:rFonts w:ascii="Arial" w:cs="Arial" w:eastAsia="Arial" w:hAnsi="Arial"/>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w:t>
      </w:r>
    </w:p>
    <w:p>
      <w:pPr>
        <w:spacing w:after="0" w:line="117"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In addition, interest income derived from loans to foreign companies is not eligible to be distributed to our non-U.S. stockholders free from withholding taxes.</w:t>
      </w:r>
    </w:p>
    <w:p>
      <w:pPr>
        <w:spacing w:after="0" w:line="178" w:lineRule="exact"/>
        <w:rPr>
          <w:sz w:val="20"/>
          <w:szCs w:val="20"/>
          <w:color w:val="auto"/>
        </w:rPr>
      </w:pPr>
    </w:p>
    <w:p>
      <w:pPr>
        <w:ind w:right="140" w:firstLine="259"/>
        <w:spacing w:after="0" w:line="257" w:lineRule="auto"/>
        <w:rPr>
          <w:sz w:val="20"/>
          <w:szCs w:val="20"/>
          <w:color w:val="auto"/>
        </w:rPr>
      </w:pPr>
      <w:r>
        <w:rPr>
          <w:rFonts w:ascii="Arial" w:cs="Arial" w:eastAsia="Arial" w:hAnsi="Arial"/>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expose ourselves to risks when we engage in hedging transactions.</w:t>
      </w:r>
    </w:p>
    <w:p>
      <w:pPr>
        <w:spacing w:after="0" w:line="117"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We have entered, and may in the future enter, into hedging transactions, which may expose us to risks associated with such transactions. We may seek to utilize instruments such as forward contracts, currency options and interest rate swaps, caps, collars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57"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floors to seek to hedge against fluctuations in the relative values of our portfolio positions from changes in currency exchange rates and market interest</w:t>
      </w:r>
    </w:p>
    <w:p>
      <w:pPr>
        <w:spacing w:after="0" w:line="35"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rates and the relative value of certain debt securities from changes in market interest rates. Use of these hedging instruments may include counter-party credit risk. To the extent we have non-U.S. investments, particularly investments in non-U.S. denominated currencies, our hedging costs will increase.</w:t>
      </w:r>
    </w:p>
    <w:p>
      <w:pPr>
        <w:spacing w:after="0" w:line="139"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We also have the ability to borrow in certain foreign currencies under the second amended and restated senior secured revolving credit agreement, as amended, with SunTrust Bank, as administrative agent, and certain lenders, which we refer to as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93"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73" w:lineRule="exact"/>
        <w:rPr>
          <w:sz w:val="20"/>
          <w:szCs w:val="20"/>
          <w:color w:val="auto"/>
        </w:rPr>
      </w:pPr>
    </w:p>
    <w:p>
      <w:pPr>
        <w:ind w:right="40" w:firstLine="259"/>
        <w:spacing w:after="0" w:line="272" w:lineRule="auto"/>
        <w:rPr>
          <w:sz w:val="20"/>
          <w:szCs w:val="20"/>
          <w:color w:val="auto"/>
        </w:rPr>
      </w:pPr>
      <w:r>
        <w:rPr>
          <w:rFonts w:ascii="Arial" w:cs="Arial" w:eastAsia="Arial" w:hAnsi="Arial"/>
          <w:sz w:val="17"/>
          <w:szCs w:val="17"/>
          <w:color w:val="auto"/>
        </w:rPr>
        <w:t>The success of our hedging strategy will depend on our ability to correctly identify appropriate exposures for hedging. To date, we have entered into hedging transactions to seek to reduce currency exchange rate risk. In addition, in connection with the offering of our Convertible Senior Notes, which bear interest at a fixed rate, we entered into fixed-to-floating interest rate swaps to continue to align the interest rates of our liabilities with our investment portfolio, which 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78" w:lineRule="exact"/>
        <w:rPr>
          <w:sz w:val="20"/>
          <w:szCs w:val="20"/>
          <w:color w:val="auto"/>
        </w:rPr>
      </w:pPr>
    </w:p>
    <w:p>
      <w:pPr>
        <w:ind w:right="60" w:firstLine="259"/>
        <w:spacing w:after="0" w:line="272" w:lineRule="auto"/>
        <w:rPr>
          <w:sz w:val="20"/>
          <w:szCs w:val="20"/>
          <w:color w:val="auto"/>
        </w:rPr>
      </w:pPr>
      <w:r>
        <w:rPr>
          <w:rFonts w:ascii="Arial" w:cs="Arial" w:eastAsia="Arial" w:hAnsi="Arial"/>
          <w:sz w:val="17"/>
          <w:szCs w:val="17"/>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See also “</w:t>
      </w:r>
      <w:r>
        <w:rPr>
          <w:rFonts w:ascii="Arial" w:cs="Arial" w:eastAsia="Arial" w:hAnsi="Arial"/>
          <w:sz w:val="17"/>
          <w:szCs w:val="17"/>
          <w:i w:val="1"/>
          <w:iCs w:val="1"/>
          <w:color w:val="auto"/>
        </w:rPr>
        <w:t>—Risks Related to Our Portfolio Company Investments—We are exposed to risks</w:t>
      </w:r>
      <w:r>
        <w:rPr>
          <w:rFonts w:ascii="Arial" w:cs="Arial" w:eastAsia="Arial" w:hAnsi="Arial"/>
          <w:sz w:val="17"/>
          <w:szCs w:val="17"/>
          <w:color w:val="auto"/>
        </w:rPr>
        <w:t xml:space="preserve"> </w:t>
      </w:r>
      <w:r>
        <w:rPr>
          <w:rFonts w:ascii="Arial" w:cs="Arial" w:eastAsia="Arial" w:hAnsi="Arial"/>
          <w:sz w:val="17"/>
          <w:szCs w:val="17"/>
          <w:i w:val="1"/>
          <w:iCs w:val="1"/>
          <w:color w:val="auto"/>
        </w:rPr>
        <w:t>associated with changes in interest rates</w:t>
      </w:r>
      <w:r>
        <w:rPr>
          <w:rFonts w:ascii="Arial" w:cs="Arial" w:eastAsia="Arial" w:hAnsi="Arial"/>
          <w:sz w:val="17"/>
          <w:szCs w:val="17"/>
          <w:color w:val="auto"/>
        </w:rPr>
        <w:t>” and “</w:t>
      </w:r>
      <w:r>
        <w:rPr>
          <w:rFonts w:ascii="Arial" w:cs="Arial" w:eastAsia="Arial" w:hAnsi="Arial"/>
          <w:sz w:val="17"/>
          <w:szCs w:val="17"/>
          <w:i w:val="1"/>
          <w:iCs w:val="1"/>
          <w:color w:val="auto"/>
        </w:rPr>
        <w:t>ITEM 7. MANAGEMENT’S DISCUSSION AND ANALYSIS OF FINANCIAL CONDITION AND RESULTS OF OPERATIONS—Results of Operations—Hedging</w:t>
      </w:r>
      <w:r>
        <w:rPr>
          <w:rFonts w:ascii="Arial" w:cs="Arial" w:eastAsia="Arial" w:hAnsi="Arial"/>
          <w:sz w:val="17"/>
          <w:szCs w:val="17"/>
          <w:color w:val="auto"/>
        </w:rPr>
        <w:t>.”</w:t>
      </w:r>
    </w:p>
    <w:p>
      <w:pPr>
        <w:spacing w:after="0" w:line="178" w:lineRule="exact"/>
        <w:rPr>
          <w:sz w:val="20"/>
          <w:szCs w:val="20"/>
          <w:color w:val="auto"/>
        </w:rPr>
      </w:pPr>
    </w:p>
    <w:p>
      <w:pPr>
        <w:ind w:right="220" w:firstLine="259"/>
        <w:spacing w:after="0" w:line="293" w:lineRule="auto"/>
        <w:rPr>
          <w:sz w:val="20"/>
          <w:szCs w:val="20"/>
          <w:color w:val="auto"/>
        </w:rPr>
      </w:pPr>
      <w:r>
        <w:rPr>
          <w:rFonts w:ascii="Arial" w:cs="Arial" w:eastAsia="Arial" w:hAnsi="Arial"/>
          <w:sz w:val="16"/>
          <w:szCs w:val="16"/>
          <w:color w:val="auto"/>
        </w:rPr>
        <w:t>Finally, recent and anticipated regulatory changes require that certain types of swaps, including interest rate and credit default swaps, be cleared and traded on regulated platforms, and these regulatory changes are expected to apply to foreign exchange transactions in the future. Cleared swaps, such as the interest rate swaps we entered into in connection with our Convertible Senior Notes offering, require us to post collateral. Any failure by us to fulfill any collateral requirement (e.g., a so-called “margin call”) may result in a default and could have a material adverse impact on our business, financial condition and results of operations. Regulators also are expected to impose margin requirements for derivatives that are not cleared. These new requirements could significantly increase the cost of using swaps to hedge our interest rate and foreign exchange risk, and could increase our exposure to these risks.</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cease to be eligible for an exemption from regulation as a commodity pool operator, our compliance expenses could increase substantially.</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Our Adviser has been granted relief under a no-action letter, known as Letter 12-40, issued by the staff of the Commodity Futures Trading Commission,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CFTC. Letter 12-40 relieves our Adviser from registering with the CFTC as the commodity pool operator, or CPO, of us, so long as we:</w:t>
      </w:r>
    </w:p>
    <w:p>
      <w:pPr>
        <w:spacing w:after="0" w:line="103" w:lineRule="exact"/>
        <w:rPr>
          <w:sz w:val="20"/>
          <w:szCs w:val="20"/>
          <w:color w:val="auto"/>
        </w:rPr>
      </w:pPr>
    </w:p>
    <w:p>
      <w:pPr>
        <w:ind w:left="520" w:hanging="253"/>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 to be regulated by the SEC as a BDC;</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confine our trading in CFTC-regulated derivatives within specified thresholds;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If we were not to satisfy the conditions of Letter 12-40 in the future, our Adviser may be subject to registration with the CFTC as a CPO. Registered CPOs must comply with numerous substantive regulations related to disclosure, reporting and recordkeeping, and are required to become members of the National Futures Association, or the NFA, and be subject to the NFA’s rules and bylaws.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49" w:right="239" w:bottom="1440" w:gutter="0" w:footer="0" w:header="0"/>
        </w:sectPr>
      </w:pPr>
    </w:p>
    <w:bookmarkStart w:id="42" w:name="page43"/>
    <w:bookmarkEnd w:id="42"/>
    <w:p>
      <w:pPr>
        <w:ind w:right="220"/>
        <w:spacing w:after="0" w:line="342" w:lineRule="auto"/>
        <w:rPr>
          <w:sz w:val="20"/>
          <w:szCs w:val="20"/>
          <w:color w:val="auto"/>
        </w:rPr>
      </w:pPr>
      <w:r>
        <w:rPr>
          <w:rFonts w:ascii="Arial" w:cs="Arial" w:eastAsia="Arial" w:hAnsi="Arial"/>
          <w:sz w:val="16"/>
          <w:szCs w:val="16"/>
          <w:color w:val="auto"/>
        </w:rPr>
        <w:t>Compliance with these additional registration and regulatory requirements could increase our expenses and impact performance. The Adviser previously relied on the exemption from registration in CFTC Rule 4.13(a)(3), which is not available for advisers of companies whose stock is marketed to the public.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117" w:lineRule="exact"/>
        <w:rPr>
          <w:sz w:val="20"/>
          <w:szCs w:val="20"/>
          <w:color w:val="auto"/>
        </w:rPr>
      </w:pPr>
    </w:p>
    <w:p>
      <w:pPr>
        <w:ind w:right="60" w:firstLine="259"/>
        <w:spacing w:after="0" w:line="288" w:lineRule="auto"/>
        <w:rPr>
          <w:sz w:val="20"/>
          <w:szCs w:val="20"/>
          <w:color w:val="auto"/>
        </w:rPr>
      </w:pPr>
      <w:r>
        <w:rPr>
          <w:rFonts w:ascii="Arial" w:cs="Arial" w:eastAsia="Arial" w:hAnsi="Arial"/>
          <w:sz w:val="16"/>
          <w:szCs w:val="16"/>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w:t>
      </w:r>
      <w:r>
        <w:rPr>
          <w:rFonts w:ascii="Arial" w:cs="Arial" w:eastAsia="Arial" w:hAnsi="Arial"/>
          <w:sz w:val="16"/>
          <w:szCs w:val="16"/>
          <w:i w:val="1"/>
          <w:iCs w:val="1"/>
          <w:color w:val="auto"/>
        </w:rPr>
        <w:t>ITEM 1. BUSINESS—Regulation as a</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Development Company</w:t>
      </w:r>
      <w:r>
        <w:rPr>
          <w:rFonts w:ascii="Arial" w:cs="Arial" w:eastAsia="Arial" w:hAnsi="Arial"/>
          <w:sz w:val="16"/>
          <w:szCs w:val="16"/>
          <w:color w:val="auto"/>
        </w:rPr>
        <w:t>—</w:t>
      </w:r>
      <w:r>
        <w:rPr>
          <w:rFonts w:ascii="Arial" w:cs="Arial" w:eastAsia="Arial" w:hAnsi="Arial"/>
          <w:sz w:val="16"/>
          <w:szCs w:val="16"/>
          <w:i w:val="1"/>
          <w:iCs w:val="1"/>
          <w:color w:val="auto"/>
        </w:rPr>
        <w:t>Regulated Investment Company Classification</w:t>
      </w:r>
      <w:r>
        <w:rPr>
          <w:rFonts w:ascii="Arial" w:cs="Arial" w:eastAsia="Arial" w:hAnsi="Arial"/>
          <w:sz w:val="16"/>
          <w:szCs w:val="16"/>
          <w:color w:val="auto"/>
        </w:rPr>
        <w:t>” for more information.</w:t>
      </w:r>
    </w:p>
    <w:p>
      <w:pPr>
        <w:spacing w:after="0" w:line="2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Unless Congress renews certain exemptions that expired for taxable years commencing after December 31, 2014, certain dividend distributions we make to certain non-U.S. stockholders will be subject to U.S. withholding tax.</w:t>
      </w:r>
    </w:p>
    <w:p>
      <w:pPr>
        <w:spacing w:after="0" w:line="62" w:lineRule="exact"/>
        <w:rPr>
          <w:sz w:val="20"/>
          <w:szCs w:val="20"/>
          <w:color w:val="auto"/>
        </w:rPr>
      </w:pPr>
    </w:p>
    <w:p>
      <w:pPr>
        <w:ind w:right="40" w:firstLine="259"/>
        <w:spacing w:after="0" w:line="270" w:lineRule="auto"/>
        <w:rPr>
          <w:sz w:val="20"/>
          <w:szCs w:val="20"/>
          <w:color w:val="auto"/>
        </w:rPr>
      </w:pPr>
      <w:r>
        <w:rPr>
          <w:rFonts w:ascii="Arial" w:cs="Arial" w:eastAsia="Arial" w:hAnsi="Arial"/>
          <w:sz w:val="17"/>
          <w:szCs w:val="17"/>
          <w:color w:val="auto"/>
        </w:rPr>
        <w:t>In recent years, Congress has renewed the rules under which certain dividend distributions by RICs paid out of interest income, which we refer to as interest-related dividends, qualified for a generally applicable exemption from U.S. withholding tax. As a result, a non-U.S. stockholder could receive interest-related dividends free of U.S. withholding tax if (as normally would be the case) the stockholder would not have been subject to U.S. withholding tax if it had received the underlying interest income directly. This exemption expired for taxable years commencing after December 31, 2014. Further legislation will be required to make the exemption available with respect to such taxable years. We cannot assure you that Congress will extend the pass-through rules for taxable years commencing after December 31, 2014, or that any such extension will apply to all dividends that we distribute in such taxable years. A failure to extend the exemption for interest-related dividends would not affect the treatment of non-U.S. stockholders that qualify for an exemption from U.S. withholding tax on dividends by reason of their special status (for example, foreign government-related entities and certain pension funds resident in favorable treaty jurisdictions).</w:t>
      </w:r>
    </w:p>
    <w:p>
      <w:pPr>
        <w:spacing w:after="0" w:line="290"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39"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For example, if our shares are not treated as regularly traded and we are not held by more than 500 persons at all times during the taxable year, we might not be treated as a publicly offered regulated investment company.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Fees and Incentive Fees paid to our Adviser and certain of our other expenses for the calendar year, and these fees and expenses will be treated as miscellaneous itemized deductions of such U.S. stockholder. Miscellaneous itemized deductions generally are deductible by a U.S. stockholder that is an individual, trust or estate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the Code.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risks associated with holding debt obligations that have original issue discount or payment-in-kind (“PIK”).</w:t>
      </w:r>
    </w:p>
    <w:p>
      <w:pPr>
        <w:spacing w:after="0" w:line="117"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Original issue discount, or OID, may arise if we hold securities issued at a discount, receive warrants in connection with the making of a loan, or in certain other circumstances.</w:t>
      </w:r>
    </w:p>
    <w:p>
      <w:pPr>
        <w:spacing w:after="0" w:line="170"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OID creates the risk that Incentive Fees will be paid to the Adviser based on non-cash accruals that ultimately may not be realized, while the Adviser will be under no obligation to reimburse us for these fees.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57" w:right="259" w:bottom="1440" w:gutter="0" w:footer="0" w:header="0"/>
        </w:sectPr>
      </w:pPr>
    </w:p>
    <w:bookmarkStart w:id="43" w:name="page44"/>
    <w:bookmarkEnd w:id="43"/>
    <w:p>
      <w:pPr>
        <w:jc w:val="both"/>
        <w:ind w:right="80" w:firstLine="259"/>
        <w:spacing w:after="0" w:line="264" w:lineRule="auto"/>
        <w:rPr>
          <w:sz w:val="20"/>
          <w:szCs w:val="20"/>
          <w:color w:val="auto"/>
        </w:rPr>
      </w:pPr>
      <w:r>
        <w:rPr>
          <w:rFonts w:ascii="Arial" w:cs="Arial" w:eastAsia="Arial" w:hAnsi="Arial"/>
          <w:sz w:val="18"/>
          <w:szCs w:val="18"/>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81" w:lineRule="exact"/>
        <w:rPr>
          <w:sz w:val="20"/>
          <w:szCs w:val="20"/>
          <w:color w:val="auto"/>
        </w:rPr>
      </w:pPr>
    </w:p>
    <w:p>
      <w:pPr>
        <w:ind w:right="260" w:firstLine="259"/>
        <w:spacing w:after="0" w:line="308" w:lineRule="auto"/>
        <w:rPr>
          <w:sz w:val="20"/>
          <w:szCs w:val="20"/>
          <w:color w:val="auto"/>
        </w:rPr>
      </w:pPr>
      <w:r>
        <w:rPr>
          <w:rFonts w:ascii="Arial" w:cs="Arial" w:eastAsia="Arial" w:hAnsi="Arial"/>
          <w:sz w:val="17"/>
          <w:szCs w:val="17"/>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distributions.</w:t>
      </w:r>
    </w:p>
    <w:p>
      <w:pPr>
        <w:spacing w:after="0" w:line="147" w:lineRule="exact"/>
        <w:rPr>
          <w:sz w:val="20"/>
          <w:szCs w:val="20"/>
          <w:color w:val="auto"/>
        </w:rPr>
      </w:pPr>
    </w:p>
    <w:p>
      <w:pPr>
        <w:ind w:right="160" w:firstLine="259"/>
        <w:spacing w:after="0" w:line="259" w:lineRule="auto"/>
        <w:rPr>
          <w:sz w:val="20"/>
          <w:szCs w:val="20"/>
          <w:color w:val="auto"/>
        </w:rPr>
      </w:pPr>
      <w:r>
        <w:rPr>
          <w:rFonts w:ascii="Arial" w:cs="Arial" w:eastAsia="Arial" w:hAnsi="Arial"/>
          <w:sz w:val="18"/>
          <w:szCs w:val="18"/>
          <w:color w:val="auto"/>
        </w:rPr>
        <w:t>For accounting purposes, any cash distributions to stockholders representing OID income are not treated as coming from paid-in capital, even if the cash to pay them comes from the proceeds of issuances of our common stock. As a result, despite the fact that a distribution representing OID income could be paid out of amounts invested by our stockholders, the 1940 Act does not require that stockholders be given notice of this fact by reporting it as a return of capital.</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PIK interest has the effect of generating investment income at a compounding rate, thereby further increasing the Incentive Fees payable to the Adviser.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Similarly, all things being equal, the deferral associated with PIK interest also increases the loan-to-value ratio at a compounding rate.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you may not receive dividends or that our dividends may not grow over time.</w:t>
      </w:r>
    </w:p>
    <w:p>
      <w:pPr>
        <w:spacing w:after="0" w:line="117"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We intend to continue making distributions on a quarterly basis to our stockholders out of assets legally available for distribution. We cannot assure you that we will achieve investment results or maintain a tax status that will allow or require any specified level of cash distributions or year-to-year increases in cash distributions. Our ability to pay distributions might be adversely affected by the impact of one or more of the risk factors described in this annual report. Due to the asset coverage test applicable to us under the 1940 Act as a BDC or restrictions under our credit facilities, we may be limited in our ability to make distributions.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right="40" w:firstLine="259"/>
        <w:spacing w:after="0" w:line="302" w:lineRule="auto"/>
        <w:rPr>
          <w:sz w:val="20"/>
          <w:szCs w:val="20"/>
          <w:color w:val="auto"/>
        </w:rPr>
      </w:pPr>
      <w:r>
        <w:rPr>
          <w:rFonts w:ascii="Arial" w:cs="Arial" w:eastAsia="Arial" w:hAnsi="Arial"/>
          <w:sz w:val="16"/>
          <w:szCs w:val="16"/>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w:t>
      </w:r>
      <w:r>
        <w:rPr>
          <w:rFonts w:ascii="Arial" w:cs="Arial" w:eastAsia="Arial" w:hAnsi="Arial"/>
          <w:sz w:val="16"/>
          <w:szCs w:val="16"/>
          <w:i w:val="1"/>
          <w:iCs w:val="1"/>
          <w:color w:val="auto"/>
        </w:rPr>
        <w:t>—Risks</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to Our Portfolio Company Investments—There are certain risks associated with holding debt obligations that have original issue discount or PIK</w:t>
      </w:r>
      <w:r>
        <w:rPr>
          <w:rFonts w:ascii="Arial" w:cs="Arial" w:eastAsia="Arial" w:hAnsi="Arial"/>
          <w:sz w:val="16"/>
          <w:szCs w:val="16"/>
          <w:color w:val="auto"/>
        </w:rPr>
        <w:t>.”</w:t>
      </w:r>
    </w:p>
    <w:p>
      <w:pPr>
        <w:spacing w:after="0" w:line="154" w:lineRule="exact"/>
        <w:rPr>
          <w:sz w:val="20"/>
          <w:szCs w:val="20"/>
          <w:color w:val="auto"/>
        </w:rPr>
      </w:pPr>
    </w:p>
    <w:p>
      <w:pPr>
        <w:ind w:right="80" w:firstLine="259"/>
        <w:spacing w:after="0" w:line="254" w:lineRule="auto"/>
        <w:rPr>
          <w:sz w:val="20"/>
          <w:szCs w:val="20"/>
          <w:color w:val="auto"/>
        </w:rPr>
      </w:pPr>
      <w:r>
        <w:rPr>
          <w:rFonts w:ascii="Arial" w:cs="Arial" w:eastAsia="Arial" w:hAnsi="Arial"/>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 In addition, the withholding tax treatment of our distributions to certain of our non-U.S. stockholders depends on whether and when Congress enacts legislation extending the pass-through treatment of “interest-related dividends.” This treatment expired for taxable years commencing after December 31, 2014. See “</w:t>
      </w:r>
      <w:r>
        <w:rPr>
          <w:rFonts w:ascii="Arial" w:cs="Arial" w:eastAsia="Arial" w:hAnsi="Arial"/>
          <w:sz w:val="18"/>
          <w:szCs w:val="18"/>
          <w:i w:val="1"/>
          <w:iCs w:val="1"/>
          <w:color w:val="auto"/>
        </w:rPr>
        <w:t>ITEM 1. BUSINESS—Regulation as a Business Development Company —Regulated 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Company Classification</w:t>
      </w:r>
      <w:r>
        <w:rPr>
          <w:rFonts w:ascii="Arial" w:cs="Arial" w:eastAsia="Arial" w:hAnsi="Arial"/>
          <w:sz w:val="18"/>
          <w:szCs w:val="18"/>
          <w:color w:val="auto"/>
        </w:rPr>
        <w:t>.”</w:t>
      </w:r>
    </w:p>
    <w:p>
      <w:pPr>
        <w:spacing w:after="0" w:line="192" w:lineRule="exact"/>
        <w:rPr>
          <w:sz w:val="20"/>
          <w:szCs w:val="20"/>
          <w:color w:val="auto"/>
        </w:rPr>
      </w:pPr>
    </w:p>
    <w:p>
      <w:pPr>
        <w:jc w:val="both"/>
        <w:ind w:right="60" w:firstLine="259"/>
        <w:spacing w:after="0" w:line="264"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81"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73"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5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such defaults could substantially reduce our net investment income available for distribution in the form of dividends to our stockholders.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securities may involve a high degree of risk.</w:t>
      </w:r>
    </w:p>
    <w:p>
      <w:pPr>
        <w:spacing w:after="0" w:line="117"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common stock may not be suitable for someone with lower risk tolerance.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480" w:firstLine="259"/>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62" w:lineRule="exact"/>
        <w:rPr>
          <w:sz w:val="20"/>
          <w:szCs w:val="20"/>
          <w:color w:val="auto"/>
        </w:rPr>
      </w:pPr>
    </w:p>
    <w:p>
      <w:pPr>
        <w:ind w:left="520" w:right="20" w:hanging="253"/>
        <w:spacing w:after="0" w:line="277"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17" w:lineRule="exact"/>
        <w:rPr>
          <w:rFonts w:ascii="Arial" w:cs="Arial" w:eastAsia="Arial" w:hAnsi="Arial"/>
          <w:sz w:val="18"/>
          <w:szCs w:val="18"/>
          <w:color w:val="auto"/>
        </w:rPr>
      </w:pPr>
    </w:p>
    <w:p>
      <w:pPr>
        <w:ind w:left="520" w:right="340" w:hanging="253"/>
        <w:spacing w:after="0" w:line="277"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downgrades to our credit rating or placement on a negative watch status by a credit rating agency;</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assure you that a market for our common stock will be sustained or that the market price of shares of our common stock will not decline.</w:t>
      </w:r>
    </w:p>
    <w:p>
      <w:pPr>
        <w:spacing w:after="0" w:line="140"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We cannot assure you that a trading market for our common stock will be sustained. In addition, we cannot predict the prices at which our common stock will trade. 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We cannot predict whether our common stock will trade at, above or below net asset value. In addition, if our common stock trades below its net asset value,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40"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color w:val="auto"/>
        </w:rPr>
        <w:t>Sales of substantial amounts of our common stock, the availability of such common stock for sale (including as a result of the conversion of our Convertible Senior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557" w:right="31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Our stockholders may experience dilution upon the conversion of our Convertible Senior Notes.</w:t>
      </w:r>
    </w:p>
    <w:p>
      <w:pPr>
        <w:spacing w:after="0" w:line="117"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7"/>
          <w:szCs w:val="17"/>
          <w:color w:val="auto"/>
        </w:rPr>
        <w:t>Our Convertible Senior Notes are convertible into shares of our common stock beginning on June 15, 2019 or, under certain circumstances, earlier. Upon conversion of the Convertible Senior Notes, we have the choice to pay or deliver, as the case may be, at our election, cash, shares of our common stock or a combination of cash and shares of our common stock. The initial conversion price of the Convertible Senior Notes is $25.83, subject to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 common stock in connection with the conversion of the Convertible Senior Notes and any dividends paid on our common stock will also be paid on shares issued in connection with such conversion after such issuance.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117"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 xml:space="preserve">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w:t>
      </w:r>
      <w:r>
        <w:rPr>
          <w:rFonts w:ascii="Arial" w:cs="Arial" w:eastAsia="Arial" w:hAnsi="Arial"/>
          <w:sz w:val="18"/>
          <w:szCs w:val="18"/>
          <w:i w:val="1"/>
          <w:iCs w:val="1"/>
          <w:color w:val="auto"/>
        </w:rPr>
        <w:t>“ITEM 1. BUSINESS—Dividend Policy</w:t>
      </w:r>
      <w:r>
        <w:rPr>
          <w:rFonts w:ascii="Arial" w:cs="Arial" w:eastAsia="Arial" w:hAnsi="Arial"/>
          <w:sz w:val="18"/>
          <w:szCs w:val="18"/>
          <w:color w:val="auto"/>
        </w:rPr>
        <w:t>” and “</w:t>
      </w:r>
      <w:r>
        <w:rPr>
          <w:rFonts w:ascii="Arial" w:cs="Arial" w:eastAsia="Arial" w:hAnsi="Arial"/>
          <w:sz w:val="18"/>
          <w:szCs w:val="18"/>
          <w:i w:val="1"/>
          <w:iCs w:val="1"/>
          <w:color w:val="auto"/>
        </w:rPr>
        <w:t>ITEM 1. BUSINESS—Dividend</w:t>
      </w:r>
      <w:r>
        <w:rPr>
          <w:rFonts w:ascii="Arial" w:cs="Arial" w:eastAsia="Arial" w:hAnsi="Arial"/>
          <w:sz w:val="18"/>
          <w:szCs w:val="18"/>
          <w:color w:val="auto"/>
        </w:rPr>
        <w:t xml:space="preserve"> </w:t>
      </w:r>
      <w:r>
        <w:rPr>
          <w:rFonts w:ascii="Arial" w:cs="Arial" w:eastAsia="Arial" w:hAnsi="Arial"/>
          <w:sz w:val="18"/>
          <w:szCs w:val="18"/>
          <w:i w:val="1"/>
          <w:iCs w:val="1"/>
          <w:color w:val="auto"/>
        </w:rPr>
        <w:t>Reinvestment Plan</w:t>
      </w:r>
      <w:r>
        <w:rPr>
          <w:rFonts w:ascii="Arial" w:cs="Arial" w:eastAsia="Arial" w:hAnsi="Arial"/>
          <w:sz w:val="18"/>
          <w:szCs w:val="18"/>
          <w:color w:val="auto"/>
        </w:rPr>
        <w:t>” for a description of our dividend policy and obligations.</w:t>
      </w:r>
    </w:p>
    <w:p>
      <w:pPr>
        <w:spacing w:after="0" w:line="188"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62" w:lineRule="exact"/>
        <w:rPr>
          <w:sz w:val="20"/>
          <w:szCs w:val="20"/>
          <w:color w:val="auto"/>
        </w:rPr>
      </w:pPr>
    </w:p>
    <w:p>
      <w:pPr>
        <w:ind w:right="20" w:firstLine="259"/>
        <w:spacing w:after="0" w:line="279" w:lineRule="auto"/>
        <w:rPr>
          <w:sz w:val="20"/>
          <w:szCs w:val="20"/>
          <w:color w:val="auto"/>
        </w:rPr>
      </w:pPr>
      <w:r>
        <w:rPr>
          <w:rFonts w:ascii="Arial" w:cs="Arial" w:eastAsia="Arial" w:hAnsi="Arial"/>
          <w:sz w:val="17"/>
          <w:szCs w:val="17"/>
          <w:color w:val="auto"/>
        </w:rPr>
        <w:t>We have entered into an agreement with Goldman, Sachs &amp; Co., the Company 10b5-1 Plan, in accordance with Rules 10b5-1 and 10b-18 under the Exchange Act, under which Goldman, Sachs &amp; Co, as agent for us, will buy up to $50 million of our common stock in the aggregate during the period ending on the earlier of the date on which all the capital committed to the plan has been exhausted or May 4, 2015. On February 20, 2015, our Board of Directors authorized the extension of the termination date of the Company 10b5-1 Plan from May 4, 2015 to June 30, 2015.</w:t>
      </w:r>
    </w:p>
    <w:p>
      <w:pPr>
        <w:spacing w:after="0" w:line="171"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maintain our principal executive office at 301 Commerce Street, Suite 3300, Fort Worth, Texas 76102. We do not own any real estate.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665"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19"/>
          </w:cols>
          <w:pgMar w:left="240" w:top="337"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 Range of Common Stock</w:t>
      </w:r>
    </w:p>
    <w:p>
      <w:pPr>
        <w:spacing w:after="0" w:line="11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Our common stock is traded on the NYSE under the symbol “TSLX.” Our common stock has historically traded at prices both above and below our net asset value per share. It is not possible to predict whether our common stock offered hereby will trade at, above or below net asset value. See “</w:t>
      </w:r>
      <w:r>
        <w:rPr>
          <w:rFonts w:ascii="Arial" w:cs="Arial" w:eastAsia="Arial" w:hAnsi="Arial"/>
          <w:sz w:val="18"/>
          <w:szCs w:val="18"/>
          <w:i w:val="1"/>
          <w:iCs w:val="1"/>
          <w:color w:val="auto"/>
        </w:rPr>
        <w:t>ITEM 1A. 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FACTORS—Risks Related to our Securities—We cannot assure you that a market for our common stock will be sustained or that the market price of shares of our common stock will not decline</w:t>
      </w:r>
      <w:r>
        <w:rPr>
          <w:rFonts w:ascii="Arial" w:cs="Arial" w:eastAsia="Arial" w:hAnsi="Arial"/>
          <w:sz w:val="18"/>
          <w:szCs w:val="18"/>
          <w:color w:val="auto"/>
        </w:rPr>
        <w:t>.”</w:t>
      </w:r>
    </w:p>
    <w:p>
      <w:pPr>
        <w:spacing w:after="0" w:line="187" w:lineRule="exact"/>
        <w:rPr>
          <w:sz w:val="20"/>
          <w:szCs w:val="20"/>
          <w:color w:val="auto"/>
        </w:rPr>
      </w:pPr>
    </w:p>
    <w:p>
      <w:pPr>
        <w:ind w:right="140" w:firstLine="259"/>
        <w:spacing w:after="0" w:line="279" w:lineRule="auto"/>
        <w:rPr>
          <w:sz w:val="20"/>
          <w:szCs w:val="20"/>
          <w:color w:val="auto"/>
        </w:rPr>
      </w:pPr>
      <w:r>
        <w:rPr>
          <w:rFonts w:ascii="Arial" w:cs="Arial" w:eastAsia="Arial" w:hAnsi="Arial"/>
          <w:sz w:val="17"/>
          <w:szCs w:val="17"/>
          <w:color w:val="auto"/>
        </w:rPr>
        <w:t>The following table sets forth, for each fiscal quarter since our IPO, the net asset value per share of our common stock, the range of high and low closing sales prices of our common stock reported on the NYSE, the closing sales price as a premium (discount) to net asset value and the dividends or distributions declared by us. On February 23, 2015, the last reported closing sales price of our common stock on the NYSE was $17.80 per share, which represented a premium of approximately 14.6% to the net asset value per share reported by us as of December 31, 2014.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High</w:t>
            </w: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Low</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1"/>
              </w:rPr>
              <w:t>Sales</w:t>
            </w: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1"/>
              </w:rPr>
              <w:t>Sales</w:t>
            </w:r>
          </w:p>
        </w:tc>
        <w:tc>
          <w:tcPr>
            <w:tcW w:w="1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Price to</w:t>
            </w: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Price to</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Net Asset</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Price Range</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Net Asset</w:t>
            </w: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Net Asset</w:t>
            </w:r>
          </w:p>
        </w:tc>
        <w:tc>
          <w:tcPr>
            <w:tcW w:w="1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Per</w:t>
            </w:r>
          </w:p>
        </w:tc>
        <w:tc>
          <w:tcPr>
            <w:tcW w:w="0" w:type="dxa"/>
            <w:vAlign w:val="bottom"/>
          </w:tcPr>
          <w:p>
            <w:pPr>
              <w:spacing w:after="0"/>
              <w:rPr>
                <w:sz w:val="1"/>
                <w:szCs w:val="1"/>
                <w:color w:val="auto"/>
              </w:rPr>
            </w:pPr>
          </w:p>
        </w:tc>
      </w:tr>
      <w:tr>
        <w:trPr>
          <w:trHeight w:val="156"/>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 2014</w:t>
            </w:r>
          </w:p>
        </w:tc>
        <w:tc>
          <w:tcPr>
            <w:tcW w:w="100" w:type="dxa"/>
            <w:vAlign w:val="bottom"/>
          </w:tcPr>
          <w:p>
            <w:pPr>
              <w:spacing w:after="0"/>
              <w:rPr>
                <w:sz w:val="13"/>
                <w:szCs w:val="13"/>
                <w:color w:val="auto"/>
              </w:rPr>
            </w:pPr>
          </w:p>
        </w:tc>
        <w:tc>
          <w:tcPr>
            <w:tcW w:w="720" w:type="dxa"/>
            <w:vAlign w:val="bottom"/>
          </w:tcPr>
          <w:p>
            <w:pPr>
              <w:jc w:val="right"/>
              <w:ind w:right="76"/>
              <w:spacing w:after="0" w:line="155" w:lineRule="exact"/>
              <w:rPr>
                <w:sz w:val="20"/>
                <w:szCs w:val="20"/>
                <w:color w:val="auto"/>
              </w:rPr>
            </w:pPr>
            <w:r>
              <w:rPr>
                <w:rFonts w:ascii="Arial" w:cs="Arial" w:eastAsia="Arial" w:hAnsi="Arial"/>
                <w:sz w:val="14"/>
                <w:szCs w:val="14"/>
                <w:b w:val="1"/>
                <w:bCs w:val="1"/>
                <w:color w:val="auto"/>
                <w:w w:val="99"/>
              </w:rPr>
              <w:t>Value(1)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3"/>
                <w:szCs w:val="13"/>
                <w:color w:val="auto"/>
              </w:rPr>
            </w:pPr>
          </w:p>
        </w:tc>
        <w:tc>
          <w:tcPr>
            <w:tcW w:w="58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w w:val="92"/>
              </w:rPr>
              <w:t>Low</w:t>
            </w:r>
          </w:p>
        </w:tc>
        <w:tc>
          <w:tcPr>
            <w:tcW w:w="220" w:type="dxa"/>
            <w:vAlign w:val="bottom"/>
          </w:tcPr>
          <w:p>
            <w:pPr>
              <w:spacing w:after="0"/>
              <w:rPr>
                <w:sz w:val="13"/>
                <w:szCs w:val="13"/>
                <w:color w:val="auto"/>
              </w:rPr>
            </w:pPr>
          </w:p>
        </w:tc>
        <w:tc>
          <w:tcPr>
            <w:tcW w:w="112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Value(2)</w:t>
            </w:r>
          </w:p>
        </w:tc>
        <w:tc>
          <w:tcPr>
            <w:tcW w:w="118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1"/>
              </w:rPr>
              <w:t>Value(2)</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Share(3)</w:t>
            </w:r>
          </w:p>
        </w:tc>
        <w:tc>
          <w:tcPr>
            <w:tcW w:w="0" w:type="dxa"/>
            <w:vAlign w:val="bottom"/>
          </w:tcPr>
          <w:p>
            <w:pPr>
              <w:spacing w:after="0"/>
              <w:rPr>
                <w:sz w:val="1"/>
                <w:szCs w:val="1"/>
                <w:color w:val="auto"/>
              </w:rPr>
            </w:pPr>
          </w:p>
        </w:tc>
      </w:tr>
      <w:tr>
        <w:trPr>
          <w:trHeight w:val="156"/>
        </w:trPr>
        <w:tc>
          <w:tcPr>
            <w:tcW w:w="4980" w:type="dxa"/>
            <w:vAlign w:val="bottom"/>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First Quarter (beginning March 21, 2014)</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7.7%</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Second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15.70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23.90</w:t>
            </w:r>
          </w:p>
        </w:tc>
        <w:tc>
          <w:tcPr>
            <w:tcW w:w="2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16.60</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52.2%</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15.66</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42.8%</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15.53</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18.00</w:t>
            </w:r>
          </w:p>
        </w:tc>
        <w:tc>
          <w:tcPr>
            <w:tcW w:w="22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15.74</w:t>
            </w:r>
          </w:p>
        </w:tc>
        <w:tc>
          <w:tcPr>
            <w:tcW w:w="2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40" w:right="160" w:hanging="532"/>
        <w:spacing w:after="0" w:line="291" w:lineRule="auto"/>
        <w:tabs>
          <w:tab w:leader="none" w:pos="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540" w:hanging="532"/>
        <w:spacing w:after="0"/>
        <w:tabs>
          <w:tab w:leader="none" w:pos="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Calculated as the respective high or low closing sales price less net asset value, divided by net asset value (in each case, as of the applicable quarter).</w:t>
      </w:r>
    </w:p>
    <w:p>
      <w:pPr>
        <w:spacing w:after="0" w:line="32" w:lineRule="exact"/>
        <w:rPr>
          <w:rFonts w:ascii="Arial" w:cs="Arial" w:eastAsia="Arial" w:hAnsi="Arial"/>
          <w:sz w:val="16"/>
          <w:szCs w:val="16"/>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dividend or distribution declared in the relevant quarter.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Holders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February 24, 2015, there were approximately 30 holders of record of our common stock (including Cede &amp; Co.).</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 As of December 31, 2014, our issued and outstanding shares totaled 53,797,358.</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dividends declared during the years ended December 31, 2014 and 2013:</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ind w:right="437"/>
              <w:spacing w:after="0"/>
              <w:rPr>
                <w:sz w:val="20"/>
                <w:szCs w:val="20"/>
                <w:color w:val="auto"/>
              </w:rPr>
            </w:pPr>
            <w:r>
              <w:rPr>
                <w:rFonts w:ascii="Arial" w:cs="Arial" w:eastAsia="Arial" w:hAnsi="Arial"/>
                <w:sz w:val="14"/>
                <w:szCs w:val="14"/>
                <w:b w:val="1"/>
                <w:bCs w:val="1"/>
                <w:color w:val="auto"/>
                <w:w w:val="96"/>
              </w:rPr>
              <w:t>Year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4"/>
                <w:szCs w:val="14"/>
                <w:b w:val="1"/>
                <w:bCs w:val="1"/>
                <w:color w:val="auto"/>
              </w:rPr>
              <w:t>December 31, 2014</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35"/>
              <w:spacing w:after="0" w:line="147" w:lineRule="exact"/>
              <w:rPr>
                <w:sz w:val="20"/>
                <w:szCs w:val="20"/>
                <w:color w:val="auto"/>
              </w:rPr>
            </w:pPr>
            <w:r>
              <w:rPr>
                <w:rFonts w:ascii="Arial" w:cs="Arial" w:eastAsia="Arial" w:hAnsi="Arial"/>
                <w:sz w:val="14"/>
                <w:szCs w:val="14"/>
                <w:b w:val="1"/>
                <w:bCs w:val="1"/>
                <w:color w:val="auto"/>
                <w:w w:val="94"/>
              </w:rPr>
              <w:t>Dividend per</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Date Declared</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ind w:right="277"/>
              <w:spacing w:after="0"/>
              <w:rPr>
                <w:sz w:val="20"/>
                <w:szCs w:val="20"/>
                <w:color w:val="auto"/>
              </w:rPr>
            </w:pPr>
            <w:r>
              <w:rPr>
                <w:rFonts w:ascii="Arial" w:cs="Arial" w:eastAsia="Arial" w:hAnsi="Arial"/>
                <w:sz w:val="14"/>
                <w:szCs w:val="14"/>
                <w:b w:val="1"/>
                <w:bCs w:val="1"/>
                <w:color w:val="auto"/>
              </w:rPr>
              <w:t>Record Date</w:t>
            </w:r>
          </w:p>
        </w:tc>
        <w:tc>
          <w:tcPr>
            <w:tcW w:w="80" w:type="dxa"/>
            <w:vAlign w:val="bottom"/>
          </w:tcPr>
          <w:p>
            <w:pPr>
              <w:spacing w:after="0"/>
              <w:rPr>
                <w:sz w:val="14"/>
                <w:szCs w:val="14"/>
                <w:color w:val="auto"/>
              </w:rPr>
            </w:pPr>
          </w:p>
        </w:tc>
        <w:tc>
          <w:tcPr>
            <w:tcW w:w="1280" w:type="dxa"/>
            <w:vAlign w:val="bottom"/>
          </w:tcPr>
          <w:p>
            <w:pPr>
              <w:jc w:val="right"/>
              <w:ind w:right="137"/>
              <w:spacing w:after="0"/>
              <w:rPr>
                <w:sz w:val="20"/>
                <w:szCs w:val="20"/>
                <w:color w:val="auto"/>
              </w:rPr>
            </w:pPr>
            <w:r>
              <w:rPr>
                <w:rFonts w:ascii="Arial" w:cs="Arial" w:eastAsia="Arial" w:hAnsi="Arial"/>
                <w:sz w:val="14"/>
                <w:szCs w:val="14"/>
                <w:b w:val="1"/>
                <w:bCs w:val="1"/>
                <w:color w:val="auto"/>
              </w:rPr>
              <w:t>Payment Date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March 26, 2014</w:t>
            </w:r>
          </w:p>
        </w:tc>
        <w:tc>
          <w:tcPr>
            <w:tcW w:w="17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2014</w:t>
            </w:r>
          </w:p>
        </w:tc>
        <w:tc>
          <w:tcPr>
            <w:tcW w:w="8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30, 2014</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May 6, 2014</w:t>
            </w: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June 30, 2014</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July 31, 2014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August 4, 2014</w:t>
            </w:r>
          </w:p>
        </w:tc>
        <w:tc>
          <w:tcPr>
            <w:tcW w:w="17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1"/>
              </w:rPr>
              <w:t>September 30, 2014</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4"/>
              </w:rPr>
              <w:t>October 31, 2014</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November 3, 2014</w:t>
            </w:r>
          </w:p>
        </w:tc>
        <w:tc>
          <w:tcPr>
            <w:tcW w:w="17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9"/>
              </w:rPr>
              <w:t>December 31, 2014</w:t>
            </w:r>
          </w:p>
        </w:tc>
        <w:tc>
          <w:tcPr>
            <w:tcW w:w="8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9"/>
              </w:rPr>
              <w:t>January 30, 2015</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17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740" w:type="dxa"/>
            <w:vAlign w:val="bottom"/>
            <w:vMerge w:val="restart"/>
          </w:tcPr>
          <w:p>
            <w:pPr>
              <w:jc w:val="right"/>
              <w:ind w:right="33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48" w:name="page49"/>
    <w:bookmarkEnd w:id="48"/>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ind w:right="437"/>
              <w:spacing w:after="0"/>
              <w:rPr>
                <w:sz w:val="20"/>
                <w:szCs w:val="20"/>
                <w:color w:val="auto"/>
              </w:rPr>
            </w:pPr>
            <w:r>
              <w:rPr>
                <w:rFonts w:ascii="Arial" w:cs="Arial" w:eastAsia="Arial" w:hAnsi="Arial"/>
                <w:sz w:val="14"/>
                <w:szCs w:val="14"/>
                <w:b w:val="1"/>
                <w:bCs w:val="1"/>
                <w:color w:val="auto"/>
                <w:w w:val="96"/>
              </w:rPr>
              <w:t>Year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4"/>
                <w:szCs w:val="14"/>
                <w:b w:val="1"/>
                <w:bCs w:val="1"/>
                <w:color w:val="auto"/>
              </w:rPr>
              <w:t>December 31, 2013</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Dividend per</w:t>
            </w:r>
          </w:p>
        </w:tc>
        <w:tc>
          <w:tcPr>
            <w:tcW w:w="80" w:type="dxa"/>
            <w:vAlign w:val="bottom"/>
          </w:tcPr>
          <w:p>
            <w:pPr>
              <w:spacing w:after="0"/>
              <w:rPr>
                <w:sz w:val="15"/>
                <w:szCs w:val="15"/>
                <w:color w:val="auto"/>
              </w:rPr>
            </w:pPr>
          </w:p>
        </w:tc>
      </w:tr>
      <w:tr>
        <w:trPr>
          <w:trHeight w:val="219"/>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Date Declared</w:t>
            </w:r>
          </w:p>
        </w:tc>
        <w:tc>
          <w:tcPr>
            <w:tcW w:w="80" w:type="dxa"/>
            <w:vAlign w:val="bottom"/>
          </w:tcPr>
          <w:p>
            <w:pPr>
              <w:spacing w:after="0"/>
              <w:rPr>
                <w:sz w:val="19"/>
                <w:szCs w:val="19"/>
                <w:color w:val="auto"/>
              </w:rPr>
            </w:pPr>
          </w:p>
        </w:tc>
        <w:tc>
          <w:tcPr>
            <w:tcW w:w="1460" w:type="dxa"/>
            <w:vAlign w:val="bottom"/>
          </w:tcPr>
          <w:p>
            <w:pPr>
              <w:jc w:val="right"/>
              <w:ind w:right="277"/>
              <w:spacing w:after="0"/>
              <w:rPr>
                <w:sz w:val="20"/>
                <w:szCs w:val="20"/>
                <w:color w:val="auto"/>
              </w:rPr>
            </w:pPr>
            <w:r>
              <w:rPr>
                <w:rFonts w:ascii="Arial" w:cs="Arial" w:eastAsia="Arial" w:hAnsi="Arial"/>
                <w:sz w:val="14"/>
                <w:szCs w:val="14"/>
                <w:b w:val="1"/>
                <w:bCs w:val="1"/>
                <w:color w:val="auto"/>
              </w:rPr>
              <w:t>Record Date</w:t>
            </w:r>
          </w:p>
        </w:tc>
        <w:tc>
          <w:tcPr>
            <w:tcW w:w="80" w:type="dxa"/>
            <w:vAlign w:val="bottom"/>
          </w:tcPr>
          <w:p>
            <w:pPr>
              <w:spacing w:after="0"/>
              <w:rPr>
                <w:sz w:val="19"/>
                <w:szCs w:val="19"/>
                <w:color w:val="auto"/>
              </w:rPr>
            </w:pPr>
          </w:p>
        </w:tc>
        <w:tc>
          <w:tcPr>
            <w:tcW w:w="1280" w:type="dxa"/>
            <w:vAlign w:val="bottom"/>
          </w:tcPr>
          <w:p>
            <w:pPr>
              <w:jc w:val="right"/>
              <w:ind w:right="137"/>
              <w:spacing w:after="0"/>
              <w:rPr>
                <w:sz w:val="20"/>
                <w:szCs w:val="20"/>
                <w:color w:val="auto"/>
              </w:rPr>
            </w:pPr>
            <w:r>
              <w:rPr>
                <w:rFonts w:ascii="Arial" w:cs="Arial" w:eastAsia="Arial" w:hAnsi="Arial"/>
                <w:sz w:val="14"/>
                <w:szCs w:val="14"/>
                <w:b w:val="1"/>
                <w:bCs w:val="1"/>
                <w:color w:val="auto"/>
              </w:rPr>
              <w:t>Payment Date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 xml:space="preserve">Share </w:t>
            </w:r>
            <w:r>
              <w:rPr>
                <w:rFonts w:ascii="Arial" w:cs="Arial" w:eastAsia="Arial" w:hAnsi="Arial"/>
                <w:sz w:val="12"/>
                <w:szCs w:val="12"/>
                <w:b w:val="1"/>
                <w:bCs w:val="1"/>
                <w:color w:val="auto"/>
                <w:w w:val="93"/>
              </w:rPr>
              <w:t>(2)</w:t>
            </w:r>
          </w:p>
        </w:tc>
      </w:tr>
      <w:tr>
        <w:trPr>
          <w:trHeight w:val="223"/>
        </w:trPr>
        <w:tc>
          <w:tcPr>
            <w:tcW w:w="20" w:type="dxa"/>
            <w:vAlign w:val="bottom"/>
          </w:tcPr>
          <w:p>
            <w:pPr>
              <w:spacing w:after="0"/>
              <w:rPr>
                <w:sz w:val="19"/>
                <w:szCs w:val="19"/>
                <w:color w:val="auto"/>
              </w:rPr>
            </w:pPr>
          </w:p>
        </w:tc>
        <w:tc>
          <w:tcPr>
            <w:tcW w:w="5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March 12, 2013</w:t>
            </w:r>
          </w:p>
        </w:tc>
        <w:tc>
          <w:tcPr>
            <w:tcW w:w="8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2013</w:t>
            </w:r>
          </w:p>
        </w:tc>
        <w:tc>
          <w:tcPr>
            <w:tcW w:w="8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May 6, 2013</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June 30, 2013</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June 30, 2013</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July 31, 2013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2013</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1"/>
              </w:rPr>
              <w:t>September 30, 2013</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4"/>
              </w:rPr>
              <w:t>October 31, 2013</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tcBorders>
              <w:bottom w:val="single" w:sz="8" w:color="CFF0FC"/>
            </w:tcBorders>
          </w:tcPr>
          <w:p>
            <w:pPr>
              <w:spacing w:after="0" w:line="229" w:lineRule="exact"/>
              <w:rPr>
                <w:sz w:val="20"/>
                <w:szCs w:val="20"/>
                <w:color w:val="auto"/>
              </w:rPr>
            </w:pPr>
            <w:r>
              <w:rPr>
                <w:rFonts w:ascii="Arial" w:cs="Arial" w:eastAsia="Arial" w:hAnsi="Arial"/>
                <w:sz w:val="18"/>
                <w:szCs w:val="18"/>
                <w:color w:val="auto"/>
              </w:rPr>
              <w:t xml:space="preserve">December 31, 2013 </w:t>
            </w:r>
            <w:r>
              <w:rPr>
                <w:rFonts w:ascii="Arial" w:cs="Arial" w:eastAsia="Arial" w:hAnsi="Arial"/>
                <w:sz w:val="22"/>
                <w:szCs w:val="22"/>
                <w:color w:val="auto"/>
                <w:vertAlign w:val="superscript"/>
              </w:rPr>
              <w:t>(1)</w:t>
            </w:r>
          </w:p>
        </w:tc>
        <w:tc>
          <w:tcPr>
            <w:tcW w:w="80" w:type="dxa"/>
            <w:vAlign w:val="bottom"/>
            <w:tcBorders>
              <w:bottom w:val="single" w:sz="8" w:color="CFF0FC"/>
            </w:tcBorders>
          </w:tcPr>
          <w:p>
            <w:pPr>
              <w:spacing w:after="0"/>
              <w:rPr>
                <w:sz w:val="19"/>
                <w:szCs w:val="19"/>
                <w:color w:val="auto"/>
              </w:rPr>
            </w:pPr>
          </w:p>
        </w:tc>
        <w:tc>
          <w:tcPr>
            <w:tcW w:w="14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9"/>
              </w:rPr>
              <w:t>December 31, 2013</w:t>
            </w:r>
          </w:p>
        </w:tc>
        <w:tc>
          <w:tcPr>
            <w:tcW w:w="8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9"/>
              </w:rPr>
              <w:t>January 30, 2014</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8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23" w:lineRule="exact"/>
        <w:rPr>
          <w:rFonts w:ascii="Arial" w:cs="Arial" w:eastAsia="Arial" w:hAnsi="Arial"/>
          <w:sz w:val="18"/>
          <w:szCs w:val="18"/>
          <w:color w:val="auto"/>
        </w:rPr>
      </w:pPr>
    </w:p>
    <w:p>
      <w:pPr>
        <w:ind w:left="540" w:right="480" w:hanging="532"/>
        <w:spacing w:after="0" w:line="261"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indicated amounts have been retroactively adjusted for the stock split which was effected in the form of a stock dividend. See Note 9 of our consolidated financial statements included in this 10-K.</w:t>
      </w:r>
    </w:p>
    <w:p>
      <w:pPr>
        <w:spacing w:after="0" w:line="184"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The dividends declared during the years ended December 31, 2014 and December 31, 2013, were derived from net investment income and capital gains, determined on a tax basis. See “</w:t>
      </w:r>
      <w:r>
        <w:rPr>
          <w:rFonts w:ascii="Arial" w:cs="Arial" w:eastAsia="Arial" w:hAnsi="Arial"/>
          <w:sz w:val="18"/>
          <w:szCs w:val="18"/>
          <w:i w:val="1"/>
          <w:iCs w:val="1"/>
          <w:color w:val="auto"/>
        </w:rPr>
        <w:t>ITEM 1. BUSINESS—Dividend Policy</w:t>
      </w:r>
      <w:r>
        <w:rPr>
          <w:rFonts w:ascii="Arial" w:cs="Arial" w:eastAsia="Arial" w:hAnsi="Arial"/>
          <w:sz w:val="18"/>
          <w:szCs w:val="18"/>
          <w:color w:val="auto"/>
        </w:rPr>
        <w:t>” and “</w:t>
      </w:r>
      <w:r>
        <w:rPr>
          <w:rFonts w:ascii="Arial" w:cs="Arial" w:eastAsia="Arial" w:hAnsi="Arial"/>
          <w:sz w:val="18"/>
          <w:szCs w:val="18"/>
          <w:i w:val="1"/>
          <w:iCs w:val="1"/>
          <w:color w:val="auto"/>
        </w:rPr>
        <w:t>ITEM 1. BUSINESS—Dividend Reinvestment Plan</w:t>
      </w:r>
      <w:r>
        <w:rPr>
          <w:rFonts w:ascii="Arial" w:cs="Arial" w:eastAsia="Arial" w:hAnsi="Arial"/>
          <w:sz w:val="18"/>
          <w:szCs w:val="18"/>
          <w:color w:val="auto"/>
        </w:rPr>
        <w:t>” for a description of our dividend policy and obligations.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and Affiliate Purchases of Equity Securities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did not repurchase any of our common stock during the three month period ended December 31, 2014.</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provides information regarding purchases of our common stock by our Adviser for each month in the three month period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 Number</w:t>
            </w:r>
          </w:p>
        </w:tc>
        <w:tc>
          <w:tcPr>
            <w:tcW w:w="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 Shares</w:t>
            </w:r>
          </w:p>
        </w:tc>
        <w:tc>
          <w:tcPr>
            <w:tcW w:w="2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Part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4760" w:type="dxa"/>
            <w:vAlign w:val="bottom"/>
            <w:gridSpan w:val="2"/>
          </w:tcPr>
          <w:p>
            <w:pPr>
              <w:spacing w:after="0" w:line="149" w:lineRule="exact"/>
              <w:rPr>
                <w:sz w:val="20"/>
                <w:szCs w:val="20"/>
                <w:color w:val="auto"/>
              </w:rPr>
            </w:pPr>
            <w:r>
              <w:rPr>
                <w:rFonts w:ascii="Arial" w:cs="Arial" w:eastAsia="Arial" w:hAnsi="Arial"/>
                <w:sz w:val="14"/>
                <w:szCs w:val="14"/>
                <w:color w:val="auto"/>
              </w:rPr>
              <w:t>(amounts in thousands, except share and per share amounts)</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 Number</w:t>
            </w: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Publicly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100" w:type="dxa"/>
            <w:vAlign w:val="bottom"/>
            <w:gridSpan w:val="2"/>
            <w:vMerge w:val="continue"/>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Announced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49"/>
        </w:trPr>
        <w:tc>
          <w:tcPr>
            <w:tcW w:w="4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Period</w:t>
            </w:r>
          </w:p>
        </w:tc>
        <w:tc>
          <w:tcPr>
            <w:tcW w:w="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of Shares</w:t>
            </w: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Plans 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Plans or</w:t>
            </w:r>
          </w:p>
        </w:tc>
        <w:tc>
          <w:tcPr>
            <w:tcW w:w="0" w:type="dxa"/>
            <w:vAlign w:val="bottom"/>
          </w:tcPr>
          <w:p>
            <w:pPr>
              <w:spacing w:after="0"/>
              <w:rPr>
                <w:sz w:val="1"/>
                <w:szCs w:val="1"/>
                <w:color w:val="auto"/>
              </w:rPr>
            </w:pPr>
          </w:p>
        </w:tc>
      </w:tr>
      <w:tr>
        <w:trPr>
          <w:trHeight w:val="171"/>
        </w:trPr>
        <w:tc>
          <w:tcPr>
            <w:tcW w:w="4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Purchased</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12"/>
                <w:szCs w:val="12"/>
                <w:b w:val="1"/>
                <w:bCs w:val="1"/>
                <w:color w:val="auto"/>
                <w:w w:val="92"/>
              </w:rPr>
              <w:t>(1)</w:t>
            </w:r>
          </w:p>
        </w:tc>
        <w:tc>
          <w:tcPr>
            <w:tcW w:w="2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October 2014</w:t>
            </w: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15.66</w:t>
            </w:r>
          </w:p>
        </w:tc>
        <w:tc>
          <w:tcPr>
            <w:tcW w:w="1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24,995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November 2014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December 2014</w:t>
            </w: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1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532"/>
        <w:spacing w:after="0" w:line="264"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March 11, 2014, the Adviser entered into a purchase agreement, in accordance with Rules 10b5-1 and 10b-18 under the Exchange Act, under which an agent for the Adviser would buy up to $25 million in the aggregate of our common stock during the period beginning April 24, 2014, subject to certain conditions. The Adviser 10b5-1 Plan expired in accordance with its terms on December 31, 2014.</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346" w:right="27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Stock Performance Graph</w:t>
      </w:r>
    </w:p>
    <w:p>
      <w:pPr>
        <w:spacing w:after="0" w:line="117" w:lineRule="exact"/>
        <w:rPr>
          <w:sz w:val="20"/>
          <w:szCs w:val="20"/>
          <w:color w:val="auto"/>
        </w:rPr>
      </w:pPr>
    </w:p>
    <w:p>
      <w:pPr>
        <w:ind w:right="60" w:firstLine="259"/>
        <w:spacing w:after="0" w:line="273" w:lineRule="auto"/>
        <w:rPr>
          <w:sz w:val="20"/>
          <w:szCs w:val="20"/>
          <w:color w:val="auto"/>
        </w:rPr>
      </w:pPr>
      <w:r>
        <w:rPr>
          <w:rFonts w:ascii="Arial" w:cs="Arial" w:eastAsia="Arial" w:hAnsi="Arial"/>
          <w:sz w:val="17"/>
          <w:szCs w:val="17"/>
          <w:color w:val="auto"/>
        </w:rPr>
        <w:t>This graph compares the stockholder return on our common stock from March 21, 2014 (the date of our IPO) to December 31, 2014 with that of the Standard &amp; Poor’s BDC Index and the Standard &amp; Poor’s 500 Stock Index. This graph assumes that on March 21, 2014, $100 was invested in our common stock, the Standard &amp; Poor’s BDC Index, and the Standard &amp; Poor’s 500 Stock Index. The graph also assumes the reinvestment of all cash dividends prior to any tax effect. The graph and other information furnished under this Part II Item 5 of this annual report on Form 10-K shall not be deemed to be “soliciting material” or to be “filed” with the SEC or subject to Regulation 14A or 14C under, or to the liabilities of Section 18 of, the Exchange Act. The stock price performance included in the below graph is not necessarily indicative of future stock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191135</wp:posOffset>
            </wp:positionV>
            <wp:extent cx="6174740" cy="3481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4740" cy="348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The table below sets forth our selected consolidated historical financial data for the periods indicated. The selected consolidated financial data for the years ended December 31, 2014, 2013, 2012 and 2011 have been derived from our audited consolidated financial statements, which are included elsewhere in this Form 10-K and our SEC filings.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665" w:right="279" w:bottom="1440" w:gutter="0" w:footer="0" w:header="0"/>
        </w:sectPr>
      </w:pPr>
    </w:p>
    <w:bookmarkStart w:id="50" w:name="page51"/>
    <w:bookmarkEnd w:id="50"/>
    <w:p>
      <w:pPr>
        <w:ind w:right="40" w:firstLine="259"/>
        <w:spacing w:after="0" w:line="264" w:lineRule="auto"/>
        <w:rPr>
          <w:sz w:val="20"/>
          <w:szCs w:val="20"/>
          <w:color w:val="auto"/>
        </w:rPr>
      </w:pPr>
      <w:r>
        <w:rPr>
          <w:rFonts w:ascii="Arial" w:cs="Arial" w:eastAsia="Arial" w:hAnsi="Arial"/>
          <w:sz w:val="18"/>
          <w:szCs w:val="18"/>
          <w:color w:val="auto"/>
        </w:rPr>
        <w:t>The selected consolidated financial information and other data presented below should be read in conjunction with the information contained in “</w:t>
      </w:r>
      <w:r>
        <w:rPr>
          <w:rFonts w:ascii="Arial" w:cs="Arial" w:eastAsia="Arial" w:hAnsi="Arial"/>
          <w:sz w:val="18"/>
          <w:szCs w:val="18"/>
          <w:i w:val="1"/>
          <w:iCs w:val="1"/>
          <w:color w:val="auto"/>
        </w:rPr>
        <w:t>ITEM 7.</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the audited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the notes thereto included elsewhere in this annual report on Form 10-K.</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4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 in millions, except per share amounts)</w:t>
            </w:r>
          </w:p>
        </w:tc>
        <w:tc>
          <w:tcPr>
            <w:tcW w:w="7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2012</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b w:val="1"/>
                <w:bCs w:val="1"/>
                <w:color w:val="auto"/>
              </w:rPr>
              <w:t>Income</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 Income</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163.3</w:t>
            </w:r>
          </w:p>
        </w:tc>
        <w:tc>
          <w:tcPr>
            <w:tcW w:w="16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92.6</w:t>
            </w:r>
          </w:p>
        </w:tc>
        <w:tc>
          <w:tcPr>
            <w:tcW w:w="16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51.0</w:t>
            </w:r>
          </w:p>
        </w:tc>
        <w:tc>
          <w:tcPr>
            <w:tcW w:w="14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Expenses</w:t>
            </w:r>
          </w:p>
        </w:tc>
        <w:tc>
          <w:tcPr>
            <w:tcW w:w="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57.7</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8"/>
                <w:szCs w:val="18"/>
                <w:color w:val="auto"/>
              </w:rPr>
              <w:t>Net Investment Income (Loss) Before Income</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Taxes</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105.6</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57.7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 (Loss)</w:t>
            </w:r>
          </w:p>
        </w:tc>
        <w:tc>
          <w:tcPr>
            <w:tcW w:w="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104.4</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Total Change in Net Unrealized Gain (Loss)</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Total Net Realized Gain (Loss)</w:t>
            </w:r>
          </w:p>
        </w:tc>
        <w:tc>
          <w:tcPr>
            <w:tcW w:w="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share—basic and</w:t>
            </w:r>
          </w:p>
        </w:tc>
        <w:tc>
          <w:tcPr>
            <w:tcW w:w="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140"/>
              <w:spacing w:after="0" w:line="230"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2"/>
                <w:szCs w:val="22"/>
                <w:color w:val="auto"/>
                <w:vertAlign w:val="superscript"/>
              </w:rPr>
              <w:t>(1)(2)</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FF0FC"/>
          </w:tcPr>
          <w:p>
            <w:pPr>
              <w:spacing w:after="0"/>
              <w:rPr>
                <w:sz w:val="20"/>
                <w:szCs w:val="20"/>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FF0FC"/>
          </w:tcPr>
          <w:p>
            <w:pPr>
              <w:spacing w:after="0"/>
              <w:rPr>
                <w:sz w:val="20"/>
                <w:szCs w:val="20"/>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FF0FC"/>
          </w:tcPr>
          <w:p>
            <w:pPr>
              <w:spacing w:after="0"/>
              <w:rPr>
                <w:sz w:val="20"/>
                <w:szCs w:val="20"/>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480" w:type="dxa"/>
            <w:vAlign w:val="bottom"/>
            <w:vMerge w:val="restart"/>
          </w:tcPr>
          <w:p>
            <w:pPr>
              <w:spacing w:after="0"/>
              <w:rPr>
                <w:sz w:val="20"/>
                <w:szCs w:val="20"/>
                <w:color w:val="auto"/>
              </w:rPr>
            </w:pPr>
            <w:r>
              <w:rPr>
                <w:rFonts w:ascii="Arial" w:cs="Arial" w:eastAsia="Arial" w:hAnsi="Arial"/>
                <w:sz w:val="14"/>
                <w:szCs w:val="14"/>
                <w:color w:val="auto"/>
              </w:rPr>
              <w:t>($ in millions, except per share amounts)</w:t>
            </w:r>
          </w:p>
        </w:tc>
        <w:tc>
          <w:tcPr>
            <w:tcW w:w="7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9"/>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480" w:type="dxa"/>
            <w:vAlign w:val="bottom"/>
            <w:tcBorders>
              <w:bottom w:val="single" w:sz="8" w:color="CFF0FC"/>
            </w:tcBorders>
            <w:vMerge w:val="continue"/>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161.8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143.7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8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1,263.5</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1,016.5</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Total assets</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1,303.7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1,039.2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833.1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8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395.9</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432.3</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Total liabilities</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468.3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464.5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353.3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159.2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Total net assets</w:t>
            </w:r>
          </w:p>
        </w:tc>
        <w:tc>
          <w:tcPr>
            <w:tcW w:w="8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574.7</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479.8</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Net asset value per share</w:t>
            </w:r>
            <w:r>
              <w:rPr>
                <w:rFonts w:ascii="Arial" w:cs="Arial" w:eastAsia="Arial" w:hAnsi="Arial"/>
                <w:sz w:val="15"/>
                <w:szCs w:val="15"/>
                <w:color w:val="auto"/>
              </w:rPr>
              <w:t>(1)</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15.53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14.71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Data:</w:t>
            </w:r>
          </w:p>
        </w:tc>
        <w:tc>
          <w:tcPr>
            <w:tcW w:w="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Number of portfolio companies at year end</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Dividends declared per share </w:t>
            </w:r>
            <w:r>
              <w:rPr>
                <w:rFonts w:ascii="Arial" w:cs="Arial" w:eastAsia="Arial" w:hAnsi="Arial"/>
                <w:sz w:val="15"/>
                <w:szCs w:val="15"/>
                <w:color w:val="auto"/>
              </w:rPr>
              <w:t>(1)</w:t>
            </w:r>
          </w:p>
        </w:tc>
        <w:tc>
          <w:tcPr>
            <w:tcW w:w="8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15"/>
                <w:szCs w:val="15"/>
                <w:color w:val="auto"/>
              </w:rPr>
              <w:t>(3)</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5"/>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yield of debt and income</w:t>
            </w:r>
          </w:p>
        </w:tc>
        <w:tc>
          <w:tcPr>
            <w:tcW w:w="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producing securities at fair value </w:t>
            </w:r>
            <w:r>
              <w:rPr>
                <w:rFonts w:ascii="Arial" w:cs="Arial" w:eastAsia="Arial" w:hAnsi="Arial"/>
                <w:sz w:val="15"/>
                <w:szCs w:val="15"/>
                <w:color w:val="auto"/>
              </w:rPr>
              <w:t>(4)</w:t>
            </w:r>
          </w:p>
        </w:tc>
        <w:tc>
          <w:tcPr>
            <w:tcW w:w="7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8"/>
                <w:szCs w:val="18"/>
                <w:color w:val="auto"/>
              </w:rPr>
              <w:t>Weighted average yield of debt and income</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 xml:space="preserve">producing securities at amortized cost </w:t>
            </w:r>
            <w:r>
              <w:rPr>
                <w:rFonts w:ascii="Arial" w:cs="Arial" w:eastAsia="Arial" w:hAnsi="Arial"/>
                <w:sz w:val="15"/>
                <w:szCs w:val="15"/>
                <w:color w:val="auto"/>
              </w:rPr>
              <w:t>(4)</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5"/>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Fair value of debt investments as a percentage of</w:t>
            </w:r>
          </w:p>
        </w:tc>
        <w:tc>
          <w:tcPr>
            <w:tcW w:w="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principal</w:t>
            </w:r>
          </w:p>
        </w:tc>
        <w:tc>
          <w:tcPr>
            <w:tcW w:w="7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98.2%</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99.8%</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98.9%</w:t>
            </w: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8"/>
                <w:szCs w:val="18"/>
                <w:color w:val="auto"/>
              </w:rPr>
              <w:t>Weighted average fair value of debt investments as a</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percentage of call price</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93.4%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94.9%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93.9%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right="160" w:hanging="532"/>
        <w:spacing w:after="0" w:line="258"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indicated amounts for periods prior to December 3, 2013 have been retroactively adjusted for the stock split which was effected in the form of a stock dividend. See Note 9 of our consolidated financial statements included in this 10-K.</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Earnings per common share is based on weighted average shares of common stock outstanding during the period.</w:t>
      </w:r>
    </w:p>
    <w:p>
      <w:pPr>
        <w:spacing w:after="0" w:line="9" w:lineRule="exact"/>
        <w:rPr>
          <w:rFonts w:ascii="Arial" w:cs="Arial" w:eastAsia="Arial" w:hAnsi="Arial"/>
          <w:sz w:val="18"/>
          <w:szCs w:val="18"/>
          <w:color w:val="auto"/>
        </w:rPr>
      </w:pPr>
    </w:p>
    <w:p>
      <w:pPr>
        <w:ind w:left="540" w:hanging="532"/>
        <w:spacing w:after="0" w:line="287" w:lineRule="auto"/>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such a manner does not adjust for the effect of the initial seed funding as part of our formation (at $1 per share) and accordingly the information is not meaningful. Excluding the effect of the initial seed funding, total return for the period July 1, 2011 through December 31, 2011 would be (1.58%). Our total return set forth in the table above for the years ended December 31, 2014, 2013, 2012 and 2011 reflects the Adviser’s waiver of its right to receive a portion of the Management Fee prior to our IPO. Following the IPO, the Adviser does not intend to waive its right to receive the full Management Fee and accordingly, we will be required to pay the full amount of the Management Fee. The Management Fee, excluding the effects of the waiver, would have been $18.3 million for year ended December 31, 2014 and $13.4 million, $8.9 million and $1.6 million for the years ended December 31, 2013, 2012 and 2011,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557" w:right="279" w:bottom="1440" w:gutter="0" w:footer="0" w:header="0"/>
        </w:sectPr>
      </w:pPr>
    </w:p>
    <w:bookmarkStart w:id="51" w:name="page52"/>
    <w:bookmarkEnd w:id="51"/>
    <w:p>
      <w:pPr>
        <w:ind w:left="540" w:hanging="532"/>
        <w:spacing w:after="0" w:line="255"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Weighted average yield on debt and income 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fair value. Weighted average yield on debt and income 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amortized cost.</w:t>
      </w:r>
    </w:p>
    <w:p>
      <w:pPr>
        <w:spacing w:after="0" w:line="374" w:lineRule="exact"/>
        <w:rPr>
          <w:sz w:val="20"/>
          <w:szCs w:val="20"/>
          <w:color w:val="auto"/>
        </w:rPr>
      </w:pPr>
    </w:p>
    <w:p>
      <w:pPr>
        <w:ind w:right="138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Introduction</w:t>
      </w:r>
    </w:p>
    <w:p>
      <w:pPr>
        <w:ind w:right="80" w:firstLine="259"/>
        <w:spacing w:after="0" w:line="286" w:lineRule="auto"/>
        <w:rPr>
          <w:sz w:val="20"/>
          <w:szCs w:val="20"/>
          <w:color w:val="auto"/>
        </w:rPr>
      </w:pPr>
      <w:r>
        <w:rPr>
          <w:rFonts w:ascii="Arial" w:cs="Arial" w:eastAsia="Arial" w:hAnsi="Arial"/>
          <w:sz w:val="17"/>
          <w:szCs w:val="17"/>
          <w:i w:val="1"/>
          <w:iCs w:val="1"/>
          <w:color w:val="auto"/>
        </w:rPr>
        <w:t>Management’s Discussion and Analysis should be read in conjunction with ITEM 8. CONSOLIDATED FINANCIAL STATEMENTS AND SUPPLEMENTARY DATA. This discussion contains forward-looking statements and involves numerous risks and uncertainties, including, but not limited to, those described in “ITEM 1A. RISK FACTORS.” Actual results may differ materially from those contained in any forward-looking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60" w:firstLine="259"/>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8"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2" w:lineRule="exact"/>
        <w:rPr>
          <w:sz w:val="20"/>
          <w:szCs w:val="20"/>
          <w:color w:val="auto"/>
        </w:rPr>
      </w:pPr>
    </w:p>
    <w:p>
      <w:pPr>
        <w:ind w:left="520" w:hanging="253"/>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17" w:lineRule="exact"/>
        <w:rPr>
          <w:rFonts w:ascii="Arial" w:cs="Arial" w:eastAsia="Arial" w:hAnsi="Arial"/>
          <w:sz w:val="18"/>
          <w:szCs w:val="18"/>
          <w:color w:val="auto"/>
        </w:rPr>
      </w:pPr>
    </w:p>
    <w:p>
      <w:pPr>
        <w:ind w:left="520" w:right="500" w:hanging="253"/>
        <w:spacing w:after="0" w:line="277"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On March 21, 2014, we completed our IPO, issuing 7,000,000 shares at $16.00 per share, and our concurrent private placement, issuing 3,124,984 shares at $16.00 per share. Net of underwriting fees and offering costs, we received total cash proceeds of $151.6 million.</w:t>
      </w:r>
    </w:p>
    <w:p>
      <w:pPr>
        <w:spacing w:after="0" w:line="170"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In April 2014, we issued an additional 1,050,000 shares of stock pursuant to the exercise of the underwriters’ over-allotment option. Net of underwriting fees and offering costs, we received additional total cash proceeds of approximately $15.4 million.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225"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On November 3, 2014, our Board of Directors approved a stock repurchase plan, the Company 10b5-1 Plan, to acquire up to $50 million in the aggregate of our common stock at prices below our net asset value over a specified period, in accordance with the guidelines specified in Rule 10b-18 and Rule 10b5-1 of the Exchange Act. Unless extended or terminated by the Board of Directors, the Company 10b5-1 Plan will be in effect through the earlier of May 4, 2015 or such time as the approved $50 million repurchase amount has been fully utilized, subject to certain conditions. On February 20, 2015, our Board of Directors authorized the extension of the termination date of the Company 10b5-1 Plan from May 4, 2015 to June 30, 2015. As of December, 31, 2014, no shares had been repurchased under the Company 10b5-1 Plan.</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We are a specialty finance company focused on lending to middle-market companies. Since we began our investment activities in July 2011, through December 31, 2014, we have originated more than $3.3 billion aggregate principal amount of investments and retained approximately $2.4 billion aggregate principal amount of these investments on our balance sheet prior to any subsequent exits and repayments. We seek to generate current income primarily in U.S.-domiciled middle-market companies through direct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341" w:right="259" w:bottom="1440" w:gutter="0" w:footer="0" w:header="0"/>
        </w:sectPr>
      </w:pPr>
    </w:p>
    <w:bookmarkStart w:id="52" w:name="page53"/>
    <w:bookmarkEnd w:id="52"/>
    <w:p>
      <w:pPr>
        <w:spacing w:after="0"/>
        <w:rPr>
          <w:sz w:val="20"/>
          <w:szCs w:val="20"/>
          <w:color w:val="auto"/>
        </w:rPr>
      </w:pPr>
      <w:r>
        <w:rPr>
          <w:rFonts w:ascii="Arial" w:cs="Arial" w:eastAsia="Arial" w:hAnsi="Arial"/>
          <w:sz w:val="17"/>
          <w:szCs w:val="17"/>
          <w:color w:val="auto"/>
        </w:rPr>
        <w:t>originations of senior secured loans and, to a lesser extent, originations of mezzanine loans and investments in corporate bonds and equity securities.</w:t>
      </w:r>
    </w:p>
    <w:p>
      <w:pPr>
        <w:spacing w:after="0" w:line="237" w:lineRule="exact"/>
        <w:rPr>
          <w:sz w:val="20"/>
          <w:szCs w:val="20"/>
          <w:color w:val="auto"/>
        </w:rPr>
      </w:pPr>
    </w:p>
    <w:p>
      <w:pPr>
        <w:jc w:val="both"/>
        <w:ind w:right="40" w:firstLine="259"/>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December 31, 2014, our core portfolio companies, which excludes certain investments that fall outside of our typical borrower profile, had weighted average annual revenue of $145 million and weighted average annual EBITDA of $34 million.</w:t>
      </w:r>
    </w:p>
    <w:p>
      <w:pPr>
        <w:spacing w:after="0" w:line="187"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We invest in first-lien debt, second-lien debt, mezzanine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2014, our average investment size in each of our portfolio companies was approximately $37 million.</w:t>
      </w:r>
    </w:p>
    <w:p>
      <w:pPr>
        <w:spacing w:after="0" w:line="225"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We expect that no single investment will represent more than 15% of our total investment portfolio. The debt in which we invest typically is not rated by any rating agency, but if these instruments were rated, they would likely receive a rating of below investment grade (that is, below BBB- or Baa3), which is often referred to as “junk”.</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pharmaceuticals, and business services) and not by the products or services (such as software) directed to those end-markets.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2014, no industry represented more than 17.3% of our total investment portfolio.</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 xml:space="preserve">Investment Structuring. </w:t>
      </w:r>
      <w:r>
        <w:rPr>
          <w:rFonts w:ascii="Arial" w:cs="Arial" w:eastAsia="Arial" w:hAnsi="Arial"/>
          <w:sz w:val="16"/>
          <w:szCs w:val="16"/>
          <w:color w:val="auto"/>
        </w:rPr>
        <w:t>We focus on investing at the top of the capital structure and protecting that position. As of December 31, 2014, approximately</w:t>
      </w:r>
    </w:p>
    <w:p>
      <w:pPr>
        <w:spacing w:after="0" w:line="4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97.8% of our portfolio was invested in secured debt, including 89.0% in first-lien debt investments.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year ended December 31, 2014, the weighted average term on new investment commitments in new portfolio companies was 4.7 years.</w:t>
      </w:r>
    </w:p>
    <w:p>
      <w:pPr>
        <w:spacing w:after="0" w:line="194"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jc w:val="both"/>
        <w:ind w:right="100" w:firstLine="259"/>
        <w:spacing w:after="0" w:line="302" w:lineRule="auto"/>
        <w:rPr>
          <w:sz w:val="20"/>
          <w:szCs w:val="20"/>
          <w:color w:val="auto"/>
        </w:rPr>
      </w:pPr>
      <w:r>
        <w:rPr>
          <w:rFonts w:ascii="Arial" w:cs="Arial" w:eastAsia="Arial" w:hAnsi="Arial"/>
          <w:sz w:val="16"/>
          <w:szCs w:val="16"/>
          <w:i w:val="1"/>
          <w:iCs w:val="1"/>
          <w:color w:val="auto"/>
        </w:rPr>
        <w:t xml:space="preserve">Risk Mitigation. </w:t>
      </w:r>
      <w:r>
        <w:rPr>
          <w:rFonts w:ascii="Arial" w:cs="Arial" w:eastAsia="Arial" w:hAnsi="Arial"/>
          <w:sz w:val="16"/>
          <w:szCs w:val="16"/>
          <w:color w:val="auto"/>
        </w:rPr>
        <w:t>We seek to mitigate non-credit-related risk on our returns in several ways, including call protection provisions to protect future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As of December 31, 2014, we had call protection on 96.8% of our debt investments, with weighted average call prices of 106.9% for the first year, 103.9% for the second year and 101.4% for the third year, in each case from the date of the initial investment. As of December 31, 2014, 96.8% of our debt investments bore interest at floating rates, subject to interest rate floors, which we believe helps act as a portfolio-wide hedge against inflation.</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49" w:right="29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117"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w:t>
      </w:r>
    </w:p>
    <w:p>
      <w:pPr>
        <w:spacing w:after="0" w:line="193" w:lineRule="exact"/>
        <w:rPr>
          <w:sz w:val="20"/>
          <w:szCs w:val="20"/>
          <w:color w:val="auto"/>
        </w:rPr>
      </w:pPr>
    </w:p>
    <w:p>
      <w:pPr>
        <w:ind w:right="100" w:firstLine="259"/>
        <w:spacing w:after="0" w:line="255" w:lineRule="auto"/>
        <w:rPr>
          <w:sz w:val="20"/>
          <w:szCs w:val="20"/>
          <w:color w:val="auto"/>
        </w:rPr>
      </w:pPr>
      <w:r>
        <w:rPr>
          <w:rFonts w:ascii="Arial" w:cs="Arial" w:eastAsia="Arial" w:hAnsi="Arial"/>
          <w:sz w:val="18"/>
          <w:szCs w:val="18"/>
          <w:color w:val="auto"/>
        </w:rPr>
        <w:t>TSSP, which encompasses TPG Specialty Lending, TPG Opportunities Partners and TSSP Adjacent Opportunities Partners, which invest in special situations and distressed investments across the credit cycle, Austin Credit Macro, which is focused on macro credit opportunities, and TPG Institutional Credit Partners, which is a “public-side” credit investment platform focused on investment opportunities in broadly syndicated leveraged loan markets, is TPG’s special situations and credit platform. TSSP had over $11 billion of assets under management as of December 31, 2014. TSSP has extensive experience with highly complex, global public and private investments executed through primary originations, secondary market purchases and restructurings, and has a team of over 90 investment and operating professionals as of December 31, 2014. Twenty four (24) of these personnel are dedicated to our business, including 17 investment professionals.</w:t>
      </w:r>
    </w:p>
    <w:p>
      <w:pPr>
        <w:spacing w:after="0" w:line="189" w:lineRule="exact"/>
        <w:rPr>
          <w:sz w:val="20"/>
          <w:szCs w:val="20"/>
          <w:color w:val="auto"/>
        </w:rPr>
      </w:pPr>
    </w:p>
    <w:p>
      <w:pPr>
        <w:ind w:right="100" w:firstLine="259"/>
        <w:spacing w:after="0" w:line="273" w:lineRule="auto"/>
        <w:rPr>
          <w:sz w:val="20"/>
          <w:szCs w:val="20"/>
          <w:color w:val="auto"/>
        </w:rPr>
      </w:pPr>
      <w:r>
        <w:rPr>
          <w:rFonts w:ascii="Arial" w:cs="Arial" w:eastAsia="Arial" w:hAnsi="Arial"/>
          <w:sz w:val="17"/>
          <w:szCs w:val="17"/>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ind w:right="220" w:firstLine="259"/>
        <w:spacing w:after="0" w:line="273" w:lineRule="auto"/>
        <w:rPr>
          <w:sz w:val="20"/>
          <w:szCs w:val="20"/>
          <w:color w:val="auto"/>
        </w:rPr>
      </w:pPr>
      <w:r>
        <w:rPr>
          <w:rFonts w:ascii="Arial" w:cs="Arial" w:eastAsia="Arial" w:hAnsi="Arial"/>
          <w:sz w:val="17"/>
          <w:szCs w:val="17"/>
          <w:color w:val="auto"/>
        </w:rPr>
        <w:t>On December 16, 2014, the SEC granted us an exemptive relief order. Pursuant to the order, to the extent the size of an investment opportunity exceeds the amount our Adviser independently determines is appropriate for us to invest, our affiliates may be able to co-invest with us, subject to the conditions of the exemptive relief order. We believe our ability to co-invest with TPG affiliates will be particularly useful where we identify larger capital commitments than otherwise would be appropriate for us. We expect that with the ability to co-invest with TSSP and TPG affiliates we will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8" w:lineRule="exact"/>
        <w:rPr>
          <w:sz w:val="20"/>
          <w:szCs w:val="20"/>
          <w:color w:val="auto"/>
        </w:rPr>
      </w:pPr>
    </w:p>
    <w:p>
      <w:pPr>
        <w:jc w:val="both"/>
        <w:ind w:right="180" w:firstLine="259"/>
        <w:spacing w:after="0" w:line="264" w:lineRule="auto"/>
        <w:rPr>
          <w:sz w:val="20"/>
          <w:szCs w:val="20"/>
          <w:color w:val="auto"/>
        </w:rPr>
      </w:pPr>
      <w:r>
        <w:rPr>
          <w:rFonts w:ascii="Arial" w:cs="Arial" w:eastAsia="Arial" w:hAnsi="Arial"/>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Management Fee and may also pay the Incentive Fee.</w:t>
      </w:r>
    </w:p>
    <w:p>
      <w:pPr>
        <w:spacing w:after="0" w:line="181"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187" w:lineRule="exact"/>
        <w:rPr>
          <w:sz w:val="20"/>
          <w:szCs w:val="20"/>
          <w:color w:val="auto"/>
        </w:rPr>
      </w:pPr>
    </w:p>
    <w:p>
      <w:pPr>
        <w:jc w:val="both"/>
        <w:ind w:right="160" w:firstLine="259"/>
        <w:spacing w:after="0" w:line="279" w:lineRule="auto"/>
        <w:rPr>
          <w:sz w:val="20"/>
          <w:szCs w:val="20"/>
          <w:color w:val="auto"/>
        </w:rPr>
      </w:pPr>
      <w:r>
        <w:rPr>
          <w:rFonts w:ascii="Arial" w:cs="Arial" w:eastAsia="Arial" w:hAnsi="Arial"/>
          <w:sz w:val="17"/>
          <w:szCs w:val="17"/>
          <w:color w:val="auto"/>
        </w:rPr>
        <w:t>In 2014, the Adviser entered into a purchase agreement, the Adviser 10b5-1 Plan, in accordance with Rules 10b5-1 and 10b-18 under the Exchange Act, under which an agent for the Adviser, would buy up to $25 million in the aggregate of our common stock, subject to certain conditions. The Adviser 10b5-1 Plan expired in accordance with its terms on December 31, 2014. During the year ended December 31, 2014, 300 shares were purchased under the Adviser 10b5-1 Plan. These 300 shares were purchased prior to the approval and implementation of the Company 10b5-1 Plan.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240" w:firstLine="259"/>
        <w:spacing w:after="0" w:line="286" w:lineRule="auto"/>
        <w:rPr>
          <w:sz w:val="20"/>
          <w:szCs w:val="20"/>
          <w:color w:val="auto"/>
        </w:rPr>
      </w:pPr>
      <w:r>
        <w:rPr>
          <w:rFonts w:ascii="Arial" w:cs="Arial" w:eastAsia="Arial" w:hAnsi="Arial"/>
          <w:sz w:val="17"/>
          <w:szCs w:val="17"/>
          <w:color w:val="auto"/>
        </w:rPr>
        <w:t>Our level of investment activity (both the number of investments and the size of each investment) can and does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the types of investments we make.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65" w:right="239" w:bottom="1440" w:gutter="0" w:footer="0" w:header="0"/>
        </w:sectPr>
      </w:pPr>
    </w:p>
    <w:bookmarkStart w:id="54" w:name="page55"/>
    <w:bookmarkEnd w:id="54"/>
    <w:p>
      <w:pPr>
        <w:ind w:right="440" w:firstLine="259"/>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40" w:firstLine="259"/>
        <w:spacing w:after="0" w:line="276"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may generate income from dividends on direct equity investments, capital gains on the sales of loans and debt and equity securities and various loan origination and other fees. Our debt investments typically have a term of two to six years, and, as of December 31, 2014, 96.8% bear interest at a floating rate, subject to interest rate floors. Interest on debt investments is generally payable quarterly or semiannually. Some of our investments provide for deferred interest payments or PIK interest. For the year ended December 31, 2014, less than 2.0% of our total investment income was comprised of PIK interest.</w:t>
      </w:r>
    </w:p>
    <w:p>
      <w:pPr>
        <w:spacing w:after="0" w:line="173"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The frequency or volume of these repayments may fluctuate significantly. We record prepayment premiums on loans as interest income. We also may generate revenue in the form of commitment, amendment, structuring, syndication or due diligence fees, fees for providing managerial assistance and consulting fees.</w:t>
      </w:r>
    </w:p>
    <w:p>
      <w:pPr>
        <w:spacing w:after="0" w:line="188" w:lineRule="exact"/>
        <w:rPr>
          <w:sz w:val="20"/>
          <w:szCs w:val="20"/>
          <w:color w:val="auto"/>
        </w:rPr>
      </w:pPr>
    </w:p>
    <w:p>
      <w:pPr>
        <w:ind w:right="480" w:firstLine="259"/>
        <w:spacing w:after="0" w:line="277" w:lineRule="auto"/>
        <w:rPr>
          <w:sz w:val="20"/>
          <w:szCs w:val="20"/>
          <w:color w:val="auto"/>
        </w:rPr>
      </w:pPr>
      <w:r>
        <w:rPr>
          <w:rFonts w:ascii="Arial" w:cs="Arial" w:eastAsia="Arial" w:hAnsi="Arial"/>
          <w:sz w:val="18"/>
          <w:szCs w:val="18"/>
          <w:color w:val="auto"/>
        </w:rPr>
        <w:t>Dividend income 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420" w:firstLine="259"/>
        <w:spacing w:after="0" w:line="279" w:lineRule="auto"/>
        <w:rPr>
          <w:sz w:val="20"/>
          <w:szCs w:val="20"/>
          <w:color w:val="auto"/>
        </w:rPr>
      </w:pPr>
      <w:r>
        <w:rPr>
          <w:rFonts w:ascii="Arial" w:cs="Arial" w:eastAsia="Arial" w:hAnsi="Arial"/>
          <w:sz w:val="17"/>
          <w:szCs w:val="17"/>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140" w:firstLine="259"/>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73" w:lineRule="exact"/>
        <w:rPr>
          <w:sz w:val="20"/>
          <w:szCs w:val="20"/>
          <w:color w:val="auto"/>
        </w:rPr>
      </w:pPr>
    </w:p>
    <w:p>
      <w:pPr>
        <w:ind w:left="520" w:hanging="253"/>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20" w:right="460" w:hanging="253"/>
        <w:spacing w:after="0" w:line="264"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3" w:lineRule="exact"/>
        <w:rPr>
          <w:rFonts w:ascii="Arial" w:cs="Arial" w:eastAsia="Arial" w:hAnsi="Arial"/>
          <w:sz w:val="18"/>
          <w:szCs w:val="18"/>
          <w:color w:val="auto"/>
        </w:rPr>
      </w:pPr>
    </w:p>
    <w:p>
      <w:pPr>
        <w:ind w:left="520" w:hanging="253"/>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Adviser’s allocable share of costs incurred in providing significant managerial assistance to those portfolio companies that request it;</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557" w:right="259" w:bottom="1440" w:gutter="0" w:footer="0" w:header="0"/>
        </w:sectPr>
      </w:pPr>
    </w:p>
    <w:bookmarkStart w:id="55" w:name="page56"/>
    <w:bookmarkEnd w:id="55"/>
    <w:p>
      <w:pPr>
        <w:ind w:left="520" w:hanging="253"/>
        <w:spacing w:after="0" w:line="286" w:lineRule="auto"/>
        <w:tabs>
          <w:tab w:leader="none" w:pos="5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57" w:lineRule="exact"/>
        <w:rPr>
          <w:rFonts w:ascii="Arial" w:cs="Arial" w:eastAsia="Arial" w:hAnsi="Arial"/>
          <w:sz w:val="17"/>
          <w:szCs w:val="17"/>
          <w:color w:val="auto"/>
        </w:rPr>
      </w:pPr>
    </w:p>
    <w:p>
      <w:pPr>
        <w:ind w:left="520" w:right="300" w:hanging="253"/>
        <w:spacing w:after="0" w:line="342" w:lineRule="auto"/>
        <w:tabs>
          <w:tab w:leader="none" w:pos="5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20" w:hanging="253"/>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In any period, our interest expense will depend largely on the extent of our borrowing. In addition, we may continue to dedicate assets to financing facilities.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87"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81" w:lineRule="exact"/>
        <w:rPr>
          <w:sz w:val="20"/>
          <w:szCs w:val="20"/>
          <w:color w:val="auto"/>
        </w:rPr>
      </w:pPr>
    </w:p>
    <w:p>
      <w:pPr>
        <w:ind w:right="200" w:firstLine="259"/>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As of December 31, 2014, our portfolio consisted of 89.0% first-lien debt investments, 8.8% second-lien debt investments, 1.0% mezzanine debt investments, and 1.2% equity and other investments. As of December 31, 2013, our portfolio consisted of 86.3% first-lien debt investments, 13.5% second-lien debt investments, and 0.2% equity investments.</w:t>
      </w:r>
    </w:p>
    <w:p>
      <w:pPr>
        <w:spacing w:after="0" w:line="181" w:lineRule="exact"/>
        <w:rPr>
          <w:sz w:val="20"/>
          <w:szCs w:val="20"/>
          <w:color w:val="auto"/>
        </w:rPr>
      </w:pPr>
    </w:p>
    <w:p>
      <w:pPr>
        <w:ind w:right="80" w:firstLine="259"/>
        <w:spacing w:after="0" w:line="312" w:lineRule="auto"/>
        <w:rPr>
          <w:sz w:val="20"/>
          <w:szCs w:val="20"/>
          <w:color w:val="auto"/>
        </w:rPr>
      </w:pPr>
      <w:r>
        <w:rPr>
          <w:rFonts w:ascii="Arial" w:cs="Arial" w:eastAsia="Arial" w:hAnsi="Arial"/>
          <w:sz w:val="16"/>
          <w:szCs w:val="16"/>
          <w:color w:val="auto"/>
        </w:rPr>
        <w:t>As of December 31, 2014 and December 31, 2013, our weighted average total yield of debt and income producing securities at fair value (which includes interest income and amortization of fees and discounts) was 10.3% and 10.4%, respectively, and our weighted average total yield of debt and income producing securities at amortized cost (which includes interest income and amortization of fees and discounts) was 10.3% and 10.6%, respectively.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49" w:right="259" w:bottom="1440" w:gutter="0" w:footer="0" w:header="0"/>
        </w:sectPr>
      </w:pPr>
    </w:p>
    <w:bookmarkStart w:id="56" w:name="page57"/>
    <w:bookmarkEnd w:id="56"/>
    <w:p>
      <w:pPr>
        <w:ind w:right="320" w:firstLine="259"/>
        <w:spacing w:after="0" w:line="277" w:lineRule="auto"/>
        <w:rPr>
          <w:sz w:val="20"/>
          <w:szCs w:val="20"/>
          <w:color w:val="auto"/>
        </w:rPr>
      </w:pPr>
      <w:r>
        <w:rPr>
          <w:rFonts w:ascii="Arial" w:cs="Arial" w:eastAsia="Arial" w:hAnsi="Arial"/>
          <w:sz w:val="18"/>
          <w:szCs w:val="18"/>
          <w:color w:val="auto"/>
        </w:rPr>
        <w:t>As of December 31, 2014 and December 31, 2013, we had investments in 34 and 27 portfolio companies, respectively, with an aggregate fair value of $1,263.5 million and $1,016.5 million, respectively.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the year ended December 31, 2014, we made new investment commitments of $884.4 million, $805.7 million in 20 new portfolio companies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$78.7 million in seven existing portfolio companies. For this period, we had $518.4 million aggregate principal amount in exits and repayments, resulting in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 portfolio increase of $296.5 million aggregate principal amount.</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the year ended December 31, 2013, we made new investment commitments of $606.2 million, $536.0 million in 14 new portfolio companies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$70.2 million in five existing portfolio companies. For this period, we had $192.1 million aggregate principal amount in exits and repayments, resulting in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 portfolio increase of $387.3 million aggregate principal amount.</w:t>
      </w:r>
    </w:p>
    <w:p>
      <w:pPr>
        <w:spacing w:after="0" w:line="211"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For the year ended December 31, 2012, we made new investment commitments of $714.2 million, $615.0 million in 20 new portfolio companies and $99.2 million in six existing portfolio companies. For this period, we had $193.1 million aggregate principal amount in exits and repayments, resulting in a net portfolio increase of $487.5 million aggregate principal amount.</w:t>
      </w:r>
    </w:p>
    <w:p>
      <w:pPr>
        <w:spacing w:after="0" w:line="18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Our investment activity for the years ended December 31, 2014, 2013 and 2012 is presented below (information presented herein is at par value unless otherwise indicated).</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0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32"/>
              <w:spacing w:after="0" w:line="147" w:lineRule="exact"/>
              <w:rPr>
                <w:sz w:val="20"/>
                <w:szCs w:val="20"/>
                <w:color w:val="auto"/>
              </w:rPr>
            </w:pPr>
            <w:r>
              <w:rPr>
                <w:rFonts w:ascii="Arial" w:cs="Arial" w:eastAsia="Arial" w:hAnsi="Arial"/>
                <w:sz w:val="14"/>
                <w:szCs w:val="14"/>
                <w:b w:val="1"/>
                <w:bCs w:val="1"/>
                <w:color w:val="auto"/>
                <w:w w:val="87"/>
              </w:rPr>
              <w:t>December 31,</w:t>
            </w:r>
          </w:p>
        </w:tc>
        <w:tc>
          <w:tcPr>
            <w:tcW w:w="180" w:type="dxa"/>
            <w:vAlign w:val="bottom"/>
          </w:tcPr>
          <w:p>
            <w:pPr>
              <w:spacing w:after="0"/>
              <w:rPr>
                <w:sz w:val="12"/>
                <w:szCs w:val="12"/>
                <w:color w:val="auto"/>
              </w:rPr>
            </w:pPr>
          </w:p>
        </w:tc>
      </w:tr>
      <w:tr>
        <w:trPr>
          <w:trHeight w:val="171"/>
        </w:trPr>
        <w:tc>
          <w:tcPr>
            <w:tcW w:w="412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92"/>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1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Gross originations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1,120.1</w:t>
            </w:r>
          </w:p>
        </w:tc>
        <w:tc>
          <w:tcPr>
            <w:tcW w:w="1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897.5</w:t>
            </w:r>
          </w:p>
        </w:tc>
        <w:tc>
          <w:tcPr>
            <w:tcW w:w="1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1,071.7</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Syndications/sell downs</w:t>
            </w:r>
          </w:p>
        </w:tc>
        <w:tc>
          <w:tcPr>
            <w:tcW w:w="1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235.7</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357.5</w:t>
            </w:r>
          </w:p>
        </w:tc>
        <w:tc>
          <w:tcPr>
            <w:tcW w:w="1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480"/>
              <w:spacing w:after="0"/>
              <w:rPr>
                <w:sz w:val="20"/>
                <w:szCs w:val="20"/>
                <w:color w:val="auto"/>
              </w:rPr>
            </w:pPr>
            <w:r>
              <w:rPr>
                <w:rFonts w:ascii="Arial" w:cs="Arial" w:eastAsia="Arial" w:hAnsi="Arial"/>
                <w:sz w:val="18"/>
                <w:szCs w:val="18"/>
                <w:color w:val="auto"/>
              </w:rPr>
              <w:t>Total new investment commitments</w:t>
            </w:r>
          </w:p>
        </w:tc>
        <w:tc>
          <w:tcPr>
            <w:tcW w:w="1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884.4</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606.2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714.2</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681.3</w:t>
            </w:r>
          </w:p>
        </w:tc>
        <w:tc>
          <w:tcPr>
            <w:tcW w:w="1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497.9</w:t>
            </w:r>
          </w:p>
        </w:tc>
        <w:tc>
          <w:tcPr>
            <w:tcW w:w="1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603.9</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1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48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814.9</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579.4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680.6</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9"/>
              </w:rPr>
              <w:t>Principal amount of investments sold or repaid:</w:t>
            </w: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395.0</w:t>
            </w:r>
          </w:p>
        </w:tc>
        <w:tc>
          <w:tcPr>
            <w:tcW w:w="1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173.4</w:t>
            </w:r>
          </w:p>
        </w:tc>
        <w:tc>
          <w:tcPr>
            <w:tcW w:w="1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161.0</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518.4</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180" w:type="dxa"/>
            <w:vAlign w:val="bottom"/>
            <w:tcBorders>
              <w:bottom w:val="single" w:sz="8" w:color="CFF0FC"/>
            </w:tcBorders>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410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w:t>
            </w: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10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in new portfolio companies</w:t>
            </w:r>
          </w:p>
        </w:tc>
        <w:tc>
          <w:tcPr>
            <w:tcW w:w="1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w w:val="98"/>
              </w:rPr>
              <w:t>Average new investment commitment amount in</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100" w:type="dxa"/>
            <w:vAlign w:val="bottom"/>
          </w:tcPr>
          <w:p>
            <w:pPr>
              <w:ind w:left="120"/>
              <w:spacing w:after="0"/>
              <w:rPr>
                <w:sz w:val="20"/>
                <w:szCs w:val="20"/>
                <w:color w:val="auto"/>
              </w:rPr>
            </w:pPr>
            <w:r>
              <w:rPr>
                <w:rFonts w:ascii="Arial" w:cs="Arial" w:eastAsia="Arial" w:hAnsi="Arial"/>
                <w:sz w:val="18"/>
                <w:szCs w:val="18"/>
                <w:b w:val="1"/>
                <w:bCs w:val="1"/>
                <w:color w:val="auto"/>
              </w:rPr>
              <w:t>new portfolio companies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40.3</w:t>
            </w:r>
          </w:p>
        </w:tc>
        <w:tc>
          <w:tcPr>
            <w:tcW w:w="18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commitments in new portfolio companies</w:t>
            </w: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10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(in years)</w:t>
            </w:r>
          </w:p>
        </w:tc>
        <w:tc>
          <w:tcPr>
            <w:tcW w:w="1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w w:val="96"/>
              </w:rPr>
              <w:t>Percentage of new debt investment commitments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100" w:type="dxa"/>
            <w:vAlign w:val="bottom"/>
          </w:tcPr>
          <w:p>
            <w:pPr>
              <w:ind w:left="120"/>
              <w:spacing w:after="0"/>
              <w:rPr>
                <w:sz w:val="20"/>
                <w:szCs w:val="20"/>
                <w:color w:val="auto"/>
              </w:rPr>
            </w:pPr>
            <w:r>
              <w:rPr>
                <w:rFonts w:ascii="Arial" w:cs="Arial" w:eastAsia="Arial" w:hAnsi="Arial"/>
                <w:sz w:val="18"/>
                <w:szCs w:val="18"/>
                <w:b w:val="1"/>
                <w:bCs w:val="1"/>
                <w:color w:val="auto"/>
              </w:rPr>
              <w:t>at floating rates</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96.5%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98.1%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98.0%</w:t>
            </w:r>
          </w:p>
        </w:tc>
      </w:tr>
      <w:tr>
        <w:trPr>
          <w:trHeight w:val="211"/>
        </w:trPr>
        <w:tc>
          <w:tcPr>
            <w:tcW w:w="20" w:type="dxa"/>
            <w:vAlign w:val="bottom"/>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6"/>
              </w:rPr>
              <w:t>Percentage of new debt investment commitments</w:t>
            </w: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10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at fixed rates</w:t>
            </w:r>
          </w:p>
        </w:tc>
        <w:tc>
          <w:tcPr>
            <w:tcW w:w="1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r>
      <w:tr>
        <w:trPr>
          <w:trHeight w:val="211"/>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100" w:type="dxa"/>
            <w:vAlign w:val="bottom"/>
          </w:tcPr>
          <w:p>
            <w:pPr>
              <w:ind w:left="120"/>
              <w:spacing w:after="0"/>
              <w:rPr>
                <w:sz w:val="20"/>
                <w:szCs w:val="20"/>
                <w:color w:val="auto"/>
              </w:rPr>
            </w:pPr>
            <w:r>
              <w:rPr>
                <w:rFonts w:ascii="Arial" w:cs="Arial" w:eastAsia="Arial" w:hAnsi="Arial"/>
                <w:sz w:val="18"/>
                <w:szCs w:val="18"/>
                <w:b w:val="1"/>
                <w:bCs w:val="1"/>
                <w:color w:val="auto"/>
              </w:rPr>
              <w:t>investment commitments</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11"/>
        </w:trPr>
        <w:tc>
          <w:tcPr>
            <w:tcW w:w="20" w:type="dxa"/>
            <w:vAlign w:val="bottom"/>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10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floating rate investment commitments</w:t>
            </w:r>
          </w:p>
        </w:tc>
        <w:tc>
          <w:tcPr>
            <w:tcW w:w="1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w:t>
            </w: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w:t>
            </w:r>
          </w:p>
        </w:tc>
      </w:tr>
      <w:tr>
        <w:trPr>
          <w:trHeight w:val="211"/>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100" w:type="dxa"/>
            <w:vAlign w:val="bottom"/>
          </w:tcPr>
          <w:p>
            <w:pPr>
              <w:ind w:left="120"/>
              <w:spacing w:after="0"/>
              <w:rPr>
                <w:sz w:val="20"/>
                <w:szCs w:val="20"/>
                <w:color w:val="auto"/>
              </w:rPr>
            </w:pPr>
            <w:r>
              <w:rPr>
                <w:rFonts w:ascii="Arial" w:cs="Arial" w:eastAsia="Arial" w:hAnsi="Arial"/>
                <w:sz w:val="18"/>
                <w:szCs w:val="18"/>
                <w:b w:val="1"/>
                <w:bCs w:val="1"/>
                <w:color w:val="auto"/>
              </w:rPr>
              <w:t>sold or paid down</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r>
      <w:tr>
        <w:trPr>
          <w:trHeight w:val="67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40" w:type="dxa"/>
            <w:vAlign w:val="bottom"/>
          </w:tcPr>
          <w:p>
            <w:pPr>
              <w:jc w:val="right"/>
              <w:ind w:right="61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380"/>
          </w:cols>
          <w:pgMar w:left="240" w:top="557" w:right="279" w:bottom="1440" w:gutter="0" w:footer="0" w:header="0"/>
        </w:sectPr>
      </w:pPr>
    </w:p>
    <w:bookmarkStart w:id="57" w:name="page58"/>
    <w:bookmarkEnd w:id="57"/>
    <w:p>
      <w:pPr>
        <w:ind w:left="260"/>
        <w:spacing w:after="0"/>
        <w:rPr>
          <w:sz w:val="20"/>
          <w:szCs w:val="20"/>
          <w:color w:val="auto"/>
        </w:rPr>
      </w:pPr>
      <w:r>
        <w:rPr>
          <w:rFonts w:ascii="Arial" w:cs="Arial" w:eastAsia="Arial" w:hAnsi="Arial"/>
          <w:sz w:val="18"/>
          <w:szCs w:val="18"/>
          <w:color w:val="auto"/>
        </w:rPr>
        <w:t>As of December 31, 2014 and December 31, 2013, our investments consisted of the following:</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2014</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4"/>
                <w:szCs w:val="14"/>
                <w:b w:val="1"/>
                <w:bCs w:val="1"/>
                <w:color w:val="auto"/>
              </w:rPr>
              <w:t>December 31, 2013</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40" w:type="dxa"/>
            <w:vAlign w:val="bottom"/>
            <w:tcBorders>
              <w:bottom w:val="single" w:sz="8" w:color="CFF0FC"/>
            </w:tcBorders>
            <w:vMerge w:val="continue"/>
          </w:tcPr>
          <w:p>
            <w:pPr>
              <w:spacing w:after="0"/>
              <w:rPr>
                <w:sz w:val="13"/>
                <w:szCs w:val="13"/>
                <w:color w:val="auto"/>
              </w:rPr>
            </w:pPr>
          </w:p>
        </w:tc>
        <w:tc>
          <w:tcPr>
            <w:tcW w:w="16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Fair Value</w:t>
            </w:r>
          </w:p>
        </w:tc>
        <w:tc>
          <w:tcPr>
            <w:tcW w:w="18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Amortized Cost</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Fair Value</w:t>
            </w:r>
          </w:p>
        </w:tc>
        <w:tc>
          <w:tcPr>
            <w:tcW w:w="18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Amortized Cost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1,124.2</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1,127.2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877.2</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111.4</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137.5</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6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1,263.5</w:t>
            </w: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1,273.2</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1,016.5</w:t>
            </w: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6"/>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shows the amortized cost of our performing and non-accrual investments as of December 31, 2014 and December 31, 2013:</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1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4"/>
          </w:tcPr>
          <w:p>
            <w:pPr>
              <w:jc w:val="right"/>
              <w:ind w:right="750"/>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gridSpan w:val="4"/>
          </w:tcPr>
          <w:p>
            <w:pPr>
              <w:jc w:val="right"/>
              <w:ind w:right="69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56"/>
        </w:trPr>
        <w:tc>
          <w:tcPr>
            <w:tcW w:w="312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132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Amortized Cost</w:t>
            </w:r>
          </w:p>
        </w:tc>
        <w:tc>
          <w:tcPr>
            <w:tcW w:w="1000" w:type="dxa"/>
            <w:vAlign w:val="bottom"/>
            <w:tcBorders>
              <w:top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Percentage</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Amortized Cost</w:t>
            </w:r>
          </w:p>
        </w:tc>
        <w:tc>
          <w:tcPr>
            <w:tcW w:w="1020" w:type="dxa"/>
            <w:vAlign w:val="bottom"/>
            <w:tcBorders>
              <w:top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Performing</w:t>
            </w:r>
          </w:p>
        </w:tc>
        <w:tc>
          <w:tcPr>
            <w:tcW w:w="19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1,273.2</w:t>
            </w:r>
          </w:p>
        </w:tc>
        <w:tc>
          <w:tcPr>
            <w:tcW w:w="2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997.3</w:t>
            </w:r>
          </w:p>
        </w:tc>
        <w:tc>
          <w:tcPr>
            <w:tcW w:w="2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Non-accrual (1)</w:t>
            </w:r>
          </w:p>
        </w:tc>
        <w:tc>
          <w:tcPr>
            <w:tcW w:w="19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1,273.2</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997.3</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40" w:right="120" w:hanging="532"/>
        <w:spacing w:after="0" w:line="302" w:lineRule="auto"/>
        <w:tabs>
          <w:tab w:leader="none" w:pos="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 See “—Critical Accounting Policies—Interest and Dividend Income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-586740</wp:posOffset>
            </wp:positionV>
            <wp:extent cx="9690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weighted average yields and interest rates of our debt investments at fair value as of December 31, 2014 and 2013 were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 2014</w:t>
            </w: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December 31, 2013</w:t>
            </w:r>
          </w:p>
        </w:tc>
        <w:tc>
          <w:tcPr>
            <w:tcW w:w="0" w:type="dxa"/>
            <w:vAlign w:val="bottom"/>
          </w:tcPr>
          <w:p>
            <w:pPr>
              <w:spacing w:after="0"/>
              <w:rPr>
                <w:sz w:val="1"/>
                <w:szCs w:val="1"/>
                <w:color w:val="auto"/>
              </w:rPr>
            </w:pPr>
          </w:p>
        </w:tc>
      </w:tr>
      <w:tr>
        <w:trPr>
          <w:trHeight w:val="20"/>
        </w:trPr>
        <w:tc>
          <w:tcPr>
            <w:tcW w:w="5240" w:type="dxa"/>
            <w:vAlign w:val="bottom"/>
            <w:tcBorders>
              <w:right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w w:val="94"/>
              </w:rPr>
              <w:t>Weighted average total yield of debt and income producing securities</w:t>
            </w: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tcBorders>
              <w:right w:val="single" w:sz="8" w:color="CFF0FC"/>
            </w:tcBorders>
            <w:vMerge w:val="continue"/>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10.3%</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w w:val="91"/>
              </w:rPr>
              <w:t>Weighted average interest rate of debt and income producing securities</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24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Weighted average spread over LIBOR of all floating rate investments</w:t>
            </w: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73" w:lineRule="exact"/>
        <w:rPr>
          <w:sz w:val="20"/>
          <w:szCs w:val="20"/>
          <w:color w:val="auto"/>
        </w:rPr>
      </w:pPr>
    </w:p>
    <w:p>
      <w:pPr>
        <w:ind w:left="520" w:hanging="253"/>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20" w:right="200" w:hanging="253"/>
        <w:spacing w:after="0" w:line="277"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3" w:lineRule="exact"/>
        <w:rPr>
          <w:sz w:val="20"/>
          <w:szCs w:val="20"/>
          <w:color w:val="auto"/>
        </w:rPr>
      </w:pPr>
    </w:p>
    <w:p>
      <w:pPr>
        <w:ind w:left="520" w:hanging="253"/>
        <w:spacing w:after="0" w:line="264"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73" w:lineRule="exact"/>
        <w:rPr>
          <w:rFonts w:ascii="Arial" w:cs="Arial" w:eastAsia="Arial" w:hAnsi="Arial"/>
          <w:sz w:val="18"/>
          <w:szCs w:val="18"/>
          <w:color w:val="auto"/>
        </w:rPr>
      </w:pPr>
    </w:p>
    <w:p>
      <w:pPr>
        <w:ind w:left="520" w:right="240" w:hanging="253"/>
        <w:spacing w:after="0" w:line="264"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341" w:right="279" w:bottom="1440" w:gutter="0" w:footer="0" w:header="0"/>
        </w:sectPr>
      </w:pPr>
    </w:p>
    <w:bookmarkStart w:id="58" w:name="page59"/>
    <w:bookmarkEnd w:id="58"/>
    <w:p>
      <w:pPr>
        <w:ind w:left="520" w:hanging="253"/>
        <w:spacing w:after="0" w:line="264"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73" w:lineRule="exact"/>
        <w:rPr>
          <w:rFonts w:ascii="Arial" w:cs="Arial" w:eastAsia="Arial" w:hAnsi="Arial"/>
          <w:sz w:val="18"/>
          <w:szCs w:val="18"/>
          <w:color w:val="auto"/>
        </w:rPr>
      </w:pPr>
    </w:p>
    <w:p>
      <w:pPr>
        <w:ind w:left="520" w:right="220" w:hanging="253"/>
        <w:spacing w:after="0" w:line="276" w:lineRule="auto"/>
        <w:tabs>
          <w:tab w:leader="none" w:pos="5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64" w:lineRule="exact"/>
        <w:rPr>
          <w:rFonts w:ascii="Arial" w:cs="Arial" w:eastAsia="Arial" w:hAnsi="Arial"/>
          <w:sz w:val="17"/>
          <w:szCs w:val="17"/>
          <w:color w:val="auto"/>
        </w:rPr>
      </w:pPr>
    </w:p>
    <w:p>
      <w:pPr>
        <w:ind w:left="520" w:right="120" w:hanging="253"/>
        <w:spacing w:after="0" w:line="259"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7"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December 31, 2014 and 2013. Investment performance ratings are accurate only as of those dates and may change due to subsequent developments relating to a portfolio company’s business or financial condition, market conditions or developments, and other factors.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w w:val="90"/>
              </w:rPr>
              <w:t>December 31, 2014</w:t>
            </w: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0"/>
              </w:rPr>
              <w:t>December 31, 2013</w:t>
            </w:r>
          </w:p>
        </w:tc>
        <w:tc>
          <w:tcPr>
            <w:tcW w:w="1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40" w:type="dxa"/>
            <w:vAlign w:val="bottom"/>
            <w:gridSpan w:val="3"/>
          </w:tcPr>
          <w:p>
            <w:pPr>
              <w:jc w:val="center"/>
              <w:ind w:right="98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tcPr>
          <w:p>
            <w:pPr>
              <w:jc w:val="center"/>
              <w:ind w:right="74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98"/>
              </w:rPr>
              <w:t>Fair Value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98"/>
              </w:rPr>
              <w:t>Fair Value</w:t>
            </w:r>
          </w:p>
        </w:tc>
        <w:tc>
          <w:tcPr>
            <w:tcW w:w="15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Rating</w:t>
            </w: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5"/>
              </w:rPr>
              <w:t>($ in millions)</w:t>
            </w:r>
          </w:p>
        </w:tc>
        <w:tc>
          <w:tcPr>
            <w:tcW w:w="28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Total Portfolio</w:t>
            </w: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2"/>
              </w:rPr>
              <w:t>Total Portfolio</w:t>
            </w: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904.3</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2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859.4</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30"/>
        </w:trPr>
        <w:tc>
          <w:tcPr>
            <w:tcW w:w="19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260.7</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116.4</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19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0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1,263.5</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9"/>
                <w:szCs w:val="19"/>
                <w:color w:val="auto"/>
              </w:rPr>
            </w:pPr>
          </w:p>
        </w:tc>
        <w:tc>
          <w:tcPr>
            <w:tcW w:w="600" w:type="dxa"/>
            <w:vAlign w:val="bottom"/>
          </w:tcPr>
          <w:p>
            <w:pPr>
              <w:jc w:val="right"/>
              <w:ind w:right="42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1,016.5</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results for the years ended December 31, 2014, 2013 and 2012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60" w:type="dxa"/>
            <w:vAlign w:val="bottom"/>
            <w:gridSpan w:val="3"/>
            <w:vMerge w:val="restart"/>
          </w:tcPr>
          <w:p>
            <w:pPr>
              <w:ind w:left="760"/>
              <w:spacing w:after="0"/>
              <w:rPr>
                <w:sz w:val="20"/>
                <w:szCs w:val="20"/>
                <w:color w:val="auto"/>
              </w:rPr>
            </w:pPr>
            <w:r>
              <w:rPr>
                <w:rFonts w:ascii="Arial" w:cs="Arial" w:eastAsia="Arial" w:hAnsi="Arial"/>
                <w:sz w:val="14"/>
                <w:szCs w:val="14"/>
                <w:color w:val="auto"/>
              </w:rPr>
              <w:t>($ in millions)</w:t>
            </w:r>
          </w:p>
        </w:tc>
        <w:tc>
          <w:tcPr>
            <w:tcW w:w="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7"/>
          </w:tcPr>
          <w:p>
            <w:pPr>
              <w:jc w:val="center"/>
              <w:ind w:right="145"/>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56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center"/>
              <w:ind w:right="153"/>
              <w:spacing w:after="0" w:line="155" w:lineRule="exact"/>
              <w:rPr>
                <w:sz w:val="20"/>
                <w:szCs w:val="20"/>
                <w:color w:val="auto"/>
              </w:rPr>
            </w:pPr>
            <w:r>
              <w:rPr>
                <w:rFonts w:ascii="Arial" w:cs="Arial" w:eastAsia="Arial" w:hAnsi="Arial"/>
                <w:sz w:val="14"/>
                <w:szCs w:val="14"/>
                <w:b w:val="1"/>
                <w:bCs w:val="1"/>
                <w:color w:val="auto"/>
                <w:w w:val="96"/>
              </w:rPr>
              <w:t>2013</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investment income</w:t>
            </w:r>
          </w:p>
        </w:tc>
        <w:tc>
          <w:tcPr>
            <w:tcW w:w="6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163.3</w:t>
            </w: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Net expenses</w:t>
            </w:r>
          </w:p>
        </w:tc>
        <w:tc>
          <w:tcPr>
            <w:tcW w:w="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investment income before income taxes</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78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Less: Income taxes, including excise taxes</w:t>
            </w:r>
          </w:p>
        </w:tc>
        <w:tc>
          <w:tcPr>
            <w:tcW w:w="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investment income</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Net realized gains (losses) on investments (1)</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change in unrealized gains (losses) on investments (1)</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780" w:type="dxa"/>
            <w:vAlign w:val="bottom"/>
            <w:gridSpan w:val="2"/>
          </w:tcPr>
          <w:p>
            <w:pPr>
              <w:ind w:left="2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6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2"/>
          </w:tcPr>
          <w:p>
            <w:pPr>
              <w:spacing w:after="0"/>
              <w:rPr>
                <w:sz w:val="10"/>
                <w:szCs w:val="10"/>
                <w:color w:val="auto"/>
              </w:rPr>
            </w:pPr>
          </w:p>
        </w:tc>
        <w:tc>
          <w:tcPr>
            <w:tcW w:w="4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w:t>
            </w:r>
          </w:p>
        </w:tc>
        <w:tc>
          <w:tcPr>
            <w:tcW w:w="5560" w:type="dxa"/>
            <w:vAlign w:val="bottom"/>
            <w:gridSpan w:val="3"/>
          </w:tcPr>
          <w:p>
            <w:pPr>
              <w:ind w:left="160"/>
              <w:spacing w:after="0"/>
              <w:rPr>
                <w:sz w:val="20"/>
                <w:szCs w:val="20"/>
                <w:color w:val="auto"/>
              </w:rPr>
            </w:pPr>
            <w:r>
              <w:rPr>
                <w:rFonts w:ascii="Arial" w:cs="Arial" w:eastAsia="Arial" w:hAnsi="Arial"/>
                <w:sz w:val="18"/>
                <w:szCs w:val="18"/>
                <w:color w:val="auto"/>
              </w:rPr>
              <w:t>Includes foreign exchange hedging activity.</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6"/>
        </w:trPr>
        <w:tc>
          <w:tcPr>
            <w:tcW w:w="594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Investment Income</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60" w:type="dxa"/>
            <w:vAlign w:val="bottom"/>
            <w:gridSpan w:val="3"/>
            <w:vMerge w:val="restart"/>
          </w:tcPr>
          <w:p>
            <w:pPr>
              <w:ind w:left="760"/>
              <w:spacing w:after="0"/>
              <w:rPr>
                <w:sz w:val="20"/>
                <w:szCs w:val="20"/>
                <w:color w:val="auto"/>
              </w:rPr>
            </w:pPr>
            <w:r>
              <w:rPr>
                <w:rFonts w:ascii="Arial" w:cs="Arial" w:eastAsia="Arial" w:hAnsi="Arial"/>
                <w:sz w:val="14"/>
                <w:szCs w:val="14"/>
                <w:color w:val="auto"/>
              </w:rPr>
              <w:t>($ in millions)</w:t>
            </w:r>
          </w:p>
        </w:tc>
        <w:tc>
          <w:tcPr>
            <w:tcW w:w="6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jc w:val="center"/>
              <w:ind w:right="145"/>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56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center"/>
              <w:ind w:right="153"/>
              <w:spacing w:after="0" w:line="155" w:lineRule="exact"/>
              <w:rPr>
                <w:sz w:val="20"/>
                <w:szCs w:val="20"/>
                <w:color w:val="auto"/>
              </w:rPr>
            </w:pPr>
            <w:r>
              <w:rPr>
                <w:rFonts w:ascii="Arial" w:cs="Arial" w:eastAsia="Arial" w:hAnsi="Arial"/>
                <w:sz w:val="14"/>
                <w:szCs w:val="14"/>
                <w:b w:val="1"/>
                <w:bCs w:val="1"/>
                <w:color w:val="auto"/>
                <w:w w:val="96"/>
              </w:rPr>
              <w:t>2013</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Interest from investments</w:t>
            </w:r>
          </w:p>
        </w:tc>
        <w:tc>
          <w:tcPr>
            <w:tcW w:w="6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154.0</w:t>
            </w: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280" w:type="dxa"/>
            <w:vAlign w:val="bottom"/>
            <w:tcBorders>
              <w:top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Dividend income</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w:t>
            </w:r>
          </w:p>
        </w:tc>
        <w:tc>
          <w:tcPr>
            <w:tcW w:w="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78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investment income</w:t>
            </w:r>
          </w:p>
        </w:tc>
        <w:tc>
          <w:tcPr>
            <w:tcW w:w="60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163.3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92.6</w:t>
            </w:r>
          </w:p>
        </w:tc>
        <w:tc>
          <w:tcPr>
            <w:tcW w:w="280" w:type="dxa"/>
            <w:vAlign w:val="bottom"/>
            <w:gridSpan w:val="2"/>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0" w:firstLine="259"/>
        <w:spacing w:after="0" w:line="308" w:lineRule="auto"/>
        <w:rPr>
          <w:sz w:val="20"/>
          <w:szCs w:val="20"/>
          <w:color w:val="auto"/>
        </w:rPr>
      </w:pPr>
      <w:r>
        <w:rPr>
          <w:rFonts w:ascii="Arial" w:cs="Arial" w:eastAsia="Arial" w:hAnsi="Arial"/>
          <w:sz w:val="17"/>
          <w:szCs w:val="17"/>
          <w:color w:val="auto"/>
        </w:rPr>
        <w:t>Interest from investments, which includes amortization of upfront fees and prepayment fees, increased from $90.4 million for the year ended December 31, 2013 to $154.0 million for the year ended December 31, 2014, primarily due to the increase in the size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49" w:right="259" w:bottom="1440" w:gutter="0" w:footer="0" w:header="0"/>
        </w:sectPr>
      </w:pPr>
    </w:p>
    <w:bookmarkStart w:id="59" w:name="page60"/>
    <w:bookmarkEnd w:id="59"/>
    <w:p>
      <w:pPr>
        <w:jc w:val="both"/>
        <w:ind w:right="240"/>
        <w:spacing w:after="0" w:line="288" w:lineRule="auto"/>
        <w:rPr>
          <w:sz w:val="20"/>
          <w:szCs w:val="20"/>
          <w:color w:val="auto"/>
        </w:rPr>
      </w:pPr>
      <w:r>
        <w:rPr>
          <w:rFonts w:ascii="Arial" w:cs="Arial" w:eastAsia="Arial" w:hAnsi="Arial"/>
          <w:sz w:val="16"/>
          <w:szCs w:val="16"/>
          <w:color w:val="auto"/>
        </w:rPr>
        <w:t>our investment portfolio. The average size of our investment portfolio increased from $0.8 billion during the year ended December 31, 2013 to $1.2 billion during the year ended December 31, 2014. In addition, accelerated amortization of upfront fees primarily from unscheduled paydowns increased from $3.0 million for the year ended December 31, 2013 to $12.5 million for the year ended December 31, 2014. In addition, prepayment fees increased from</w:t>
      </w:r>
    </w:p>
    <w:p>
      <w:pPr>
        <w:spacing w:after="0" w:line="271" w:lineRule="auto"/>
        <w:rPr>
          <w:sz w:val="20"/>
          <w:szCs w:val="20"/>
          <w:color w:val="auto"/>
        </w:rPr>
      </w:pPr>
      <w:r>
        <w:rPr>
          <w:rFonts w:ascii="Arial" w:cs="Arial" w:eastAsia="Arial" w:hAnsi="Arial"/>
          <w:sz w:val="17"/>
          <w:szCs w:val="17"/>
          <w:color w:val="auto"/>
        </w:rPr>
        <w:t>$3.0 million for the year ended December 31, 2013 to $21.0 million for the year ended December 31, 2014. The accelerated amortization and prepayment fees primarily resulted from partial paydowns on three portfolio investments and full paydowns on five portfolio investments during the year ended December 31, 2013 and from partial paydowns on two portfolio investments, full paydowns on thirteen portfolio investments and the expiration of one unfunded commitment during the year ended December 31, 2014. Other income increased from $2.2 million for the year ended December 31, 2013 to $9.3 million for the year ended December 31, 2014, primarily due to higher syndication, amendment and agency fees earned during 2014.</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from investments, which includes amortization of upfront fees and prepayment fees, increased from $49.1 million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to $90.4 million for the year ended December 31, 2013, primarily due to the increase in the size of our portfolio. The average size of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total investment portfolio at fair value increased from $417 million during the year ended December 31, 2012 to $795 million during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2013. In addition, prepayment fees increased from $0.9 million for the year ended December 31, 2012 to $3.0 million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These prepayment fees resulted from full or partial paydowns on portfolio investments. Dividend income was $1.2 million for the year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ended December 31, 2012 due to the receipt of a dividend from a non-controlled, affiliated investment. There was no dividend income in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Other income increased from $0.7 million for the year ended December 31, 2012 to $2.2 million for the year ended December 31, 2013,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primarily due to higher syndication, amendment and agency fees earned during 2013.</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expenses for the years ended December 31, 2014, 2013 and 2012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4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7"/>
          </w:tcPr>
          <w:p>
            <w:pPr>
              <w:jc w:val="right"/>
              <w:ind w:right="145"/>
              <w:spacing w:after="0"/>
              <w:rPr>
                <w:sz w:val="20"/>
                <w:szCs w:val="20"/>
                <w:color w:val="auto"/>
              </w:rPr>
            </w:pPr>
            <w:r>
              <w:rPr>
                <w:rFonts w:ascii="Arial" w:cs="Arial" w:eastAsia="Arial" w:hAnsi="Arial"/>
                <w:sz w:val="14"/>
                <w:szCs w:val="14"/>
                <w:b w:val="1"/>
                <w:bCs w:val="1"/>
                <w:color w:val="auto"/>
                <w:w w:val="91"/>
              </w:rPr>
              <w:t>Year Ended December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w:t>
            </w:r>
          </w:p>
        </w:tc>
        <w:tc>
          <w:tcPr>
            <w:tcW w:w="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w w:val="96"/>
              </w:rPr>
              <w:t>Incentive fees related to Pre-incentive fee net investment income</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Directors’ fees</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Arial" w:cs="Arial" w:eastAsia="Arial" w:hAnsi="Arial"/>
                <w:sz w:val="18"/>
                <w:szCs w:val="18"/>
                <w:b w:val="1"/>
                <w:bCs w:val="1"/>
                <w:color w:val="auto"/>
              </w:rPr>
              <w:t>Net Expenses</w:t>
            </w:r>
          </w:p>
        </w:tc>
        <w:tc>
          <w:tcPr>
            <w:tcW w:w="36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right="120" w:firstLine="259"/>
        <w:spacing w:after="0" w:line="279" w:lineRule="auto"/>
        <w:rPr>
          <w:sz w:val="20"/>
          <w:szCs w:val="20"/>
          <w:color w:val="auto"/>
        </w:rPr>
      </w:pPr>
      <w:r>
        <w:rPr>
          <w:rFonts w:ascii="Arial" w:cs="Arial" w:eastAsia="Arial" w:hAnsi="Arial"/>
          <w:sz w:val="17"/>
          <w:szCs w:val="17"/>
          <w:color w:val="auto"/>
        </w:rPr>
        <w:t>Interest, including other debt financing expenses, increased from $10.5 million for the year ended December 31, 2013 to $15.1 million for the year ended December 31, 2014. This increase was primarily due to an increase in the weighted average debt outstanding from $266 million for the year ended December 31, 2013 to $377 million for the year ended December 31, 2014. The increase in average debt outstanding was offset by a decrease in the average interest rate on our debt outstanding from 2.7% for the year ended December 31, 2013 to 2.6% for the year ended December 31, 2014.</w:t>
      </w:r>
    </w:p>
    <w:p>
      <w:pPr>
        <w:spacing w:after="0" w:line="171" w:lineRule="exact"/>
        <w:rPr>
          <w:sz w:val="20"/>
          <w:szCs w:val="20"/>
          <w:color w:val="auto"/>
        </w:rPr>
      </w:pPr>
    </w:p>
    <w:p>
      <w:pPr>
        <w:ind w:right="160" w:firstLine="259"/>
        <w:spacing w:after="0" w:line="302" w:lineRule="auto"/>
        <w:rPr>
          <w:sz w:val="20"/>
          <w:szCs w:val="20"/>
          <w:color w:val="auto"/>
        </w:rPr>
      </w:pPr>
      <w:r>
        <w:rPr>
          <w:rFonts w:ascii="Arial" w:cs="Arial" w:eastAsia="Arial" w:hAnsi="Arial"/>
          <w:sz w:val="16"/>
          <w:szCs w:val="16"/>
          <w:color w:val="auto"/>
        </w:rPr>
        <w:t>Interest, including other debt financing expenses, increased from $6.0 million for the year ended December 31, 2012 to $10.5 million for the year ended December 31, 2013. This increase was primarily due to an increase in the weighted average debt outstanding from $111 million for the year ended December 31, 2012 to $266 million for the year ended December 31, 2013. The increase in average debt outstanding was offset by a decrease in the average interest rate on our debt outstanding from 2.9% for the year ended December 31, 2012 to 2.7% for the year ended December 31, 2013.</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jc w:val="both"/>
        <w:ind w:right="200" w:firstLine="259"/>
        <w:spacing w:after="0" w:line="297" w:lineRule="auto"/>
        <w:rPr>
          <w:sz w:val="20"/>
          <w:szCs w:val="20"/>
          <w:color w:val="auto"/>
        </w:rPr>
      </w:pPr>
      <w:r>
        <w:rPr>
          <w:rFonts w:ascii="Arial" w:cs="Arial" w:eastAsia="Arial" w:hAnsi="Arial"/>
          <w:sz w:val="16"/>
          <w:szCs w:val="16"/>
          <w:color w:val="auto"/>
        </w:rPr>
        <w:t>Management Fees (net of waivers) increased from $6.2 million for the year ended December 31, 2013 to $15.8 million for the year ended December 31, 2014. Management Fees increased from $13.4 million for the year ended December 31, 2013 to $18.3 million for the year ended December 31, 2014 due to the increase in total assets, which increased from an average of $0.9 billion for the year ended December 31, 2013 to an average of $1.2 billion for the year ended December 31, 2014. Management Fees waived decreased from $7.1 million for the year ended December 31, 2013 to $2.5 million for the year ended December 31, 2014, as there were no management fees waived during the period April 1, 2014 through December 31, 2014.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41" w:right="239" w:bottom="1440" w:gutter="0" w:footer="0" w:header="0"/>
        </w:sectPr>
      </w:pPr>
    </w:p>
    <w:bookmarkStart w:id="60" w:name="page61"/>
    <w:bookmarkEnd w:id="60"/>
    <w:p>
      <w:pPr>
        <w:ind w:right="40" w:firstLine="259"/>
        <w:spacing w:after="0" w:line="257" w:lineRule="auto"/>
        <w:rPr>
          <w:sz w:val="20"/>
          <w:szCs w:val="20"/>
          <w:color w:val="auto"/>
        </w:rPr>
      </w:pPr>
      <w:r>
        <w:rPr>
          <w:rFonts w:ascii="Arial" w:cs="Arial" w:eastAsia="Arial" w:hAnsi="Arial"/>
          <w:sz w:val="18"/>
          <w:szCs w:val="18"/>
          <w:color w:val="auto"/>
        </w:rPr>
        <w:t>Management Fees (net of waivers) increased from $5.2 million for the year ended December 31, 2012 to $6.2 million for the year ended December 31, 2013. Management Fees increased from $8.9 million for the year ended December 31, 2012 to $13.4 million for the year ended December 31, 2013 due to the increase in total assets, which increased from an average of $0.6 billion for the year ended December 31, 2012 to an average of $0.9 billion for the year ended December 31, 2013. Management Fees waived increased from $3.7 million for the year ended December 31, 2012 to $7.1 million for the year ended December 31, 2013 due to an increase in total assets.</w:t>
      </w:r>
    </w:p>
    <w:p>
      <w:pPr>
        <w:spacing w:after="0" w:line="188" w:lineRule="exact"/>
        <w:rPr>
          <w:sz w:val="20"/>
          <w:szCs w:val="20"/>
          <w:color w:val="auto"/>
        </w:rPr>
      </w:pPr>
    </w:p>
    <w:p>
      <w:pPr>
        <w:ind w:right="40" w:firstLine="259"/>
        <w:spacing w:after="0" w:line="276" w:lineRule="auto"/>
        <w:rPr>
          <w:sz w:val="20"/>
          <w:szCs w:val="20"/>
          <w:color w:val="auto"/>
        </w:rPr>
      </w:pPr>
      <w:r>
        <w:rPr>
          <w:rFonts w:ascii="Arial" w:cs="Arial" w:eastAsia="Arial" w:hAnsi="Arial"/>
          <w:sz w:val="17"/>
          <w:szCs w:val="17"/>
          <w:color w:val="auto"/>
        </w:rPr>
        <w:t>Until our IPO in March 2014,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were not subject to recoupment by the Adviser. Following our IPO, the Adviser has not waived its right to receive the full Management Fee, and accordingly, we will be required to continue to pay the full amount of the Management Fee. See “</w:t>
      </w:r>
      <w:r>
        <w:rPr>
          <w:rFonts w:ascii="Arial" w:cs="Arial" w:eastAsia="Arial" w:hAnsi="Arial"/>
          <w:sz w:val="17"/>
          <w:szCs w:val="17"/>
          <w:i w:val="1"/>
          <w:iCs w:val="1"/>
          <w:color w:val="auto"/>
        </w:rPr>
        <w:t>ITEM 1.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 Agreements—Investment Advisory Agreement; Administration Agreement; License Agreement.</w:t>
      </w:r>
      <w:r>
        <w:rPr>
          <w:rFonts w:ascii="Arial" w:cs="Arial" w:eastAsia="Arial" w:hAnsi="Arial"/>
          <w:sz w:val="17"/>
          <w:szCs w:val="17"/>
          <w:color w:val="auto"/>
        </w:rPr>
        <w:t>”</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Incentive Fees related to pre-Incentive Fee net investment income increased from $10.4 million for the year ended December 31, 2013 to $20.8 million for the year ended December 31, 2014. This increase resulted from the increase in the size of the portfolio and related increase in net investment income, including an increase in prepayment fees and accelerated amortization of upfront fees primarily from unscheduled paydowns. This increase also resulted from an increase in the Incentive Fee rate from 15% through March 31, 2014 to 17.5% beginning April 1, 2014 as a result of the consummation of our IPO. Incentive Fees related to capital gains and losses decreased from $1.4 million for the year ended December 31, 2013 to ($2.9) million for the year ended December 31, 2014 due to changes in unrealized gains and losses on our investments, realized gains on our investments and realized losses on foreign currency transactions.</w:t>
      </w:r>
    </w:p>
    <w:p>
      <w:pPr>
        <w:spacing w:after="0" w:line="189" w:lineRule="exact"/>
        <w:rPr>
          <w:sz w:val="20"/>
          <w:szCs w:val="20"/>
          <w:color w:val="auto"/>
        </w:rPr>
      </w:pPr>
    </w:p>
    <w:p>
      <w:pPr>
        <w:ind w:right="100" w:firstLine="259"/>
        <w:spacing w:after="0" w:line="279" w:lineRule="auto"/>
        <w:rPr>
          <w:sz w:val="20"/>
          <w:szCs w:val="20"/>
          <w:color w:val="auto"/>
        </w:rPr>
      </w:pPr>
      <w:r>
        <w:rPr>
          <w:rFonts w:ascii="Arial" w:cs="Arial" w:eastAsia="Arial" w:hAnsi="Arial"/>
          <w:sz w:val="17"/>
          <w:szCs w:val="17"/>
          <w:color w:val="auto"/>
        </w:rPr>
        <w:t>Incentive Fees related to pre-Incentive Fee net investment income increased from $5.3 million for the year ended December 31, 2012 to $10.4 million for the year ended December 31, 2013. This increase resulted from the increase in the size of the portfolio and related increase in pre-Incentive Fee net investment income. Incentive Fees related to capital gains decreased from $1.7 million for the year ended December 31, 2012 to $1.4 million for the year ended December 31, 2013 due to changes in unrealized gains and losses on our investments and realized gains on our investments.</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jc w:val="both"/>
        <w:ind w:right="360" w:firstLine="259"/>
        <w:spacing w:after="0" w:line="264" w:lineRule="auto"/>
        <w:rPr>
          <w:sz w:val="20"/>
          <w:szCs w:val="20"/>
          <w:color w:val="auto"/>
        </w:rPr>
      </w:pPr>
      <w:r>
        <w:rPr>
          <w:rFonts w:ascii="Arial" w:cs="Arial" w:eastAsia="Arial" w:hAnsi="Arial"/>
          <w:sz w:val="18"/>
          <w:szCs w:val="18"/>
          <w:color w:val="auto"/>
        </w:rPr>
        <w:t>Professional fees increased from $3.7 million for the year ended December 31, 2013 to $4.7 million for the year ended December 31, 2014 and other general and administrative fees increased from $2.4 million for the year ended December 31, 2013 to $3.9 million for the year ended December 31, 2014, both due to an increase in costs associated with servicing a growing investment portfolio.</w:t>
      </w:r>
    </w:p>
    <w:p>
      <w:pPr>
        <w:spacing w:after="0" w:line="181" w:lineRule="exact"/>
        <w:rPr>
          <w:sz w:val="20"/>
          <w:szCs w:val="20"/>
          <w:color w:val="auto"/>
        </w:rPr>
      </w:pPr>
    </w:p>
    <w:p>
      <w:pPr>
        <w:jc w:val="both"/>
        <w:ind w:right="360" w:firstLine="259"/>
        <w:spacing w:after="0" w:line="264" w:lineRule="auto"/>
        <w:rPr>
          <w:sz w:val="20"/>
          <w:szCs w:val="20"/>
          <w:color w:val="auto"/>
        </w:rPr>
      </w:pPr>
      <w:r>
        <w:rPr>
          <w:rFonts w:ascii="Arial" w:cs="Arial" w:eastAsia="Arial" w:hAnsi="Arial"/>
          <w:sz w:val="18"/>
          <w:szCs w:val="18"/>
          <w:color w:val="auto"/>
        </w:rPr>
        <w:t>Professional fees increased from $2.9 million for the year ended December 31, 2012 to $3.7 million for the year ended December 31, 2013 and other general and administrative fees increased from $1.5 million for the year ended December 31, 2012 to $2.4 million for the year ended December 31, 2013, both due to an increase in costs associated with servicing a growing investment portfolio.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160" w:firstLine="259"/>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7"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For the calendar years ended December 31, 2014, 2013 and 2012 we recorded a net expense of $1.1 million, $0.2 million and $0.1 million, respectively, for U.S. federal excise tax.</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57"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net realized and unrealized gains (losses) for the years ended December 31, 2014, 2013 and 2012:</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ind w:right="65"/>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31"/>
              <w:spacing w:after="0" w:line="155"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realized gains on investments</w:t>
            </w: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top w:val="single" w:sz="8" w:color="CFF0FC"/>
              <w:right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CFF0FC"/>
              <w:right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realized losses on foreign currency transactions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 on foreign currency forward contracts</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8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realized gains on foreign currency borrowings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realized gains (losses)</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Change in unrealized gains on investments</w:t>
            </w:r>
          </w:p>
        </w:tc>
        <w:tc>
          <w:tcPr>
            <w:tcW w:w="5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losses on investments</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(34.3)</w:t>
            </w:r>
          </w:p>
        </w:tc>
        <w:tc>
          <w:tcPr>
            <w:tcW w:w="24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Change in Unrealized Gains (Losses) on Investments</w:t>
            </w:r>
          </w:p>
        </w:tc>
        <w:tc>
          <w:tcPr>
            <w:tcW w:w="3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gridSpan w:val="2"/>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Unrealized appreciation on foreign currency borrowings</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w w:val="95"/>
              </w:rPr>
              <w:t>Unrealized appreciation (depreciation) on foreign currency cash and</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forward contracts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Unrealized appreciation on interest rate swaps</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522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7"/>
              </w:rPr>
              <w:t>Net Change in Unrealized Gains (Losses) on Foreign Currency</w:t>
            </w:r>
          </w:p>
        </w:tc>
        <w:tc>
          <w:tcPr>
            <w:tcW w:w="3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Transactions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ind w:left="120"/>
              <w:spacing w:after="0"/>
              <w:rPr>
                <w:sz w:val="20"/>
                <w:szCs w:val="20"/>
                <w:color w:val="auto"/>
              </w:rPr>
            </w:pPr>
            <w:r>
              <w:rPr>
                <w:rFonts w:ascii="Arial" w:cs="Arial" w:eastAsia="Arial" w:hAnsi="Arial"/>
                <w:sz w:val="18"/>
                <w:szCs w:val="18"/>
                <w:b w:val="1"/>
                <w:bCs w:val="1"/>
                <w:color w:val="auto"/>
              </w:rPr>
              <w:t>and Interest Rate Swaps</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30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vMerge w:val="continue"/>
            <w:shd w:val="clear" w:color="auto" w:fill="CFF0FC"/>
          </w:tcPr>
          <w:p>
            <w:pPr>
              <w:spacing w:after="0"/>
              <w:rPr>
                <w:sz w:val="19"/>
                <w:szCs w:val="19"/>
                <w:color w:val="auto"/>
              </w:rPr>
            </w:pPr>
          </w:p>
        </w:tc>
        <w:tc>
          <w:tcPr>
            <w:tcW w:w="3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8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259"/>
        <w:spacing w:after="0" w:line="272" w:lineRule="auto"/>
        <w:rPr>
          <w:sz w:val="20"/>
          <w:szCs w:val="20"/>
          <w:color w:val="auto"/>
        </w:rPr>
      </w:pPr>
      <w:r>
        <w:rPr>
          <w:rFonts w:ascii="Arial" w:cs="Arial" w:eastAsia="Arial" w:hAnsi="Arial"/>
          <w:sz w:val="17"/>
          <w:szCs w:val="17"/>
          <w:color w:val="auto"/>
        </w:rPr>
        <w:t>For the years ended December 31, 2014, 2013 and 2012 we had net realized gains on investments of $0.1 million, $1.1 million and $4.4 million, respectively. For the year ended December 31, 2014, we had net realized losses on foreign currency transactions of $0.4 million, primarily as a result of translating foreign currency related to one of our non-USD denominated investments. For the year ended December 31, 2014 we had net realized losses on foreign currency forward contracts of $1.6 million primarily as a result of settling our foreign currency forward contracts. For the year ended December 31, 2014, we had net realized gains on foreign currency borrowings of $0.2 million. For the year ended December 31, 2013 we had net realized gains on foreign currency transactions and foreign currency forward contracts of less than $0.1 million. For the year ended December 31, 2012 we did not have realized gains or losses on foreign currency transactions, foreign currency forward contracts or foreign currency borrowings.</w:t>
      </w:r>
    </w:p>
    <w:p>
      <w:pPr>
        <w:spacing w:after="0" w:line="178" w:lineRule="exact"/>
        <w:rPr>
          <w:sz w:val="20"/>
          <w:szCs w:val="20"/>
          <w:color w:val="auto"/>
        </w:rPr>
      </w:pPr>
    </w:p>
    <w:p>
      <w:pPr>
        <w:ind w:right="160" w:firstLine="259"/>
        <w:spacing w:after="0" w:line="255" w:lineRule="auto"/>
        <w:rPr>
          <w:sz w:val="20"/>
          <w:szCs w:val="20"/>
          <w:color w:val="auto"/>
        </w:rPr>
      </w:pPr>
      <w:r>
        <w:rPr>
          <w:rFonts w:ascii="Arial" w:cs="Arial" w:eastAsia="Arial" w:hAnsi="Arial"/>
          <w:sz w:val="18"/>
          <w:szCs w:val="18"/>
          <w:color w:val="auto"/>
        </w:rPr>
        <w:t>For the year ended December 31, 2014 we had $5.4 million in unrealized appreciation on 10 portfolio company investments, which was offset by $34.3 million in unrealized depreciation on 35 portfolio company investments. Unrealized appreciation for the year ended December 31, 2014 resulted from an increase in fair market value, primarily due to a tightening spread environment during the six months ended June 30, 2014 and positive credit-related adjustments. Unrealized depreciation for the year ended December 31, 2014 resulted from the reversal of prior period unrealized appreciation, primarily due to a widening spread environment during the six months ended December 31, 2014, and in some instances negative credit-related and energy-related adjustments.</w:t>
      </w:r>
    </w:p>
    <w:p>
      <w:pPr>
        <w:spacing w:after="0" w:line="193" w:lineRule="exact"/>
        <w:rPr>
          <w:sz w:val="20"/>
          <w:szCs w:val="20"/>
          <w:color w:val="auto"/>
        </w:rPr>
      </w:pPr>
    </w:p>
    <w:p>
      <w:pPr>
        <w:ind w:right="160" w:firstLine="259"/>
        <w:spacing w:after="0" w:line="273" w:lineRule="auto"/>
        <w:rPr>
          <w:sz w:val="20"/>
          <w:szCs w:val="20"/>
          <w:color w:val="auto"/>
        </w:rPr>
      </w:pPr>
      <w:r>
        <w:rPr>
          <w:rFonts w:ascii="Arial" w:cs="Arial" w:eastAsia="Arial" w:hAnsi="Arial"/>
          <w:sz w:val="17"/>
          <w:szCs w:val="17"/>
          <w:color w:val="auto"/>
        </w:rPr>
        <w:t>For the year ended December 31, 2013 we had $13.4 million in unrealized appreciation on 24 portfolio company investments, which was partially offset by $3.8 million in unrealized depreciation on nine portfolio company investments. For the year ended December 31, 2012 we had $9.2 million in unrealized appreciation on 13 portfolio company investments, which was partially offset by $2.0 million in unrealized depreciation on five portfolio company investments. Unrealized appreciation for the years ended December 31, 2013 and 2012 resulted from increases in fair market value, primarily due to a tightening spread environment and positive credit-related adjustments. Unrealized depreciation for the years ended December 31, 2013 and 2012 primarily resulted from the reversal of prior period unrealized appreciation and in some instances negative credit-related adjustments.</w:t>
      </w:r>
    </w:p>
    <w:p>
      <w:pPr>
        <w:spacing w:after="0" w:line="178"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For the year ended December 31, 2014 we had unrealized appreciation on foreign currency borrowings of $8.9 million, primarily as a result of fluctuations in the GBP, SEK and EUR exchange rates. For the years ended December 31, 2013 and 2012, we did not have unrealized appreciation or depreciation on foreign currency borrowings. For the year ended December 31, 2014 we had unrealized appreciation on foreign currency forward contracts of $1.3 million as a result of the reversal of prior period unrealized depreciation due to settling our foreign currency forward contracts. For the year ended December 31, 2013 we had unrealized depreciation on foreign currency forward contracts of $1.2 million. For the year ended December 31, 2014 we had unrealized appreciation on interest rate swaps of $1.0 million due to fluctuations in interest rates. For the years ended December 31, 2013 and 2012 we did not have unrealized appreciation or depreciation on interest rate swaps.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66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Aggregate Cash Flow Realized Gross Internal Rate of Return</w:t>
      </w:r>
    </w:p>
    <w:p>
      <w:pPr>
        <w:spacing w:after="0" w:line="117" w:lineRule="exact"/>
        <w:rPr>
          <w:sz w:val="20"/>
          <w:szCs w:val="20"/>
          <w:color w:val="auto"/>
        </w:rPr>
      </w:pPr>
    </w:p>
    <w:p>
      <w:pPr>
        <w:jc w:val="both"/>
        <w:ind w:right="120" w:firstLine="259"/>
        <w:spacing w:after="0" w:line="286" w:lineRule="auto"/>
        <w:rPr>
          <w:sz w:val="20"/>
          <w:szCs w:val="20"/>
          <w:color w:val="auto"/>
        </w:rPr>
      </w:pPr>
      <w:r>
        <w:rPr>
          <w:rFonts w:ascii="Arial" w:cs="Arial" w:eastAsia="Arial" w:hAnsi="Arial"/>
          <w:sz w:val="17"/>
          <w:szCs w:val="17"/>
          <w:color w:val="auto"/>
        </w:rPr>
        <w:t>Since we began investing in 2011 through December 31, 2014, our exited investments have resulted in an aggregate cash flow realized gross internal rate of return to us of 16.6% (based on cash invested of $834.8 million and total proceeds from these exited investments of $991.9 million). Eighty three percent of these exited investments resulted in an aggregate cash flow realized gross internal rate of return to us of 10% or greater.</w:t>
      </w:r>
    </w:p>
    <w:p>
      <w:pPr>
        <w:spacing w:after="0" w:line="166"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81" w:lineRule="exact"/>
        <w:rPr>
          <w:sz w:val="20"/>
          <w:szCs w:val="20"/>
          <w:color w:val="auto"/>
        </w:rPr>
      </w:pPr>
    </w:p>
    <w:p>
      <w:pPr>
        <w:jc w:val="both"/>
        <w:ind w:right="100" w:firstLine="259"/>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7" w:lineRule="exact"/>
        <w:rPr>
          <w:sz w:val="20"/>
          <w:szCs w:val="20"/>
          <w:color w:val="auto"/>
        </w:rPr>
      </w:pPr>
    </w:p>
    <w:p>
      <w:pPr>
        <w:ind w:right="240" w:firstLine="259"/>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154"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 For additional information on these amounts, see “—Results of Operations—Expenses” and “—Results of Operations—Income Tax Expense, Including Excise Tax” above.</w:t>
      </w:r>
    </w:p>
    <w:p>
      <w:pPr>
        <w:spacing w:after="0" w:line="187" w:lineRule="exact"/>
        <w:rPr>
          <w:sz w:val="20"/>
          <w:szCs w:val="20"/>
          <w:color w:val="auto"/>
        </w:rPr>
      </w:pPr>
    </w:p>
    <w:p>
      <w:pPr>
        <w:jc w:val="both"/>
        <w:ind w:right="460" w:firstLine="259"/>
        <w:spacing w:after="0" w:line="264"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 For additional information on our unrealized gains and losses, see “—Results of Operations—Net Change in Unrealized Gains/Losses”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117"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During the year ended December 31, 2014, we entered into foreign currency forward contracts related to our non-USD denominated investments, which in total generated an unrealized gain of $1.2 million and a realized loss of $1.6 million. As of December 31, 2014, we did not have any open foreign currency forward contracts. During the year ended December 31, 2013, we entered into foreign currency forward contracts related to our non-USD denominated investments, which in total generated an unrealized loss of $1.2 million and a realized gain of less than $0.1 million. Other than these foreign currency forward contracts and the interest rate swaps we entered into in connection with our Convertible Senior Notes, we did not enter into any other interest rate or other derivative agreements. We bear the costs incurred in connection with entering into, administering and settling derivative contracts. There can be no assurance any hedging strategy we employ will be successful.</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During the year ended December 31, 2012 we did not enter into any interest rate, foreign currency forward contracts or other derivative agreements.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2" w:lineRule="exact"/>
        <w:rPr>
          <w:sz w:val="20"/>
          <w:szCs w:val="20"/>
          <w:color w:val="auto"/>
        </w:rPr>
      </w:pPr>
    </w:p>
    <w:p>
      <w:pPr>
        <w:ind w:left="520" w:hanging="253"/>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cash distributions to the holders of our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665" w:right="239" w:bottom="1440" w:gutter="0" w:footer="0" w:header="0"/>
        </w:sectPr>
      </w:pPr>
    </w:p>
    <w:bookmarkStart w:id="63" w:name="page64"/>
    <w:bookmarkEnd w:id="63"/>
    <w:p>
      <w:pPr>
        <w:ind w:firstLine="259"/>
        <w:spacing w:after="0" w:line="255" w:lineRule="auto"/>
        <w:rPr>
          <w:sz w:val="20"/>
          <w:szCs w:val="20"/>
          <w:color w:val="auto"/>
        </w:rPr>
      </w:pPr>
      <w:r>
        <w:rPr>
          <w:rFonts w:ascii="Arial" w:cs="Arial" w:eastAsia="Arial" w:hAnsi="Arial"/>
          <w:sz w:val="18"/>
          <w:szCs w:val="18"/>
          <w:color w:val="auto"/>
        </w:rPr>
        <w:t>The capital commitments of our private phase investors terminated upon the completion of our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December 31, 2014, 2013 and 2012, our asset coverage ratio was 311.0%, 232.9% and 244.6%, respectively.</w:t>
      </w:r>
    </w:p>
    <w:p>
      <w:pPr>
        <w:spacing w:after="0" w:line="189" w:lineRule="exact"/>
        <w:rPr>
          <w:sz w:val="20"/>
          <w:szCs w:val="20"/>
          <w:color w:val="auto"/>
        </w:rPr>
      </w:pPr>
    </w:p>
    <w:p>
      <w:pPr>
        <w:jc w:val="both"/>
        <w:ind w:right="380" w:firstLine="259"/>
        <w:spacing w:after="0" w:line="264" w:lineRule="auto"/>
        <w:rPr>
          <w:sz w:val="20"/>
          <w:szCs w:val="20"/>
          <w:color w:val="auto"/>
        </w:rPr>
      </w:pPr>
      <w:r>
        <w:rPr>
          <w:rFonts w:ascii="Arial" w:cs="Arial" w:eastAsia="Arial" w:hAnsi="Arial"/>
          <w:sz w:val="18"/>
          <w:szCs w:val="18"/>
          <w:color w:val="auto"/>
        </w:rPr>
        <w:t>Cash and cash equivalents as of December 31, 2014, taken together with cash available under our credit facilities, is expected to be sufficient for our investing activities and to conduct our operations in the near term. As of December 31, 2014, we had approximately $511.5 million of availability on our revolving credit facilities.</w:t>
      </w:r>
    </w:p>
    <w:p>
      <w:pPr>
        <w:spacing w:after="0" w:line="181" w:lineRule="exact"/>
        <w:rPr>
          <w:sz w:val="20"/>
          <w:szCs w:val="20"/>
          <w:color w:val="auto"/>
        </w:rPr>
      </w:pPr>
    </w:p>
    <w:p>
      <w:pPr>
        <w:ind w:right="160" w:firstLine="259"/>
        <w:spacing w:after="0" w:line="273" w:lineRule="auto"/>
        <w:rPr>
          <w:sz w:val="20"/>
          <w:szCs w:val="20"/>
          <w:color w:val="auto"/>
        </w:rPr>
      </w:pPr>
      <w:r>
        <w:rPr>
          <w:rFonts w:ascii="Arial" w:cs="Arial" w:eastAsia="Arial" w:hAnsi="Arial"/>
          <w:sz w:val="17"/>
          <w:szCs w:val="17"/>
          <w:color w:val="auto"/>
        </w:rPr>
        <w:t>As of December 31, 2014, we had $2.4 million in cash and cash equivalents, a decrease of $1.1 million from December 31, 2013. During the year ended December 31, 2014, we used net $148.8 million in cash for operating activities, primarily as a result of funding portfolio investments of $974.8 million, which was partially offset by proceeds from investments of $100.7 million, repayments on investments of $620.7 million, other operating activity of $19.6 million, and an increase in net assets resulting from operations of $85.0 million. Lastly, cash provided by financing activities was $147.8 million during the period, primarily due to net borrowings of $1,108.1 million and proceeds from issuance of common stock of $234.4 million, partially offset by net repayments on debt of $1,135.4 million, debt issuance costs of $6.8 million and dividends paid of $52.6 million.</w:t>
      </w:r>
    </w:p>
    <w:p>
      <w:pPr>
        <w:spacing w:after="0" w:line="178" w:lineRule="exact"/>
        <w:rPr>
          <w:sz w:val="20"/>
          <w:szCs w:val="20"/>
          <w:color w:val="auto"/>
        </w:rPr>
      </w:pPr>
    </w:p>
    <w:p>
      <w:pPr>
        <w:ind w:right="200" w:firstLine="259"/>
        <w:spacing w:after="0" w:line="293" w:lineRule="auto"/>
        <w:rPr>
          <w:sz w:val="20"/>
          <w:szCs w:val="20"/>
          <w:color w:val="auto"/>
        </w:rPr>
      </w:pPr>
      <w:r>
        <w:rPr>
          <w:rFonts w:ascii="Arial" w:cs="Arial" w:eastAsia="Arial" w:hAnsi="Arial"/>
          <w:sz w:val="16"/>
          <w:szCs w:val="16"/>
          <w:color w:val="auto"/>
        </w:rPr>
        <w:t>As of December 31, 2013, we had $3.5 million in cash and cash equivalents, a decrease of $158.3 million from December 31, 2012. The decrease was primarily attributable to investments made during the period. During the year ended December 31, 2013, we used net $289.6 million in operating activities, primarily as a result of funding of portfolio investments of $603.0 million. This was partially offset by proceeds from investments of $46.4 million, repayments on investments of $214.3 million, an increase in net assets resulting from operations of $67.0 million and other operating activity of $14.3 million. Lastly, cash provided by financing activities was $131.3 million during the period, primarily due to proceeds from issuance of common stock of $56.9 million and net borrowings of $100.4 million, partially offset by debt issuance costs of $1.6 million and dividends paid of $24.4 million.</w:t>
      </w:r>
    </w:p>
    <w:p>
      <w:pPr>
        <w:spacing w:after="0" w:line="165" w:lineRule="exact"/>
        <w:rPr>
          <w:sz w:val="20"/>
          <w:szCs w:val="20"/>
          <w:color w:val="auto"/>
        </w:rPr>
      </w:pPr>
    </w:p>
    <w:p>
      <w:pPr>
        <w:ind w:firstLine="259"/>
        <w:spacing w:after="0" w:line="254" w:lineRule="auto"/>
        <w:rPr>
          <w:sz w:val="20"/>
          <w:szCs w:val="20"/>
          <w:color w:val="auto"/>
        </w:rPr>
      </w:pPr>
      <w:r>
        <w:rPr>
          <w:rFonts w:ascii="Arial" w:cs="Arial" w:eastAsia="Arial" w:hAnsi="Arial"/>
          <w:sz w:val="18"/>
          <w:szCs w:val="18"/>
          <w:color w:val="auto"/>
        </w:rPr>
        <w:t>As of December 31, 2014, we had $2.3 million of restricted cash pledged as collateral under our interest rate swap agreements, which we entered into in June 2014. As of December 31, 2014, we had $10.2 million of restricted cash in our wholly owned subsidiary TPG SL SPV, an increase of $3.9 million from December 31, 2013. The increase was primarily attributable to increased interest payments from additional investments contributed to TPG SL SPV. Proceeds received by TPG SL SPV from interest and principal at the end of a quarterly reporting period that have not gone through a settlement process are considered to be restricted cash. The settlement process involves the payment of certain required amounts under the SPV Asset Facility, following which excess cash generated in TPG SL SPV may be distributed to us. Restricted cash is a component of prepaid expenses and other assets in our consolidated financial statements. For additional information concerning restricted cash and our revolving credit facility, see “—Financial Condition, Liquidity and Capital Resources—SPV Asset Facility.”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right="740" w:firstLine="259"/>
        <w:spacing w:after="0" w:line="342" w:lineRule="auto"/>
        <w:rPr>
          <w:sz w:val="20"/>
          <w:szCs w:val="20"/>
          <w:color w:val="auto"/>
        </w:rPr>
      </w:pPr>
      <w:r>
        <w:rPr>
          <w:rFonts w:ascii="Arial" w:cs="Arial" w:eastAsia="Arial" w:hAnsi="Arial"/>
          <w:sz w:val="16"/>
          <w:szCs w:val="16"/>
          <w:color w:val="auto"/>
        </w:rPr>
        <w:t>On March 26, 2014, we closed our IPO and issued 7,000,000 shares at $16.00 per share, and closed our concurrent private placement and issued 3,124,984 shares at $16.00 per share. Net of underwriting fees and offering costs, we received total cash proceeds of $151.6 million.</w:t>
      </w:r>
    </w:p>
    <w:p>
      <w:pPr>
        <w:spacing w:after="0" w:line="124" w:lineRule="exact"/>
        <w:rPr>
          <w:sz w:val="20"/>
          <w:szCs w:val="20"/>
          <w:color w:val="auto"/>
        </w:rPr>
      </w:pPr>
    </w:p>
    <w:p>
      <w:pPr>
        <w:jc w:val="both"/>
        <w:ind w:right="140" w:firstLine="259"/>
        <w:spacing w:after="0" w:line="277" w:lineRule="auto"/>
        <w:rPr>
          <w:sz w:val="20"/>
          <w:szCs w:val="20"/>
          <w:color w:val="auto"/>
        </w:rPr>
      </w:pPr>
      <w:r>
        <w:rPr>
          <w:rFonts w:ascii="Arial" w:cs="Arial" w:eastAsia="Arial" w:hAnsi="Arial"/>
          <w:sz w:val="18"/>
          <w:szCs w:val="18"/>
          <w:color w:val="auto"/>
        </w:rPr>
        <w:t>In April 2014, we issued an additional 1,050,000 shares of stock pursuant to the exercise of the underwriters’ over-allotment option. Net of underwriting fees and offering costs, we received additional total cash proceeds of $15.4 million.</w:t>
      </w:r>
    </w:p>
    <w:p>
      <w:pPr>
        <w:spacing w:after="0" w:line="170" w:lineRule="exact"/>
        <w:rPr>
          <w:sz w:val="20"/>
          <w:szCs w:val="20"/>
          <w:color w:val="auto"/>
        </w:rPr>
      </w:pPr>
    </w:p>
    <w:p>
      <w:pPr>
        <w:jc w:val="both"/>
        <w:ind w:right="140" w:firstLine="259"/>
        <w:spacing w:after="0" w:line="264" w:lineRule="auto"/>
        <w:rPr>
          <w:sz w:val="20"/>
          <w:szCs w:val="20"/>
          <w:color w:val="auto"/>
        </w:rPr>
      </w:pPr>
      <w:r>
        <w:rPr>
          <w:rFonts w:ascii="Arial" w:cs="Arial" w:eastAsia="Arial" w:hAnsi="Arial"/>
          <w:sz w:val="18"/>
          <w:szCs w:val="18"/>
          <w:color w:val="auto"/>
        </w:rPr>
        <w:t>Prior to December 31, 2013, we entered into subscription agreements with our private phase investors, including our Adviser and its affiliates, providing for the private placement of our common stock, which brought our total capital commitments to $1.5 billion (including $117.1 million from our Adviser and its affiliates).</w:t>
      </w:r>
    </w:p>
    <w:p>
      <w:pPr>
        <w:spacing w:after="0" w:line="181" w:lineRule="exact"/>
        <w:rPr>
          <w:sz w:val="20"/>
          <w:szCs w:val="20"/>
          <w:color w:val="auto"/>
        </w:rPr>
      </w:pPr>
    </w:p>
    <w:p>
      <w:pPr>
        <w:ind w:right="220" w:firstLine="259"/>
        <w:spacing w:after="0" w:line="342" w:lineRule="auto"/>
        <w:rPr>
          <w:sz w:val="20"/>
          <w:szCs w:val="20"/>
          <w:color w:val="auto"/>
        </w:rPr>
      </w:pPr>
      <w:r>
        <w:rPr>
          <w:rFonts w:ascii="Arial" w:cs="Arial" w:eastAsia="Arial" w:hAnsi="Arial"/>
          <w:sz w:val="16"/>
          <w:szCs w:val="16"/>
          <w:color w:val="auto"/>
        </w:rPr>
        <w:t>During the year ended December 31, 2013, we delivered drawdown notices to our investors relating to the issuance of 3,713,053 shares of our common stock for aggregate proceeds of $57 million. Proceeds from the issuances were used in investing activities and for other general corporate purposes.</w:t>
      </w:r>
    </w:p>
    <w:p>
      <w:pPr>
        <w:spacing w:after="0" w:line="124" w:lineRule="exact"/>
        <w:rPr>
          <w:sz w:val="20"/>
          <w:szCs w:val="20"/>
          <w:color w:val="auto"/>
        </w:rPr>
      </w:pPr>
    </w:p>
    <w:p>
      <w:pPr>
        <w:jc w:val="both"/>
        <w:ind w:right="360" w:firstLine="259"/>
        <w:spacing w:after="0" w:line="264" w:lineRule="auto"/>
        <w:rPr>
          <w:sz w:val="20"/>
          <w:szCs w:val="20"/>
          <w:color w:val="auto"/>
        </w:rPr>
      </w:pPr>
      <w:r>
        <w:rPr>
          <w:rFonts w:ascii="Arial" w:cs="Arial" w:eastAsia="Arial" w:hAnsi="Arial"/>
          <w:sz w:val="18"/>
          <w:szCs w:val="18"/>
          <w:color w:val="auto"/>
        </w:rPr>
        <w:t>During the year ended December 31, 2014, we did not deliver any drawdown notices to our investors. On December 31, 2013, we delivered a capital drawdown notice to our investors relating to the sale of 4,234,501 shares of our common stock for an aggregate offering price of $65.0 million. The sale closed on January 15, 2014. This capital drawdown notice is reflected in the number of shares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557" w:right="259" w:bottom="1440" w:gutter="0" w:footer="0" w:header="0"/>
        </w:sectPr>
      </w:pPr>
    </w:p>
    <w:bookmarkStart w:id="64" w:name="page65"/>
    <w:bookmarkEnd w:id="64"/>
    <w:p>
      <w:pPr>
        <w:spacing w:after="0"/>
        <w:rPr>
          <w:sz w:val="20"/>
          <w:szCs w:val="20"/>
          <w:color w:val="auto"/>
        </w:rPr>
      </w:pPr>
      <w:r>
        <w:rPr>
          <w:rFonts w:ascii="Arial" w:cs="Arial" w:eastAsia="Arial" w:hAnsi="Arial"/>
          <w:sz w:val="17"/>
          <w:szCs w:val="17"/>
          <w:color w:val="auto"/>
        </w:rPr>
        <w:t>issued for the year ended December 31, 2014 in the prior paragraph and the consolidated financial statements for the year ended December 31, 2014.</w:t>
      </w:r>
    </w:p>
    <w:p>
      <w:pPr>
        <w:spacing w:after="0" w:line="237" w:lineRule="exact"/>
        <w:rPr>
          <w:sz w:val="20"/>
          <w:szCs w:val="20"/>
          <w:color w:val="auto"/>
        </w:rPr>
      </w:pPr>
    </w:p>
    <w:p>
      <w:pPr>
        <w:jc w:val="both"/>
        <w:ind w:right="80" w:firstLine="259"/>
        <w:spacing w:after="0" w:line="264" w:lineRule="auto"/>
        <w:rPr>
          <w:sz w:val="20"/>
          <w:szCs w:val="20"/>
          <w:color w:val="auto"/>
        </w:rPr>
      </w:pPr>
      <w:r>
        <w:rPr>
          <w:rFonts w:ascii="Arial" w:cs="Arial" w:eastAsia="Arial" w:hAnsi="Arial"/>
          <w:sz w:val="18"/>
          <w:szCs w:val="18"/>
          <w:color w:val="auto"/>
        </w:rPr>
        <w:t>From inception through March 26, 2014, we had drawn down a total of $0.6 billion of capital and issued 38.9 million shares, excluding equity and shares issued through our dividend reinvestment plan. The remaining unfunded commitments under the subscription agreements terminated upon the completion of our IPO in March 2014, and hence as of December 31, 2014 no longer remain in effect.</w:t>
      </w:r>
    </w:p>
    <w:p>
      <w:pPr>
        <w:spacing w:after="0" w:line="181"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During the years ended December 31, 2014 and 2013, we issued 1,361,850 and 1,730,042 shares of our common stock, respectively, to investors who have not opted out of our dividend reinvestment plan for proceeds of $22.6 million and $26.4 million, respectively. On February 2, 2015, we issued 162,490 shares of our common stock through our dividend reinvestment plan for proceeds of $2.7 million, which is not reflected in the number of shares issued for the year ended December 31, 2014 in this section or the consolidated financial statements for the year ended December 31, 2014.</w:t>
      </w:r>
    </w:p>
    <w:p>
      <w:pPr>
        <w:spacing w:after="0" w:line="171" w:lineRule="exact"/>
        <w:rPr>
          <w:sz w:val="20"/>
          <w:szCs w:val="20"/>
          <w:color w:val="auto"/>
        </w:rPr>
      </w:pPr>
    </w:p>
    <w:p>
      <w:pPr>
        <w:ind w:right="160" w:firstLine="259"/>
        <w:spacing w:after="0" w:line="342" w:lineRule="auto"/>
        <w:rPr>
          <w:sz w:val="20"/>
          <w:szCs w:val="20"/>
          <w:color w:val="auto"/>
        </w:rPr>
      </w:pPr>
      <w:r>
        <w:rPr>
          <w:rFonts w:ascii="Arial" w:cs="Arial" w:eastAsia="Arial" w:hAnsi="Arial"/>
          <w:sz w:val="16"/>
          <w:szCs w:val="16"/>
          <w:color w:val="auto"/>
        </w:rPr>
        <w:t>On November 3, 2014, the Board of Directors approved the Company 10b5-1 Plan to acquire up to $50 million in the aggregate of our common stock at prices below our net asset value over a specified period, in accordance with the guidelines specified in Rule 10b-18 and Rule 10b5-1 of the Exchange Act.</w:t>
      </w:r>
    </w:p>
    <w:p>
      <w:pPr>
        <w:spacing w:after="0" w:line="124" w:lineRule="exact"/>
        <w:rPr>
          <w:sz w:val="20"/>
          <w:szCs w:val="20"/>
          <w:color w:val="auto"/>
        </w:rPr>
      </w:pPr>
    </w:p>
    <w:p>
      <w:pPr>
        <w:ind w:right="100" w:firstLine="259"/>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an agent selected by us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24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180" w:firstLine="259"/>
        <w:spacing w:after="0" w:line="259" w:lineRule="auto"/>
        <w:rPr>
          <w:sz w:val="20"/>
          <w:szCs w:val="20"/>
          <w:color w:val="auto"/>
        </w:rPr>
      </w:pPr>
      <w:r>
        <w:rPr>
          <w:rFonts w:ascii="Arial" w:cs="Arial" w:eastAsia="Arial" w:hAnsi="Arial"/>
          <w:sz w:val="18"/>
          <w:szCs w:val="18"/>
          <w:color w:val="auto"/>
        </w:rPr>
        <w:t>Unless extended or terminated by the Board of Directors, the Company 10b5-1 Plan will be in effect through the earlier of May 4, 2015 or such time as the approved $50 million repurchase amount has been fully utilized, subject to certain conditions. On February 20, 2015, our Board of Directors authorized the extension of the termination date of the Company 10b5-1 Plan from May 4, 2015 to June 30, 2015. As of December 31, 2014, no shares had been repurchased under the Company 10b5-1 Plan.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consisted of the following as of December 31, 2014 and 2013:</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2014</w:t>
            </w:r>
          </w:p>
        </w:tc>
        <w:tc>
          <w:tcPr>
            <w:tcW w:w="1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3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w w:val="95"/>
              </w:rPr>
              <w:t>Aggregate Principal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18"/>
              <w:spacing w:after="0" w:line="147" w:lineRule="exact"/>
              <w:rPr>
                <w:sz w:val="20"/>
                <w:szCs w:val="20"/>
                <w:color w:val="auto"/>
              </w:rPr>
            </w:pPr>
            <w:r>
              <w:rPr>
                <w:rFonts w:ascii="Arial" w:cs="Arial" w:eastAsia="Arial" w:hAnsi="Arial"/>
                <w:sz w:val="14"/>
                <w:szCs w:val="14"/>
                <w:b w:val="1"/>
                <w:bCs w:val="1"/>
                <w:color w:val="auto"/>
                <w:w w:val="94"/>
              </w:rPr>
              <w:t>Outstanding</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56"/>
              <w:spacing w:after="0" w:line="147"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2"/>
                <w:szCs w:val="12"/>
                <w:color w:val="auto"/>
              </w:rPr>
            </w:pPr>
          </w:p>
        </w:tc>
      </w:tr>
      <w:tr>
        <w:trPr>
          <w:trHeight w:val="171"/>
        </w:trPr>
        <w:tc>
          <w:tcPr>
            <w:tcW w:w="3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Amount Committed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18"/>
              <w:spacing w:after="0"/>
              <w:rPr>
                <w:sz w:val="20"/>
                <w:szCs w:val="20"/>
                <w:color w:val="auto"/>
              </w:rPr>
            </w:pPr>
            <w:r>
              <w:rPr>
                <w:rFonts w:ascii="Arial" w:cs="Arial" w:eastAsia="Arial" w:hAnsi="Arial"/>
                <w:sz w:val="14"/>
                <w:szCs w:val="14"/>
                <w:b w:val="1"/>
                <w:bCs w:val="1"/>
                <w:color w:val="auto"/>
                <w:w w:val="97"/>
              </w:rPr>
              <w:t>Principal</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Available (1)</w:t>
            </w:r>
          </w:p>
        </w:tc>
        <w:tc>
          <w:tcPr>
            <w:tcW w:w="1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SPV Asset Facility </w:t>
            </w:r>
            <w:r>
              <w:rPr>
                <w:rFonts w:ascii="Arial" w:cs="Arial" w:eastAsia="Arial" w:hAnsi="Arial"/>
                <w:sz w:val="15"/>
                <w:szCs w:val="15"/>
                <w:color w:val="auto"/>
              </w:rPr>
              <w:t>(2)</w:t>
            </w:r>
          </w:p>
        </w:tc>
        <w:tc>
          <w:tcPr>
            <w:tcW w:w="14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175,000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106,725</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45,279</w:t>
            </w: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$ 106,725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781,250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177,216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466,189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177,216</w:t>
            </w:r>
          </w:p>
        </w:tc>
        <w:tc>
          <w:tcPr>
            <w:tcW w:w="80" w:type="dxa"/>
            <w:vAlign w:val="bottom"/>
          </w:tcPr>
          <w:p>
            <w:pPr>
              <w:spacing w:after="0"/>
              <w:rPr>
                <w:sz w:val="19"/>
                <w:szCs w:val="19"/>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14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111,923</w:t>
            </w:r>
          </w:p>
        </w:tc>
        <w:tc>
          <w:tcPr>
            <w:tcW w:w="80" w:type="dxa"/>
            <w:vAlign w:val="bottom"/>
            <w:shd w:val="clear" w:color="auto" w:fill="CFF0FC"/>
          </w:tcPr>
          <w:p>
            <w:pPr>
              <w:spacing w:after="0"/>
              <w:rPr>
                <w:sz w:val="19"/>
                <w:szCs w:val="19"/>
                <w:color w:val="auto"/>
              </w:rPr>
            </w:pPr>
          </w:p>
        </w:tc>
      </w:tr>
      <w:tr>
        <w:trPr>
          <w:trHeight w:val="223"/>
        </w:trPr>
        <w:tc>
          <w:tcPr>
            <w:tcW w:w="3600" w:type="dxa"/>
            <w:vAlign w:val="bottom"/>
          </w:tcPr>
          <w:p>
            <w:pPr>
              <w:ind w:left="240"/>
              <w:spacing w:after="0"/>
              <w:rPr>
                <w:sz w:val="20"/>
                <w:szCs w:val="20"/>
                <w:color w:val="auto"/>
              </w:rPr>
            </w:pPr>
            <w:r>
              <w:rPr>
                <w:rFonts w:ascii="Arial" w:cs="Arial" w:eastAsia="Arial" w:hAnsi="Arial"/>
                <w:sz w:val="18"/>
                <w:szCs w:val="18"/>
                <w:b w:val="1"/>
                <w:bCs w:val="1"/>
                <w:color w:val="auto"/>
              </w:rPr>
              <w:t>Total Debt</w:t>
            </w:r>
          </w:p>
        </w:tc>
        <w:tc>
          <w:tcPr>
            <w:tcW w:w="14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1,071,250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398,941</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511,468</w:t>
            </w: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$ 395,864</w:t>
            </w:r>
          </w:p>
        </w:tc>
        <w:tc>
          <w:tcPr>
            <w:tcW w:w="8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3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2013</w:t>
            </w: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6"/>
        </w:trPr>
        <w:tc>
          <w:tcPr>
            <w:tcW w:w="3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w w:val="95"/>
              </w:rPr>
              <w:t>Aggregate Principal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18"/>
              <w:spacing w:after="0" w:line="147" w:lineRule="exact"/>
              <w:rPr>
                <w:sz w:val="20"/>
                <w:szCs w:val="20"/>
                <w:color w:val="auto"/>
              </w:rPr>
            </w:pPr>
            <w:r>
              <w:rPr>
                <w:rFonts w:ascii="Arial" w:cs="Arial" w:eastAsia="Arial" w:hAnsi="Arial"/>
                <w:sz w:val="14"/>
                <w:szCs w:val="14"/>
                <w:b w:val="1"/>
                <w:bCs w:val="1"/>
                <w:color w:val="auto"/>
                <w:w w:val="94"/>
              </w:rPr>
              <w:t>Outstanding</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56"/>
              <w:spacing w:after="0" w:line="147"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2"/>
                <w:szCs w:val="12"/>
                <w:color w:val="auto"/>
              </w:rPr>
            </w:pPr>
          </w:p>
        </w:tc>
      </w:tr>
      <w:tr>
        <w:trPr>
          <w:trHeight w:val="171"/>
        </w:trPr>
        <w:tc>
          <w:tcPr>
            <w:tcW w:w="3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Amount Committed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18"/>
              <w:spacing w:after="0"/>
              <w:rPr>
                <w:sz w:val="20"/>
                <w:szCs w:val="20"/>
                <w:color w:val="auto"/>
              </w:rPr>
            </w:pPr>
            <w:r>
              <w:rPr>
                <w:rFonts w:ascii="Arial" w:cs="Arial" w:eastAsia="Arial" w:hAnsi="Arial"/>
                <w:sz w:val="14"/>
                <w:szCs w:val="14"/>
                <w:b w:val="1"/>
                <w:bCs w:val="1"/>
                <w:color w:val="auto"/>
                <w:w w:val="97"/>
              </w:rPr>
              <w:t>Principal</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Available (1)</w:t>
            </w:r>
          </w:p>
        </w:tc>
        <w:tc>
          <w:tcPr>
            <w:tcW w:w="1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Subscription Credit Facility </w:t>
            </w:r>
            <w:r>
              <w:rPr>
                <w:rFonts w:ascii="Arial" w:cs="Arial" w:eastAsia="Arial" w:hAnsi="Arial"/>
                <w:sz w:val="15"/>
                <w:szCs w:val="15"/>
                <w:color w:val="auto"/>
              </w:rPr>
              <w:t>(3)</w:t>
            </w:r>
          </w:p>
        </w:tc>
        <w:tc>
          <w:tcPr>
            <w:tcW w:w="14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32,000</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68,000</w:t>
            </w: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  32,000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SPV Asset Facility</w:t>
            </w: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77,767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77,767</w:t>
            </w:r>
          </w:p>
        </w:tc>
        <w:tc>
          <w:tcPr>
            <w:tcW w:w="80" w:type="dxa"/>
            <w:vAlign w:val="bottom"/>
          </w:tcPr>
          <w:p>
            <w:pPr>
              <w:spacing w:after="0"/>
              <w:rPr>
                <w:sz w:val="19"/>
                <w:szCs w:val="19"/>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4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322,500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77,500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322,500</w:t>
            </w:r>
          </w:p>
        </w:tc>
        <w:tc>
          <w:tcPr>
            <w:tcW w:w="80" w:type="dxa"/>
            <w:vAlign w:val="bottom"/>
            <w:shd w:val="clear" w:color="auto" w:fill="CFF0FC"/>
          </w:tcPr>
          <w:p>
            <w:pPr>
              <w:spacing w:after="0"/>
              <w:rPr>
                <w:sz w:val="19"/>
                <w:szCs w:val="19"/>
                <w:color w:val="auto"/>
              </w:rPr>
            </w:pPr>
          </w:p>
        </w:tc>
      </w:tr>
      <w:tr>
        <w:trPr>
          <w:trHeight w:val="223"/>
        </w:trPr>
        <w:tc>
          <w:tcPr>
            <w:tcW w:w="3600" w:type="dxa"/>
            <w:vAlign w:val="bottom"/>
          </w:tcPr>
          <w:p>
            <w:pPr>
              <w:ind w:left="240"/>
              <w:spacing w:after="0"/>
              <w:rPr>
                <w:sz w:val="20"/>
                <w:szCs w:val="20"/>
                <w:color w:val="auto"/>
              </w:rPr>
            </w:pPr>
            <w:r>
              <w:rPr>
                <w:rFonts w:ascii="Arial" w:cs="Arial" w:eastAsia="Arial" w:hAnsi="Arial"/>
                <w:sz w:val="18"/>
                <w:szCs w:val="18"/>
                <w:b w:val="1"/>
                <w:bCs w:val="1"/>
                <w:color w:val="auto"/>
              </w:rPr>
              <w:t>Total Debt</w:t>
            </w:r>
          </w:p>
        </w:tc>
        <w:tc>
          <w:tcPr>
            <w:tcW w:w="14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432,267</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145,500</w:t>
            </w: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$ 432,267</w:t>
            </w:r>
          </w:p>
        </w:tc>
        <w:tc>
          <w:tcPr>
            <w:tcW w:w="8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9"/>
        </w:trPr>
        <w:tc>
          <w:tcPr>
            <w:tcW w:w="3600" w:type="dxa"/>
            <w:vAlign w:val="bottom"/>
          </w:tcPr>
          <w:p>
            <w:pPr>
              <w:spacing w:after="0"/>
              <w:rPr>
                <w:sz w:val="24"/>
                <w:szCs w:val="24"/>
                <w:color w:val="auto"/>
              </w:rPr>
            </w:pPr>
          </w:p>
        </w:tc>
        <w:tc>
          <w:tcPr>
            <w:tcW w:w="1800" w:type="dxa"/>
            <w:vAlign w:val="bottom"/>
            <w:gridSpan w:val="2"/>
          </w:tcPr>
          <w:p>
            <w:pPr>
              <w:jc w:val="right"/>
              <w:ind w:right="99"/>
              <w:spacing w:after="0"/>
              <w:rPr>
                <w:sz w:val="20"/>
                <w:szCs w:val="20"/>
                <w:color w:val="auto"/>
              </w:rPr>
            </w:pPr>
            <w:r>
              <w:rPr>
                <w:rFonts w:ascii="Arial" w:cs="Arial" w:eastAsia="Arial" w:hAnsi="Arial"/>
                <w:sz w:val="18"/>
                <w:szCs w:val="18"/>
                <w:color w:val="auto"/>
              </w:rPr>
              <w:t>65</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380"/>
          </w:cols>
          <w:pgMar w:left="240" w:top="557" w:right="279" w:bottom="1440" w:gutter="0" w:footer="0" w:header="0"/>
        </w:sectPr>
      </w:pPr>
    </w:p>
    <w:bookmarkStart w:id="65" w:name="page66"/>
    <w:bookmarkEnd w:id="65"/>
    <w:p>
      <w:pPr>
        <w:ind w:left="540" w:hanging="532"/>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40" w:hanging="532"/>
        <w:spacing w:after="0" w:line="250"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reinvestment period under the SPV Asset Facility terminated on January 21, 2015 and accordingly any undrawn availability under the facility also terminated</w:t>
      </w:r>
    </w:p>
    <w:p>
      <w:pPr>
        <w:ind w:left="540" w:right="500" w:hanging="532"/>
        <w:spacing w:after="0" w:line="261"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February 27, 2014, we terminated the Subscription Credit Facility, effective March 4, 2014. The outstanding balance was paid down prior to terminating the facility.</w:t>
      </w:r>
    </w:p>
    <w:p>
      <w:pPr>
        <w:spacing w:after="0" w:line="184"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As of December 31, 2014 and December 31, 2013, we were in compliance with the terms of our debt arrangements. We intend to continue to utilize our credit facilities to fund investments and for other general corporate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On February 27, 2014, we further amended and restated the agreement. The second amended and restated agreement (the Revolving Credit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among other things:</w:t>
      </w:r>
    </w:p>
    <w:p>
      <w:pPr>
        <w:spacing w:after="0" w:line="103" w:lineRule="exact"/>
        <w:rPr>
          <w:sz w:val="20"/>
          <w:szCs w:val="20"/>
          <w:color w:val="auto"/>
        </w:rPr>
      </w:pPr>
    </w:p>
    <w:p>
      <w:pPr>
        <w:ind w:left="520" w:hanging="253"/>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17" w:lineRule="exact"/>
        <w:rPr>
          <w:rFonts w:ascii="Arial" w:cs="Arial" w:eastAsia="Arial" w:hAnsi="Arial"/>
          <w:sz w:val="18"/>
          <w:szCs w:val="18"/>
          <w:color w:val="auto"/>
        </w:rPr>
      </w:pPr>
    </w:p>
    <w:p>
      <w:pPr>
        <w:ind w:left="520" w:right="500" w:hanging="253"/>
        <w:spacing w:after="0" w:line="277"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17" w:lineRule="exact"/>
        <w:rPr>
          <w:rFonts w:ascii="Arial" w:cs="Arial" w:eastAsia="Arial" w:hAnsi="Arial"/>
          <w:sz w:val="18"/>
          <w:szCs w:val="18"/>
          <w:color w:val="auto"/>
        </w:rPr>
      </w:pPr>
    </w:p>
    <w:p>
      <w:pPr>
        <w:ind w:left="780" w:right="260" w:hanging="254"/>
        <w:spacing w:after="0" w:line="277" w:lineRule="auto"/>
        <w:tabs>
          <w:tab w:leader="none" w:pos="7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we, subject to certain conditions, may make borrowings under the facility; and</w:t>
      </w:r>
    </w:p>
    <w:p>
      <w:pPr>
        <w:spacing w:after="0" w:line="62" w:lineRule="exact"/>
        <w:rPr>
          <w:rFonts w:ascii="Arial" w:cs="Arial" w:eastAsia="Arial" w:hAnsi="Arial"/>
          <w:sz w:val="18"/>
          <w:szCs w:val="18"/>
          <w:color w:val="auto"/>
        </w:rPr>
      </w:pPr>
    </w:p>
    <w:p>
      <w:pPr>
        <w:ind w:left="780" w:hanging="254"/>
        <w:spacing w:after="0"/>
        <w:tabs>
          <w:tab w:leader="none" w:pos="7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firstLine="259"/>
        <w:spacing w:after="0" w:line="342" w:lineRule="auto"/>
        <w:rPr>
          <w:sz w:val="20"/>
          <w:szCs w:val="20"/>
          <w:color w:val="auto"/>
        </w:rPr>
      </w:pPr>
      <w:r>
        <w:rPr>
          <w:rFonts w:ascii="Arial" w:cs="Arial" w:eastAsia="Arial" w:hAnsi="Arial"/>
          <w:sz w:val="16"/>
          <w:szCs w:val="16"/>
          <w:color w:val="auto"/>
        </w:rPr>
        <w:t>On May 30, 2014, we entered into agreements with various financial institutions pursuant to which each of the institutions agreed to provide commitments through the accordion feature of our Revolving Credit Facility, increasing the aggregate commitments from $581.3 million to $781.3 million.</w:t>
      </w:r>
    </w:p>
    <w:p>
      <w:pPr>
        <w:spacing w:after="0" w:line="124" w:lineRule="exact"/>
        <w:rPr>
          <w:sz w:val="20"/>
          <w:szCs w:val="20"/>
          <w:color w:val="auto"/>
        </w:rPr>
      </w:pPr>
    </w:p>
    <w:p>
      <w:pPr>
        <w:jc w:val="both"/>
        <w:ind w:right="220" w:firstLine="259"/>
        <w:spacing w:after="0" w:line="264" w:lineRule="auto"/>
        <w:rPr>
          <w:sz w:val="20"/>
          <w:szCs w:val="20"/>
          <w:color w:val="auto"/>
        </w:rPr>
      </w:pPr>
      <w:r>
        <w:rPr>
          <w:rFonts w:ascii="Arial" w:cs="Arial" w:eastAsia="Arial" w:hAnsi="Arial"/>
          <w:sz w:val="18"/>
          <w:szCs w:val="18"/>
          <w:color w:val="auto"/>
        </w:rPr>
        <w:t>On June 27, 2014, we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17, 2014, we entered into a third amendment to the Revolving Credit Facility:</w:t>
      </w:r>
    </w:p>
    <w:p>
      <w:pPr>
        <w:spacing w:after="0" w:line="117" w:lineRule="exact"/>
        <w:rPr>
          <w:sz w:val="20"/>
          <w:szCs w:val="20"/>
          <w:color w:val="auto"/>
        </w:rPr>
      </w:pPr>
    </w:p>
    <w:p>
      <w:pPr>
        <w:ind w:left="520" w:right="120" w:hanging="253"/>
        <w:spacing w:after="0" w:line="308" w:lineRule="auto"/>
        <w:tabs>
          <w:tab w:leader="none" w:pos="5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38" w:lineRule="exact"/>
        <w:rPr>
          <w:rFonts w:ascii="Arial" w:cs="Arial" w:eastAsia="Arial" w:hAnsi="Arial"/>
          <w:sz w:val="17"/>
          <w:szCs w:val="17"/>
          <w:color w:val="auto"/>
        </w:rPr>
      </w:pPr>
    </w:p>
    <w:p>
      <w:pPr>
        <w:ind w:left="520" w:hanging="253"/>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right="160" w:firstLine="259"/>
        <w:spacing w:after="0" w:line="286" w:lineRule="auto"/>
        <w:rPr>
          <w:sz w:val="20"/>
          <w:szCs w:val="20"/>
          <w:color w:val="auto"/>
        </w:rPr>
      </w:pPr>
      <w:r>
        <w:rPr>
          <w:rFonts w:ascii="Arial" w:cs="Arial" w:eastAsia="Arial" w:hAnsi="Arial"/>
          <w:sz w:val="17"/>
          <w:szCs w:val="17"/>
          <w:color w:val="auto"/>
        </w:rPr>
        <w:t>On October 23, 2014, we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341" w:right="259" w:bottom="1440" w:gutter="0" w:footer="0" w:header="0"/>
        </w:sectPr>
      </w:pPr>
    </w:p>
    <w:bookmarkStart w:id="66" w:name="page67"/>
    <w:bookmarkEnd w:id="66"/>
    <w:p>
      <w:pPr>
        <w:ind w:right="380" w:firstLine="259"/>
        <w:spacing w:after="0" w:line="277" w:lineRule="auto"/>
        <w:rPr>
          <w:sz w:val="20"/>
          <w:szCs w:val="20"/>
          <w:color w:val="auto"/>
        </w:rPr>
      </w:pPr>
      <w:r>
        <w:rPr>
          <w:rFonts w:ascii="Arial" w:cs="Arial" w:eastAsia="Arial" w:hAnsi="Arial"/>
          <w:sz w:val="18"/>
          <w:szCs w:val="18"/>
          <w:color w:val="auto"/>
        </w:rPr>
        <w:t>The Revolving Credit Facility continues to include the accordion feature, which would allow us, under certain circumstances, to increase the size to a maximum of $956.3 million.</w:t>
      </w:r>
    </w:p>
    <w:p>
      <w:pPr>
        <w:spacing w:after="0" w:line="170"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We may borrow amounts in U.S. dollars or certain other permitted currencies. As of December 31, 2014, we had outstanding debt denominated in Swedish Krona (SEK) of 205.8 million, Euro (EUR) of 28.1 million and Pound Sterling (GBP) of 14.1 million on our Revolving Credit Facility, included in the Outstanding Principal amount in the table above.</w:t>
      </w:r>
    </w:p>
    <w:p>
      <w:pPr>
        <w:spacing w:after="0" w:line="181" w:lineRule="exact"/>
        <w:rPr>
          <w:sz w:val="20"/>
          <w:szCs w:val="20"/>
          <w:color w:val="auto"/>
        </w:rPr>
      </w:pPr>
    </w:p>
    <w:p>
      <w:pPr>
        <w:jc w:val="both"/>
        <w:ind w:right="60" w:firstLine="259"/>
        <w:spacing w:after="0" w:line="259"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7" w:lineRule="exact"/>
        <w:rPr>
          <w:sz w:val="20"/>
          <w:szCs w:val="20"/>
          <w:color w:val="auto"/>
        </w:rPr>
      </w:pPr>
    </w:p>
    <w:p>
      <w:pPr>
        <w:ind w:right="140" w:firstLine="259"/>
        <w:spacing w:after="0" w:line="259" w:lineRule="auto"/>
        <w:rPr>
          <w:sz w:val="20"/>
          <w:szCs w:val="20"/>
          <w:color w:val="auto"/>
        </w:rPr>
      </w:pPr>
      <w:r>
        <w:rPr>
          <w:rFonts w:ascii="Arial" w:cs="Arial" w:eastAsia="Arial" w:hAnsi="Arial"/>
          <w:sz w:val="18"/>
          <w:szCs w:val="18"/>
          <w:color w:val="auto"/>
        </w:rPr>
        <w:t>The Revolving Credit Facility is guaranteed by TC Lending, LLC and TSL MR, LLC and may be guaranteed by certain domestic subsidiaries that are formed or acquired by us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87"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62" w:lineRule="exact"/>
        <w:rPr>
          <w:sz w:val="20"/>
          <w:szCs w:val="20"/>
          <w:color w:val="auto"/>
        </w:rPr>
      </w:pPr>
    </w:p>
    <w:p>
      <w:pPr>
        <w:ind w:left="520" w:hanging="253"/>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17" w:lineRule="exact"/>
        <w:rPr>
          <w:rFonts w:ascii="Arial" w:cs="Arial" w:eastAsia="Arial" w:hAnsi="Arial"/>
          <w:sz w:val="18"/>
          <w:szCs w:val="18"/>
          <w:color w:val="auto"/>
        </w:rPr>
      </w:pPr>
    </w:p>
    <w:p>
      <w:pPr>
        <w:ind w:left="520" w:right="120" w:hanging="253"/>
        <w:spacing w:after="0" w:line="277"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17, 2014.</w:t>
      </w:r>
    </w:p>
    <w:p>
      <w:pPr>
        <w:spacing w:after="0" w:line="225"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Net proceeds received from our IPO, the exercise of the underwriters’ over-allotment option from the IPO, and net proceeds received from the issuance of the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right="60" w:firstLine="259"/>
        <w:spacing w:after="0" w:line="291" w:lineRule="auto"/>
        <w:rPr>
          <w:sz w:val="20"/>
          <w:szCs w:val="20"/>
          <w:color w:val="auto"/>
        </w:rPr>
      </w:pPr>
      <w:r>
        <w:rPr>
          <w:rFonts w:ascii="Arial" w:cs="Arial" w:eastAsia="Arial" w:hAnsi="Arial"/>
          <w:sz w:val="16"/>
          <w:szCs w:val="16"/>
          <w:color w:val="auto"/>
        </w:rPr>
        <w:t>On May 8, 2012, or the Closing Date, our wholly owned subsidiary TPG SL SPV, LLC, a Delaware limited liability company,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SPV Asset Facility may be used to finance the acquisition of eligible assets by TPG SL SPV, including the purchase of such assets from us. We retain a residual interest in assets contributed to or acquired by TPG SL SPV through our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67" w:lineRule="exact"/>
        <w:rPr>
          <w:sz w:val="20"/>
          <w:szCs w:val="20"/>
          <w:color w:val="auto"/>
        </w:rPr>
      </w:pPr>
    </w:p>
    <w:p>
      <w:pPr>
        <w:ind w:right="60" w:firstLine="259"/>
        <w:spacing w:after="0" w:line="271" w:lineRule="auto"/>
        <w:rPr>
          <w:sz w:val="20"/>
          <w:szCs w:val="20"/>
          <w:color w:val="auto"/>
        </w:rPr>
      </w:pPr>
      <w:r>
        <w:rPr>
          <w:rFonts w:ascii="Arial" w:cs="Arial" w:eastAsia="Arial" w:hAnsi="Arial"/>
          <w:sz w:val="17"/>
          <w:szCs w:val="17"/>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us,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79"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which we refer to as the SPV Asset Facility. The amended and restated facility, among other things:</w:t>
      </w:r>
    </w:p>
    <w:p>
      <w:pPr>
        <w:spacing w:after="0" w:line="62" w:lineRule="exact"/>
        <w:rPr>
          <w:sz w:val="20"/>
          <w:szCs w:val="20"/>
          <w:color w:val="auto"/>
        </w:rPr>
      </w:pPr>
    </w:p>
    <w:p>
      <w:pPr>
        <w:ind w:left="520" w:hanging="253"/>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117" w:lineRule="exact"/>
        <w:rPr>
          <w:rFonts w:ascii="Arial" w:cs="Arial" w:eastAsia="Arial" w:hAnsi="Arial"/>
          <w:sz w:val="18"/>
          <w:szCs w:val="18"/>
          <w:color w:val="auto"/>
        </w:rPr>
      </w:pPr>
    </w:p>
    <w:p>
      <w:pPr>
        <w:ind w:left="520" w:hanging="253"/>
        <w:spacing w:after="0" w:line="264"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reinvestment period was subsequently extended by the borrower for an additional six month period (pursuant to an extension right exercisable by the borrower) so that the reinvestment period would remain open until January 21, 2015;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557" w:right="259" w:bottom="1440" w:gutter="0" w:footer="0" w:header="0"/>
        </w:sectPr>
      </w:pPr>
    </w:p>
    <w:bookmarkStart w:id="67" w:name="page68"/>
    <w:bookmarkEnd w:id="67"/>
    <w:p>
      <w:pPr>
        <w:ind w:left="520" w:hanging="253"/>
        <w:spacing w:after="0"/>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225"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The reinvestment period under the SPV Asset Facility terminated on January 21, 2015 and accordingly any undrawn availability under the facility also terminated.</w:t>
      </w:r>
    </w:p>
    <w:p>
      <w:pPr>
        <w:spacing w:after="0" w:line="170" w:lineRule="exact"/>
        <w:rPr>
          <w:sz w:val="20"/>
          <w:szCs w:val="20"/>
          <w:color w:val="auto"/>
        </w:rPr>
      </w:pPr>
    </w:p>
    <w:p>
      <w:pPr>
        <w:ind w:right="60" w:firstLine="259"/>
        <w:spacing w:after="0" w:line="270" w:lineRule="auto"/>
        <w:rPr>
          <w:sz w:val="20"/>
          <w:szCs w:val="20"/>
          <w:color w:val="auto"/>
        </w:rPr>
      </w:pPr>
      <w:r>
        <w:rPr>
          <w:rFonts w:ascii="Arial" w:cs="Arial" w:eastAsia="Arial" w:hAnsi="Arial"/>
          <w:sz w:val="17"/>
          <w:szCs w:val="17"/>
          <w:color w:val="auto"/>
        </w:rPr>
        <w:t>Amounts drawn under the original credit and security agreement bore interest at LIBOR plus a margin or base rate plus a margin, in each case at TPG SL SPV’s option. Amounts drawn under the amended and restated SPV Asset Facility bear interest at LIBOR plus a margin, base rate plus a margin or the lenders’ cost of funds plus a margin, in each case at TPG SL SPV’s option. TPG SL SPV’s ability to borrow at lenders’ cost of funds plus a margin under the amended and restated SPV Asset Facility lowered the interest rate currently applicable on our borrowings under the SPV Asset Facility. The undrawn portion of the commitment bore an unutilized commitment fee of 0.75%. This fee ceased to accrue on January 21, 2015 when the reinvestment period ended.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our other debt obligations.</w:t>
      </w:r>
    </w:p>
    <w:p>
      <w:pPr>
        <w:spacing w:after="0" w:line="182" w:lineRule="exact"/>
        <w:rPr>
          <w:sz w:val="20"/>
          <w:szCs w:val="20"/>
          <w:color w:val="auto"/>
        </w:rPr>
      </w:pPr>
    </w:p>
    <w:p>
      <w:pPr>
        <w:ind w:right="260" w:firstLine="259"/>
        <w:spacing w:after="0" w:line="259" w:lineRule="auto"/>
        <w:rPr>
          <w:sz w:val="20"/>
          <w:szCs w:val="20"/>
          <w:color w:val="auto"/>
        </w:rPr>
      </w:pPr>
      <w:r>
        <w:rPr>
          <w:rFonts w:ascii="Arial" w:cs="Arial" w:eastAsia="Arial" w:hAnsi="Arial"/>
          <w:sz w:val="18"/>
          <w:szCs w:val="18"/>
          <w:color w:val="auto"/>
        </w:rPr>
        <w:t>As of December 31, 2014, and 2013 TPG SL SPV had $334.0 million and $184.3 million, respectively, in investments at fair value, and $108.8 million and $78.3 million, respectively, in liabilities, including the outstanding borrowings, on its balance sheet. As of December 31, 2014, and 2013 TPG SL SPV had $10.2 million and $6.3 million, respectively, in restricted cash, a component of prepaid expenses and other assets, in the accompanying consolidated financial statements.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Borrowings of TPG SL SPV are considered our borrowings for purposes of complying with the asset coverage requirements of the 1940 Act.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firstLine="259"/>
        <w:spacing w:after="0" w:line="269" w:lineRule="auto"/>
        <w:rPr>
          <w:sz w:val="20"/>
          <w:szCs w:val="20"/>
          <w:color w:val="auto"/>
        </w:rPr>
      </w:pPr>
      <w:r>
        <w:rPr>
          <w:rFonts w:ascii="Arial" w:cs="Arial" w:eastAsia="Arial" w:hAnsi="Arial"/>
          <w:sz w:val="17"/>
          <w:szCs w:val="17"/>
          <w:color w:val="auto"/>
        </w:rPr>
        <w:t>On June 10, 2014, we issued in a private offering $115 million aggregate principal amount convertible senior notes due December 2019, or the Convertible Senior Notes. The Convertible Senior Notes were issued in a private placement only to qualified institutional buyers pursuant to Rule 144A under the Securities Act of 1933, as amended. The Convertible Senior Notes are unsecured and bear interest at a rate of 4.50% per year, payable semiannually. The Convertible Senior Notes will mature on December 15, 2019.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$110.8 million. We used the net proceeds of the offering to pay down debt under the Revolving Credit Facility. In connection with the offering of Convertible Senior Notes, we entered into two interest rate swaps, each with a $57.5 million notional amount to continue to align the interest rates of our liabilities with our investment portfolio, which consists of predominately floating rate loans. As a result of the swaps, as of December 31, 2014, our effective interest rate on the Convertible Senior Notes was three-month LIBOR plus 252.9 basis points.</w:t>
      </w:r>
    </w:p>
    <w:p>
      <w:pPr>
        <w:spacing w:after="0" w:line="183" w:lineRule="exact"/>
        <w:rPr>
          <w:sz w:val="20"/>
          <w:szCs w:val="20"/>
          <w:color w:val="auto"/>
        </w:rPr>
      </w:pPr>
    </w:p>
    <w:p>
      <w:pPr>
        <w:ind w:right="80" w:firstLine="259"/>
        <w:spacing w:after="0" w:line="270" w:lineRule="auto"/>
        <w:rPr>
          <w:sz w:val="20"/>
          <w:szCs w:val="20"/>
          <w:color w:val="auto"/>
        </w:rPr>
      </w:pPr>
      <w:r>
        <w:rPr>
          <w:rFonts w:ascii="Arial" w:cs="Arial" w:eastAsia="Arial" w:hAnsi="Arial"/>
          <w:sz w:val="17"/>
          <w:szCs w:val="17"/>
          <w:color w:val="auto"/>
        </w:rPr>
        <w:t>Holders may convert their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or the measurement period, in which the trading price (as defined in the indenture governing the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82" w:lineRule="exact"/>
        <w:rPr>
          <w:sz w:val="20"/>
          <w:szCs w:val="20"/>
          <w:color w:val="auto"/>
        </w:rPr>
      </w:pPr>
    </w:p>
    <w:p>
      <w:pPr>
        <w:ind w:right="200" w:firstLine="259"/>
        <w:spacing w:after="0" w:line="302" w:lineRule="auto"/>
        <w:rPr>
          <w:sz w:val="20"/>
          <w:szCs w:val="20"/>
          <w:color w:val="auto"/>
        </w:rPr>
      </w:pPr>
      <w:r>
        <w:rPr>
          <w:rFonts w:ascii="Arial" w:cs="Arial" w:eastAsia="Arial" w:hAnsi="Arial"/>
          <w:sz w:val="16"/>
          <w:szCs w:val="16"/>
          <w:color w:val="auto"/>
        </w:rPr>
        <w:t>The notes are senior unsecured obligations and rank senior in right of payment to our future indebtedness that is expressly subordinated in right of payment to the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49" w:right="239" w:bottom="1440" w:gutter="0" w:footer="0" w:header="0"/>
        </w:sectPr>
      </w:pPr>
    </w:p>
    <w:bookmarkStart w:id="68" w:name="page69"/>
    <w:bookmarkEnd w:id="68"/>
    <w:p>
      <w:pPr>
        <w:ind w:right="220" w:firstLine="259"/>
        <w:spacing w:after="0" w:line="277" w:lineRule="auto"/>
        <w:rPr>
          <w:sz w:val="20"/>
          <w:szCs w:val="20"/>
          <w:color w:val="auto"/>
        </w:rPr>
      </w:pPr>
      <w:r>
        <w:rPr>
          <w:rFonts w:ascii="Arial" w:cs="Arial" w:eastAsia="Arial" w:hAnsi="Arial"/>
          <w:sz w:val="18"/>
          <w:szCs w:val="18"/>
          <w:color w:val="auto"/>
        </w:rPr>
        <w:t>As of December 31, 2014, the principal amount of the Convertible Senior Notes exceeded the value of the underlying shares multiplied by the per share closing price of our common stock.</w:t>
      </w:r>
    </w:p>
    <w:p>
      <w:pPr>
        <w:spacing w:after="0" w:line="170" w:lineRule="exact"/>
        <w:rPr>
          <w:sz w:val="20"/>
          <w:szCs w:val="20"/>
          <w:color w:val="auto"/>
        </w:rPr>
      </w:pPr>
    </w:p>
    <w:p>
      <w:pPr>
        <w:ind w:right="140" w:firstLine="259"/>
        <w:spacing w:after="0" w:line="279" w:lineRule="auto"/>
        <w:rPr>
          <w:sz w:val="20"/>
          <w:szCs w:val="20"/>
          <w:color w:val="auto"/>
        </w:rPr>
      </w:pPr>
      <w:r>
        <w:rPr>
          <w:rFonts w:ascii="Arial" w:cs="Arial" w:eastAsia="Arial" w:hAnsi="Arial"/>
          <w:sz w:val="17"/>
          <w:szCs w:val="17"/>
          <w:color w:val="auto"/>
        </w:rPr>
        <w:t>The Convertible Senior Notes Indenture contains certain covenants, including covenants requiring us to comply with the requirement under the 1940 Act that our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December 31, 2014, we were in compliance with the terms of the Convertible Senior Notes Indenture.</w:t>
      </w:r>
    </w:p>
    <w:p>
      <w:pPr>
        <w:spacing w:after="0" w:line="171"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The Convertible Senior Notes are accounted for in accordance with Accounting Standards Codification (“ASC”) 470-20. Upon conversion of any of the Convertible Senior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Convertible Senior Notes Indenture. We have determined that the embedded conversion options in the Convertible Senior Notes are not required to be separately accounted for as a derivative under U.S. GAAP. In accounting for the Convertible Senior Notes, we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Credit Facility</w:t>
      </w:r>
    </w:p>
    <w:p>
      <w:pPr>
        <w:spacing w:after="0" w:line="117"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On February 27, 2014, we terminated our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December 31, 2014 and 2013, we had the following commitments to fund investments:</w:t>
      </w:r>
    </w:p>
    <w:p>
      <w:pPr>
        <w:spacing w:after="0" w:line="19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440" w:type="dxa"/>
            <w:vAlign w:val="bottom"/>
          </w:tcPr>
          <w:p>
            <w:pPr>
              <w:spacing w:after="0"/>
              <w:rPr>
                <w:sz w:val="20"/>
                <w:szCs w:val="20"/>
                <w:color w:val="auto"/>
              </w:rPr>
            </w:pPr>
            <w:r>
              <w:rPr>
                <w:rFonts w:ascii="Arial" w:cs="Arial" w:eastAsia="Arial" w:hAnsi="Arial"/>
                <w:sz w:val="14"/>
                <w:szCs w:val="14"/>
                <w:color w:val="auto"/>
              </w:rPr>
              <w:t>($ in millions)</w:t>
            </w:r>
          </w:p>
        </w:tc>
        <w:tc>
          <w:tcPr>
            <w:tcW w:w="140" w:type="dxa"/>
            <w:vAlign w:val="bottom"/>
          </w:tcPr>
          <w:p>
            <w:pPr>
              <w:spacing w:after="0"/>
              <w:rPr>
                <w:sz w:val="14"/>
                <w:szCs w:val="14"/>
                <w:color w:val="auto"/>
              </w:rPr>
            </w:pPr>
          </w:p>
        </w:tc>
        <w:tc>
          <w:tcPr>
            <w:tcW w:w="17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2013</w:t>
            </w: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secured revolving loan commitments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Senior secured term loan commitments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FF0FC"/>
            </w:tcBorders>
          </w:tcPr>
          <w:p>
            <w:pPr>
              <w:spacing w:after="0"/>
              <w:rPr>
                <w:sz w:val="19"/>
                <w:szCs w:val="19"/>
                <w:color w:val="auto"/>
              </w:rPr>
            </w:pPr>
          </w:p>
        </w:tc>
      </w:tr>
      <w:tr>
        <w:trPr>
          <w:trHeight w:val="223"/>
        </w:trPr>
        <w:tc>
          <w:tcPr>
            <w:tcW w:w="4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760" w:firstLine="259"/>
        <w:spacing w:after="0" w:line="277" w:lineRule="auto"/>
        <w:rPr>
          <w:sz w:val="20"/>
          <w:szCs w:val="20"/>
          <w:color w:val="auto"/>
        </w:rPr>
      </w:pPr>
      <w:r>
        <w:rPr>
          <w:rFonts w:ascii="Arial" w:cs="Arial" w:eastAsia="Arial" w:hAnsi="Arial"/>
          <w:sz w:val="18"/>
          <w:szCs w:val="18"/>
          <w:color w:val="auto"/>
        </w:rPr>
        <w:t>As of December 31, 2013 we had $1.5 billion in total capital commitments from investors (over $0.9 billion unfunded). Unfunded commitments terminated upon the completion of our IPO, and hence as of December 31, 2014 no longer remain in effect.</w:t>
      </w:r>
    </w:p>
    <w:p>
      <w:pPr>
        <w:spacing w:after="0" w:line="170" w:lineRule="exact"/>
        <w:rPr>
          <w:sz w:val="20"/>
          <w:szCs w:val="20"/>
          <w:color w:val="auto"/>
        </w:rPr>
      </w:pPr>
    </w:p>
    <w:p>
      <w:pPr>
        <w:ind w:right="300" w:firstLine="259"/>
        <w:spacing w:after="0" w:line="259" w:lineRule="auto"/>
        <w:rPr>
          <w:sz w:val="20"/>
          <w:szCs w:val="20"/>
          <w:color w:val="auto"/>
        </w:rPr>
      </w:pPr>
      <w:r>
        <w:rPr>
          <w:rFonts w:ascii="Arial" w:cs="Arial" w:eastAsia="Arial" w:hAnsi="Arial"/>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December 31, 2014 and December 31, 2013, we had outstanding commitments to fund investments totaling $48.0 million and $55.0 million, respectively.</w:t>
      </w:r>
    </w:p>
    <w:p>
      <w:pPr>
        <w:spacing w:after="0" w:line="187"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57" w:right="239" w:bottom="1440" w:gutter="0" w:footer="0" w:header="0"/>
        </w:sectPr>
      </w:pPr>
    </w:p>
    <w:bookmarkStart w:id="69" w:name="page70"/>
    <w:bookmarkEnd w:id="69"/>
    <w:p>
      <w:pPr>
        <w:ind w:right="20"/>
        <w:spacing w:after="0" w:line="264" w:lineRule="auto"/>
        <w:rPr>
          <w:sz w:val="20"/>
          <w:szCs w:val="20"/>
          <w:color w:val="auto"/>
        </w:rPr>
      </w:pPr>
      <w:r>
        <w:rPr>
          <w:rFonts w:ascii="Arial" w:cs="Arial" w:eastAsia="Arial" w:hAnsi="Arial"/>
          <w:sz w:val="18"/>
          <w:szCs w:val="18"/>
          <w:color w:val="auto"/>
        </w:rPr>
        <w:t>associated with performing compliance functions and our allocable portion of the compensation of our chief financial officer and chief compliance officer and their respective staffs. Our Adviser also offers on our behalf significant managerial assistance to those portfolio companies to which we are required to offer to provide such assistance.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December 31, 2014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w w:val="99"/>
              </w:rPr>
              <w:t>Payments Due by Period</w:t>
            </w: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6"/>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20" w:type="dxa"/>
            <w:vAlign w:val="bottom"/>
          </w:tcPr>
          <w:p>
            <w:pPr>
              <w:spacing w:after="0"/>
              <w:rPr>
                <w:sz w:val="14"/>
                <w:szCs w:val="14"/>
                <w:color w:val="auto"/>
              </w:rPr>
            </w:pPr>
          </w:p>
        </w:tc>
        <w:tc>
          <w:tcPr>
            <w:tcW w:w="82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1-3 years</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After 5 years</w:t>
            </w:r>
          </w:p>
        </w:tc>
      </w:tr>
      <w:tr>
        <w:trPr>
          <w:trHeight w:val="223"/>
        </w:trPr>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SPV Asset Facility</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 Contractual Obligations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6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right="240" w:firstLine="259"/>
        <w:spacing w:after="0" w:line="34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16" w:lineRule="exact"/>
        <w:rPr>
          <w:sz w:val="20"/>
          <w:szCs w:val="20"/>
          <w:color w:val="auto"/>
        </w:rPr>
      </w:pPr>
    </w:p>
    <w:p>
      <w:pPr>
        <w:ind w:left="520" w:right="140" w:hanging="253"/>
        <w:spacing w:after="0" w:line="277"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net tax-exempt interest income (which is the excess of our gross tax exempt interest income over certain disallowed deductions) for such taxable year.</w:t>
      </w:r>
    </w:p>
    <w:p>
      <w:pPr>
        <w:spacing w:after="0" w:line="248"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jc w:val="both"/>
        <w:ind w:right="440" w:firstLine="259"/>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ind w:right="100" w:firstLine="259"/>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16" w:lineRule="exact"/>
        <w:rPr>
          <w:sz w:val="20"/>
          <w:szCs w:val="20"/>
          <w:color w:val="auto"/>
        </w:rPr>
      </w:pPr>
    </w:p>
    <w:p>
      <w:pPr>
        <w:ind w:left="520" w:hanging="253"/>
        <w:spacing w:after="0"/>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17" w:lineRule="exact"/>
        <w:rPr>
          <w:rFonts w:ascii="Arial" w:cs="Arial" w:eastAsia="Arial" w:hAnsi="Arial"/>
          <w:sz w:val="18"/>
          <w:szCs w:val="18"/>
          <w:color w:val="auto"/>
        </w:rPr>
      </w:pPr>
    </w:p>
    <w:p>
      <w:pPr>
        <w:ind w:left="520" w:right="140" w:hanging="253"/>
        <w:spacing w:after="0" w:line="277" w:lineRule="auto"/>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57" w:right="239" w:bottom="1440" w:gutter="0" w:footer="0" w:header="0"/>
        </w:sectPr>
      </w:pPr>
    </w:p>
    <w:bookmarkStart w:id="70" w:name="page71"/>
    <w:bookmarkEnd w:id="70"/>
    <w:p>
      <w:pPr>
        <w:ind w:right="80"/>
        <w:spacing w:after="0" w:line="277" w:lineRule="auto"/>
        <w:rPr>
          <w:sz w:val="20"/>
          <w:szCs w:val="20"/>
          <w:color w:val="auto"/>
        </w:rPr>
      </w:pPr>
      <w:r>
        <w:rPr>
          <w:rFonts w:ascii="Arial" w:cs="Arial" w:eastAsia="Arial" w:hAnsi="Arial"/>
          <w:sz w:val="18"/>
          <w:szCs w:val="18"/>
          <w:color w:val="auto"/>
        </w:rPr>
        <w:t>should read any written disclosure accompanying a distribution carefully and should not assume that the source of any distribution is our ordinary income or gains.</w:t>
      </w:r>
    </w:p>
    <w:p>
      <w:pPr>
        <w:spacing w:after="0" w:line="170" w:lineRule="exact"/>
        <w:rPr>
          <w:sz w:val="20"/>
          <w:szCs w:val="20"/>
          <w:color w:val="auto"/>
        </w:rPr>
      </w:pPr>
    </w:p>
    <w:p>
      <w:pPr>
        <w:ind w:right="160" w:firstLine="259"/>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3"/>
        <w:spacing w:after="0"/>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17" w:lineRule="exact"/>
        <w:rPr>
          <w:rFonts w:ascii="Arial" w:cs="Arial" w:eastAsia="Arial" w:hAnsi="Arial"/>
          <w:sz w:val="18"/>
          <w:szCs w:val="18"/>
          <w:color w:val="auto"/>
        </w:rPr>
      </w:pPr>
    </w:p>
    <w:p>
      <w:pPr>
        <w:ind w:left="520" w:right="60" w:hanging="253"/>
        <w:spacing w:after="0" w:line="264" w:lineRule="auto"/>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40" w:firstLine="259"/>
        <w:spacing w:after="0" w:line="279" w:lineRule="auto"/>
        <w:rPr>
          <w:sz w:val="20"/>
          <w:szCs w:val="20"/>
          <w:color w:val="auto"/>
        </w:rPr>
      </w:pPr>
      <w:r>
        <w:rPr>
          <w:rFonts w:ascii="Arial" w:cs="Arial" w:eastAsia="Arial" w:hAnsi="Arial"/>
          <w:sz w:val="17"/>
          <w:szCs w:val="17"/>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w:t>
      </w:r>
      <w:r>
        <w:rPr>
          <w:rFonts w:ascii="Arial" w:cs="Arial" w:eastAsia="Arial" w:hAnsi="Arial"/>
          <w:sz w:val="17"/>
          <w:szCs w:val="17"/>
          <w:i w:val="1"/>
          <w:iCs w:val="1"/>
          <w:color w:val="auto"/>
        </w:rPr>
        <w:t>ITEM 1A. RISK FACTORS</w:t>
      </w:r>
      <w:r>
        <w:rPr>
          <w:rFonts w:ascii="Arial" w:cs="Arial" w:eastAsia="Arial" w:hAnsi="Arial"/>
          <w:sz w:val="17"/>
          <w:szCs w:val="17"/>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right="160" w:firstLine="259"/>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part of the valuation process, the Board takes into account relevant factors in determining the fair value of our investments, including:</w:t>
      </w:r>
    </w:p>
    <w:p>
      <w:pPr>
        <w:spacing w:after="0" w:line="117" w:lineRule="exact"/>
        <w:rPr>
          <w:sz w:val="20"/>
          <w:szCs w:val="20"/>
          <w:color w:val="auto"/>
        </w:rPr>
      </w:pPr>
    </w:p>
    <w:p>
      <w:pPr>
        <w:ind w:left="520" w:hanging="253"/>
        <w:spacing w:after="0"/>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estimated enterprise value of a portfolio company (that is, the total fair value of the portfolio company’s debt and equity);</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portfolio company’s ability to make payments based on its earnings and cash flow;</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any similar publicly traded securities; and</w:t>
      </w:r>
    </w:p>
    <w:p>
      <w:pPr>
        <w:spacing w:after="0" w:line="117" w:lineRule="exact"/>
        <w:rPr>
          <w:rFonts w:ascii="Arial" w:cs="Arial" w:eastAsia="Arial" w:hAnsi="Arial"/>
          <w:sz w:val="18"/>
          <w:szCs w:val="18"/>
          <w:color w:val="auto"/>
        </w:rPr>
      </w:pPr>
    </w:p>
    <w:p>
      <w:pPr>
        <w:ind w:left="520" w:right="420" w:hanging="253"/>
        <w:spacing w:after="0" w:line="277" w:lineRule="auto"/>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overall changes in the interest rate environment and the credit markets that may affect the price at which similar investments may be made in the future.</w:t>
      </w:r>
    </w:p>
    <w:p>
      <w:pPr>
        <w:spacing w:after="0" w:line="170" w:lineRule="exact"/>
        <w:rPr>
          <w:sz w:val="20"/>
          <w:szCs w:val="20"/>
          <w:color w:val="auto"/>
        </w:rPr>
      </w:pPr>
    </w:p>
    <w:p>
      <w:pPr>
        <w:ind w:right="620" w:firstLine="259"/>
        <w:spacing w:after="0" w:line="277"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557" w:right="299" w:bottom="1440" w:gutter="0" w:footer="0" w:header="0"/>
        </w:sectPr>
      </w:pPr>
    </w:p>
    <w:bookmarkStart w:id="71" w:name="page72"/>
    <w:bookmarkEnd w:id="71"/>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240" w:hanging="253"/>
        <w:spacing w:after="0" w:line="277"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20" w:right="540" w:hanging="253"/>
        <w:spacing w:after="0" w:line="277"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Agreed-upon valuation recommendations are presented to the Audit Committee.</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20" w:right="60" w:hanging="253"/>
        <w:spacing w:after="0" w:line="264"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conduct this valuation process on a quarterly basis.</w:t>
      </w:r>
    </w:p>
    <w:p>
      <w:pPr>
        <w:spacing w:after="0" w:line="225"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w:t>
      </w:r>
    </w:p>
    <w:p>
      <w:pPr>
        <w:spacing w:after="0" w:line="170" w:lineRule="exact"/>
        <w:rPr>
          <w:sz w:val="20"/>
          <w:szCs w:val="20"/>
          <w:color w:val="auto"/>
        </w:rPr>
      </w:pPr>
    </w:p>
    <w:p>
      <w:pPr>
        <w:ind w:right="120" w:firstLine="259"/>
        <w:spacing w:after="0" w:line="272" w:lineRule="auto"/>
        <w:rPr>
          <w:sz w:val="20"/>
          <w:szCs w:val="20"/>
          <w:color w:val="auto"/>
        </w:rPr>
      </w:pPr>
      <w:r>
        <w:rPr>
          <w:rFonts w:ascii="Arial" w:cs="Arial" w:eastAsia="Arial" w:hAnsi="Arial"/>
          <w:sz w:val="17"/>
          <w:szCs w:val="17"/>
          <w:color w:val="auto"/>
        </w:rPr>
        <w:t xml:space="preserve">We apply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0" w:lineRule="exact"/>
        <w:rPr>
          <w:sz w:val="20"/>
          <w:szCs w:val="20"/>
          <w:color w:val="auto"/>
        </w:rPr>
      </w:pPr>
    </w:p>
    <w:p>
      <w:pPr>
        <w:ind w:left="640" w:hanging="373"/>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117" w:lineRule="exact"/>
        <w:rPr>
          <w:rFonts w:ascii="Arial" w:cs="Arial" w:eastAsia="Arial" w:hAnsi="Arial"/>
          <w:sz w:val="18"/>
          <w:szCs w:val="18"/>
          <w:color w:val="auto"/>
        </w:rPr>
      </w:pPr>
    </w:p>
    <w:p>
      <w:pPr>
        <w:ind w:left="640" w:right="620" w:hanging="373"/>
        <w:spacing w:after="0" w:line="277" w:lineRule="auto"/>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640" w:hanging="373"/>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we apply the valuation policy approved by our 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67" w:lineRule="exact"/>
        <w:rPr>
          <w:sz w:val="20"/>
          <w:szCs w:val="20"/>
          <w:color w:val="auto"/>
        </w:rPr>
      </w:pPr>
    </w:p>
    <w:p>
      <w:pPr>
        <w:jc w:val="both"/>
        <w:ind w:right="80" w:firstLine="259"/>
        <w:spacing w:after="0" w:line="264"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6 to our consolidated financial statements included in this Form 10-K for more information on the fair value of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Recognition</w:t>
      </w:r>
    </w:p>
    <w:p>
      <w:pPr>
        <w:spacing w:after="0" w:line="117"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jc w:val="both"/>
        <w:ind w:right="80" w:firstLine="259"/>
        <w:spacing w:after="0" w:line="264" w:lineRule="auto"/>
        <w:rPr>
          <w:sz w:val="20"/>
          <w:szCs w:val="20"/>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557" w:right="259" w:bottom="1440" w:gutter="0" w:footer="0" w:header="0"/>
        </w:sectPr>
      </w:pPr>
    </w:p>
    <w:bookmarkStart w:id="72" w:name="page73"/>
    <w:bookmarkEnd w:id="72"/>
    <w:p>
      <w:pPr>
        <w:ind w:right="60"/>
        <w:spacing w:after="0" w:line="264" w:lineRule="auto"/>
        <w:rPr>
          <w:sz w:val="20"/>
          <w:szCs w:val="20"/>
          <w:color w:val="auto"/>
        </w:rPr>
      </w:pPr>
      <w:r>
        <w:rPr>
          <w:rFonts w:ascii="Arial" w:cs="Arial" w:eastAsia="Arial" w:hAnsi="Arial"/>
          <w:sz w:val="18"/>
          <w:szCs w:val="18"/>
          <w:color w:val="auto"/>
        </w:rPr>
        <w:t>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81"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81"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11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87" w:lineRule="exact"/>
        <w:rPr>
          <w:sz w:val="20"/>
          <w:szCs w:val="20"/>
          <w:color w:val="auto"/>
        </w:rPr>
      </w:pPr>
    </w:p>
    <w:p>
      <w:pPr>
        <w:ind w:right="280" w:firstLine="259"/>
        <w:spacing w:after="0" w:line="257" w:lineRule="auto"/>
        <w:rPr>
          <w:sz w:val="20"/>
          <w:szCs w:val="20"/>
          <w:color w:val="auto"/>
        </w:rPr>
      </w:pPr>
      <w:r>
        <w:rPr>
          <w:rFonts w:ascii="Arial" w:cs="Arial" w:eastAsia="Arial" w:hAnsi="Arial"/>
          <w:sz w:val="18"/>
          <w:szCs w:val="18"/>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on-going analyses of tax laws, regulations and interpretations thereof.</w:t>
      </w:r>
    </w:p>
    <w:p>
      <w:pPr>
        <w:spacing w:after="0" w:line="188"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259"/>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7" w:lineRule="exact"/>
        <w:rPr>
          <w:sz w:val="20"/>
          <w:szCs w:val="20"/>
          <w:color w:val="auto"/>
        </w:rPr>
      </w:pPr>
    </w:p>
    <w:p>
      <w:pPr>
        <w:ind w:right="700" w:firstLine="259"/>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1"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color w:val="auto"/>
        </w:rPr>
        <w:t>As of December 31, 2014, 96.8% of our debt investments in our portfolio bore interest at floating rates, subject to interest rate floors. Our credit facilities also bear interest at floating rates, and in connection with our Convertible Senior Notes, which bear interest at a fixed rate, we entered into fixed-to-floating interest rate swaps in order to continue to align the interest rates of our liabilities with our investment portfolio.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557" w:right="259" w:bottom="1440" w:gutter="0" w:footer="0" w:header="0"/>
        </w:sectPr>
      </w:pPr>
    </w:p>
    <w:bookmarkStart w:id="73" w:name="page74"/>
    <w:bookmarkEnd w:id="73"/>
    <w:p>
      <w:pPr>
        <w:ind w:right="40" w:firstLine="259"/>
        <w:spacing w:after="0" w:line="264" w:lineRule="auto"/>
        <w:rPr>
          <w:sz w:val="20"/>
          <w:szCs w:val="20"/>
          <w:color w:val="auto"/>
        </w:rPr>
      </w:pPr>
      <w:r>
        <w:rPr>
          <w:rFonts w:ascii="Arial" w:cs="Arial" w:eastAsia="Arial" w:hAnsi="Arial"/>
          <w:sz w:val="18"/>
          <w:szCs w:val="18"/>
          <w:color w:val="auto"/>
        </w:rPr>
        <w:t>Assuming that our consolidated balance sheet as of December 31, 2014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72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Basis Point Change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54"/>
              <w:spacing w:after="0"/>
              <w:rPr>
                <w:sz w:val="20"/>
                <w:szCs w:val="20"/>
                <w:color w:val="auto"/>
              </w:rPr>
            </w:pPr>
            <w:r>
              <w:rPr>
                <w:rFonts w:ascii="Arial" w:cs="Arial" w:eastAsia="Arial" w:hAnsi="Arial"/>
                <w:sz w:val="14"/>
                <w:szCs w:val="14"/>
                <w:b w:val="1"/>
                <w:bCs w:val="1"/>
                <w:color w:val="auto"/>
                <w:w w:val="94"/>
              </w:rPr>
              <w:t>Interest Income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Interest Expense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Net Income</w:t>
            </w:r>
          </w:p>
        </w:tc>
      </w:tr>
      <w:tr>
        <w:trPr>
          <w:trHeight w:val="223"/>
        </w:trPr>
        <w:tc>
          <w:tcPr>
            <w:tcW w:w="20" w:type="dxa"/>
            <w:vAlign w:val="bottom"/>
          </w:tcPr>
          <w:p>
            <w:pPr>
              <w:spacing w:after="0"/>
              <w:rPr>
                <w:sz w:val="19"/>
                <w:szCs w:val="19"/>
                <w:color w:val="auto"/>
              </w:rPr>
            </w:pPr>
          </w:p>
        </w:tc>
        <w:tc>
          <w:tcPr>
            <w:tcW w:w="4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Up 300 basis points</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Up 200 basis points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Up 100 basis points</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r>
      <w:tr>
        <w:trPr>
          <w:trHeight w:val="23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Down 25 basis points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r>
    </w:tbl>
    <w:p>
      <w:pPr>
        <w:spacing w:after="0" w:line="228"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converted into U.S. dollars at the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557" w:right="25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10280" w:type="dxa"/>
            <w:vAlign w:val="bottom"/>
            <w:gridSpan w:val="8"/>
          </w:tcPr>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60" w:type="dxa"/>
            <w:vAlign w:val="bottom"/>
            <w:gridSpan w:val="6"/>
          </w:tcPr>
          <w:p>
            <w:pPr>
              <w:jc w:val="center"/>
              <w:ind w:right="3080"/>
              <w:spacing w:after="0"/>
              <w:rPr>
                <w:sz w:val="20"/>
                <w:szCs w:val="20"/>
                <w:color w:val="auto"/>
              </w:rPr>
            </w:pPr>
            <w:r>
              <w:rPr>
                <w:rFonts w:ascii="Arial" w:cs="Arial" w:eastAsia="Arial" w:hAnsi="Arial"/>
                <w:sz w:val="18"/>
                <w:szCs w:val="18"/>
                <w:b w:val="1"/>
                <w:bCs w:val="1"/>
                <w:color w:val="auto"/>
              </w:rPr>
              <w:t>TPG SPECIALTY LENDING, INC.</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7120" w:type="dxa"/>
            <w:vAlign w:val="bottom"/>
            <w:gridSpan w:val="7"/>
          </w:tcPr>
          <w:p>
            <w:pPr>
              <w:jc w:val="center"/>
              <w:ind w:right="2000"/>
              <w:spacing w:after="0"/>
              <w:rPr>
                <w:sz w:val="20"/>
                <w:szCs w:val="20"/>
                <w:color w:val="auto"/>
              </w:rPr>
            </w:pPr>
            <w:r>
              <w:rPr>
                <w:rFonts w:ascii="Arial" w:cs="Arial" w:eastAsia="Arial" w:hAnsi="Arial"/>
                <w:sz w:val="18"/>
                <w:szCs w:val="18"/>
                <w:b w:val="1"/>
                <w:bCs w:val="1"/>
                <w:color w:val="auto"/>
              </w:rPr>
              <w:t>INDEX TO CONSOLIDATED FINANCIAL STATEMENTS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280" w:type="dxa"/>
            <w:vAlign w:val="bottom"/>
            <w:gridSpan w:val="8"/>
            <w:vMerge w:val="restart"/>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Report of Independent Registered Public Accounting Firm</w:t>
              </w:r>
            </w:hyperlink>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280" w:type="dxa"/>
            <w:vAlign w:val="bottom"/>
            <w:gridSpan w:val="8"/>
            <w:vMerge w:val="continue"/>
          </w:tcPr>
          <w:p>
            <w:pPr>
              <w:spacing w:after="0"/>
              <w:rPr>
                <w:sz w:val="13"/>
                <w:szCs w:val="13"/>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77">
              <w:r>
                <w:rPr>
                  <w:rFonts w:ascii="Arial" w:cs="Arial" w:eastAsia="Arial" w:hAnsi="Arial"/>
                  <w:sz w:val="18"/>
                  <w:szCs w:val="18"/>
                  <w:color w:val="0000EE"/>
                  <w:w w:val="88"/>
                </w:rPr>
                <w:t>Consolidated Balance Sheets as of December 31, 2014 and 2013</w:t>
              </w:r>
            </w:hyperlink>
          </w:p>
        </w:tc>
        <w:tc>
          <w:tcPr>
            <w:tcW w:w="5620" w:type="dxa"/>
            <w:vAlign w:val="bottom"/>
            <w:gridSpan w:val="5"/>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412"/>
        </w:trPr>
        <w:tc>
          <w:tcPr>
            <w:tcW w:w="69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Consolidated Statements of Operations for the Years Ended December 31, 2014, 2013 and 2012</w:t>
              </w:r>
            </w:hyperlink>
          </w:p>
        </w:tc>
        <w:tc>
          <w:tcPr>
            <w:tcW w:w="3360" w:type="dxa"/>
            <w:vAlign w:val="bottom"/>
            <w:gridSpan w:val="3"/>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412"/>
        </w:trPr>
        <w:tc>
          <w:tcPr>
            <w:tcW w:w="10280" w:type="dxa"/>
            <w:vAlign w:val="bottom"/>
            <w:gridSpan w:val="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Consolidated Schedules of Investments as of December 31, 2014 and 2013</w:t>
              </w:r>
            </w:hyperlink>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80" w:type="dxa"/>
            <w:vAlign w:val="bottom"/>
            <w:gridSpan w:val="8"/>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Consolidated Statements of Changes in Net Assets for the Years Ended December 31, 2014, 2013 and 2012</w:t>
              </w:r>
            </w:hyperlink>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412"/>
        </w:trPr>
        <w:tc>
          <w:tcPr>
            <w:tcW w:w="7740" w:type="dxa"/>
            <w:vAlign w:val="bottom"/>
            <w:tcBorders>
              <w:top w:val="single" w:sz="8" w:color="0000EE"/>
            </w:tcBorders>
            <w:gridSpan w:val="7"/>
          </w:tcPr>
          <w:p>
            <w:pPr>
              <w:spacing w:after="0"/>
              <w:rPr>
                <w:rFonts w:ascii="Arial" w:cs="Arial" w:eastAsia="Arial" w:hAnsi="Arial"/>
                <w:sz w:val="18"/>
                <w:szCs w:val="18"/>
                <w:color w:val="0000EE"/>
                <w:w w:val="99"/>
              </w:rPr>
            </w:pPr>
            <w:hyperlink w:anchor="page87">
              <w:r>
                <w:rPr>
                  <w:rFonts w:ascii="Arial" w:cs="Arial" w:eastAsia="Arial" w:hAnsi="Arial"/>
                  <w:sz w:val="18"/>
                  <w:szCs w:val="18"/>
                  <w:color w:val="0000EE"/>
                  <w:w w:val="99"/>
                </w:rPr>
                <w:t>Consolidated Statements of Cash Flows for the Years Ended December 31, 2014, 2013 and 2012</w:t>
              </w:r>
            </w:hyperlink>
          </w:p>
        </w:tc>
        <w:tc>
          <w:tcPr>
            <w:tcW w:w="254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F-13</w:t>
            </w:r>
          </w:p>
        </w:tc>
        <w:tc>
          <w:tcPr>
            <w:tcW w:w="0" w:type="dxa"/>
            <w:vAlign w:val="bottom"/>
          </w:tcPr>
          <w:p>
            <w:pPr>
              <w:spacing w:after="0"/>
              <w:rPr>
                <w:sz w:val="1"/>
                <w:szCs w:val="1"/>
                <w:color w:val="auto"/>
              </w:rPr>
            </w:pPr>
          </w:p>
        </w:tc>
      </w:tr>
      <w:tr>
        <w:trPr>
          <w:trHeight w:val="412"/>
        </w:trPr>
        <w:tc>
          <w:tcPr>
            <w:tcW w:w="316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5"/>
          </w:tcPr>
          <w:p>
            <w:pPr>
              <w:spacing w:after="0"/>
              <w:rPr>
                <w:sz w:val="24"/>
                <w:szCs w:val="24"/>
                <w:color w:val="auto"/>
              </w:rPr>
            </w:pPr>
          </w:p>
        </w:tc>
        <w:tc>
          <w:tcPr>
            <w:tcW w:w="3320" w:type="dxa"/>
            <w:vAlign w:val="bottom"/>
            <w:gridSpan w:val="2"/>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337" w:right="23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audited the accompanying consolidated balance sheets of TPG Specialty Lending, Inc. (and subsidiaries) (the Company), including the consolidated schedules of investments, as of December 31, 2014 and 2013, and the related consolidated statements of operations, changes in net assets, and cash flows for each of the years in the three-year period ended December 31, 2014. We also have audited TPG Specialty Lending, Inc.’s internal control over financial reporting as of December 31, 2014, based on criteria established in Internal Control – Integrated Framework (1992)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spacing w:after="0" w:line="16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ind w:right="40"/>
        <w:spacing w:after="0" w:line="252"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balance sheets of TPG Specialty Lending, Inc. (and subsidiaries), including the consolidated schedules of investments, as of December 31, 2014 and 2013, and the related consolidated statements of operations, changes in net assets, and cash flows for each of the years in the three-year period ended December 31, 2014, in conformity with U.S. generally accepted accounting principles. Also in our opinion, TPG Specialty Lending, Inc. maintained, in all material respects, effective internal control over financial reporting as of December 31, 2014, based on criteria established in Internal Control – Integrated Framework (1992) issued by the Committee of Sponsoring Organizations of the Treadway Commission (COSO).</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(signed)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2015</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337" w:right="27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220" w:type="dxa"/>
            <w:vAlign w:val="bottom"/>
            <w:tcBorders>
              <w:bottom w:val="single" w:sz="8" w:color="CFF0FC"/>
            </w:tcBorders>
          </w:tcPr>
          <w:p>
            <w:pPr>
              <w:spacing w:after="0"/>
              <w:rPr>
                <w:sz w:val="14"/>
                <w:szCs w:val="14"/>
                <w:color w:val="auto"/>
              </w:rPr>
            </w:pPr>
          </w:p>
        </w:tc>
        <w:tc>
          <w:tcPr>
            <w:tcW w:w="7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 (amortized cost of $1,225,672</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$997,298, respectively)</w:t>
            </w:r>
          </w:p>
        </w:tc>
        <w:tc>
          <w:tcPr>
            <w:tcW w:w="9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1,221,875</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1,016,451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260"/>
              <w:spacing w:after="0"/>
              <w:rPr>
                <w:sz w:val="20"/>
                <w:szCs w:val="20"/>
                <w:color w:val="auto"/>
              </w:rPr>
            </w:pPr>
            <w:r>
              <w:rPr>
                <w:rFonts w:ascii="Arial" w:cs="Arial" w:eastAsia="Arial" w:hAnsi="Arial"/>
                <w:sz w:val="18"/>
                <w:szCs w:val="18"/>
                <w:color w:val="auto"/>
              </w:rPr>
              <w:t>Controlled, affiliated investments (amortized cost of $47,580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380"/>
              <w:spacing w:after="0"/>
              <w:rPr>
                <w:sz w:val="20"/>
                <w:szCs w:val="20"/>
                <w:color w:val="auto"/>
              </w:rPr>
            </w:pPr>
            <w:r>
              <w:rPr>
                <w:rFonts w:ascii="Arial" w:cs="Arial" w:eastAsia="Arial" w:hAnsi="Arial"/>
                <w:sz w:val="18"/>
                <w:szCs w:val="18"/>
                <w:color w:val="auto"/>
              </w:rPr>
              <w:t>and $0, respectively)</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41,636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investments at fair value (amortized cost of $1,273,252 and $997,298, respectively)</w:t>
            </w:r>
          </w:p>
        </w:tc>
        <w:tc>
          <w:tcPr>
            <w:tcW w:w="7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1,263,511</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1,016,451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2,413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7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30,650</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2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7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1,303,731</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1,039,150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Debt</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395,864</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432,267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5,955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29,017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Payable on foreign currency forward contracts</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Payables to affiliate</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7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8,704</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7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468,326</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464,454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100,000,000 shares authorized; no shares issued</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outstanding</w:t>
            </w: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220" w:type="dxa"/>
            <w:vAlign w:val="bottom"/>
          </w:tcPr>
          <w:p>
            <w:pPr>
              <w:spacing w:after="0"/>
              <w:rPr>
                <w:sz w:val="20"/>
                <w:szCs w:val="20"/>
                <w:color w:val="auto"/>
              </w:rPr>
            </w:pPr>
            <w:r>
              <w:rPr>
                <w:rFonts w:ascii="Arial" w:cs="Arial" w:eastAsia="Arial" w:hAnsi="Arial"/>
                <w:sz w:val="18"/>
                <w:szCs w:val="18"/>
                <w:color w:val="auto"/>
              </w:rPr>
              <w:t>Common stock, $0.01 par value; 400,000,000 shares authorized, 53,798,357 and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Arial" w:cs="Arial" w:eastAsia="Arial" w:hAnsi="Arial"/>
                <w:sz w:val="18"/>
                <w:szCs w:val="18"/>
                <w:color w:val="auto"/>
              </w:rPr>
              <w:t>37,027,022 shares issued, respectively; and 53,797,358 and 37,026,023 shares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140"/>
              <w:spacing w:after="0"/>
              <w:rPr>
                <w:sz w:val="20"/>
                <w:szCs w:val="20"/>
                <w:color w:val="auto"/>
              </w:rPr>
            </w:pPr>
            <w:r>
              <w:rPr>
                <w:rFonts w:ascii="Arial" w:cs="Arial" w:eastAsia="Arial" w:hAnsi="Arial"/>
                <w:sz w:val="18"/>
                <w:szCs w:val="18"/>
                <w:color w:val="auto"/>
              </w:rPr>
              <w:t>outstanding, respectively</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808,053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552,436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Treasury stock at cost; 999 shares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Undistributed net investment income</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Net unrealized gains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17,910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Undistributed net realized gains</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Assets</w:t>
            </w:r>
          </w:p>
        </w:tc>
        <w:tc>
          <w:tcPr>
            <w:tcW w:w="7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835,405</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1,303,731</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1,039,150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9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337"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920" w:type="dxa"/>
            <w:vAlign w:val="bottom"/>
          </w:tcPr>
          <w:p>
            <w:pPr>
              <w:spacing w:after="0"/>
              <w:rPr>
                <w:sz w:val="14"/>
                <w:szCs w:val="14"/>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December 31, 2014</w:t>
            </w:r>
          </w:p>
        </w:tc>
        <w:tc>
          <w:tcPr>
            <w:tcW w:w="15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December 31, 2013</w:t>
            </w:r>
          </w:p>
        </w:tc>
        <w:tc>
          <w:tcPr>
            <w:tcW w:w="8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December 31, 2012</w:t>
            </w:r>
          </w:p>
        </w:tc>
        <w:tc>
          <w:tcPr>
            <w:tcW w:w="0" w:type="dxa"/>
            <w:vAlign w:val="bottom"/>
          </w:tcPr>
          <w:p>
            <w:pPr>
              <w:spacing w:after="0"/>
              <w:rPr>
                <w:sz w:val="1"/>
                <w:szCs w:val="1"/>
                <w:color w:val="auto"/>
              </w:rPr>
            </w:pPr>
          </w:p>
        </w:tc>
      </w:tr>
      <w:tr>
        <w:trPr>
          <w:trHeight w:val="169"/>
        </w:trPr>
        <w:tc>
          <w:tcPr>
            <w:tcW w:w="692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Income</w:t>
            </w:r>
          </w:p>
        </w:tc>
        <w:tc>
          <w:tcPr>
            <w:tcW w:w="18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2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20" w:type="dxa"/>
            <w:vAlign w:val="bottom"/>
          </w:tcPr>
          <w:p>
            <w:pPr>
              <w:spacing w:after="0"/>
              <w:rPr>
                <w:sz w:val="20"/>
                <w:szCs w:val="20"/>
                <w:color w:val="auto"/>
              </w:rPr>
            </w:pPr>
            <w:r>
              <w:rPr>
                <w:rFonts w:ascii="Arial" w:cs="Arial" w:eastAsia="Arial" w:hAnsi="Arial"/>
                <w:sz w:val="15"/>
                <w:szCs w:val="15"/>
                <w:color w:val="auto"/>
              </w:rPr>
              <w:t>Investment income from non-controlled, non-affiliated investments: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Interest from investments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151,020</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90,374</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46,402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ind w:left="260"/>
              <w:spacing w:after="0"/>
              <w:rPr>
                <w:sz w:val="20"/>
                <w:szCs w:val="20"/>
                <w:color w:val="auto"/>
              </w:rPr>
            </w:pPr>
            <w:r>
              <w:rPr>
                <w:rFonts w:ascii="Arial" w:cs="Arial" w:eastAsia="Arial" w:hAnsi="Arial"/>
                <w:sz w:val="15"/>
                <w:szCs w:val="15"/>
                <w:color w:val="auto"/>
              </w:rPr>
              <w:t>Other income</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9,162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2,233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630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Interest from cash and cash equivalents</w:t>
            </w:r>
          </w:p>
        </w:tc>
        <w:tc>
          <w:tcPr>
            <w:tcW w:w="1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22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2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20" w:type="dxa"/>
            <w:vAlign w:val="bottom"/>
          </w:tcPr>
          <w:p>
            <w:pPr>
              <w:ind w:left="500"/>
              <w:spacing w:after="0" w:line="169" w:lineRule="exact"/>
              <w:rPr>
                <w:sz w:val="20"/>
                <w:szCs w:val="20"/>
                <w:color w:val="auto"/>
              </w:rPr>
            </w:pPr>
            <w:r>
              <w:rPr>
                <w:rFonts w:ascii="Arial" w:cs="Arial" w:eastAsia="Arial" w:hAnsi="Arial"/>
                <w:sz w:val="15"/>
                <w:szCs w:val="15"/>
                <w:color w:val="auto"/>
              </w:rPr>
              <w:t>Total investment income from non-controlled, non-affiliated investments</w:t>
            </w:r>
          </w:p>
        </w:tc>
        <w:tc>
          <w:tcPr>
            <w:tcW w:w="18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160,183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92,610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Arial" w:cs="Arial" w:eastAsia="Arial" w:hAnsi="Arial"/>
                <w:sz w:val="15"/>
                <w:szCs w:val="15"/>
                <w:color w:val="auto"/>
              </w:rPr>
              <w:t>47,046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spacing w:after="0"/>
              <w:rPr>
                <w:sz w:val="20"/>
                <w:szCs w:val="20"/>
                <w:color w:val="auto"/>
              </w:rPr>
            </w:pPr>
            <w:r>
              <w:rPr>
                <w:rFonts w:ascii="Arial" w:cs="Arial" w:eastAsia="Arial" w:hAnsi="Arial"/>
                <w:sz w:val="15"/>
                <w:szCs w:val="15"/>
                <w:color w:val="auto"/>
              </w:rPr>
              <w:t>Investment income from non-controlled, affiliated investments:</w:t>
            </w: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ind w:left="260"/>
              <w:spacing w:after="0"/>
              <w:rPr>
                <w:sz w:val="20"/>
                <w:szCs w:val="20"/>
                <w:color w:val="auto"/>
              </w:rPr>
            </w:pPr>
            <w:r>
              <w:rPr>
                <w:rFonts w:ascii="Arial" w:cs="Arial" w:eastAsia="Arial" w:hAnsi="Arial"/>
                <w:sz w:val="15"/>
                <w:szCs w:val="15"/>
                <w:color w:val="auto"/>
              </w:rPr>
              <w:t>Interest from investments</w:t>
            </w:r>
          </w:p>
        </w:tc>
        <w:tc>
          <w:tcPr>
            <w:tcW w:w="18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2,724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Dividend income</w:t>
            </w:r>
          </w:p>
        </w:tc>
        <w:tc>
          <w:tcPr>
            <w:tcW w:w="1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1,231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Other income</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2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investment income from non-controlled, affiliated investments</w:t>
            </w:r>
          </w:p>
        </w:tc>
        <w:tc>
          <w:tcPr>
            <w:tcW w:w="18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3,965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20" w:type="dxa"/>
            <w:vAlign w:val="bottom"/>
          </w:tcPr>
          <w:p>
            <w:pPr>
              <w:spacing w:after="0"/>
              <w:rPr>
                <w:sz w:val="20"/>
                <w:szCs w:val="20"/>
                <w:color w:val="auto"/>
              </w:rPr>
            </w:pPr>
            <w:r>
              <w:rPr>
                <w:rFonts w:ascii="Arial" w:cs="Arial" w:eastAsia="Arial" w:hAnsi="Arial"/>
                <w:sz w:val="15"/>
                <w:szCs w:val="15"/>
                <w:color w:val="auto"/>
              </w:rPr>
              <w:t>Investment income from controlled, affiliated investments: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Interest from investments</w:t>
            </w: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2,994</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9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Other income</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w:t>
            </w:r>
          </w:p>
        </w:tc>
        <w:tc>
          <w:tcPr>
            <w:tcW w:w="2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2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investment income from controlled, affiliated investments</w:t>
            </w: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3,137</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920" w:type="dxa"/>
            <w:vAlign w:val="bottom"/>
            <w:tcBorders>
              <w:bottom w:val="single" w:sz="8" w:color="CFF0FC"/>
            </w:tcBorders>
          </w:tcPr>
          <w:p>
            <w:pPr>
              <w:ind w:left="740"/>
              <w:spacing w:after="0" w:line="169" w:lineRule="exact"/>
              <w:rPr>
                <w:sz w:val="20"/>
                <w:szCs w:val="20"/>
                <w:color w:val="auto"/>
              </w:rPr>
            </w:pPr>
            <w:r>
              <w:rPr>
                <w:rFonts w:ascii="Arial" w:cs="Arial" w:eastAsia="Arial" w:hAnsi="Arial"/>
                <w:sz w:val="15"/>
                <w:szCs w:val="15"/>
                <w:b w:val="1"/>
                <w:bCs w:val="1"/>
                <w:color w:val="auto"/>
              </w:rPr>
              <w:t>Total Investment Income</w:t>
            </w:r>
          </w:p>
        </w:tc>
        <w:tc>
          <w:tcPr>
            <w:tcW w:w="1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163,320</w:t>
            </w:r>
          </w:p>
        </w:tc>
        <w:tc>
          <w:tcPr>
            <w:tcW w:w="22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92,610</w:t>
            </w:r>
          </w:p>
        </w:tc>
        <w:tc>
          <w:tcPr>
            <w:tcW w:w="22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51,011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2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Expenses</w:t>
            </w: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20" w:type="dxa"/>
            <w:vAlign w:val="bottom"/>
          </w:tcPr>
          <w:p>
            <w:pPr>
              <w:spacing w:after="0"/>
              <w:rPr>
                <w:sz w:val="20"/>
                <w:szCs w:val="20"/>
                <w:color w:val="auto"/>
              </w:rPr>
            </w:pPr>
            <w:r>
              <w:rPr>
                <w:rFonts w:ascii="Arial" w:cs="Arial" w:eastAsia="Arial" w:hAnsi="Arial"/>
                <w:sz w:val="15"/>
                <w:szCs w:val="15"/>
                <w:color w:val="auto"/>
              </w:rPr>
              <w:t>Interest</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15,078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10,469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spacing w:after="0"/>
              <w:rPr>
                <w:sz w:val="20"/>
                <w:szCs w:val="20"/>
                <w:color w:val="auto"/>
              </w:rPr>
            </w:pPr>
            <w:r>
              <w:rPr>
                <w:rFonts w:ascii="Arial" w:cs="Arial" w:eastAsia="Arial" w:hAnsi="Arial"/>
                <w:sz w:val="15"/>
                <w:szCs w:val="15"/>
                <w:color w:val="auto"/>
              </w:rPr>
              <w:t>Management fees</w:t>
            </w: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18,296</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13,376</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8,892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spacing w:after="0"/>
              <w:rPr>
                <w:sz w:val="20"/>
                <w:szCs w:val="20"/>
                <w:color w:val="auto"/>
              </w:rPr>
            </w:pPr>
            <w:r>
              <w:rPr>
                <w:rFonts w:ascii="Arial" w:cs="Arial" w:eastAsia="Arial" w:hAnsi="Arial"/>
                <w:sz w:val="15"/>
                <w:szCs w:val="15"/>
                <w:color w:val="auto"/>
              </w:rPr>
              <w:t>Incentive fees</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17,839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11,790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6,996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spacing w:after="0"/>
              <w:rPr>
                <w:sz w:val="20"/>
                <w:szCs w:val="20"/>
                <w:color w:val="auto"/>
              </w:rPr>
            </w:pPr>
            <w:r>
              <w:rPr>
                <w:rFonts w:ascii="Arial" w:cs="Arial" w:eastAsia="Arial" w:hAnsi="Arial"/>
                <w:sz w:val="15"/>
                <w:szCs w:val="15"/>
                <w:color w:val="auto"/>
              </w:rPr>
              <w:t>Professional fees</w:t>
            </w: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4,752</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3,691</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2,881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spacing w:after="0"/>
              <w:rPr>
                <w:sz w:val="20"/>
                <w:szCs w:val="20"/>
                <w:color w:val="auto"/>
              </w:rPr>
            </w:pPr>
            <w:r>
              <w:rPr>
                <w:rFonts w:ascii="Arial" w:cs="Arial" w:eastAsia="Arial" w:hAnsi="Arial"/>
                <w:sz w:val="15"/>
                <w:szCs w:val="15"/>
                <w:color w:val="auto"/>
              </w:rPr>
              <w:t>Directors’ fees</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342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285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287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spacing w:after="0"/>
              <w:rPr>
                <w:sz w:val="20"/>
                <w:szCs w:val="20"/>
                <w:color w:val="auto"/>
              </w:rPr>
            </w:pPr>
            <w:r>
              <w:rPr>
                <w:rFonts w:ascii="Arial" w:cs="Arial" w:eastAsia="Arial" w:hAnsi="Arial"/>
                <w:sz w:val="15"/>
                <w:szCs w:val="15"/>
                <w:color w:val="auto"/>
              </w:rPr>
              <w:t>Other general and administrative</w:t>
            </w:r>
          </w:p>
        </w:tc>
        <w:tc>
          <w:tcPr>
            <w:tcW w:w="1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3,858</w:t>
            </w:r>
          </w:p>
        </w:tc>
        <w:tc>
          <w:tcPr>
            <w:tcW w:w="22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2,434</w:t>
            </w:r>
          </w:p>
        </w:tc>
        <w:tc>
          <w:tcPr>
            <w:tcW w:w="22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1,564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2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expenses</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60,165</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42,045</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26,640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Management fees waived (Note 3)</w:t>
            </w:r>
          </w:p>
        </w:tc>
        <w:tc>
          <w:tcPr>
            <w:tcW w:w="18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(2,464)</w:t>
            </w:r>
          </w:p>
        </w:tc>
        <w:tc>
          <w:tcPr>
            <w:tcW w:w="18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(7,135)</w:t>
            </w:r>
          </w:p>
        </w:tc>
        <w:tc>
          <w:tcPr>
            <w:tcW w:w="8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(3,704)</w:t>
            </w:r>
          </w:p>
        </w:tc>
        <w:tc>
          <w:tcPr>
            <w:tcW w:w="0" w:type="dxa"/>
            <w:vAlign w:val="bottom"/>
          </w:tcPr>
          <w:p>
            <w:pPr>
              <w:spacing w:after="0"/>
              <w:rPr>
                <w:sz w:val="1"/>
                <w:szCs w:val="1"/>
                <w:color w:val="auto"/>
              </w:rPr>
            </w:pPr>
          </w:p>
        </w:tc>
      </w:tr>
      <w:tr>
        <w:trPr>
          <w:trHeight w:val="169"/>
        </w:trPr>
        <w:tc>
          <w:tcPr>
            <w:tcW w:w="6920" w:type="dxa"/>
            <w:vAlign w:val="bottom"/>
            <w:tcBorders>
              <w:bottom w:val="single" w:sz="8" w:color="CFF0FC"/>
            </w:tcBorders>
          </w:tcPr>
          <w:p>
            <w:pPr>
              <w:ind w:left="740"/>
              <w:spacing w:after="0" w:line="169" w:lineRule="exact"/>
              <w:rPr>
                <w:sz w:val="20"/>
                <w:szCs w:val="20"/>
                <w:color w:val="auto"/>
              </w:rPr>
            </w:pPr>
            <w:r>
              <w:rPr>
                <w:rFonts w:ascii="Arial" w:cs="Arial" w:eastAsia="Arial" w:hAnsi="Arial"/>
                <w:sz w:val="15"/>
                <w:szCs w:val="15"/>
                <w:b w:val="1"/>
                <w:bCs w:val="1"/>
                <w:color w:val="auto"/>
              </w:rPr>
              <w:t>Net Expenses</w:t>
            </w:r>
          </w:p>
        </w:tc>
        <w:tc>
          <w:tcPr>
            <w:tcW w:w="1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57,701</w:t>
            </w:r>
          </w:p>
        </w:tc>
        <w:tc>
          <w:tcPr>
            <w:tcW w:w="22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34,910</w:t>
            </w:r>
          </w:p>
        </w:tc>
        <w:tc>
          <w:tcPr>
            <w:tcW w:w="22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22,936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2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Net Investment Income Before Income Taxes</w:t>
            </w: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105,619</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57,700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28,075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Income taxes, including excise taxes</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1,144</w:t>
            </w:r>
          </w:p>
        </w:tc>
        <w:tc>
          <w:tcPr>
            <w:tcW w:w="2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2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Net Investment Income</w:t>
            </w: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104,475</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57,501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28,029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20" w:type="dxa"/>
            <w:vAlign w:val="bottom"/>
          </w:tcPr>
          <w:p>
            <w:pPr>
              <w:spacing w:after="0"/>
              <w:rPr>
                <w:sz w:val="20"/>
                <w:szCs w:val="20"/>
                <w:color w:val="auto"/>
              </w:rPr>
            </w:pPr>
            <w:r>
              <w:rPr>
                <w:rFonts w:ascii="Arial" w:cs="Arial" w:eastAsia="Arial" w:hAnsi="Arial"/>
                <w:sz w:val="15"/>
                <w:szCs w:val="15"/>
                <w:b w:val="1"/>
                <w:bCs w:val="1"/>
                <w:color w:val="auto"/>
              </w:rPr>
              <w:t>Unrealized and Realized Gains (Losses)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spacing w:after="0"/>
              <w:rPr>
                <w:sz w:val="20"/>
                <w:szCs w:val="20"/>
                <w:color w:val="auto"/>
              </w:rPr>
            </w:pPr>
            <w:r>
              <w:rPr>
                <w:rFonts w:ascii="Arial" w:cs="Arial" w:eastAsia="Arial" w:hAnsi="Arial"/>
                <w:sz w:val="15"/>
                <w:szCs w:val="15"/>
                <w:color w:val="auto"/>
              </w:rPr>
              <w:t>Net change in unrealized gains (losses):</w:t>
            </w: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ind w:left="260"/>
              <w:spacing w:after="0"/>
              <w:rPr>
                <w:sz w:val="20"/>
                <w:szCs w:val="20"/>
                <w:color w:val="auto"/>
              </w:rPr>
            </w:pPr>
            <w:r>
              <w:rPr>
                <w:rFonts w:ascii="Arial" w:cs="Arial" w:eastAsia="Arial" w:hAnsi="Arial"/>
                <w:sz w:val="15"/>
                <w:szCs w:val="15"/>
                <w:color w:val="auto"/>
              </w:rPr>
              <w:t>Non-controlled, non-affiliated investments</w:t>
            </w:r>
          </w:p>
        </w:tc>
        <w:tc>
          <w:tcPr>
            <w:tcW w:w="1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(22,950)</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9,630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7,372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Non-controlled, affiliated investments</w:t>
            </w:r>
          </w:p>
        </w:tc>
        <w:tc>
          <w:tcPr>
            <w:tcW w:w="1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(161)</w:t>
            </w:r>
          </w:p>
        </w:tc>
        <w:tc>
          <w:tcPr>
            <w:tcW w:w="0" w:type="dxa"/>
            <w:vAlign w:val="bottom"/>
          </w:tcPr>
          <w:p>
            <w:pPr>
              <w:spacing w:after="0"/>
              <w:rPr>
                <w:sz w:val="1"/>
                <w:szCs w:val="1"/>
                <w:color w:val="auto"/>
              </w:rPr>
            </w:pPr>
          </w:p>
        </w:tc>
      </w:tr>
      <w:tr>
        <w:trPr>
          <w:trHeight w:val="176"/>
        </w:trPr>
        <w:tc>
          <w:tcPr>
            <w:tcW w:w="6920" w:type="dxa"/>
            <w:vAlign w:val="bottom"/>
          </w:tcPr>
          <w:p>
            <w:pPr>
              <w:ind w:left="260"/>
              <w:spacing w:after="0"/>
              <w:rPr>
                <w:sz w:val="20"/>
                <w:szCs w:val="20"/>
                <w:color w:val="auto"/>
              </w:rPr>
            </w:pPr>
            <w:r>
              <w:rPr>
                <w:rFonts w:ascii="Arial" w:cs="Arial" w:eastAsia="Arial" w:hAnsi="Arial"/>
                <w:sz w:val="15"/>
                <w:szCs w:val="15"/>
                <w:color w:val="auto"/>
              </w:rPr>
              <w:t>Controlled, affiliated investments</w:t>
            </w:r>
          </w:p>
        </w:tc>
        <w:tc>
          <w:tcPr>
            <w:tcW w:w="1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(5,945)</w:t>
            </w:r>
          </w:p>
        </w:tc>
        <w:tc>
          <w:tcPr>
            <w:tcW w:w="18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Translation of assets and liabilities in foreign currencies</w:t>
            </w: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8,909</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920" w:type="dxa"/>
            <w:vAlign w:val="bottom"/>
          </w:tcPr>
          <w:p>
            <w:pPr>
              <w:ind w:left="260"/>
              <w:spacing w:after="0"/>
              <w:rPr>
                <w:sz w:val="20"/>
                <w:szCs w:val="20"/>
                <w:color w:val="auto"/>
              </w:rPr>
            </w:pPr>
            <w:r>
              <w:rPr>
                <w:rFonts w:ascii="Arial" w:cs="Arial" w:eastAsia="Arial" w:hAnsi="Arial"/>
                <w:sz w:val="15"/>
                <w:szCs w:val="15"/>
                <w:color w:val="auto"/>
              </w:rPr>
              <w:t>Interest rate swaps</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1,020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Foreign currency forward contracts</w:t>
            </w: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1,244</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(1,244)</w:t>
            </w:r>
          </w:p>
        </w:tc>
        <w:tc>
          <w:tcPr>
            <w:tcW w:w="8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920" w:type="dxa"/>
            <w:vAlign w:val="bottom"/>
            <w:vMerge w:val="restart"/>
          </w:tcPr>
          <w:p>
            <w:pPr>
              <w:ind w:left="740"/>
              <w:spacing w:after="0"/>
              <w:rPr>
                <w:sz w:val="20"/>
                <w:szCs w:val="20"/>
                <w:color w:val="auto"/>
              </w:rPr>
            </w:pPr>
            <w:r>
              <w:rPr>
                <w:rFonts w:ascii="Arial" w:cs="Arial" w:eastAsia="Arial" w:hAnsi="Arial"/>
                <w:sz w:val="15"/>
                <w:szCs w:val="15"/>
                <w:color w:val="auto"/>
              </w:rPr>
              <w:t>Total net change in unrealized gains (losses)</w:t>
            </w: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(17,722)</w:t>
            </w:r>
          </w:p>
        </w:tc>
        <w:tc>
          <w:tcPr>
            <w:tcW w:w="18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8,386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Arial" w:cs="Arial" w:eastAsia="Arial" w:hAnsi="Arial"/>
                <w:sz w:val="15"/>
                <w:szCs w:val="15"/>
                <w:color w:val="auto"/>
              </w:rPr>
              <w:t>7,211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2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Realized gains (losses):</w:t>
            </w:r>
          </w:p>
        </w:tc>
        <w:tc>
          <w:tcPr>
            <w:tcW w:w="18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2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20" w:type="dxa"/>
            <w:vAlign w:val="bottom"/>
          </w:tcPr>
          <w:p>
            <w:pPr>
              <w:ind w:left="260"/>
              <w:spacing w:after="0"/>
              <w:rPr>
                <w:sz w:val="20"/>
                <w:szCs w:val="20"/>
                <w:color w:val="auto"/>
              </w:rPr>
            </w:pPr>
            <w:r>
              <w:rPr>
                <w:rFonts w:ascii="Arial" w:cs="Arial" w:eastAsia="Arial" w:hAnsi="Arial"/>
                <w:sz w:val="15"/>
                <w:szCs w:val="15"/>
                <w:color w:val="auto"/>
              </w:rPr>
              <w:t>Non-controlled, non-affiliated investments</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1,061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4,255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Non-controlled, affiliated investments</w:t>
            </w:r>
          </w:p>
        </w:tc>
        <w:tc>
          <w:tcPr>
            <w:tcW w:w="1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ind w:left="260"/>
              <w:spacing w:after="0"/>
              <w:rPr>
                <w:sz w:val="20"/>
                <w:szCs w:val="20"/>
                <w:color w:val="auto"/>
              </w:rPr>
            </w:pPr>
            <w:r>
              <w:rPr>
                <w:rFonts w:ascii="Arial" w:cs="Arial" w:eastAsia="Arial" w:hAnsi="Arial"/>
                <w:sz w:val="15"/>
                <w:szCs w:val="15"/>
                <w:color w:val="auto"/>
              </w:rPr>
              <w:t>Foreign currency transactions</w:t>
            </w:r>
          </w:p>
        </w:tc>
        <w:tc>
          <w:tcPr>
            <w:tcW w:w="1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(1,839)</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920" w:type="dxa"/>
            <w:vAlign w:val="bottom"/>
            <w:vMerge w:val="restart"/>
            <w:shd w:val="clear" w:color="auto" w:fill="CFF0FC"/>
          </w:tcPr>
          <w:p>
            <w:pPr>
              <w:ind w:left="740"/>
              <w:spacing w:after="0"/>
              <w:rPr>
                <w:sz w:val="20"/>
                <w:szCs w:val="20"/>
                <w:color w:val="auto"/>
              </w:rPr>
            </w:pPr>
            <w:r>
              <w:rPr>
                <w:rFonts w:ascii="Arial" w:cs="Arial" w:eastAsia="Arial" w:hAnsi="Arial"/>
                <w:sz w:val="15"/>
                <w:szCs w:val="15"/>
                <w:color w:val="auto"/>
              </w:rPr>
              <w:t>Total realized gains (losses)</w:t>
            </w: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(1,703)</w:t>
            </w: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1,096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4,355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ind w:left="880"/>
              <w:spacing w:after="0"/>
              <w:rPr>
                <w:sz w:val="20"/>
                <w:szCs w:val="20"/>
                <w:color w:val="auto"/>
              </w:rPr>
            </w:pPr>
            <w:r>
              <w:rPr>
                <w:rFonts w:ascii="Arial" w:cs="Arial" w:eastAsia="Arial" w:hAnsi="Arial"/>
                <w:sz w:val="15"/>
                <w:szCs w:val="15"/>
                <w:b w:val="1"/>
                <w:bCs w:val="1"/>
                <w:color w:val="auto"/>
              </w:rPr>
              <w:t>Total Unrealized and Realized Gains (Losses)</w:t>
            </w: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(19,425)</w:t>
            </w:r>
          </w:p>
        </w:tc>
        <w:tc>
          <w:tcPr>
            <w:tcW w:w="18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9,482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Arial" w:cs="Arial" w:eastAsia="Arial" w:hAnsi="Arial"/>
                <w:sz w:val="15"/>
                <w:szCs w:val="15"/>
                <w:color w:val="auto"/>
              </w:rPr>
              <w:t>11,566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20" w:type="dxa"/>
            <w:vAlign w:val="bottom"/>
            <w:tcBorders>
              <w:top w:val="single" w:sz="8" w:color="CFF0FC"/>
              <w:bottom w:val="single" w:sz="8" w:color="CFF0FC"/>
            </w:tcBorders>
            <w:shd w:val="clear" w:color="auto" w:fill="CFF0FC"/>
          </w:tcPr>
          <w:p>
            <w:pPr>
              <w:ind w:left="880"/>
              <w:spacing w:after="0" w:line="169" w:lineRule="exact"/>
              <w:rPr>
                <w:sz w:val="20"/>
                <w:szCs w:val="20"/>
                <w:color w:val="auto"/>
              </w:rPr>
            </w:pPr>
            <w:r>
              <w:rPr>
                <w:rFonts w:ascii="Arial" w:cs="Arial" w:eastAsia="Arial" w:hAnsi="Arial"/>
                <w:sz w:val="15"/>
                <w:szCs w:val="15"/>
                <w:b w:val="1"/>
                <w:bCs w:val="1"/>
                <w:color w:val="auto"/>
              </w:rPr>
              <w:t>Increase in Net Assets Resulting from Operations</w:t>
            </w:r>
          </w:p>
        </w:tc>
        <w:tc>
          <w:tcPr>
            <w:tcW w:w="180" w:type="dxa"/>
            <w:vAlign w:val="bottom"/>
            <w:tcBorders>
              <w:top w:val="single" w:sz="8" w:color="auto"/>
              <w:bottom w:val="single" w:sz="8" w:color="auto"/>
            </w:tcBorders>
            <w:shd w:val="clear" w:color="auto" w:fill="CFF0FC"/>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85,050</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66,983</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39,595</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5"/>
                <w:szCs w:val="15"/>
                <w:color w:val="auto"/>
              </w:rPr>
              <w:t xml:space="preserve">Earnings per common share—basic and diluted </w:t>
            </w:r>
            <w:r>
              <w:rPr>
                <w:rFonts w:ascii="Arial" w:cs="Arial" w:eastAsia="Arial" w:hAnsi="Arial"/>
                <w:sz w:val="13"/>
                <w:szCs w:val="13"/>
                <w:color w:val="auto"/>
              </w:rPr>
              <w:t>(1)</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20" w:type="dxa"/>
            <w:vAlign w:val="bottom"/>
            <w:tcBorders>
              <w:bottom w:val="single" w:sz="8" w:color="CFF0FC"/>
            </w:tcBorders>
            <w:vMerge w:val="continue"/>
          </w:tcPr>
          <w:p>
            <w:pPr>
              <w:spacing w:after="0"/>
              <w:rPr>
                <w:sz w:val="13"/>
                <w:szCs w:val="13"/>
                <w:color w:val="auto"/>
              </w:rPr>
            </w:pPr>
          </w:p>
        </w:tc>
        <w:tc>
          <w:tcPr>
            <w:tcW w:w="180" w:type="dxa"/>
            <w:vAlign w:val="bottom"/>
            <w:tcBorders>
              <w:bottom w:val="single" w:sz="8" w:color="auto"/>
            </w:tcBorders>
          </w:tcPr>
          <w:p>
            <w:pPr>
              <w:jc w:val="right"/>
              <w:ind w:right="25"/>
              <w:spacing w:after="0" w:line="156"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1.68</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jc w:val="right"/>
              <w:ind w:right="25"/>
              <w:spacing w:after="0" w:line="156"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1.93</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1.93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9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 xml:space="preserve">Weighted average shares of common stock outstanding—basic and diluted </w:t>
            </w:r>
            <w:r>
              <w:rPr>
                <w:rFonts w:ascii="Arial" w:cs="Arial" w:eastAsia="Arial" w:hAnsi="Arial"/>
                <w:sz w:val="13"/>
                <w:szCs w:val="13"/>
                <w:color w:val="auto"/>
              </w:rPr>
              <w:t>(1)</w:t>
            </w:r>
          </w:p>
        </w:tc>
        <w:tc>
          <w:tcPr>
            <w:tcW w:w="1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50,509,692</w:t>
            </w:r>
          </w:p>
        </w:tc>
        <w:tc>
          <w:tcPr>
            <w:tcW w:w="2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34,635,208</w:t>
            </w:r>
          </w:p>
        </w:tc>
        <w:tc>
          <w:tcPr>
            <w:tcW w:w="2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20,541,475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right="60" w:hanging="532"/>
        <w:spacing w:after="0" w:line="277" w:lineRule="auto"/>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the year ended December 31, 2012 have been retroactively adjusted for the stock split which was effected in the form of a stock dividend.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337"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December 31,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Amortized</w:t>
            </w: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50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Investment</w:t>
            </w:r>
          </w:p>
        </w:tc>
        <w:tc>
          <w:tcPr>
            <w:tcW w:w="15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Interest</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0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gridSpan w:val="2"/>
            <w:vMerge w:val="continue"/>
          </w:tcPr>
          <w:p>
            <w:pPr>
              <w:spacing w:after="0"/>
              <w:rPr>
                <w:sz w:val="14"/>
                <w:szCs w:val="14"/>
                <w:color w:val="auto"/>
              </w:rPr>
            </w:pPr>
          </w:p>
        </w:tc>
        <w:tc>
          <w:tcPr>
            <w:tcW w:w="250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 xml:space="preserve">Cost </w:t>
            </w:r>
            <w:r>
              <w:rPr>
                <w:rFonts w:ascii="Arial" w:cs="Arial" w:eastAsia="Arial" w:hAnsi="Arial"/>
                <w:sz w:val="12"/>
                <w:szCs w:val="12"/>
                <w:b w:val="1"/>
                <w:bCs w:val="1"/>
                <w:color w:val="auto"/>
                <w:w w:val="92"/>
              </w:rPr>
              <w:t>(2)</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of Net Assets</w:t>
            </w:r>
          </w:p>
        </w:tc>
        <w:tc>
          <w:tcPr>
            <w:tcW w:w="0" w:type="dxa"/>
            <w:vAlign w:val="bottom"/>
          </w:tcPr>
          <w:p>
            <w:pPr>
              <w:spacing w:after="0"/>
              <w:rPr>
                <w:sz w:val="1"/>
                <w:szCs w:val="1"/>
                <w:color w:val="auto"/>
              </w:rPr>
            </w:pPr>
          </w:p>
        </w:tc>
      </w:tr>
      <w:tr>
        <w:trPr>
          <w:trHeight w:val="210"/>
        </w:trPr>
        <w:tc>
          <w:tcPr>
            <w:tcW w:w="3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120" w:type="dxa"/>
            <w:vAlign w:val="bottom"/>
            <w:tcBorders>
              <w:top w:val="single" w:sz="8" w:color="CFF0FC"/>
            </w:tcBorders>
            <w:shd w:val="clear" w:color="auto" w:fill="CFF0FC"/>
          </w:tcPr>
          <w:p>
            <w:pPr>
              <w:spacing w:after="0"/>
              <w:rPr>
                <w:sz w:val="18"/>
                <w:szCs w:val="18"/>
                <w:color w:val="auto"/>
              </w:rPr>
            </w:pPr>
          </w:p>
        </w:tc>
        <w:tc>
          <w:tcPr>
            <w:tcW w:w="23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ind w:left="260"/>
              <w:spacing w:after="0"/>
              <w:rPr>
                <w:sz w:val="20"/>
                <w:szCs w:val="20"/>
                <w:color w:val="auto"/>
              </w:rPr>
            </w:pPr>
            <w:r>
              <w:rPr>
                <w:rFonts w:ascii="Arial" w:cs="Arial" w:eastAsia="Arial" w:hAnsi="Arial"/>
                <w:sz w:val="18"/>
                <w:szCs w:val="18"/>
                <w:b w:val="1"/>
                <w:bCs w:val="1"/>
                <w:color w:val="auto"/>
              </w:rPr>
              <w:t>Automotive</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First-lien loan ($32,826 par,</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Heartland Automotive Holdings, LLC </w:t>
            </w:r>
            <w:r>
              <w:rPr>
                <w:rFonts w:ascii="Arial" w:cs="Arial" w:eastAsia="Arial" w:hAnsi="Arial"/>
                <w:sz w:val="15"/>
                <w:szCs w:val="15"/>
                <w:color w:val="auto"/>
              </w:rPr>
              <w:t>(3)(4)</w:t>
            </w: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6/2017)</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9.75%</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8/28/2012</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32,340</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30,447</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2"/>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rPr>
              <w:t>First-lien revolving loan</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($4,500 par, due 6/2017)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10.75%</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8/28/2012</w:t>
            </w:r>
          </w:p>
        </w:tc>
        <w:tc>
          <w:tcPr>
            <w:tcW w:w="780" w:type="dxa"/>
            <w:vAlign w:val="bottom"/>
          </w:tcPr>
          <w:p>
            <w:pPr>
              <w:jc w:val="right"/>
              <w:spacing w:after="0"/>
              <w:rPr>
                <w:sz w:val="20"/>
                <w:szCs w:val="20"/>
                <w:color w:val="auto"/>
              </w:rPr>
            </w:pPr>
            <w:r>
              <w:rPr>
                <w:rFonts w:ascii="Arial" w:cs="Arial" w:eastAsia="Arial" w:hAnsi="Arial"/>
                <w:sz w:val="18"/>
                <w:szCs w:val="18"/>
                <w:color w:val="auto"/>
              </w:rPr>
              <w:t>4,421</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4,097</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3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36,761</w:t>
            </w:r>
          </w:p>
        </w:tc>
        <w:tc>
          <w:tcPr>
            <w:tcW w:w="220" w:type="dxa"/>
            <w:vAlign w:val="bottom"/>
            <w:vMerge w:val="continue"/>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34,544</w:t>
            </w:r>
          </w:p>
        </w:tc>
        <w:tc>
          <w:tcPr>
            <w:tcW w:w="220" w:type="dxa"/>
            <w:vAlign w:val="bottom"/>
            <w:vMerge w:val="continue"/>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3540" w:type="dxa"/>
            <w:vAlign w:val="bottom"/>
            <w:gridSpan w:val="2"/>
          </w:tcPr>
          <w:p>
            <w:pPr>
              <w:ind w:left="260"/>
              <w:spacing w:after="0"/>
              <w:rPr>
                <w:sz w:val="20"/>
                <w:szCs w:val="20"/>
                <w:color w:val="auto"/>
              </w:rPr>
            </w:pPr>
            <w:r>
              <w:rPr>
                <w:rFonts w:ascii="Arial" w:cs="Arial" w:eastAsia="Arial" w:hAnsi="Arial"/>
                <w:sz w:val="18"/>
                <w:szCs w:val="18"/>
                <w:b w:val="1"/>
                <w:bCs w:val="1"/>
                <w:color w:val="auto"/>
              </w:rPr>
              <w:t>Beverage, food and tobacco</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First-lien loan ($64,399 par,</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(3)(4)(6)</w:t>
            </w: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3/2020)</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6.25%</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3/3/2014</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63,102</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63,111</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($22,787 par,</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 xml:space="preserve">Great Atlantic &amp; Pacific Tea Co. Inc. </w:t>
            </w:r>
            <w:r>
              <w:rPr>
                <w:rFonts w:ascii="Arial" w:cs="Arial" w:eastAsia="Arial" w:hAnsi="Arial"/>
                <w:sz w:val="15"/>
                <w:szCs w:val="15"/>
                <w:color w:val="auto"/>
              </w:rPr>
              <w:t>(3)(4)</w:t>
            </w:r>
          </w:p>
        </w:tc>
        <w:tc>
          <w:tcPr>
            <w:tcW w:w="2500" w:type="dxa"/>
            <w:vAlign w:val="bottom"/>
            <w:gridSpan w:val="2"/>
          </w:tcPr>
          <w:p>
            <w:pPr>
              <w:spacing w:after="0"/>
              <w:rPr>
                <w:sz w:val="20"/>
                <w:szCs w:val="20"/>
                <w:color w:val="auto"/>
              </w:rPr>
            </w:pPr>
            <w:r>
              <w:rPr>
                <w:rFonts w:ascii="Arial" w:cs="Arial" w:eastAsia="Arial" w:hAnsi="Arial"/>
                <w:sz w:val="18"/>
                <w:szCs w:val="18"/>
                <w:color w:val="auto"/>
              </w:rPr>
              <w:t>due 9/2019)</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9.85%</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9/17/2014</w:t>
            </w:r>
          </w:p>
        </w:tc>
        <w:tc>
          <w:tcPr>
            <w:tcW w:w="780" w:type="dxa"/>
            <w:vAlign w:val="bottom"/>
          </w:tcPr>
          <w:p>
            <w:pPr>
              <w:jc w:val="right"/>
              <w:spacing w:after="0"/>
              <w:rPr>
                <w:sz w:val="20"/>
                <w:szCs w:val="20"/>
                <w:color w:val="auto"/>
              </w:rPr>
            </w:pPr>
            <w:r>
              <w:rPr>
                <w:rFonts w:ascii="Arial" w:cs="Arial" w:eastAsia="Arial" w:hAnsi="Arial"/>
                <w:sz w:val="18"/>
                <w:szCs w:val="18"/>
                <w:color w:val="auto"/>
              </w:rPr>
              <w:t>22,426</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22,274</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3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85,528</w:t>
            </w:r>
          </w:p>
        </w:tc>
        <w:tc>
          <w:tcPr>
            <w:tcW w:w="220" w:type="dxa"/>
            <w:vAlign w:val="bottom"/>
            <w:vMerge w:val="continue"/>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85,385</w:t>
            </w:r>
          </w:p>
        </w:tc>
        <w:tc>
          <w:tcPr>
            <w:tcW w:w="220" w:type="dxa"/>
            <w:vAlign w:val="bottom"/>
            <w:vMerge w:val="continue"/>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3540" w:type="dxa"/>
            <w:vAlign w:val="bottom"/>
            <w:gridSpan w:val="2"/>
          </w:tcPr>
          <w:p>
            <w:pPr>
              <w:ind w:left="260"/>
              <w:spacing w:after="0"/>
              <w:rPr>
                <w:sz w:val="20"/>
                <w:szCs w:val="20"/>
                <w:color w:val="auto"/>
              </w:rPr>
            </w:pPr>
            <w:r>
              <w:rPr>
                <w:rFonts w:ascii="Arial" w:cs="Arial" w:eastAsia="Arial" w:hAnsi="Arial"/>
                <w:sz w:val="18"/>
                <w:szCs w:val="18"/>
                <w:b w:val="1"/>
                <w:bCs w:val="1"/>
                <w:color w:val="auto"/>
              </w:rPr>
              <w:t>Business services</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First-lien loan ($63,933 par,</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5"/>
                <w:szCs w:val="15"/>
                <w:color w:val="auto"/>
              </w:rPr>
              <w:t>(3)(4)(6)</w:t>
            </w: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4/2018)</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7.50%</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4/11/2013</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62,282</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63,933</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2"/>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w w:val="97"/>
              </w:rPr>
              <w:t>First-lien loan ($16,418 par, due</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 xml:space="preserve">Leaf US Holdings, Inc. </w:t>
            </w:r>
            <w:r>
              <w:rPr>
                <w:rFonts w:ascii="Arial" w:cs="Arial" w:eastAsia="Arial" w:hAnsi="Arial"/>
                <w:sz w:val="15"/>
                <w:szCs w:val="15"/>
                <w:color w:val="auto"/>
              </w:rPr>
              <w:t>(3)(5)</w:t>
            </w:r>
          </w:p>
        </w:tc>
        <w:tc>
          <w:tcPr>
            <w:tcW w:w="2380" w:type="dxa"/>
            <w:vAlign w:val="bottom"/>
          </w:tcPr>
          <w:p>
            <w:pPr>
              <w:spacing w:after="0"/>
              <w:rPr>
                <w:sz w:val="20"/>
                <w:szCs w:val="20"/>
                <w:color w:val="auto"/>
              </w:rPr>
            </w:pPr>
            <w:r>
              <w:rPr>
                <w:rFonts w:ascii="Arial" w:cs="Arial" w:eastAsia="Arial" w:hAnsi="Arial"/>
                <w:sz w:val="18"/>
                <w:szCs w:val="18"/>
                <w:color w:val="auto"/>
              </w:rPr>
              <w:t>6/2019)</w:t>
            </w:r>
          </w:p>
        </w:tc>
        <w:tc>
          <w:tcPr>
            <w:tcW w:w="12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6/30/2014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16,077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16,003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3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First-lien loan ($29,659 par,</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5"/>
                <w:szCs w:val="15"/>
                <w:color w:val="auto"/>
              </w:rPr>
              <w:t>(3)(4)</w:t>
            </w: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9/2018)</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8.75%</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9/12/2013</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29,204</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29,506</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($16,071 par,</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(3)(4)</w:t>
            </w:r>
          </w:p>
        </w:tc>
        <w:tc>
          <w:tcPr>
            <w:tcW w:w="2500" w:type="dxa"/>
            <w:vAlign w:val="bottom"/>
            <w:gridSpan w:val="2"/>
          </w:tcPr>
          <w:p>
            <w:pPr>
              <w:spacing w:after="0"/>
              <w:rPr>
                <w:sz w:val="20"/>
                <w:szCs w:val="20"/>
                <w:color w:val="auto"/>
              </w:rPr>
            </w:pPr>
            <w:r>
              <w:rPr>
                <w:rFonts w:ascii="Arial" w:cs="Arial" w:eastAsia="Arial" w:hAnsi="Arial"/>
                <w:sz w:val="18"/>
                <w:szCs w:val="18"/>
                <w:color w:val="auto"/>
              </w:rPr>
              <w:t>due 12/2019)</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12/30/2014</w:t>
            </w:r>
          </w:p>
        </w:tc>
        <w:tc>
          <w:tcPr>
            <w:tcW w:w="780" w:type="dxa"/>
            <w:vAlign w:val="bottom"/>
          </w:tcPr>
          <w:p>
            <w:pPr>
              <w:jc w:val="right"/>
              <w:spacing w:after="0"/>
              <w:rPr>
                <w:sz w:val="20"/>
                <w:szCs w:val="20"/>
                <w:color w:val="auto"/>
              </w:rPr>
            </w:pPr>
            <w:r>
              <w:rPr>
                <w:rFonts w:ascii="Arial" w:cs="Arial" w:eastAsia="Arial" w:hAnsi="Arial"/>
                <w:sz w:val="18"/>
                <w:szCs w:val="18"/>
                <w:color w:val="auto"/>
              </w:rPr>
              <w:t>15,628</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15,621</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3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123,191</w:t>
            </w:r>
          </w:p>
        </w:tc>
        <w:tc>
          <w:tcPr>
            <w:tcW w:w="220" w:type="dxa"/>
            <w:vAlign w:val="bottom"/>
            <w:vMerge w:val="continue"/>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125,063</w:t>
            </w:r>
          </w:p>
        </w:tc>
        <w:tc>
          <w:tcPr>
            <w:tcW w:w="220" w:type="dxa"/>
            <w:vAlign w:val="bottom"/>
            <w:vMerge w:val="continue"/>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0"/>
        </w:trPr>
        <w:tc>
          <w:tcPr>
            <w:tcW w:w="3540" w:type="dxa"/>
            <w:vAlign w:val="bottom"/>
            <w:gridSpan w:val="2"/>
          </w:tcPr>
          <w:p>
            <w:pPr>
              <w:ind w:left="260"/>
              <w:spacing w:after="0"/>
              <w:rPr>
                <w:sz w:val="20"/>
                <w:szCs w:val="20"/>
                <w:color w:val="auto"/>
              </w:rPr>
            </w:pPr>
            <w:r>
              <w:rPr>
                <w:rFonts w:ascii="Arial" w:cs="Arial" w:eastAsia="Arial" w:hAnsi="Arial"/>
                <w:sz w:val="18"/>
                <w:szCs w:val="18"/>
                <w:b w:val="1"/>
                <w:bCs w:val="1"/>
                <w:color w:val="auto"/>
              </w:rPr>
              <w:t>Chemicals</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First-lien loan ($19,950 par,</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(3)(4)</w:t>
            </w: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10/2019)</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10.50%</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88"/>
              </w:rPr>
              <w:t>10/31/2014</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19,267</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18,753</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540" w:type="dxa"/>
            <w:vAlign w:val="bottom"/>
            <w:gridSpan w:val="2"/>
          </w:tcPr>
          <w:p>
            <w:pPr>
              <w:ind w:left="260"/>
              <w:spacing w:after="0"/>
              <w:rPr>
                <w:sz w:val="20"/>
                <w:szCs w:val="20"/>
                <w:color w:val="auto"/>
              </w:rPr>
            </w:pPr>
            <w:r>
              <w:rPr>
                <w:rFonts w:ascii="Arial" w:cs="Arial" w:eastAsia="Arial" w:hAnsi="Arial"/>
                <w:sz w:val="18"/>
                <w:szCs w:val="18"/>
                <w:b w:val="1"/>
                <w:bCs w:val="1"/>
                <w:color w:val="auto"/>
              </w:rPr>
              <w:t>Communications</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Second-lien loan ($17,000 par,</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IPC Systems, Inc. </w:t>
            </w:r>
            <w:r>
              <w:rPr>
                <w:rFonts w:ascii="Arial" w:cs="Arial" w:eastAsia="Arial" w:hAnsi="Arial"/>
                <w:sz w:val="15"/>
                <w:szCs w:val="15"/>
                <w:color w:val="auto"/>
              </w:rPr>
              <w:t>(3)(4)</w:t>
            </w: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5/2021)</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9.50%</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5/2/2014</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16,935</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17,680</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540" w:type="dxa"/>
            <w:vAlign w:val="bottom"/>
            <w:gridSpan w:val="2"/>
          </w:tcPr>
          <w:p>
            <w:pPr>
              <w:ind w:left="260"/>
              <w:spacing w:after="0"/>
              <w:rPr>
                <w:sz w:val="20"/>
                <w:szCs w:val="20"/>
                <w:color w:val="auto"/>
              </w:rPr>
            </w:pPr>
            <w:r>
              <w:rPr>
                <w:rFonts w:ascii="Arial" w:cs="Arial" w:eastAsia="Arial" w:hAnsi="Arial"/>
                <w:sz w:val="18"/>
                <w:szCs w:val="18"/>
                <w:b w:val="1"/>
                <w:bCs w:val="1"/>
                <w:color w:val="auto"/>
              </w:rPr>
              <w:t>Containers and packaging</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First-lien loan ($39,240 par,</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The Newark Group, Inc. </w:t>
            </w:r>
            <w:r>
              <w:rPr>
                <w:rFonts w:ascii="Arial" w:cs="Arial" w:eastAsia="Arial" w:hAnsi="Arial"/>
                <w:sz w:val="15"/>
                <w:szCs w:val="15"/>
                <w:color w:val="auto"/>
              </w:rPr>
              <w:t>(3)(4)</w:t>
            </w: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2/2018)</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8.50%</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2/8/2013</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38,984</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40,025</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540" w:type="dxa"/>
            <w:vAlign w:val="bottom"/>
            <w:gridSpan w:val="2"/>
          </w:tcPr>
          <w:p>
            <w:pPr>
              <w:ind w:left="260"/>
              <w:spacing w:after="0"/>
              <w:rPr>
                <w:sz w:val="20"/>
                <w:szCs w:val="20"/>
                <w:color w:val="auto"/>
              </w:rPr>
            </w:pPr>
            <w:r>
              <w:rPr>
                <w:rFonts w:ascii="Arial" w:cs="Arial" w:eastAsia="Arial" w:hAnsi="Arial"/>
                <w:sz w:val="18"/>
                <w:szCs w:val="18"/>
                <w:b w:val="1"/>
                <w:bCs w:val="1"/>
                <w:color w:val="auto"/>
              </w:rPr>
              <w:t>Education</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First-lien loan ($28,125 par,</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Campus Management, Inc. </w:t>
            </w:r>
            <w:r>
              <w:rPr>
                <w:rFonts w:ascii="Arial" w:cs="Arial" w:eastAsia="Arial" w:hAnsi="Arial"/>
                <w:sz w:val="15"/>
                <w:szCs w:val="15"/>
                <w:color w:val="auto"/>
              </w:rPr>
              <w:t>(3)(4)(6)</w:t>
            </w: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9/2018)</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8.75%</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9/30/2013</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27,576</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27,914</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540" w:type="dxa"/>
            <w:vAlign w:val="bottom"/>
            <w:gridSpan w:val="2"/>
          </w:tcPr>
          <w:p>
            <w:pPr>
              <w:ind w:left="260"/>
              <w:spacing w:after="0"/>
              <w:rPr>
                <w:sz w:val="20"/>
                <w:szCs w:val="20"/>
                <w:color w:val="auto"/>
              </w:rPr>
            </w:pPr>
            <w:r>
              <w:rPr>
                <w:rFonts w:ascii="Arial" w:cs="Arial" w:eastAsia="Arial" w:hAnsi="Arial"/>
                <w:sz w:val="18"/>
                <w:szCs w:val="18"/>
                <w:b w:val="1"/>
                <w:bCs w:val="1"/>
                <w:color w:val="auto"/>
              </w:rPr>
              <w:t>Electronics</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First-lien loan ($61,861 par,</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MyAlarm Center, LLC </w:t>
            </w:r>
            <w:r>
              <w:rPr>
                <w:rFonts w:ascii="Arial" w:cs="Arial" w:eastAsia="Arial" w:hAnsi="Arial"/>
                <w:sz w:val="15"/>
                <w:szCs w:val="15"/>
                <w:color w:val="auto"/>
              </w:rPr>
              <w:t>(3)(4)</w:t>
            </w: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1/2018)</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8.50%</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1/9/2014</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61,013</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60,893</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2"/>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w w:val="94"/>
              </w:rPr>
              <w:t>Mezzanine loan ($4,887 par, due</w:t>
            </w:r>
          </w:p>
        </w:tc>
        <w:tc>
          <w:tcPr>
            <w:tcW w:w="150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16.25% (incl.</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7/2018)</w:t>
            </w:r>
          </w:p>
        </w:tc>
        <w:tc>
          <w:tcPr>
            <w:tcW w:w="12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4.25% PIK)</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1/9/2014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4,849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4,520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2"/>
        </w:trPr>
        <w:tc>
          <w:tcPr>
            <w:tcW w:w="3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First-lien bond 6.375% ($5,000</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APX Group Inc. </w:t>
            </w:r>
            <w:r>
              <w:rPr>
                <w:rFonts w:ascii="Arial" w:cs="Arial" w:eastAsia="Arial" w:hAnsi="Arial"/>
                <w:sz w:val="15"/>
                <w:szCs w:val="15"/>
                <w:color w:val="auto"/>
              </w:rPr>
              <w:t>(3)(4)</w:t>
            </w: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par, due 12/2019)</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6.38%</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88"/>
              </w:rPr>
              <w:t>12/12/2014</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4,727</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4,788</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2"/>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rPr>
              <w:t>First-lien bond 8.75% ($10,000</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par, due 12/2020)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8.75%</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12/11/2014</w:t>
            </w:r>
          </w:p>
        </w:tc>
        <w:tc>
          <w:tcPr>
            <w:tcW w:w="780" w:type="dxa"/>
            <w:vAlign w:val="bottom"/>
          </w:tcPr>
          <w:p>
            <w:pPr>
              <w:jc w:val="right"/>
              <w:spacing w:after="0"/>
              <w:rPr>
                <w:sz w:val="20"/>
                <w:szCs w:val="20"/>
                <w:color w:val="auto"/>
              </w:rPr>
            </w:pPr>
            <w:r>
              <w:rPr>
                <w:rFonts w:ascii="Arial" w:cs="Arial" w:eastAsia="Arial" w:hAnsi="Arial"/>
                <w:sz w:val="18"/>
                <w:szCs w:val="18"/>
                <w:color w:val="auto"/>
              </w:rPr>
              <w:t>8,566</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8,444</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3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79,155</w:t>
            </w:r>
          </w:p>
        </w:tc>
        <w:tc>
          <w:tcPr>
            <w:tcW w:w="220" w:type="dxa"/>
            <w:vAlign w:val="bottom"/>
            <w:vMerge w:val="continue"/>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78,645</w:t>
            </w:r>
          </w:p>
        </w:tc>
        <w:tc>
          <w:tcPr>
            <w:tcW w:w="220" w:type="dxa"/>
            <w:vAlign w:val="bottom"/>
            <w:vMerge w:val="continue"/>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426"/>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2"/>
          </w:tcPr>
          <w:p>
            <w:pPr>
              <w:ind w:left="2040"/>
              <w:spacing w:after="0"/>
              <w:rPr>
                <w:sz w:val="20"/>
                <w:szCs w:val="20"/>
                <w:color w:val="auto"/>
              </w:rPr>
            </w:pPr>
            <w:r>
              <w:rPr>
                <w:rFonts w:ascii="Arial" w:cs="Arial" w:eastAsia="Arial" w:hAnsi="Arial"/>
                <w:sz w:val="18"/>
                <w:szCs w:val="18"/>
                <w:color w:val="auto"/>
              </w:rPr>
              <w:t>F-5</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Amortized</w:t>
            </w: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50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Investment</w:t>
            </w:r>
          </w:p>
        </w:tc>
        <w:tc>
          <w:tcPr>
            <w:tcW w:w="15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Interest</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0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gridSpan w:val="2"/>
            <w:vMerge w:val="continue"/>
          </w:tcPr>
          <w:p>
            <w:pPr>
              <w:spacing w:after="0"/>
              <w:rPr>
                <w:sz w:val="14"/>
                <w:szCs w:val="14"/>
                <w:color w:val="auto"/>
              </w:rPr>
            </w:pPr>
          </w:p>
        </w:tc>
        <w:tc>
          <w:tcPr>
            <w:tcW w:w="250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 xml:space="preserve">Cost </w:t>
            </w:r>
            <w:r>
              <w:rPr>
                <w:rFonts w:ascii="Arial" w:cs="Arial" w:eastAsia="Arial" w:hAnsi="Arial"/>
                <w:sz w:val="12"/>
                <w:szCs w:val="12"/>
                <w:b w:val="1"/>
                <w:bCs w:val="1"/>
                <w:color w:val="auto"/>
                <w:w w:val="92"/>
              </w:rPr>
              <w:t>(2)</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of Net Assets</w:t>
            </w:r>
          </w:p>
        </w:tc>
        <w:tc>
          <w:tcPr>
            <w:tcW w:w="0" w:type="dxa"/>
            <w:vAlign w:val="bottom"/>
          </w:tcPr>
          <w:p>
            <w:pPr>
              <w:spacing w:after="0"/>
              <w:rPr>
                <w:sz w:val="1"/>
                <w:szCs w:val="1"/>
                <w:color w:val="auto"/>
              </w:rPr>
            </w:pPr>
          </w:p>
        </w:tc>
      </w:tr>
      <w:tr>
        <w:trPr>
          <w:trHeight w:val="210"/>
        </w:trPr>
        <w:tc>
          <w:tcPr>
            <w:tcW w:w="342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120" w:type="dxa"/>
            <w:vAlign w:val="bottom"/>
          </w:tcPr>
          <w:p>
            <w:pPr>
              <w:spacing w:after="0"/>
              <w:rPr>
                <w:sz w:val="18"/>
                <w:szCs w:val="18"/>
                <w:color w:val="auto"/>
              </w:rPr>
            </w:pPr>
          </w:p>
        </w:tc>
        <w:tc>
          <w:tcPr>
            <w:tcW w:w="2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First-lien loan ($40,243 par,</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Embarcadero Technologies, Inc. </w:t>
            </w:r>
            <w:r>
              <w:rPr>
                <w:rFonts w:ascii="Arial" w:cs="Arial" w:eastAsia="Arial" w:hAnsi="Arial"/>
                <w:sz w:val="15"/>
                <w:szCs w:val="15"/>
                <w:color w:val="auto"/>
              </w:rPr>
              <w:t>(3)(4)(6)</w:t>
            </w: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12/2017)</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8.00%</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88"/>
              </w:rPr>
              <w:t>12/28/2012</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39,585</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40,544</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3"/>
        </w:trPr>
        <w:tc>
          <w:tcPr>
            <w:tcW w:w="3540" w:type="dxa"/>
            <w:vAlign w:val="bottom"/>
            <w:gridSpan w:val="2"/>
            <w:vMerge w:val="restart"/>
          </w:tcPr>
          <w:p>
            <w:pPr>
              <w:spacing w:after="0"/>
              <w:rPr>
                <w:sz w:val="20"/>
                <w:szCs w:val="20"/>
                <w:color w:val="auto"/>
              </w:rPr>
            </w:pPr>
            <w:r>
              <w:rPr>
                <w:rFonts w:ascii="Arial" w:cs="Arial" w:eastAsia="Arial" w:hAnsi="Arial"/>
                <w:sz w:val="16"/>
                <w:szCs w:val="16"/>
                <w:color w:val="auto"/>
              </w:rPr>
              <w:t xml:space="preserve">Rogue Wave Holdings, Inc. </w:t>
            </w:r>
            <w:r>
              <w:rPr>
                <w:rFonts w:ascii="Arial" w:cs="Arial" w:eastAsia="Arial" w:hAnsi="Arial"/>
                <w:sz w:val="27"/>
                <w:szCs w:val="27"/>
                <w:color w:val="auto"/>
                <w:vertAlign w:val="superscript"/>
              </w:rPr>
              <w:t>(3)(4)(6)</w:t>
            </w:r>
          </w:p>
        </w:tc>
        <w:tc>
          <w:tcPr>
            <w:tcW w:w="2500" w:type="dxa"/>
            <w:vAlign w:val="bottom"/>
            <w:gridSpan w:val="2"/>
          </w:tcPr>
          <w:p>
            <w:pPr>
              <w:spacing w:after="0"/>
              <w:rPr>
                <w:sz w:val="20"/>
                <w:szCs w:val="20"/>
                <w:color w:val="auto"/>
              </w:rPr>
            </w:pPr>
            <w:r>
              <w:rPr>
                <w:rFonts w:ascii="Arial" w:cs="Arial" w:eastAsia="Arial" w:hAnsi="Arial"/>
                <w:sz w:val="16"/>
                <w:szCs w:val="16"/>
                <w:color w:val="auto"/>
              </w:rPr>
              <w:t>First-lien loan ($66,470 par,</w:t>
            </w: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40" w:type="dxa"/>
            <w:vAlign w:val="bottom"/>
            <w:gridSpan w:val="2"/>
            <w:vMerge w:val="continue"/>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due 12/2018)</w:t>
            </w: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7.50%</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11/21/2012</w:t>
            </w:r>
          </w:p>
        </w:tc>
        <w:tc>
          <w:tcPr>
            <w:tcW w:w="780" w:type="dxa"/>
            <w:vAlign w:val="bottom"/>
          </w:tcPr>
          <w:p>
            <w:pPr>
              <w:jc w:val="right"/>
              <w:spacing w:after="0"/>
              <w:rPr>
                <w:sz w:val="20"/>
                <w:szCs w:val="20"/>
                <w:color w:val="auto"/>
              </w:rPr>
            </w:pPr>
            <w:r>
              <w:rPr>
                <w:rFonts w:ascii="Arial" w:cs="Arial" w:eastAsia="Arial" w:hAnsi="Arial"/>
                <w:sz w:val="16"/>
                <w:szCs w:val="16"/>
                <w:color w:val="auto"/>
              </w:rPr>
              <w:t>65,344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65,971</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3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104,929</w:t>
            </w:r>
          </w:p>
        </w:tc>
        <w:tc>
          <w:tcPr>
            <w:tcW w:w="220" w:type="dxa"/>
            <w:vAlign w:val="bottom"/>
            <w:vMerge w:val="continue"/>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106,515</w:t>
            </w:r>
          </w:p>
        </w:tc>
        <w:tc>
          <w:tcPr>
            <w:tcW w:w="220" w:type="dxa"/>
            <w:vAlign w:val="bottom"/>
            <w:vMerge w:val="continue"/>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0"/>
        </w:trPr>
        <w:tc>
          <w:tcPr>
            <w:tcW w:w="3540" w:type="dxa"/>
            <w:vAlign w:val="bottom"/>
            <w:gridSpan w:val="2"/>
          </w:tcPr>
          <w:p>
            <w:pPr>
              <w:ind w:left="260"/>
              <w:spacing w:after="0"/>
              <w:rPr>
                <w:sz w:val="20"/>
                <w:szCs w:val="20"/>
                <w:color w:val="auto"/>
              </w:rPr>
            </w:pPr>
            <w:r>
              <w:rPr>
                <w:rFonts w:ascii="Arial" w:cs="Arial" w:eastAsia="Arial" w:hAnsi="Arial"/>
                <w:sz w:val="18"/>
                <w:szCs w:val="18"/>
                <w:b w:val="1"/>
                <w:bCs w:val="1"/>
                <w:color w:val="auto"/>
              </w:rPr>
              <w:t>Healthcare and pharmaceuticals</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First-lien loan ($34,563 par,</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Aesynt Incorporated </w:t>
            </w:r>
            <w:r>
              <w:rPr>
                <w:rFonts w:ascii="Arial" w:cs="Arial" w:eastAsia="Arial" w:hAnsi="Arial"/>
                <w:sz w:val="15"/>
                <w:szCs w:val="15"/>
                <w:color w:val="auto"/>
              </w:rPr>
              <w:t>(3)(4)(6)</w:t>
            </w: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5/2019)</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7.00%</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5/8/2014</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33,714</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33,526</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2"/>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($46,250 par,</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 xml:space="preserve">Global Healthcare Exchange, Inc. </w:t>
            </w:r>
            <w:r>
              <w:rPr>
                <w:rFonts w:ascii="Arial" w:cs="Arial" w:eastAsia="Arial" w:hAnsi="Arial"/>
                <w:sz w:val="15"/>
                <w:szCs w:val="15"/>
                <w:color w:val="auto"/>
              </w:rPr>
              <w:t>(3)(4)</w:t>
            </w:r>
          </w:p>
        </w:tc>
        <w:tc>
          <w:tcPr>
            <w:tcW w:w="2500" w:type="dxa"/>
            <w:vAlign w:val="bottom"/>
            <w:gridSpan w:val="2"/>
          </w:tcPr>
          <w:p>
            <w:pPr>
              <w:spacing w:after="0"/>
              <w:rPr>
                <w:sz w:val="20"/>
                <w:szCs w:val="20"/>
                <w:color w:val="auto"/>
              </w:rPr>
            </w:pPr>
            <w:r>
              <w:rPr>
                <w:rFonts w:ascii="Arial" w:cs="Arial" w:eastAsia="Arial" w:hAnsi="Arial"/>
                <w:sz w:val="18"/>
                <w:szCs w:val="18"/>
                <w:color w:val="auto"/>
              </w:rPr>
              <w:t>due 3/2020)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3/11/2014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45,149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45,139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2"/>
        </w:trPr>
        <w:tc>
          <w:tcPr>
            <w:tcW w:w="3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w w:val="97"/>
              </w:rPr>
              <w:t>First-lien loan (EUR 28,014 par,</w:t>
            </w:r>
          </w:p>
        </w:tc>
        <w:tc>
          <w:tcPr>
            <w:tcW w:w="1500" w:type="dxa"/>
            <w:vAlign w:val="bottom"/>
            <w:gridSpan w:val="2"/>
            <w:shd w:val="clear" w:color="auto" w:fill="CFF0FC"/>
          </w:tcPr>
          <w:p>
            <w:pPr>
              <w:jc w:val="right"/>
              <w:ind w:right="260"/>
              <w:spacing w:after="0" w:line="201" w:lineRule="exact"/>
              <w:rPr>
                <w:sz w:val="20"/>
                <w:szCs w:val="20"/>
                <w:color w:val="auto"/>
              </w:rPr>
            </w:pPr>
            <w:r>
              <w:rPr>
                <w:rFonts w:ascii="Arial" w:cs="Arial" w:eastAsia="Arial" w:hAnsi="Arial"/>
                <w:sz w:val="18"/>
                <w:szCs w:val="18"/>
                <w:color w:val="auto"/>
              </w:rPr>
              <w:t>11.50% (incl.</w:t>
            </w: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(3)(5)</w:t>
            </w: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9/2019)</w:t>
            </w: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3.00% PIK)</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9/30/2014</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33,761</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32,373</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2"/>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rPr>
              <w:t>First-lien revolving loan</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(EUR 300 par, due 9/2019)</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11.50%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9/30/2014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227</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3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First-lien loan ($69,405 par,</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Mediware Information Systems, Inc. </w:t>
            </w:r>
            <w:r>
              <w:rPr>
                <w:rFonts w:ascii="Arial" w:cs="Arial" w:eastAsia="Arial" w:hAnsi="Arial"/>
                <w:sz w:val="15"/>
                <w:szCs w:val="15"/>
                <w:color w:val="auto"/>
              </w:rPr>
              <w:t>(3)(4)(6)</w:t>
            </w: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5/2018)</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7.00%</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11/9/2012</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68,221</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68,885</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2"/>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($33,750 par,</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5"/>
                <w:szCs w:val="15"/>
                <w:color w:val="auto"/>
              </w:rPr>
              <w:t>(3)(4)</w:t>
            </w:r>
          </w:p>
        </w:tc>
        <w:tc>
          <w:tcPr>
            <w:tcW w:w="2500" w:type="dxa"/>
            <w:vAlign w:val="bottom"/>
            <w:gridSpan w:val="2"/>
          </w:tcPr>
          <w:p>
            <w:pPr>
              <w:spacing w:after="0"/>
              <w:rPr>
                <w:sz w:val="20"/>
                <w:szCs w:val="20"/>
                <w:color w:val="auto"/>
              </w:rPr>
            </w:pPr>
            <w:r>
              <w:rPr>
                <w:rFonts w:ascii="Arial" w:cs="Arial" w:eastAsia="Arial" w:hAnsi="Arial"/>
                <w:sz w:val="18"/>
                <w:szCs w:val="18"/>
                <w:color w:val="auto"/>
              </w:rPr>
              <w:t>due 12/2017)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8.75%</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12/28/2012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33,192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33,834</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3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w w:val="98"/>
              </w:rPr>
              <w:t>First-lien revolving loan ($2,000</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par, due 12/2017)</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8.75%</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88"/>
              </w:rPr>
              <w:t>12/28/2012</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216,205</w:t>
            </w:r>
          </w:p>
        </w:tc>
        <w:tc>
          <w:tcPr>
            <w:tcW w:w="22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215,989</w:t>
            </w:r>
          </w:p>
        </w:tc>
        <w:tc>
          <w:tcPr>
            <w:tcW w:w="220" w:type="dxa"/>
            <w:vAlign w:val="bottom"/>
            <w:vMerge w:val="continue"/>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0"/>
        </w:trPr>
        <w:tc>
          <w:tcPr>
            <w:tcW w:w="354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23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rPr>
              <w:t>Second-lien loan ($10,000 par,</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 xml:space="preserve">Centaur, LLC </w:t>
            </w:r>
            <w:r>
              <w:rPr>
                <w:rFonts w:ascii="Arial" w:cs="Arial" w:eastAsia="Arial" w:hAnsi="Arial"/>
                <w:sz w:val="15"/>
                <w:szCs w:val="15"/>
                <w:color w:val="auto"/>
              </w:rPr>
              <w:t>(3)(4)</w:t>
            </w:r>
          </w:p>
        </w:tc>
        <w:tc>
          <w:tcPr>
            <w:tcW w:w="2500" w:type="dxa"/>
            <w:vAlign w:val="bottom"/>
            <w:gridSpan w:val="2"/>
          </w:tcPr>
          <w:p>
            <w:pPr>
              <w:spacing w:after="0"/>
              <w:rPr>
                <w:sz w:val="20"/>
                <w:szCs w:val="20"/>
                <w:color w:val="auto"/>
              </w:rPr>
            </w:pPr>
            <w:r>
              <w:rPr>
                <w:rFonts w:ascii="Arial" w:cs="Arial" w:eastAsia="Arial" w:hAnsi="Arial"/>
                <w:sz w:val="18"/>
                <w:szCs w:val="18"/>
                <w:color w:val="auto"/>
              </w:rPr>
              <w:t>due 2/2020)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8.75%</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2/15/2013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9,931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9,913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3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w w:val="97"/>
              </w:rPr>
              <w:t>First-lien loan ($43,653 par, due</w:t>
            </w:r>
          </w:p>
        </w:tc>
        <w:tc>
          <w:tcPr>
            <w:tcW w:w="1500" w:type="dxa"/>
            <w:vAlign w:val="bottom"/>
            <w:gridSpan w:val="2"/>
            <w:shd w:val="clear" w:color="auto" w:fill="CFF0FC"/>
          </w:tcPr>
          <w:p>
            <w:pPr>
              <w:jc w:val="right"/>
              <w:ind w:right="260"/>
              <w:spacing w:after="0" w:line="201" w:lineRule="exact"/>
              <w:rPr>
                <w:sz w:val="20"/>
                <w:szCs w:val="20"/>
                <w:color w:val="auto"/>
              </w:rPr>
            </w:pPr>
            <w:r>
              <w:rPr>
                <w:rFonts w:ascii="Arial" w:cs="Arial" w:eastAsia="Arial" w:hAnsi="Arial"/>
                <w:sz w:val="18"/>
                <w:szCs w:val="18"/>
                <w:color w:val="auto"/>
              </w:rPr>
              <w:t>12.00% (incl.</w:t>
            </w: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IRG Sports &amp; Entertainment, LLC </w:t>
            </w:r>
            <w:r>
              <w:rPr>
                <w:rFonts w:ascii="Arial" w:cs="Arial" w:eastAsia="Arial" w:hAnsi="Arial"/>
                <w:sz w:val="15"/>
                <w:szCs w:val="15"/>
                <w:color w:val="auto"/>
              </w:rPr>
              <w:t>(3)(4)</w:t>
            </w:r>
          </w:p>
        </w:tc>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9/2019)</w:t>
            </w:r>
          </w:p>
        </w:tc>
        <w:tc>
          <w:tcPr>
            <w:tcW w:w="1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5.00% PIK)</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9/30/2014</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41,073</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40,161</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2"/>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w w:val="99"/>
              </w:rPr>
              <w:t>Second-lien bond (GBP 13,750</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 xml:space="preserve">Soho House </w:t>
            </w:r>
            <w:r>
              <w:rPr>
                <w:rFonts w:ascii="Arial" w:cs="Arial" w:eastAsia="Arial" w:hAnsi="Arial"/>
                <w:sz w:val="15"/>
                <w:szCs w:val="15"/>
                <w:color w:val="auto"/>
              </w:rPr>
              <w:t>(5)</w:t>
            </w:r>
          </w:p>
        </w:tc>
        <w:tc>
          <w:tcPr>
            <w:tcW w:w="2500" w:type="dxa"/>
            <w:vAlign w:val="bottom"/>
            <w:gridSpan w:val="2"/>
          </w:tcPr>
          <w:p>
            <w:pPr>
              <w:spacing w:after="0"/>
              <w:rPr>
                <w:sz w:val="20"/>
                <w:szCs w:val="20"/>
                <w:color w:val="auto"/>
              </w:rPr>
            </w:pPr>
            <w:r>
              <w:rPr>
                <w:rFonts w:ascii="Arial" w:cs="Arial" w:eastAsia="Arial" w:hAnsi="Arial"/>
                <w:sz w:val="18"/>
                <w:szCs w:val="18"/>
                <w:color w:val="auto"/>
              </w:rPr>
              <w:t>par, due 10/2018)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9.13%</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9/20/2013</w:t>
            </w:r>
          </w:p>
        </w:tc>
        <w:tc>
          <w:tcPr>
            <w:tcW w:w="780" w:type="dxa"/>
            <w:vAlign w:val="bottom"/>
          </w:tcPr>
          <w:p>
            <w:pPr>
              <w:jc w:val="right"/>
              <w:spacing w:after="0"/>
              <w:rPr>
                <w:sz w:val="20"/>
                <w:szCs w:val="20"/>
                <w:color w:val="auto"/>
              </w:rPr>
            </w:pPr>
            <w:r>
              <w:rPr>
                <w:rFonts w:ascii="Arial" w:cs="Arial" w:eastAsia="Arial" w:hAnsi="Arial"/>
                <w:sz w:val="18"/>
                <w:szCs w:val="18"/>
                <w:color w:val="auto"/>
              </w:rPr>
              <w:t>22,826</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22,565</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3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73,830</w:t>
            </w:r>
          </w:p>
        </w:tc>
        <w:tc>
          <w:tcPr>
            <w:tcW w:w="220" w:type="dxa"/>
            <w:vAlign w:val="bottom"/>
            <w:vMerge w:val="continue"/>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72,639</w:t>
            </w:r>
          </w:p>
        </w:tc>
        <w:tc>
          <w:tcPr>
            <w:tcW w:w="220" w:type="dxa"/>
            <w:vAlign w:val="bottom"/>
            <w:vMerge w:val="continue"/>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0"/>
        </w:trPr>
        <w:tc>
          <w:tcPr>
            <w:tcW w:w="3540" w:type="dxa"/>
            <w:vAlign w:val="bottom"/>
            <w:gridSpan w:val="2"/>
          </w:tcPr>
          <w:p>
            <w:pPr>
              <w:ind w:left="260"/>
              <w:spacing w:after="0"/>
              <w:rPr>
                <w:sz w:val="20"/>
                <w:szCs w:val="20"/>
                <w:color w:val="auto"/>
              </w:rPr>
            </w:pPr>
            <w:r>
              <w:rPr>
                <w:rFonts w:ascii="Arial" w:cs="Arial" w:eastAsia="Arial" w:hAnsi="Arial"/>
                <w:sz w:val="18"/>
                <w:szCs w:val="18"/>
                <w:b w:val="1"/>
                <w:bCs w:val="1"/>
                <w:color w:val="auto"/>
              </w:rPr>
              <w:t>Insurance</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First-lien loan ($35,438 par,</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Infogix, Inc. </w:t>
            </w:r>
            <w:r>
              <w:rPr>
                <w:rFonts w:ascii="Arial" w:cs="Arial" w:eastAsia="Arial" w:hAnsi="Arial"/>
                <w:sz w:val="15"/>
                <w:szCs w:val="15"/>
                <w:color w:val="auto"/>
              </w:rPr>
              <w:t>(3)(4)</w:t>
            </w: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6/2017)</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6/1/2012</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35,034</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35,260</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w w:val="98"/>
              </w:rPr>
              <w:t>First-lien revolving loan ($2,010</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par, due 6/2017)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11.00%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6/1/2012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1,961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1,985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2"/>
        </w:trPr>
        <w:tc>
          <w:tcPr>
            <w:tcW w:w="3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First-lien loan ($65,000 par,</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(3)(4)</w:t>
            </w: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10/2020)</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7.50%</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88"/>
              </w:rPr>
              <w:t>10/31/2014</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64,363</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64,025</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101,358</w:t>
            </w:r>
          </w:p>
        </w:tc>
        <w:tc>
          <w:tcPr>
            <w:tcW w:w="22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101,270</w:t>
            </w:r>
          </w:p>
        </w:tc>
        <w:tc>
          <w:tcPr>
            <w:tcW w:w="220" w:type="dxa"/>
            <w:vAlign w:val="bottom"/>
            <w:vMerge w:val="continue"/>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354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Internet Services</w:t>
            </w:r>
          </w:p>
        </w:tc>
        <w:tc>
          <w:tcPr>
            <w:tcW w:w="23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w w:val="97"/>
              </w:rPr>
              <w:t>First-lien loan ($41,401 par, due</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 xml:space="preserve">Highwinds Capital, Inc. </w:t>
            </w:r>
            <w:r>
              <w:rPr>
                <w:rFonts w:ascii="Arial" w:cs="Arial" w:eastAsia="Arial" w:hAnsi="Arial"/>
                <w:sz w:val="15"/>
                <w:szCs w:val="15"/>
                <w:color w:val="auto"/>
              </w:rPr>
              <w:t>(3)(4)</w:t>
            </w:r>
          </w:p>
        </w:tc>
        <w:tc>
          <w:tcPr>
            <w:tcW w:w="2380" w:type="dxa"/>
            <w:vAlign w:val="bottom"/>
          </w:tcPr>
          <w:p>
            <w:pPr>
              <w:spacing w:after="0"/>
              <w:rPr>
                <w:sz w:val="20"/>
                <w:szCs w:val="20"/>
                <w:color w:val="auto"/>
              </w:rPr>
            </w:pPr>
            <w:r>
              <w:rPr>
                <w:rFonts w:ascii="Arial" w:cs="Arial" w:eastAsia="Arial" w:hAnsi="Arial"/>
                <w:sz w:val="18"/>
                <w:szCs w:val="18"/>
                <w:color w:val="auto"/>
              </w:rPr>
              <w:t>7/2018)</w:t>
            </w:r>
          </w:p>
        </w:tc>
        <w:tc>
          <w:tcPr>
            <w:tcW w:w="12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9.00%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3/7/2014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40,931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40,859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ind w:left="260"/>
              <w:spacing w:after="0"/>
              <w:rPr>
                <w:sz w:val="20"/>
                <w:szCs w:val="20"/>
                <w:color w:val="auto"/>
              </w:rPr>
            </w:pPr>
            <w:r>
              <w:rPr>
                <w:rFonts w:ascii="Arial" w:cs="Arial" w:eastAsia="Arial" w:hAnsi="Arial"/>
                <w:sz w:val="18"/>
                <w:szCs w:val="18"/>
                <w:b w:val="1"/>
                <w:bCs w:val="1"/>
                <w:color w:val="auto"/>
              </w:rPr>
              <w:t>Manufacturing</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First-lien loan (SEK 203,140</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Jeeves Information Systems AB </w:t>
            </w:r>
            <w:r>
              <w:rPr>
                <w:rFonts w:ascii="Arial" w:cs="Arial" w:eastAsia="Arial" w:hAnsi="Arial"/>
                <w:sz w:val="15"/>
                <w:szCs w:val="15"/>
                <w:color w:val="auto"/>
              </w:rPr>
              <w:t>(3)(5)(6)</w:t>
            </w: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par, due 3/2019)</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8.75%</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6/5/2013</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30,897</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25,690</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540" w:type="dxa"/>
            <w:vAlign w:val="bottom"/>
            <w:gridSpan w:val="2"/>
          </w:tcPr>
          <w:p>
            <w:pPr>
              <w:ind w:left="260"/>
              <w:spacing w:after="0"/>
              <w:rPr>
                <w:sz w:val="20"/>
                <w:szCs w:val="20"/>
                <w:color w:val="auto"/>
              </w:rPr>
            </w:pPr>
            <w:r>
              <w:rPr>
                <w:rFonts w:ascii="Arial" w:cs="Arial" w:eastAsia="Arial" w:hAnsi="Arial"/>
                <w:sz w:val="18"/>
                <w:szCs w:val="18"/>
                <w:b w:val="1"/>
                <w:bCs w:val="1"/>
                <w:color w:val="auto"/>
              </w:rPr>
              <w:t>Metals and mining</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First-lien loan ($19,973 par,</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Metalico, Inc. </w:t>
            </w:r>
            <w:r>
              <w:rPr>
                <w:rFonts w:ascii="Arial" w:cs="Arial" w:eastAsia="Arial" w:hAnsi="Arial"/>
                <w:sz w:val="15"/>
                <w:szCs w:val="15"/>
                <w:color w:val="auto"/>
              </w:rPr>
              <w:t>(3)(4)(6)</w:t>
            </w: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11/2019)</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10.50%</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88"/>
              </w:rPr>
              <w:t>11/21/2013</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17,699</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21,321</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540" w:type="dxa"/>
            <w:vAlign w:val="bottom"/>
            <w:gridSpan w:val="2"/>
          </w:tcPr>
          <w:p>
            <w:pPr>
              <w:ind w:left="260"/>
              <w:spacing w:after="0"/>
              <w:rPr>
                <w:sz w:val="20"/>
                <w:szCs w:val="20"/>
                <w:color w:val="auto"/>
              </w:rPr>
            </w:pPr>
            <w:r>
              <w:rPr>
                <w:rFonts w:ascii="Arial" w:cs="Arial" w:eastAsia="Arial" w:hAnsi="Arial"/>
                <w:sz w:val="18"/>
                <w:szCs w:val="18"/>
                <w:b w:val="1"/>
                <w:bCs w:val="1"/>
                <w:color w:val="auto"/>
              </w:rPr>
              <w:t>Office products</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First-lien loan ($35,390 par,</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5"/>
                <w:szCs w:val="15"/>
                <w:color w:val="auto"/>
              </w:rPr>
              <w:t>(3)(4)(6)</w:t>
            </w: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3/2019)</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7.25%</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3/11/2014</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35,090</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34,868</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32"/>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2"/>
          </w:tcPr>
          <w:p>
            <w:pPr>
              <w:ind w:left="2040"/>
              <w:spacing w:after="0"/>
              <w:rPr>
                <w:sz w:val="20"/>
                <w:szCs w:val="20"/>
                <w:color w:val="auto"/>
              </w:rPr>
            </w:pPr>
            <w:r>
              <w:rPr>
                <w:rFonts w:ascii="Arial" w:cs="Arial" w:eastAsia="Arial" w:hAnsi="Arial"/>
                <w:sz w:val="18"/>
                <w:szCs w:val="18"/>
                <w:color w:val="auto"/>
              </w:rPr>
              <w:t>F-6</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20" w:right="2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Initial</w:t>
            </w: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Amortized</w:t>
            </w: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98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20" w:type="dxa"/>
            <w:vAlign w:val="bottom"/>
          </w:tcPr>
          <w:p>
            <w:pPr>
              <w:spacing w:after="0"/>
              <w:rPr>
                <w:sz w:val="12"/>
                <w:szCs w:val="12"/>
                <w:color w:val="auto"/>
              </w:rPr>
            </w:pPr>
          </w:p>
        </w:tc>
        <w:tc>
          <w:tcPr>
            <w:tcW w:w="244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Investment</w:t>
            </w:r>
          </w:p>
        </w:tc>
        <w:tc>
          <w:tcPr>
            <w:tcW w:w="15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Interest</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10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 xml:space="preserve">Cost </w:t>
            </w:r>
            <w:r>
              <w:rPr>
                <w:rFonts w:ascii="Arial" w:cs="Arial" w:eastAsia="Arial" w:hAnsi="Arial"/>
                <w:sz w:val="12"/>
                <w:szCs w:val="12"/>
                <w:b w:val="1"/>
                <w:bCs w:val="1"/>
                <w:color w:val="auto"/>
                <w:w w:val="88"/>
              </w:rPr>
              <w:t>(2)</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9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10"/>
        </w:trPr>
        <w:tc>
          <w:tcPr>
            <w:tcW w:w="334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rPr>
              <w:t>Oil, gas and consumable fuels</w:t>
            </w:r>
          </w:p>
        </w:tc>
        <w:tc>
          <w:tcPr>
            <w:tcW w:w="120" w:type="dxa"/>
            <w:vAlign w:val="bottom"/>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FF0FC"/>
          </w:tcPr>
          <w:p>
            <w:pPr>
              <w:spacing w:after="0"/>
              <w:rPr>
                <w:sz w:val="17"/>
                <w:szCs w:val="17"/>
                <w:color w:val="auto"/>
              </w:rPr>
            </w:pPr>
          </w:p>
        </w:tc>
        <w:tc>
          <w:tcPr>
            <w:tcW w:w="2560" w:type="dxa"/>
            <w:vAlign w:val="bottom"/>
            <w:gridSpan w:val="3"/>
            <w:shd w:val="clear" w:color="auto" w:fill="CFF0FC"/>
          </w:tcPr>
          <w:p>
            <w:pPr>
              <w:ind w:left="120"/>
              <w:spacing w:after="0" w:line="201" w:lineRule="exact"/>
              <w:rPr>
                <w:sz w:val="20"/>
                <w:szCs w:val="20"/>
                <w:color w:val="auto"/>
              </w:rPr>
            </w:pPr>
            <w:r>
              <w:rPr>
                <w:rFonts w:ascii="Arial" w:cs="Arial" w:eastAsia="Arial" w:hAnsi="Arial"/>
                <w:sz w:val="18"/>
                <w:szCs w:val="18"/>
                <w:color w:val="auto"/>
              </w:rPr>
              <w:t>First-lien loan ($62,857 par,</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Milagro Exploration, LLC </w:t>
            </w:r>
            <w:r>
              <w:rPr>
                <w:rFonts w:ascii="Arial" w:cs="Arial" w:eastAsia="Arial" w:hAnsi="Arial"/>
                <w:sz w:val="15"/>
                <w:szCs w:val="15"/>
                <w:color w:val="auto"/>
              </w:rPr>
              <w:t>(3)(4)</w:t>
            </w:r>
          </w:p>
        </w:tc>
        <w:tc>
          <w:tcPr>
            <w:tcW w:w="25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due 9/2017)</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9.50%</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9/4/2014</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62,130</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61,457</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2"/>
        </w:trPr>
        <w:tc>
          <w:tcPr>
            <w:tcW w:w="3340" w:type="dxa"/>
            <w:vAlign w:val="bottom"/>
          </w:tcPr>
          <w:p>
            <w:pPr>
              <w:spacing w:after="0"/>
              <w:rPr>
                <w:sz w:val="17"/>
                <w:szCs w:val="17"/>
                <w:color w:val="auto"/>
              </w:rPr>
            </w:pPr>
          </w:p>
        </w:tc>
        <w:tc>
          <w:tcPr>
            <w:tcW w:w="256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First-lien loan ($39,505 par,</w:t>
            </w:r>
          </w:p>
        </w:tc>
        <w:tc>
          <w:tcPr>
            <w:tcW w:w="150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13.00% (incl.</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(3)(4)(7)</w:t>
            </w:r>
          </w:p>
        </w:tc>
        <w:tc>
          <w:tcPr>
            <w:tcW w:w="2560" w:type="dxa"/>
            <w:vAlign w:val="bottom"/>
            <w:gridSpan w:val="3"/>
          </w:tcPr>
          <w:p>
            <w:pPr>
              <w:ind w:left="120"/>
              <w:spacing w:after="0"/>
              <w:rPr>
                <w:sz w:val="20"/>
                <w:szCs w:val="20"/>
                <w:color w:val="auto"/>
              </w:rPr>
            </w:pPr>
            <w:r>
              <w:rPr>
                <w:rFonts w:ascii="Arial" w:cs="Arial" w:eastAsia="Arial" w:hAnsi="Arial"/>
                <w:sz w:val="18"/>
                <w:szCs w:val="18"/>
                <w:color w:val="auto"/>
              </w:rPr>
              <w:t>due 6/2018)</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1.50% PIK)</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6/4/2014</w:t>
            </w:r>
          </w:p>
        </w:tc>
        <w:tc>
          <w:tcPr>
            <w:tcW w:w="840" w:type="dxa"/>
            <w:vAlign w:val="bottom"/>
          </w:tcPr>
          <w:p>
            <w:pPr>
              <w:jc w:val="right"/>
              <w:spacing w:after="0"/>
              <w:rPr>
                <w:sz w:val="20"/>
                <w:szCs w:val="20"/>
                <w:color w:val="auto"/>
              </w:rPr>
            </w:pPr>
            <w:r>
              <w:rPr>
                <w:rFonts w:ascii="Arial" w:cs="Arial" w:eastAsia="Arial" w:hAnsi="Arial"/>
                <w:sz w:val="18"/>
                <w:szCs w:val="18"/>
                <w:color w:val="auto"/>
              </w:rPr>
              <w:t>38,706</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37,381</w:t>
            </w: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33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3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100,836</w:t>
            </w:r>
          </w:p>
        </w:tc>
        <w:tc>
          <w:tcPr>
            <w:tcW w:w="220" w:type="dxa"/>
            <w:vAlign w:val="bottom"/>
            <w:vMerge w:val="continue"/>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98,838</w:t>
            </w:r>
          </w:p>
        </w:tc>
        <w:tc>
          <w:tcPr>
            <w:tcW w:w="200" w:type="dxa"/>
            <w:vAlign w:val="bottom"/>
            <w:vMerge w:val="continue"/>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3340" w:type="dxa"/>
            <w:vAlign w:val="bottom"/>
          </w:tcPr>
          <w:p>
            <w:pPr>
              <w:ind w:left="260"/>
              <w:spacing w:after="0"/>
              <w:rPr>
                <w:sz w:val="20"/>
                <w:szCs w:val="20"/>
                <w:color w:val="auto"/>
              </w:rPr>
            </w:pPr>
            <w:r>
              <w:rPr>
                <w:rFonts w:ascii="Arial" w:cs="Arial" w:eastAsia="Arial" w:hAnsi="Arial"/>
                <w:sz w:val="18"/>
                <w:szCs w:val="18"/>
                <w:b w:val="1"/>
                <w:bCs w:val="1"/>
                <w:color w:val="auto"/>
              </w:rPr>
              <w:t>Specialty Retail</w:t>
            </w: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FF0FC"/>
          </w:tcPr>
          <w:p>
            <w:pPr>
              <w:spacing w:after="0"/>
              <w:rPr>
                <w:sz w:val="17"/>
                <w:szCs w:val="17"/>
                <w:color w:val="auto"/>
              </w:rPr>
            </w:pPr>
          </w:p>
        </w:tc>
        <w:tc>
          <w:tcPr>
            <w:tcW w:w="2560" w:type="dxa"/>
            <w:vAlign w:val="bottom"/>
            <w:gridSpan w:val="3"/>
            <w:shd w:val="clear" w:color="auto" w:fill="CFF0FC"/>
          </w:tcPr>
          <w:p>
            <w:pPr>
              <w:ind w:left="120"/>
              <w:spacing w:after="0" w:line="201" w:lineRule="exact"/>
              <w:rPr>
                <w:sz w:val="20"/>
                <w:szCs w:val="20"/>
                <w:color w:val="auto"/>
              </w:rPr>
            </w:pPr>
            <w:r>
              <w:rPr>
                <w:rFonts w:ascii="Arial" w:cs="Arial" w:eastAsia="Arial" w:hAnsi="Arial"/>
                <w:sz w:val="18"/>
                <w:szCs w:val="18"/>
                <w:color w:val="auto"/>
              </w:rPr>
              <w:t>First-lien loan ($42,000 par,</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Toys 'R' Us-Delaware, Inc. </w:t>
            </w:r>
            <w:r>
              <w:rPr>
                <w:rFonts w:ascii="Arial" w:cs="Arial" w:eastAsia="Arial" w:hAnsi="Arial"/>
                <w:sz w:val="15"/>
                <w:szCs w:val="15"/>
                <w:color w:val="auto"/>
              </w:rPr>
              <w:t>(3)(4)</w:t>
            </w:r>
          </w:p>
        </w:tc>
        <w:tc>
          <w:tcPr>
            <w:tcW w:w="25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due 10/2019)</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8.25%</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0"/>
              </w:rPr>
              <w:t>10/10/2014</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41,149</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41,370</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340" w:type="dxa"/>
            <w:vAlign w:val="bottom"/>
          </w:tcPr>
          <w:p>
            <w:pPr>
              <w:ind w:left="260"/>
              <w:spacing w:after="0"/>
              <w:rPr>
                <w:sz w:val="20"/>
                <w:szCs w:val="20"/>
                <w:color w:val="auto"/>
              </w:rPr>
            </w:pPr>
            <w:r>
              <w:rPr>
                <w:rFonts w:ascii="Arial" w:cs="Arial" w:eastAsia="Arial" w:hAnsi="Arial"/>
                <w:sz w:val="18"/>
                <w:szCs w:val="18"/>
                <w:b w:val="1"/>
                <w:bCs w:val="1"/>
                <w:color w:val="auto"/>
              </w:rPr>
              <w:t>Transportation</w:t>
            </w: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FF0FC"/>
          </w:tcPr>
          <w:p>
            <w:pPr>
              <w:spacing w:after="0"/>
              <w:rPr>
                <w:sz w:val="17"/>
                <w:szCs w:val="17"/>
                <w:color w:val="auto"/>
              </w:rPr>
            </w:pPr>
          </w:p>
        </w:tc>
        <w:tc>
          <w:tcPr>
            <w:tcW w:w="2560" w:type="dxa"/>
            <w:vAlign w:val="bottom"/>
            <w:gridSpan w:val="3"/>
            <w:shd w:val="clear" w:color="auto" w:fill="CFF0FC"/>
          </w:tcPr>
          <w:p>
            <w:pPr>
              <w:ind w:left="120"/>
              <w:spacing w:after="0" w:line="201" w:lineRule="exact"/>
              <w:rPr>
                <w:sz w:val="20"/>
                <w:szCs w:val="20"/>
                <w:color w:val="auto"/>
              </w:rPr>
            </w:pPr>
            <w:r>
              <w:rPr>
                <w:rFonts w:ascii="Arial" w:cs="Arial" w:eastAsia="Arial" w:hAnsi="Arial"/>
                <w:sz w:val="18"/>
                <w:szCs w:val="18"/>
                <w:color w:val="auto"/>
                <w:w w:val="98"/>
              </w:rPr>
              <w:t>Second-lien loan ($62,500 par,</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Kewill, Ltd. </w:t>
            </w:r>
            <w:r>
              <w:rPr>
                <w:rFonts w:ascii="Arial" w:cs="Arial" w:eastAsia="Arial" w:hAnsi="Arial"/>
                <w:sz w:val="15"/>
                <w:szCs w:val="15"/>
                <w:color w:val="auto"/>
              </w:rPr>
              <w:t>(3)(5)</w:t>
            </w:r>
          </w:p>
        </w:tc>
        <w:tc>
          <w:tcPr>
            <w:tcW w:w="25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due 10/2019)</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9.50%</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10/2/2013</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61,428</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61,250</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 Debt Investments</w:t>
            </w:r>
          </w:p>
        </w:tc>
        <w:tc>
          <w:tcPr>
            <w:tcW w:w="12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1,251,749</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1,248,618</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b w:val="1"/>
                <w:bCs w:val="1"/>
                <w:color w:val="auto"/>
              </w:rPr>
              <w:t>Equity and Other Investments</w:t>
            </w: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Business services</w:t>
            </w:r>
          </w:p>
        </w:tc>
        <w:tc>
          <w:tcPr>
            <w:tcW w:w="12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tcPr>
          <w:p>
            <w:pPr>
              <w:spacing w:after="0"/>
              <w:rPr>
                <w:sz w:val="17"/>
                <w:szCs w:val="17"/>
                <w:color w:val="auto"/>
              </w:rPr>
            </w:pPr>
          </w:p>
        </w:tc>
        <w:tc>
          <w:tcPr>
            <w:tcW w:w="256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Non-Voting Preferred Units</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Network Merchants, Inc</w:t>
            </w:r>
          </w:p>
        </w:tc>
        <w:tc>
          <w:tcPr>
            <w:tcW w:w="2560" w:type="dxa"/>
            <w:vAlign w:val="bottom"/>
            <w:gridSpan w:val="3"/>
          </w:tcPr>
          <w:p>
            <w:pPr>
              <w:ind w:left="120"/>
              <w:spacing w:after="0"/>
              <w:rPr>
                <w:sz w:val="20"/>
                <w:szCs w:val="20"/>
                <w:color w:val="auto"/>
              </w:rPr>
            </w:pPr>
            <w:r>
              <w:rPr>
                <w:rFonts w:ascii="Arial" w:cs="Arial" w:eastAsia="Arial" w:hAnsi="Arial"/>
                <w:sz w:val="18"/>
                <w:szCs w:val="18"/>
                <w:color w:val="auto"/>
              </w:rPr>
              <w:t>(774,099 units)</w:t>
            </w: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9/12/2013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780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932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Healthcare and pharmaceuticals</w:t>
            </w:r>
          </w:p>
        </w:tc>
        <w:tc>
          <w:tcPr>
            <w:tcW w:w="12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tcPr>
          <w:p>
            <w:pPr>
              <w:spacing w:after="0"/>
              <w:rPr>
                <w:sz w:val="17"/>
                <w:szCs w:val="17"/>
                <w:color w:val="auto"/>
              </w:rPr>
            </w:pPr>
          </w:p>
        </w:tc>
        <w:tc>
          <w:tcPr>
            <w:tcW w:w="256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9"/>
              </w:rPr>
              <w:t>Common Shares Class A (598</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Global Healthcare Exchange, LLC</w:t>
            </w:r>
          </w:p>
        </w:tc>
        <w:tc>
          <w:tcPr>
            <w:tcW w:w="2560" w:type="dxa"/>
            <w:vAlign w:val="bottom"/>
            <w:gridSpan w:val="3"/>
          </w:tcPr>
          <w:p>
            <w:pPr>
              <w:ind w:left="120"/>
              <w:spacing w:after="0"/>
              <w:rPr>
                <w:sz w:val="20"/>
                <w:szCs w:val="20"/>
                <w:color w:val="auto"/>
              </w:rPr>
            </w:pPr>
            <w:r>
              <w:rPr>
                <w:rFonts w:ascii="Arial" w:cs="Arial" w:eastAsia="Arial" w:hAnsi="Arial"/>
                <w:sz w:val="18"/>
                <w:szCs w:val="18"/>
                <w:color w:val="auto"/>
              </w:rPr>
              <w:t>shares)</w:t>
            </w: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3/11/2014</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467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467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3340" w:type="dxa"/>
            <w:vAlign w:val="bottom"/>
            <w:shd w:val="clear" w:color="auto" w:fill="CFF0FC"/>
          </w:tcPr>
          <w:p>
            <w:pPr>
              <w:spacing w:after="0"/>
              <w:rPr>
                <w:sz w:val="17"/>
                <w:szCs w:val="17"/>
                <w:color w:val="auto"/>
              </w:rPr>
            </w:pPr>
          </w:p>
        </w:tc>
        <w:tc>
          <w:tcPr>
            <w:tcW w:w="2560" w:type="dxa"/>
            <w:vAlign w:val="bottom"/>
            <w:gridSpan w:val="3"/>
            <w:shd w:val="clear" w:color="auto" w:fill="CFF0FC"/>
          </w:tcPr>
          <w:p>
            <w:pPr>
              <w:ind w:left="120"/>
              <w:spacing w:after="0" w:line="201" w:lineRule="exact"/>
              <w:rPr>
                <w:sz w:val="20"/>
                <w:szCs w:val="20"/>
                <w:color w:val="auto"/>
              </w:rPr>
            </w:pPr>
            <w:r>
              <w:rPr>
                <w:rFonts w:ascii="Arial" w:cs="Arial" w:eastAsia="Arial" w:hAnsi="Arial"/>
                <w:sz w:val="18"/>
                <w:szCs w:val="18"/>
                <w:color w:val="auto"/>
                <w:w w:val="99"/>
              </w:rPr>
              <w:t>Common Shares Class B (196</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spacing w:after="0"/>
              <w:rPr>
                <w:sz w:val="20"/>
                <w:szCs w:val="20"/>
                <w:color w:val="auto"/>
              </w:rPr>
            </w:pPr>
          </w:p>
        </w:tc>
        <w:tc>
          <w:tcPr>
            <w:tcW w:w="25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shares)</w:t>
            </w: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3/11/2014</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137</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137</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(5)</w:t>
            </w:r>
          </w:p>
        </w:tc>
        <w:tc>
          <w:tcPr>
            <w:tcW w:w="2560" w:type="dxa"/>
            <w:vAlign w:val="bottom"/>
            <w:gridSpan w:val="3"/>
          </w:tcPr>
          <w:p>
            <w:pPr>
              <w:ind w:left="120"/>
              <w:spacing w:after="0"/>
              <w:rPr>
                <w:sz w:val="20"/>
                <w:szCs w:val="20"/>
                <w:color w:val="auto"/>
              </w:rPr>
            </w:pPr>
            <w:r>
              <w:rPr>
                <w:rFonts w:ascii="Arial" w:cs="Arial" w:eastAsia="Arial" w:hAnsi="Arial"/>
                <w:sz w:val="18"/>
                <w:szCs w:val="18"/>
                <w:color w:val="auto"/>
              </w:rPr>
              <w:t>Warrants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9/30/2014</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877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840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3340" w:type="dxa"/>
            <w:vAlign w:val="bottom"/>
            <w:shd w:val="clear" w:color="auto" w:fill="CFF0FC"/>
          </w:tcPr>
          <w:p>
            <w:pPr>
              <w:spacing w:after="0"/>
              <w:rPr>
                <w:sz w:val="17"/>
                <w:szCs w:val="17"/>
                <w:color w:val="auto"/>
              </w:rPr>
            </w:pPr>
          </w:p>
        </w:tc>
        <w:tc>
          <w:tcPr>
            <w:tcW w:w="2560" w:type="dxa"/>
            <w:vAlign w:val="bottom"/>
            <w:gridSpan w:val="3"/>
            <w:shd w:val="clear" w:color="auto" w:fill="CFF0FC"/>
          </w:tcPr>
          <w:p>
            <w:pPr>
              <w:ind w:left="120"/>
              <w:spacing w:after="0" w:line="201" w:lineRule="exact"/>
              <w:rPr>
                <w:sz w:val="20"/>
                <w:szCs w:val="20"/>
                <w:color w:val="auto"/>
              </w:rPr>
            </w:pPr>
            <w:r>
              <w:rPr>
                <w:rFonts w:ascii="Arial" w:cs="Arial" w:eastAsia="Arial" w:hAnsi="Arial"/>
                <w:sz w:val="18"/>
                <w:szCs w:val="18"/>
                <w:color w:val="auto"/>
              </w:rPr>
              <w:t>Common Shares Class A</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SRS Parent Corp.</w:t>
            </w:r>
          </w:p>
        </w:tc>
        <w:tc>
          <w:tcPr>
            <w:tcW w:w="25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(1,980 shares)</w:t>
            </w: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0"/>
              </w:rPr>
              <w:t>12/28/2012</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1,980</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1,099</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3340" w:type="dxa"/>
            <w:vAlign w:val="bottom"/>
          </w:tcPr>
          <w:p>
            <w:pPr>
              <w:spacing w:after="0"/>
              <w:rPr>
                <w:sz w:val="17"/>
                <w:szCs w:val="17"/>
                <w:color w:val="auto"/>
              </w:rPr>
            </w:pPr>
          </w:p>
        </w:tc>
        <w:tc>
          <w:tcPr>
            <w:tcW w:w="256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Common Shares Class B</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560" w:type="dxa"/>
            <w:vAlign w:val="bottom"/>
            <w:gridSpan w:val="3"/>
          </w:tcPr>
          <w:p>
            <w:pPr>
              <w:ind w:left="120"/>
              <w:spacing w:after="0"/>
              <w:rPr>
                <w:sz w:val="20"/>
                <w:szCs w:val="20"/>
                <w:color w:val="auto"/>
              </w:rPr>
            </w:pPr>
            <w:r>
              <w:rPr>
                <w:rFonts w:ascii="Arial" w:cs="Arial" w:eastAsia="Arial" w:hAnsi="Arial"/>
                <w:sz w:val="18"/>
                <w:szCs w:val="18"/>
                <w:color w:val="auto"/>
              </w:rPr>
              <w:t>(2,953,020 shares)</w:t>
            </w: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12/28/2012</w:t>
            </w: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33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3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3,481</w:t>
            </w:r>
          </w:p>
        </w:tc>
        <w:tc>
          <w:tcPr>
            <w:tcW w:w="220" w:type="dxa"/>
            <w:vAlign w:val="bottom"/>
            <w:vMerge w:val="continue"/>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w:t>
            </w:r>
          </w:p>
        </w:tc>
        <w:tc>
          <w:tcPr>
            <w:tcW w:w="200" w:type="dxa"/>
            <w:vAlign w:val="bottom"/>
            <w:vMerge w:val="continue"/>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3340" w:type="dxa"/>
            <w:vAlign w:val="bottom"/>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IRG Sports &amp; Entertainment, LLC</w:t>
            </w:r>
          </w:p>
        </w:tc>
        <w:tc>
          <w:tcPr>
            <w:tcW w:w="25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Warrants</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9/30/2014</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1,494</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1,494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340" w:type="dxa"/>
            <w:vAlign w:val="bottom"/>
          </w:tcPr>
          <w:p>
            <w:pPr>
              <w:ind w:left="260"/>
              <w:spacing w:after="0"/>
              <w:rPr>
                <w:sz w:val="20"/>
                <w:szCs w:val="20"/>
                <w:color w:val="auto"/>
              </w:rPr>
            </w:pPr>
            <w:r>
              <w:rPr>
                <w:rFonts w:ascii="Arial" w:cs="Arial" w:eastAsia="Arial" w:hAnsi="Arial"/>
                <w:sz w:val="18"/>
                <w:szCs w:val="18"/>
                <w:b w:val="1"/>
                <w:bCs w:val="1"/>
                <w:color w:val="auto"/>
              </w:rPr>
              <w:t>Metals and mining</w:t>
            </w: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Metalico, Inc.</w:t>
            </w:r>
          </w:p>
        </w:tc>
        <w:tc>
          <w:tcPr>
            <w:tcW w:w="25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Warrants</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0"/>
              </w:rPr>
              <w:t>11/21/2013</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1,343</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133</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340" w:type="dxa"/>
            <w:vAlign w:val="bottom"/>
          </w:tcPr>
          <w:p>
            <w:pPr>
              <w:ind w:left="260"/>
              <w:spacing w:after="0"/>
              <w:rPr>
                <w:sz w:val="20"/>
                <w:szCs w:val="20"/>
                <w:color w:val="auto"/>
              </w:rPr>
            </w:pPr>
            <w:r>
              <w:rPr>
                <w:rFonts w:ascii="Arial" w:cs="Arial" w:eastAsia="Arial" w:hAnsi="Arial"/>
                <w:sz w:val="18"/>
                <w:szCs w:val="18"/>
                <w:b w:val="1"/>
                <w:bCs w:val="1"/>
                <w:color w:val="auto"/>
              </w:rPr>
              <w:t>Oil, gas and consumable fuels</w:t>
            </w: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(7)</w:t>
            </w:r>
          </w:p>
        </w:tc>
        <w:tc>
          <w:tcPr>
            <w:tcW w:w="12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6/4/2014</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8,874</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4,254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340" w:type="dxa"/>
            <w:vAlign w:val="bottom"/>
          </w:tcPr>
          <w:p>
            <w:pPr>
              <w:ind w:left="26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Symphony </w:t>
            </w:r>
            <w:r>
              <w:rPr>
                <w:rFonts w:ascii="Arial" w:cs="Arial" w:eastAsia="Arial" w:hAnsi="Arial"/>
                <w:sz w:val="15"/>
                <w:szCs w:val="15"/>
                <w:color w:val="auto"/>
              </w:rPr>
              <w:t>(5)</w:t>
            </w:r>
          </w:p>
        </w:tc>
        <w:tc>
          <w:tcPr>
            <w:tcW w:w="25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CLO Tranche F</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5.98%</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0"/>
              </w:rPr>
              <w:t>11/17/2014</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5,531</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5,526</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Total Equity and Other Investments</w:t>
            </w: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21,503</w:t>
            </w:r>
          </w:p>
        </w:tc>
        <w:tc>
          <w:tcPr>
            <w:tcW w:w="22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14,893</w:t>
            </w:r>
          </w:p>
        </w:tc>
        <w:tc>
          <w:tcPr>
            <w:tcW w:w="20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3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3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8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$ 1,273,252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$ 1,263,511</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151.4</w:t>
            </w: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540" w:right="220" w:hanging="532"/>
        <w:spacing w:after="0" w:line="266" w:lineRule="auto"/>
        <w:tabs>
          <w:tab w:leader="none" w:pos="5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Unless otherwise indicated, the Company’s portfolio companies are domiciled in the United States. Certain portfolio company investments are subject to contractual restrictions on sales.</w:t>
      </w:r>
    </w:p>
    <w:p>
      <w:pPr>
        <w:spacing w:after="0" w:line="1" w:lineRule="exact"/>
        <w:rPr>
          <w:rFonts w:ascii="Arial" w:cs="Arial" w:eastAsia="Arial" w:hAnsi="Arial"/>
          <w:sz w:val="16"/>
          <w:szCs w:val="16"/>
          <w:color w:val="auto"/>
        </w:rPr>
      </w:pPr>
    </w:p>
    <w:p>
      <w:pPr>
        <w:ind w:left="540" w:right="100" w:hanging="532"/>
        <w:spacing w:after="0" w:line="264" w:lineRule="auto"/>
        <w:tabs>
          <w:tab w:leader="none" w:pos="5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amortized cost represents the original cost adjusted for the amortization of discounts and premiums, as applicable, on debt investments using the effective interest method.</w:t>
      </w:r>
    </w:p>
    <w:p>
      <w:pPr>
        <w:ind w:left="540" w:right="160" w:hanging="532"/>
        <w:spacing w:after="0" w:line="264" w:lineRule="auto"/>
        <w:tabs>
          <w:tab w:leader="none" w:pos="5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ind w:left="540" w:right="580" w:hanging="532"/>
        <w:spacing w:after="0" w:line="264" w:lineRule="auto"/>
        <w:tabs>
          <w:tab w:leader="none" w:pos="5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investment, or a portion thereof, is held within TPG SL SPV, LLC, a wholly-owned subsidiary of the Company, and is pledged as collateral supporting the amounts outstanding under the SPV Asset Facility (see Note 7).</w:t>
      </w:r>
    </w:p>
    <w:p>
      <w:pPr>
        <w:ind w:left="540" w:right="60" w:hanging="532"/>
        <w:spacing w:after="0" w:line="264" w:lineRule="auto"/>
        <w:tabs>
          <w:tab w:leader="none" w:pos="5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540" w:right="240" w:hanging="532"/>
        <w:spacing w:after="0" w:line="288" w:lineRule="auto"/>
        <w:tabs>
          <w:tab w:leader="none" w:pos="5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320" w:right="239" w:bottom="1440" w:gutter="0" w:footer="0" w:header="0"/>
        </w:sectPr>
      </w:pPr>
    </w:p>
    <w:bookmarkStart w:id="81" w:name="page82"/>
    <w:bookmarkEnd w:id="81"/>
    <w:p>
      <w:pPr>
        <w:jc w:val="both"/>
        <w:ind w:left="540" w:right="120" w:hanging="532"/>
        <w:spacing w:after="0" w:line="273" w:lineRule="auto"/>
        <w:tabs>
          <w:tab w:leader="none" w:pos="5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2014 in which the issuer was an Affiliated Person of and was deemed to Control a portfolio company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14"/>
                <w:szCs w:val="14"/>
                <w:color w:val="auto"/>
              </w:rPr>
            </w:pPr>
          </w:p>
        </w:tc>
        <w:tc>
          <w:tcPr>
            <w:tcW w:w="12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6"/>
              </w:rPr>
              <w:t>Fair Value at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4"/>
                <w:szCs w:val="14"/>
                <w:color w:val="auto"/>
              </w:rPr>
            </w:pPr>
          </w:p>
        </w:tc>
        <w:tc>
          <w:tcPr>
            <w:tcW w:w="11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Realized</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6"/>
              </w:rPr>
              <w:t>Fair Value at</w:t>
            </w:r>
          </w:p>
        </w:tc>
        <w:tc>
          <w:tcPr>
            <w:tcW w:w="80" w:type="dxa"/>
            <w:vAlign w:val="bottom"/>
          </w:tcPr>
          <w:p>
            <w:pPr>
              <w:spacing w:after="0"/>
              <w:rPr>
                <w:sz w:val="14"/>
                <w:szCs w:val="14"/>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Income</w:t>
            </w:r>
          </w:p>
        </w:tc>
        <w:tc>
          <w:tcPr>
            <w:tcW w:w="100" w:type="dxa"/>
            <w:vAlign w:val="bottom"/>
          </w:tcPr>
          <w:p>
            <w:pPr>
              <w:spacing w:after="0"/>
              <w:rPr>
                <w:sz w:val="14"/>
                <w:szCs w:val="14"/>
                <w:color w:val="auto"/>
              </w:rPr>
            </w:pPr>
          </w:p>
        </w:tc>
        <w:tc>
          <w:tcPr>
            <w:tcW w:w="780" w:type="dxa"/>
            <w:vAlign w:val="bottom"/>
            <w:gridSpan w:val="4"/>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3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320" w:type="dxa"/>
            <w:vAlign w:val="bottom"/>
            <w:gridSpan w:val="5"/>
            <w:vMerge w:val="restart"/>
          </w:tcPr>
          <w:p>
            <w:pPr>
              <w:jc w:val="center"/>
              <w:ind w:left="22"/>
              <w:spacing w:after="0" w:line="129" w:lineRule="exact"/>
              <w:rPr>
                <w:sz w:val="20"/>
                <w:szCs w:val="20"/>
                <w:color w:val="auto"/>
              </w:rPr>
            </w:pPr>
            <w:r>
              <w:rPr>
                <w:rFonts w:ascii="Arial" w:cs="Arial" w:eastAsia="Arial" w:hAnsi="Arial"/>
                <w:sz w:val="14"/>
                <w:szCs w:val="14"/>
                <w:b w:val="1"/>
                <w:bCs w:val="1"/>
                <w:color w:val="auto"/>
                <w:w w:val="91"/>
              </w:rPr>
              <w:t>December 31, 2013</w:t>
            </w: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gridSpan w:val="5"/>
            <w:vMerge w:val="restart"/>
          </w:tcPr>
          <w:p>
            <w:pPr>
              <w:jc w:val="center"/>
              <w:ind w:right="300"/>
              <w:spacing w:after="0" w:line="129" w:lineRule="exact"/>
              <w:rPr>
                <w:sz w:val="20"/>
                <w:szCs w:val="20"/>
                <w:color w:val="auto"/>
              </w:rPr>
            </w:pPr>
            <w:r>
              <w:rPr>
                <w:rFonts w:ascii="Arial" w:cs="Arial" w:eastAsia="Arial" w:hAnsi="Arial"/>
                <w:sz w:val="14"/>
                <w:szCs w:val="14"/>
                <w:b w:val="1"/>
                <w:bCs w:val="1"/>
                <w:color w:val="auto"/>
                <w:w w:val="93"/>
              </w:rPr>
              <w:t>Additions (a)</w:t>
            </w:r>
          </w:p>
        </w:tc>
        <w:tc>
          <w:tcPr>
            <w:tcW w:w="20" w:type="dxa"/>
            <w:vAlign w:val="bottom"/>
          </w:tcPr>
          <w:p>
            <w:pPr>
              <w:spacing w:after="0"/>
              <w:rPr>
                <w:sz w:val="4"/>
                <w:szCs w:val="4"/>
                <w:color w:val="auto"/>
              </w:rPr>
            </w:pPr>
          </w:p>
        </w:tc>
        <w:tc>
          <w:tcPr>
            <w:tcW w:w="1140" w:type="dxa"/>
            <w:vAlign w:val="bottom"/>
            <w:gridSpan w:val="5"/>
            <w:vMerge w:val="restart"/>
          </w:tcPr>
          <w:p>
            <w:pPr>
              <w:jc w:val="center"/>
              <w:ind w:right="240"/>
              <w:spacing w:after="0" w:line="129" w:lineRule="exact"/>
              <w:rPr>
                <w:sz w:val="20"/>
                <w:szCs w:val="20"/>
                <w:color w:val="auto"/>
              </w:rPr>
            </w:pPr>
            <w:r>
              <w:rPr>
                <w:rFonts w:ascii="Arial" w:cs="Arial" w:eastAsia="Arial" w:hAnsi="Arial"/>
                <w:sz w:val="14"/>
                <w:szCs w:val="14"/>
                <w:b w:val="1"/>
                <w:bCs w:val="1"/>
                <w:color w:val="auto"/>
                <w:w w:val="91"/>
              </w:rPr>
              <w:t>Reductions (b)</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4"/>
            <w:vMerge w:val="restart"/>
          </w:tcPr>
          <w:p>
            <w:pPr>
              <w:jc w:val="center"/>
              <w:ind w:right="320"/>
              <w:spacing w:after="0" w:line="129" w:lineRule="exact"/>
              <w:rPr>
                <w:sz w:val="20"/>
                <w:szCs w:val="20"/>
                <w:color w:val="auto"/>
              </w:rPr>
            </w:pPr>
            <w:r>
              <w:rPr>
                <w:rFonts w:ascii="Arial" w:cs="Arial" w:eastAsia="Arial" w:hAnsi="Arial"/>
                <w:sz w:val="14"/>
                <w:szCs w:val="14"/>
                <w:b w:val="1"/>
                <w:bCs w:val="1"/>
                <w:color w:val="auto"/>
                <w:w w:val="93"/>
              </w:rPr>
              <w:t>Gain/(Loss)</w:t>
            </w: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4"/>
            <w:vMerge w:val="restart"/>
          </w:tcPr>
          <w:p>
            <w:pPr>
              <w:jc w:val="center"/>
              <w:ind w:right="20"/>
              <w:spacing w:after="0" w:line="129" w:lineRule="exact"/>
              <w:rPr>
                <w:sz w:val="20"/>
                <w:szCs w:val="20"/>
                <w:color w:val="auto"/>
              </w:rPr>
            </w:pPr>
            <w:r>
              <w:rPr>
                <w:rFonts w:ascii="Arial" w:cs="Arial" w:eastAsia="Arial" w:hAnsi="Arial"/>
                <w:sz w:val="14"/>
                <w:szCs w:val="14"/>
                <w:b w:val="1"/>
                <w:bCs w:val="1"/>
                <w:color w:val="auto"/>
                <w:w w:val="90"/>
              </w:rPr>
              <w:t>Gain/(Losses)</w:t>
            </w: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gridSpan w:val="6"/>
            <w:vMerge w:val="restart"/>
          </w:tcPr>
          <w:p>
            <w:pPr>
              <w:jc w:val="center"/>
              <w:ind w:right="260"/>
              <w:spacing w:after="0" w:line="129" w:lineRule="exact"/>
              <w:rPr>
                <w:sz w:val="20"/>
                <w:szCs w:val="20"/>
                <w:color w:val="auto"/>
              </w:rPr>
            </w:pPr>
            <w:r>
              <w:rPr>
                <w:rFonts w:ascii="Arial" w:cs="Arial" w:eastAsia="Arial" w:hAnsi="Arial"/>
                <w:sz w:val="14"/>
                <w:szCs w:val="14"/>
                <w:b w:val="1"/>
                <w:bCs w:val="1"/>
                <w:color w:val="auto"/>
                <w:w w:val="93"/>
              </w:rPr>
              <w:t>December 31, 2014</w:t>
            </w:r>
          </w:p>
        </w:tc>
        <w:tc>
          <w:tcPr>
            <w:tcW w:w="8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3"/>
            <w:vMerge w:val="restart"/>
          </w:tcPr>
          <w:p>
            <w:pPr>
              <w:spacing w:after="0" w:line="129"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32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340" w:type="dxa"/>
            <w:vAlign w:val="bottom"/>
            <w:gridSpan w:val="3"/>
            <w:shd w:val="clear" w:color="auto" w:fill="CFF0FC"/>
          </w:tcPr>
          <w:p>
            <w:pPr>
              <w:spacing w:after="0" w:line="137" w:lineRule="exact"/>
              <w:rPr>
                <w:sz w:val="20"/>
                <w:szCs w:val="20"/>
                <w:color w:val="auto"/>
              </w:rPr>
            </w:pPr>
            <w:r>
              <w:rPr>
                <w:rFonts w:ascii="Arial" w:cs="Arial" w:eastAsia="Arial" w:hAnsi="Arial"/>
                <w:sz w:val="14"/>
                <w:szCs w:val="14"/>
                <w:color w:val="auto"/>
              </w:rPr>
              <w:t>Mississippi</w:t>
            </w:r>
          </w:p>
        </w:tc>
        <w:tc>
          <w:tcPr>
            <w:tcW w:w="120" w:type="dxa"/>
            <w:vAlign w:val="bottom"/>
            <w:vMerge w:val="restart"/>
            <w:shd w:val="clear" w:color="auto" w:fill="CFF0FC"/>
          </w:tcPr>
          <w:p>
            <w:pPr>
              <w:jc w:val="right"/>
              <w:ind w:right="2"/>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1"/>
                <w:szCs w:val="11"/>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4"/>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47,580</w:t>
            </w:r>
          </w:p>
        </w:tc>
        <w:tc>
          <w:tcPr>
            <w:tcW w:w="220" w:type="dxa"/>
            <w:vAlign w:val="bottom"/>
            <w:shd w:val="clear" w:color="auto" w:fill="CFF0FC"/>
          </w:tcPr>
          <w:p>
            <w:pPr>
              <w:spacing w:after="0"/>
              <w:rPr>
                <w:sz w:val="11"/>
                <w:szCs w:val="11"/>
                <w:color w:val="auto"/>
              </w:rPr>
            </w:pPr>
          </w:p>
        </w:tc>
        <w:tc>
          <w:tcPr>
            <w:tcW w:w="280" w:type="dxa"/>
            <w:vAlign w:val="bottom"/>
            <w:gridSpan w:val="2"/>
            <w:vMerge w:val="restart"/>
            <w:shd w:val="clear" w:color="auto" w:fill="CFF0FC"/>
          </w:tcPr>
          <w:p>
            <w:pPr>
              <w:jc w:val="right"/>
              <w:ind w:right="148"/>
              <w:spacing w:after="0"/>
              <w:rPr>
                <w:sz w:val="20"/>
                <w:szCs w:val="20"/>
                <w:color w:val="auto"/>
              </w:rPr>
            </w:pPr>
            <w:r>
              <w:rPr>
                <w:rFonts w:ascii="Arial" w:cs="Arial" w:eastAsia="Arial" w:hAnsi="Arial"/>
                <w:sz w:val="10"/>
                <w:szCs w:val="10"/>
                <w:color w:val="auto"/>
                <w:w w:val="71"/>
              </w:rPr>
              <w:t>$</w:t>
            </w:r>
          </w:p>
        </w:tc>
        <w:tc>
          <w:tcPr>
            <w:tcW w:w="68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1"/>
                <w:szCs w:val="11"/>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5"/>
            <w:vMerge w:val="restart"/>
            <w:shd w:val="clear" w:color="auto" w:fill="CFF0FC"/>
          </w:tcPr>
          <w:p>
            <w:pPr>
              <w:ind w:left="620"/>
              <w:spacing w:after="0"/>
              <w:rPr>
                <w:sz w:val="20"/>
                <w:szCs w:val="20"/>
                <w:color w:val="auto"/>
              </w:rPr>
            </w:pPr>
            <w:r>
              <w:rPr>
                <w:rFonts w:ascii="Arial" w:cs="Arial" w:eastAsia="Arial" w:hAnsi="Arial"/>
                <w:sz w:val="14"/>
                <w:szCs w:val="14"/>
                <w:color w:val="auto"/>
              </w:rPr>
              <w:t>(5,944)</w:t>
            </w:r>
          </w:p>
        </w:tc>
        <w:tc>
          <w:tcPr>
            <w:tcW w:w="300" w:type="dxa"/>
            <w:vAlign w:val="bottom"/>
            <w:gridSpan w:val="3"/>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vMerge w:val="restart"/>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360" w:type="dxa"/>
            <w:vAlign w:val="bottom"/>
            <w:gridSpan w:val="3"/>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4"/>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41,636</w:t>
            </w:r>
          </w:p>
        </w:tc>
        <w:tc>
          <w:tcPr>
            <w:tcW w:w="220" w:type="dxa"/>
            <w:vAlign w:val="bottom"/>
            <w:shd w:val="clear" w:color="auto" w:fill="CFF0FC"/>
          </w:tcPr>
          <w:p>
            <w:pPr>
              <w:spacing w:after="0"/>
              <w:rPr>
                <w:sz w:val="11"/>
                <w:szCs w:val="11"/>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143</w:t>
            </w:r>
          </w:p>
        </w:tc>
        <w:tc>
          <w:tcPr>
            <w:tcW w:w="24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2,994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40" w:type="dxa"/>
            <w:vAlign w:val="bottom"/>
            <w:gridSpan w:val="3"/>
            <w:vMerge w:val="restart"/>
            <w:shd w:val="clear" w:color="auto" w:fill="CFF0FC"/>
          </w:tcPr>
          <w:p>
            <w:pPr>
              <w:spacing w:after="0"/>
              <w:rPr>
                <w:sz w:val="20"/>
                <w:szCs w:val="20"/>
                <w:color w:val="auto"/>
              </w:rPr>
            </w:pPr>
            <w:r>
              <w:rPr>
                <w:rFonts w:ascii="Arial" w:cs="Arial" w:eastAsia="Arial" w:hAnsi="Arial"/>
                <w:sz w:val="14"/>
                <w:szCs w:val="14"/>
                <w:color w:val="auto"/>
              </w:rPr>
              <w:t>Resources, LLC</w:t>
            </w:r>
          </w:p>
        </w:tc>
        <w:tc>
          <w:tcPr>
            <w:tcW w:w="120" w:type="dxa"/>
            <w:vAlign w:val="bottom"/>
            <w:vMerge w:val="continue"/>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00" w:type="dxa"/>
            <w:vAlign w:val="bottom"/>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vMerge w:val="continue"/>
            <w:shd w:val="clear" w:color="auto" w:fill="CFF0FC"/>
          </w:tcPr>
          <w:p>
            <w:pPr>
              <w:spacing w:after="0"/>
              <w:rPr>
                <w:sz w:val="8"/>
                <w:szCs w:val="8"/>
                <w:color w:val="auto"/>
              </w:rPr>
            </w:pPr>
          </w:p>
        </w:tc>
        <w:tc>
          <w:tcPr>
            <w:tcW w:w="880" w:type="dxa"/>
            <w:vAlign w:val="bottom"/>
            <w:gridSpan w:val="4"/>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80" w:type="dxa"/>
            <w:vAlign w:val="bottom"/>
            <w:gridSpan w:val="2"/>
            <w:vMerge w:val="continue"/>
            <w:shd w:val="clear" w:color="auto" w:fill="CFF0FC"/>
          </w:tcPr>
          <w:p>
            <w:pPr>
              <w:spacing w:after="0"/>
              <w:rPr>
                <w:sz w:val="8"/>
                <w:szCs w:val="8"/>
                <w:color w:val="auto"/>
              </w:rPr>
            </w:pPr>
          </w:p>
        </w:tc>
        <w:tc>
          <w:tcPr>
            <w:tcW w:w="680" w:type="dxa"/>
            <w:vAlign w:val="bottom"/>
            <w:gridSpan w:val="3"/>
            <w:vMerge w:val="continue"/>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0" w:type="dxa"/>
            <w:vAlign w:val="bottom"/>
            <w:vMerge w:val="continue"/>
            <w:shd w:val="clear" w:color="auto" w:fill="CFF0FC"/>
          </w:tcPr>
          <w:p>
            <w:pPr>
              <w:spacing w:after="0"/>
              <w:rPr>
                <w:sz w:val="8"/>
                <w:szCs w:val="8"/>
                <w:color w:val="auto"/>
              </w:rPr>
            </w:pPr>
          </w:p>
        </w:tc>
        <w:tc>
          <w:tcPr>
            <w:tcW w:w="1140" w:type="dxa"/>
            <w:vAlign w:val="bottom"/>
            <w:gridSpan w:val="5"/>
            <w:vMerge w:val="continue"/>
            <w:shd w:val="clear" w:color="auto" w:fill="CFF0FC"/>
          </w:tcPr>
          <w:p>
            <w:pPr>
              <w:spacing w:after="0"/>
              <w:rPr>
                <w:sz w:val="8"/>
                <w:szCs w:val="8"/>
                <w:color w:val="auto"/>
              </w:rPr>
            </w:pPr>
          </w:p>
        </w:tc>
        <w:tc>
          <w:tcPr>
            <w:tcW w:w="300" w:type="dxa"/>
            <w:vAlign w:val="bottom"/>
            <w:gridSpan w:val="3"/>
            <w:vMerge w:val="continue"/>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60" w:type="dxa"/>
            <w:vAlign w:val="bottom"/>
            <w:vMerge w:val="continue"/>
            <w:shd w:val="clear" w:color="auto" w:fill="CFF0FC"/>
          </w:tcPr>
          <w:p>
            <w:pPr>
              <w:spacing w:after="0"/>
              <w:rPr>
                <w:sz w:val="8"/>
                <w:szCs w:val="8"/>
                <w:color w:val="auto"/>
              </w:rPr>
            </w:pPr>
          </w:p>
        </w:tc>
        <w:tc>
          <w:tcPr>
            <w:tcW w:w="360" w:type="dxa"/>
            <w:vAlign w:val="bottom"/>
            <w:gridSpan w:val="3"/>
            <w:vMerge w:val="continue"/>
            <w:shd w:val="clear" w:color="auto" w:fill="CFF0FC"/>
          </w:tcPr>
          <w:p>
            <w:pPr>
              <w:spacing w:after="0"/>
              <w:rPr>
                <w:sz w:val="8"/>
                <w:szCs w:val="8"/>
                <w:color w:val="auto"/>
              </w:rPr>
            </w:pPr>
          </w:p>
        </w:tc>
        <w:tc>
          <w:tcPr>
            <w:tcW w:w="1100" w:type="dxa"/>
            <w:vAlign w:val="bottom"/>
            <w:gridSpan w:val="4"/>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vMerge w:val="continue"/>
            <w:shd w:val="clear" w:color="auto" w:fill="CFF0FC"/>
          </w:tcPr>
          <w:p>
            <w:pPr>
              <w:spacing w:after="0"/>
              <w:rPr>
                <w:sz w:val="8"/>
                <w:szCs w:val="8"/>
                <w:color w:val="auto"/>
              </w:rPr>
            </w:pPr>
          </w:p>
        </w:tc>
        <w:tc>
          <w:tcPr>
            <w:tcW w:w="940" w:type="dxa"/>
            <w:vAlign w:val="bottom"/>
            <w:gridSpan w:val="2"/>
            <w:vMerge w:val="continue"/>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0" w:type="dxa"/>
            <w:vAlign w:val="bottom"/>
            <w:vMerge w:val="continue"/>
            <w:shd w:val="clear" w:color="auto" w:fill="CFF0FC"/>
          </w:tcPr>
          <w:p>
            <w:pPr>
              <w:spacing w:after="0"/>
              <w:rPr>
                <w:sz w:val="8"/>
                <w:szCs w:val="8"/>
                <w:color w:val="auto"/>
              </w:rPr>
            </w:pPr>
          </w:p>
        </w:tc>
        <w:tc>
          <w:tcPr>
            <w:tcW w:w="660" w:type="dxa"/>
            <w:vAlign w:val="bottom"/>
            <w:gridSpan w:val="3"/>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340" w:type="dxa"/>
            <w:vAlign w:val="bottom"/>
            <w:gridSpan w:val="3"/>
            <w:vMerge w:val="continue"/>
            <w:shd w:val="clear" w:color="auto" w:fill="CFF0FC"/>
          </w:tcPr>
          <w:p>
            <w:pPr>
              <w:spacing w:after="0"/>
              <w:rPr>
                <w:sz w:val="5"/>
                <w:szCs w:val="5"/>
                <w:color w:val="auto"/>
              </w:rPr>
            </w:pPr>
          </w:p>
        </w:tc>
        <w:tc>
          <w:tcPr>
            <w:tcW w:w="120" w:type="dxa"/>
            <w:vAlign w:val="bottom"/>
            <w:tcBorders>
              <w:bottom w:val="single" w:sz="8" w:color="auto"/>
            </w:tcBorders>
            <w:shd w:val="clear" w:color="auto" w:fill="CFF0FC"/>
          </w:tcPr>
          <w:p>
            <w:pPr>
              <w:spacing w:after="0"/>
              <w:rPr>
                <w:sz w:val="5"/>
                <w:szCs w:val="5"/>
                <w:color w:val="auto"/>
              </w:rPr>
            </w:pPr>
          </w:p>
        </w:tc>
        <w:tc>
          <w:tcPr>
            <w:tcW w:w="180" w:type="dxa"/>
            <w:vAlign w:val="bottom"/>
            <w:tcBorders>
              <w:bottom w:val="single" w:sz="8" w:color="auto"/>
            </w:tcBorders>
            <w:shd w:val="clear" w:color="auto" w:fill="CFF0FC"/>
          </w:tcPr>
          <w:p>
            <w:pPr>
              <w:spacing w:after="0"/>
              <w:rPr>
                <w:sz w:val="5"/>
                <w:szCs w:val="5"/>
                <w:color w:val="auto"/>
              </w:rPr>
            </w:pPr>
          </w:p>
        </w:tc>
        <w:tc>
          <w:tcPr>
            <w:tcW w:w="800" w:type="dxa"/>
            <w:vAlign w:val="bottom"/>
            <w:tcBorders>
              <w:bottom w:val="single" w:sz="8" w:color="auto"/>
            </w:tcBorders>
            <w:shd w:val="clear" w:color="auto" w:fill="CFF0FC"/>
          </w:tcPr>
          <w:p>
            <w:pPr>
              <w:spacing w:after="0"/>
              <w:rPr>
                <w:sz w:val="5"/>
                <w:szCs w:val="5"/>
                <w:color w:val="auto"/>
              </w:rPr>
            </w:pPr>
          </w:p>
        </w:tc>
        <w:tc>
          <w:tcPr>
            <w:tcW w:w="180" w:type="dxa"/>
            <w:vAlign w:val="bottom"/>
            <w:tcBorders>
              <w:bottom w:val="single" w:sz="8" w:color="auto"/>
            </w:tcBorders>
            <w:shd w:val="clear" w:color="auto" w:fill="CFF0FC"/>
          </w:tcPr>
          <w:p>
            <w:pPr>
              <w:spacing w:after="0"/>
              <w:rPr>
                <w:sz w:val="5"/>
                <w:szCs w:val="5"/>
                <w:color w:val="auto"/>
              </w:rPr>
            </w:pPr>
          </w:p>
        </w:tc>
        <w:tc>
          <w:tcPr>
            <w:tcW w:w="40" w:type="dxa"/>
            <w:vAlign w:val="bottom"/>
            <w:tcBorders>
              <w:bottom w:val="single" w:sz="8" w:color="auto"/>
            </w:tcBorders>
            <w:shd w:val="clear" w:color="auto" w:fill="CFF0FC"/>
          </w:tcPr>
          <w:p>
            <w:pPr>
              <w:spacing w:after="0"/>
              <w:rPr>
                <w:sz w:val="5"/>
                <w:szCs w:val="5"/>
                <w:color w:val="auto"/>
              </w:rPr>
            </w:pPr>
          </w:p>
        </w:tc>
        <w:tc>
          <w:tcPr>
            <w:tcW w:w="100" w:type="dxa"/>
            <w:vAlign w:val="bottom"/>
            <w:tcBorders>
              <w:bottom w:val="single" w:sz="8" w:color="auto"/>
            </w:tcBorders>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80" w:type="dxa"/>
            <w:vAlign w:val="bottom"/>
            <w:tcBorders>
              <w:bottom w:val="single" w:sz="8" w:color="auto"/>
            </w:tcBorders>
            <w:shd w:val="clear" w:color="auto" w:fill="CFF0FC"/>
          </w:tcPr>
          <w:p>
            <w:pPr>
              <w:spacing w:after="0"/>
              <w:rPr>
                <w:sz w:val="5"/>
                <w:szCs w:val="5"/>
                <w:color w:val="auto"/>
              </w:rPr>
            </w:pPr>
          </w:p>
        </w:tc>
        <w:tc>
          <w:tcPr>
            <w:tcW w:w="220" w:type="dxa"/>
            <w:vAlign w:val="bottom"/>
            <w:tcBorders>
              <w:bottom w:val="single" w:sz="8" w:color="auto"/>
            </w:tcBorders>
            <w:shd w:val="clear" w:color="auto" w:fill="CFF0FC"/>
          </w:tcPr>
          <w:p>
            <w:pPr>
              <w:spacing w:after="0"/>
              <w:rPr>
                <w:sz w:val="5"/>
                <w:szCs w:val="5"/>
                <w:color w:val="auto"/>
              </w:rPr>
            </w:pPr>
          </w:p>
        </w:tc>
        <w:tc>
          <w:tcPr>
            <w:tcW w:w="360" w:type="dxa"/>
            <w:vAlign w:val="bottom"/>
            <w:tcBorders>
              <w:bottom w:val="single" w:sz="8" w:color="auto"/>
            </w:tcBorders>
            <w:shd w:val="clear" w:color="auto" w:fill="CFF0FC"/>
          </w:tcPr>
          <w:p>
            <w:pPr>
              <w:spacing w:after="0"/>
              <w:rPr>
                <w:sz w:val="5"/>
                <w:szCs w:val="5"/>
                <w:color w:val="auto"/>
              </w:rPr>
            </w:pPr>
          </w:p>
        </w:tc>
        <w:tc>
          <w:tcPr>
            <w:tcW w:w="220" w:type="dxa"/>
            <w:vAlign w:val="bottom"/>
            <w:tcBorders>
              <w:bottom w:val="single" w:sz="8" w:color="auto"/>
            </w:tcBorders>
            <w:shd w:val="clear" w:color="auto" w:fill="CFF0FC"/>
          </w:tcPr>
          <w:p>
            <w:pPr>
              <w:spacing w:after="0"/>
              <w:rPr>
                <w:sz w:val="5"/>
                <w:szCs w:val="5"/>
                <w:color w:val="auto"/>
              </w:rPr>
            </w:pPr>
          </w:p>
        </w:tc>
        <w:tc>
          <w:tcPr>
            <w:tcW w:w="80" w:type="dxa"/>
            <w:vAlign w:val="bottom"/>
            <w:tcBorders>
              <w:bottom w:val="single" w:sz="8" w:color="auto"/>
            </w:tcBorders>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20" w:type="dxa"/>
            <w:vAlign w:val="bottom"/>
            <w:tcBorders>
              <w:bottom w:val="single" w:sz="8" w:color="auto"/>
            </w:tcBorders>
            <w:shd w:val="clear" w:color="auto" w:fill="CFF0FC"/>
          </w:tcPr>
          <w:p>
            <w:pPr>
              <w:spacing w:after="0"/>
              <w:rPr>
                <w:sz w:val="5"/>
                <w:szCs w:val="5"/>
                <w:color w:val="auto"/>
              </w:rPr>
            </w:pPr>
          </w:p>
        </w:tc>
        <w:tc>
          <w:tcPr>
            <w:tcW w:w="260" w:type="dxa"/>
            <w:vAlign w:val="bottom"/>
            <w:tcBorders>
              <w:bottom w:val="single" w:sz="8" w:color="auto"/>
            </w:tcBorders>
            <w:shd w:val="clear" w:color="auto" w:fill="CFF0FC"/>
          </w:tcPr>
          <w:p>
            <w:pPr>
              <w:spacing w:after="0"/>
              <w:rPr>
                <w:sz w:val="5"/>
                <w:szCs w:val="5"/>
                <w:color w:val="auto"/>
              </w:rPr>
            </w:pPr>
          </w:p>
        </w:tc>
        <w:tc>
          <w:tcPr>
            <w:tcW w:w="360" w:type="dxa"/>
            <w:vAlign w:val="bottom"/>
            <w:tcBorders>
              <w:bottom w:val="single" w:sz="8" w:color="auto"/>
            </w:tcBorders>
            <w:shd w:val="clear" w:color="auto" w:fill="CFF0FC"/>
          </w:tcPr>
          <w:p>
            <w:pPr>
              <w:spacing w:after="0"/>
              <w:rPr>
                <w:sz w:val="5"/>
                <w:szCs w:val="5"/>
                <w:color w:val="auto"/>
              </w:rPr>
            </w:pPr>
          </w:p>
        </w:tc>
        <w:tc>
          <w:tcPr>
            <w:tcW w:w="280" w:type="dxa"/>
            <w:vAlign w:val="bottom"/>
            <w:tcBorders>
              <w:bottom w:val="single" w:sz="8" w:color="auto"/>
            </w:tcBorders>
            <w:shd w:val="clear" w:color="auto" w:fill="CFF0FC"/>
          </w:tcPr>
          <w:p>
            <w:pPr>
              <w:spacing w:after="0"/>
              <w:rPr>
                <w:sz w:val="5"/>
                <w:szCs w:val="5"/>
                <w:color w:val="auto"/>
              </w:rPr>
            </w:pPr>
          </w:p>
        </w:tc>
        <w:tc>
          <w:tcPr>
            <w:tcW w:w="40" w:type="dxa"/>
            <w:vAlign w:val="bottom"/>
            <w:tcBorders>
              <w:bottom w:val="single" w:sz="8" w:color="auto"/>
            </w:tcBorders>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80" w:type="dxa"/>
            <w:vAlign w:val="bottom"/>
            <w:tcBorders>
              <w:bottom w:val="single" w:sz="8" w:color="auto"/>
            </w:tcBorders>
            <w:shd w:val="clear" w:color="auto" w:fill="CFF0FC"/>
          </w:tcPr>
          <w:p>
            <w:pPr>
              <w:spacing w:after="0"/>
              <w:rPr>
                <w:sz w:val="5"/>
                <w:szCs w:val="5"/>
                <w:color w:val="auto"/>
              </w:rPr>
            </w:pPr>
          </w:p>
        </w:tc>
        <w:tc>
          <w:tcPr>
            <w:tcW w:w="100" w:type="dxa"/>
            <w:vAlign w:val="bottom"/>
            <w:tcBorders>
              <w:bottom w:val="single" w:sz="8" w:color="auto"/>
            </w:tcBorders>
            <w:shd w:val="clear" w:color="auto" w:fill="CFF0FC"/>
          </w:tcPr>
          <w:p>
            <w:pPr>
              <w:spacing w:after="0"/>
              <w:rPr>
                <w:sz w:val="5"/>
                <w:szCs w:val="5"/>
                <w:color w:val="auto"/>
              </w:rPr>
            </w:pPr>
          </w:p>
        </w:tc>
        <w:tc>
          <w:tcPr>
            <w:tcW w:w="720" w:type="dxa"/>
            <w:vAlign w:val="bottom"/>
            <w:tcBorders>
              <w:bottom w:val="single" w:sz="8" w:color="auto"/>
            </w:tcBorders>
            <w:shd w:val="clear" w:color="auto" w:fill="CFF0FC"/>
          </w:tcPr>
          <w:p>
            <w:pPr>
              <w:spacing w:after="0"/>
              <w:rPr>
                <w:sz w:val="5"/>
                <w:szCs w:val="5"/>
                <w:color w:val="auto"/>
              </w:rPr>
            </w:pPr>
          </w:p>
        </w:tc>
        <w:tc>
          <w:tcPr>
            <w:tcW w:w="100" w:type="dxa"/>
            <w:vAlign w:val="bottom"/>
            <w:tcBorders>
              <w:bottom w:val="single" w:sz="8" w:color="auto"/>
            </w:tcBorders>
            <w:shd w:val="clear" w:color="auto" w:fill="CFF0FC"/>
          </w:tcPr>
          <w:p>
            <w:pPr>
              <w:spacing w:after="0"/>
              <w:rPr>
                <w:sz w:val="5"/>
                <w:szCs w:val="5"/>
                <w:color w:val="auto"/>
              </w:rPr>
            </w:pPr>
          </w:p>
        </w:tc>
        <w:tc>
          <w:tcPr>
            <w:tcW w:w="80" w:type="dxa"/>
            <w:vAlign w:val="bottom"/>
            <w:tcBorders>
              <w:bottom w:val="single" w:sz="8" w:color="auto"/>
            </w:tcBorders>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0" w:type="dxa"/>
            <w:vAlign w:val="bottom"/>
            <w:tcBorders>
              <w:bottom w:val="single" w:sz="8" w:color="auto"/>
            </w:tcBorders>
            <w:shd w:val="clear" w:color="auto" w:fill="CFF0FC"/>
          </w:tcPr>
          <w:p>
            <w:pPr>
              <w:spacing w:after="0"/>
              <w:rPr>
                <w:sz w:val="5"/>
                <w:szCs w:val="5"/>
                <w:color w:val="auto"/>
              </w:rPr>
            </w:pPr>
          </w:p>
        </w:tc>
        <w:tc>
          <w:tcPr>
            <w:tcW w:w="160" w:type="dxa"/>
            <w:vAlign w:val="bottom"/>
            <w:tcBorders>
              <w:bottom w:val="single" w:sz="8" w:color="auto"/>
            </w:tcBorders>
            <w:shd w:val="clear" w:color="auto" w:fill="CFF0FC"/>
          </w:tcPr>
          <w:p>
            <w:pPr>
              <w:spacing w:after="0"/>
              <w:rPr>
                <w:sz w:val="5"/>
                <w:szCs w:val="5"/>
                <w:color w:val="auto"/>
              </w:rPr>
            </w:pPr>
          </w:p>
        </w:tc>
        <w:tc>
          <w:tcPr>
            <w:tcW w:w="520" w:type="dxa"/>
            <w:vAlign w:val="bottom"/>
            <w:tcBorders>
              <w:bottom w:val="single" w:sz="8" w:color="auto"/>
            </w:tcBorders>
            <w:shd w:val="clear" w:color="auto" w:fill="CFF0FC"/>
          </w:tcPr>
          <w:p>
            <w:pPr>
              <w:spacing w:after="0"/>
              <w:rPr>
                <w:sz w:val="5"/>
                <w:szCs w:val="5"/>
                <w:color w:val="auto"/>
              </w:rPr>
            </w:pPr>
          </w:p>
        </w:tc>
        <w:tc>
          <w:tcPr>
            <w:tcW w:w="160" w:type="dxa"/>
            <w:vAlign w:val="bottom"/>
            <w:tcBorders>
              <w:bottom w:val="single" w:sz="8" w:color="auto"/>
            </w:tcBorders>
            <w:shd w:val="clear" w:color="auto" w:fill="CFF0FC"/>
          </w:tcPr>
          <w:p>
            <w:pPr>
              <w:spacing w:after="0"/>
              <w:rPr>
                <w:sz w:val="5"/>
                <w:szCs w:val="5"/>
                <w:color w:val="auto"/>
              </w:rPr>
            </w:pPr>
          </w:p>
        </w:tc>
        <w:tc>
          <w:tcPr>
            <w:tcW w:w="20" w:type="dxa"/>
            <w:vAlign w:val="bottom"/>
            <w:tcBorders>
              <w:bottom w:val="single" w:sz="8" w:color="auto"/>
            </w:tcBorders>
            <w:shd w:val="clear" w:color="auto" w:fill="CFF0FC"/>
          </w:tcPr>
          <w:p>
            <w:pPr>
              <w:spacing w:after="0"/>
              <w:rPr>
                <w:sz w:val="5"/>
                <w:szCs w:val="5"/>
                <w:color w:val="auto"/>
              </w:rPr>
            </w:pPr>
          </w:p>
        </w:tc>
        <w:tc>
          <w:tcPr>
            <w:tcW w:w="60" w:type="dxa"/>
            <w:vAlign w:val="bottom"/>
            <w:tcBorders>
              <w:bottom w:val="single" w:sz="8" w:color="auto"/>
            </w:tcBorders>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20" w:type="dxa"/>
            <w:vAlign w:val="bottom"/>
            <w:tcBorders>
              <w:bottom w:val="single" w:sz="8" w:color="auto"/>
            </w:tcBorders>
            <w:shd w:val="clear" w:color="auto" w:fill="CFF0FC"/>
          </w:tcPr>
          <w:p>
            <w:pPr>
              <w:spacing w:after="0"/>
              <w:rPr>
                <w:sz w:val="5"/>
                <w:szCs w:val="5"/>
                <w:color w:val="auto"/>
              </w:rPr>
            </w:pPr>
          </w:p>
        </w:tc>
        <w:tc>
          <w:tcPr>
            <w:tcW w:w="120" w:type="dxa"/>
            <w:vAlign w:val="bottom"/>
            <w:tcBorders>
              <w:bottom w:val="single" w:sz="8" w:color="auto"/>
            </w:tcBorders>
            <w:shd w:val="clear" w:color="auto" w:fill="CFF0FC"/>
          </w:tcPr>
          <w:p>
            <w:pPr>
              <w:spacing w:after="0"/>
              <w:rPr>
                <w:sz w:val="5"/>
                <w:szCs w:val="5"/>
                <w:color w:val="auto"/>
              </w:rPr>
            </w:pPr>
          </w:p>
        </w:tc>
        <w:tc>
          <w:tcPr>
            <w:tcW w:w="60" w:type="dxa"/>
            <w:vAlign w:val="bottom"/>
            <w:tcBorders>
              <w:bottom w:val="single" w:sz="8" w:color="auto"/>
            </w:tcBorders>
            <w:shd w:val="clear" w:color="auto" w:fill="CFF0FC"/>
          </w:tcPr>
          <w:p>
            <w:pPr>
              <w:spacing w:after="0"/>
              <w:rPr>
                <w:sz w:val="5"/>
                <w:szCs w:val="5"/>
                <w:color w:val="auto"/>
              </w:rPr>
            </w:pPr>
          </w:p>
        </w:tc>
        <w:tc>
          <w:tcPr>
            <w:tcW w:w="800" w:type="dxa"/>
            <w:vAlign w:val="bottom"/>
            <w:tcBorders>
              <w:bottom w:val="single" w:sz="8" w:color="auto"/>
            </w:tcBorders>
            <w:shd w:val="clear" w:color="auto" w:fill="CFF0FC"/>
          </w:tcPr>
          <w:p>
            <w:pPr>
              <w:spacing w:after="0"/>
              <w:rPr>
                <w:sz w:val="5"/>
                <w:szCs w:val="5"/>
                <w:color w:val="auto"/>
              </w:rPr>
            </w:pPr>
          </w:p>
        </w:tc>
        <w:tc>
          <w:tcPr>
            <w:tcW w:w="180" w:type="dxa"/>
            <w:vAlign w:val="bottom"/>
            <w:tcBorders>
              <w:bottom w:val="single" w:sz="8" w:color="auto"/>
            </w:tcBorders>
            <w:shd w:val="clear" w:color="auto" w:fill="CFF0FC"/>
          </w:tcPr>
          <w:p>
            <w:pPr>
              <w:spacing w:after="0"/>
              <w:rPr>
                <w:sz w:val="5"/>
                <w:szCs w:val="5"/>
                <w:color w:val="auto"/>
              </w:rPr>
            </w:pPr>
          </w:p>
        </w:tc>
        <w:tc>
          <w:tcPr>
            <w:tcW w:w="60" w:type="dxa"/>
            <w:vAlign w:val="bottom"/>
            <w:tcBorders>
              <w:bottom w:val="single" w:sz="8" w:color="auto"/>
            </w:tcBorders>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80" w:type="dxa"/>
            <w:vAlign w:val="bottom"/>
            <w:tcBorders>
              <w:bottom w:val="single" w:sz="8" w:color="auto"/>
            </w:tcBorders>
            <w:shd w:val="clear" w:color="auto" w:fill="CFF0FC"/>
          </w:tcPr>
          <w:p>
            <w:pPr>
              <w:spacing w:after="0"/>
              <w:rPr>
                <w:sz w:val="5"/>
                <w:szCs w:val="5"/>
                <w:color w:val="auto"/>
              </w:rPr>
            </w:pPr>
          </w:p>
        </w:tc>
        <w:tc>
          <w:tcPr>
            <w:tcW w:w="860" w:type="dxa"/>
            <w:vAlign w:val="bottom"/>
            <w:tcBorders>
              <w:bottom w:val="single" w:sz="8" w:color="auto"/>
            </w:tcBorders>
            <w:shd w:val="clear" w:color="auto" w:fill="CFF0FC"/>
          </w:tcPr>
          <w:p>
            <w:pPr>
              <w:spacing w:after="0"/>
              <w:rPr>
                <w:sz w:val="5"/>
                <w:szCs w:val="5"/>
                <w:color w:val="auto"/>
              </w:rPr>
            </w:pPr>
          </w:p>
        </w:tc>
        <w:tc>
          <w:tcPr>
            <w:tcW w:w="80" w:type="dxa"/>
            <w:vAlign w:val="bottom"/>
            <w:tcBorders>
              <w:bottom w:val="single" w:sz="8" w:color="auto"/>
            </w:tcBorders>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 w:type="dxa"/>
            <w:vAlign w:val="bottom"/>
            <w:tcBorders>
              <w:bottom w:val="single" w:sz="8" w:color="auto"/>
            </w:tcBorders>
            <w:shd w:val="clear" w:color="auto" w:fill="CFF0FC"/>
          </w:tcPr>
          <w:p>
            <w:pPr>
              <w:spacing w:after="0"/>
              <w:rPr>
                <w:sz w:val="5"/>
                <w:szCs w:val="5"/>
                <w:color w:val="auto"/>
              </w:rPr>
            </w:pPr>
          </w:p>
        </w:tc>
        <w:tc>
          <w:tcPr>
            <w:tcW w:w="40" w:type="dxa"/>
            <w:vAlign w:val="bottom"/>
            <w:tcBorders>
              <w:bottom w:val="single" w:sz="8" w:color="auto"/>
            </w:tcBorders>
            <w:shd w:val="clear" w:color="auto" w:fill="CFF0FC"/>
          </w:tcPr>
          <w:p>
            <w:pPr>
              <w:spacing w:after="0"/>
              <w:rPr>
                <w:sz w:val="5"/>
                <w:szCs w:val="5"/>
                <w:color w:val="auto"/>
              </w:rPr>
            </w:pPr>
          </w:p>
        </w:tc>
        <w:tc>
          <w:tcPr>
            <w:tcW w:w="460" w:type="dxa"/>
            <w:vAlign w:val="bottom"/>
            <w:tcBorders>
              <w:bottom w:val="single" w:sz="8" w:color="auto"/>
            </w:tcBorders>
            <w:shd w:val="clear" w:color="auto" w:fill="CFF0FC"/>
          </w:tcPr>
          <w:p>
            <w:pPr>
              <w:spacing w:after="0"/>
              <w:rPr>
                <w:sz w:val="5"/>
                <w:szCs w:val="5"/>
                <w:color w:val="auto"/>
              </w:rPr>
            </w:pPr>
          </w:p>
        </w:tc>
        <w:tc>
          <w:tcPr>
            <w:tcW w:w="160" w:type="dxa"/>
            <w:vAlign w:val="bottom"/>
            <w:tcBorders>
              <w:left w:val="single" w:sz="8" w:color="CFF0FC"/>
              <w:bottom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3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47,580</w:t>
            </w:r>
          </w:p>
        </w:tc>
        <w:tc>
          <w:tcPr>
            <w:tcW w:w="220" w:type="dxa"/>
            <w:vAlign w:val="bottom"/>
          </w:tcPr>
          <w:p>
            <w:pPr>
              <w:spacing w:after="0"/>
              <w:rPr>
                <w:sz w:val="13"/>
                <w:szCs w:val="13"/>
                <w:color w:val="auto"/>
              </w:rPr>
            </w:pPr>
          </w:p>
        </w:tc>
        <w:tc>
          <w:tcPr>
            <w:tcW w:w="2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gridSpan w:val="4"/>
          </w:tcPr>
          <w:p>
            <w:pPr>
              <w:ind w:left="620"/>
              <w:spacing w:after="0" w:line="155" w:lineRule="exact"/>
              <w:rPr>
                <w:sz w:val="20"/>
                <w:szCs w:val="20"/>
                <w:color w:val="auto"/>
              </w:rPr>
            </w:pPr>
            <w:r>
              <w:rPr>
                <w:rFonts w:ascii="Arial" w:cs="Arial" w:eastAsia="Arial" w:hAnsi="Arial"/>
                <w:sz w:val="14"/>
                <w:szCs w:val="14"/>
                <w:b w:val="1"/>
                <w:bCs w:val="1"/>
                <w:color w:val="auto"/>
                <w:w w:val="81"/>
              </w:rPr>
              <w:t>(5,944)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gridSpan w:val="2"/>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73"/>
              </w:rPr>
              <w:t>-</w:t>
            </w:r>
          </w:p>
        </w:tc>
        <w:tc>
          <w:tcPr>
            <w:tcW w:w="22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bottom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41,636</w:t>
            </w:r>
          </w:p>
        </w:tc>
        <w:tc>
          <w:tcPr>
            <w:tcW w:w="22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143</w:t>
            </w:r>
          </w:p>
        </w:tc>
        <w:tc>
          <w:tcPr>
            <w:tcW w:w="24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2,994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1140" w:right="140" w:hanging="371"/>
        <w:spacing w:after="0" w:line="293" w:lineRule="auto"/>
        <w:tabs>
          <w:tab w:leader="none" w:pos="11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72" w:lineRule="exact"/>
        <w:rPr>
          <w:rFonts w:ascii="Arial" w:cs="Arial" w:eastAsia="Arial" w:hAnsi="Arial"/>
          <w:sz w:val="16"/>
          <w:szCs w:val="16"/>
          <w:color w:val="auto"/>
        </w:rPr>
      </w:pPr>
    </w:p>
    <w:p>
      <w:pPr>
        <w:ind w:left="1140" w:right="360" w:hanging="371"/>
        <w:spacing w:after="0" w:line="293" w:lineRule="auto"/>
        <w:tabs>
          <w:tab w:leader="none" w:pos="11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346"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Consolidated Schedule of Investments as of December 31, 2013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Initial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4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960" w:type="dxa"/>
            <w:vAlign w:val="bottom"/>
            <w:gridSpan w:val="2"/>
          </w:tcPr>
          <w:p>
            <w:pPr>
              <w:ind w:left="108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40"/>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of Net Assets</w:t>
            </w:r>
          </w:p>
        </w:tc>
        <w:tc>
          <w:tcPr>
            <w:tcW w:w="0" w:type="dxa"/>
            <w:vAlign w:val="bottom"/>
          </w:tcPr>
          <w:p>
            <w:pPr>
              <w:spacing w:after="0"/>
              <w:rPr>
                <w:sz w:val="1"/>
                <w:szCs w:val="1"/>
                <w:color w:val="auto"/>
              </w:rPr>
            </w:pPr>
          </w:p>
        </w:tc>
      </w:tr>
      <w:tr>
        <w:trPr>
          <w:trHeight w:val="210"/>
        </w:trPr>
        <w:tc>
          <w:tcPr>
            <w:tcW w:w="2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Debt Investments</w:t>
            </w:r>
          </w:p>
        </w:tc>
        <w:tc>
          <w:tcPr>
            <w:tcW w:w="120" w:type="dxa"/>
            <w:vAlign w:val="bottom"/>
            <w:tcBorders>
              <w:top w:val="single" w:sz="8" w:color="CFF0FC"/>
            </w:tcBorders>
            <w:shd w:val="clear" w:color="auto" w:fill="CFF0FC"/>
          </w:tcPr>
          <w:p>
            <w:pPr>
              <w:spacing w:after="0"/>
              <w:rPr>
                <w:sz w:val="18"/>
                <w:szCs w:val="18"/>
                <w:color w:val="auto"/>
              </w:rPr>
            </w:pPr>
          </w:p>
        </w:tc>
        <w:tc>
          <w:tcPr>
            <w:tcW w:w="2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00" w:type="dxa"/>
            <w:vAlign w:val="bottom"/>
            <w:gridSpan w:val="2"/>
          </w:tcPr>
          <w:p>
            <w:pPr>
              <w:ind w:left="260"/>
              <w:spacing w:after="0"/>
              <w:rPr>
                <w:sz w:val="20"/>
                <w:szCs w:val="20"/>
                <w:color w:val="auto"/>
              </w:rPr>
            </w:pPr>
            <w:r>
              <w:rPr>
                <w:rFonts w:ascii="Arial" w:cs="Arial" w:eastAsia="Arial" w:hAnsi="Arial"/>
                <w:sz w:val="16"/>
                <w:szCs w:val="16"/>
                <w:b w:val="1"/>
                <w:bCs w:val="1"/>
                <w:color w:val="auto"/>
              </w:rPr>
              <w:t>Aerospace and defense</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00" w:type="dxa"/>
            <w:vAlign w:val="bottom"/>
            <w:gridSpan w:val="2"/>
            <w:shd w:val="clear" w:color="auto" w:fill="CFF0FC"/>
          </w:tcPr>
          <w:p>
            <w:pPr>
              <w:spacing w:after="0" w:line="218" w:lineRule="exact"/>
              <w:rPr>
                <w:sz w:val="20"/>
                <w:szCs w:val="20"/>
                <w:color w:val="auto"/>
              </w:rPr>
            </w:pPr>
            <w:r>
              <w:rPr>
                <w:rFonts w:ascii="Arial" w:cs="Arial" w:eastAsia="Arial" w:hAnsi="Arial"/>
                <w:sz w:val="15"/>
                <w:szCs w:val="15"/>
                <w:color w:val="auto"/>
              </w:rPr>
              <w:t xml:space="preserve">MSC Software Corporation </w:t>
            </w:r>
            <w:r>
              <w:rPr>
                <w:rFonts w:ascii="Arial" w:cs="Arial" w:eastAsia="Arial" w:hAnsi="Arial"/>
                <w:sz w:val="25"/>
                <w:szCs w:val="25"/>
                <w:color w:val="auto"/>
                <w:vertAlign w:val="superscript"/>
              </w:rPr>
              <w:t>(3)(4)(6)</w:t>
            </w:r>
          </w:p>
        </w:tc>
        <w:tc>
          <w:tcPr>
            <w:tcW w:w="296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9"/>
              </w:rPr>
              <w:t>First-lien loan ($53,452 par, due 11/2017)</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12/23/2011</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52,828</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53,720</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3"/>
        </w:trPr>
        <w:tc>
          <w:tcPr>
            <w:tcW w:w="3100" w:type="dxa"/>
            <w:vAlign w:val="bottom"/>
            <w:gridSpan w:val="2"/>
          </w:tcPr>
          <w:p>
            <w:pPr>
              <w:ind w:left="260"/>
              <w:spacing w:after="0"/>
              <w:rPr>
                <w:sz w:val="20"/>
                <w:szCs w:val="20"/>
                <w:color w:val="auto"/>
              </w:rPr>
            </w:pPr>
            <w:r>
              <w:rPr>
                <w:rFonts w:ascii="Arial" w:cs="Arial" w:eastAsia="Arial" w:hAnsi="Arial"/>
                <w:sz w:val="16"/>
                <w:szCs w:val="16"/>
                <w:b w:val="1"/>
                <w:bCs w:val="1"/>
                <w:color w:val="auto"/>
              </w:rPr>
              <w:t>Automotive</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($36,733 par,</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FF0FC"/>
          </w:tcPr>
          <w:p>
            <w:pPr>
              <w:spacing w:after="0" w:line="230" w:lineRule="exact"/>
              <w:rPr>
                <w:sz w:val="20"/>
                <w:szCs w:val="20"/>
                <w:color w:val="auto"/>
              </w:rPr>
            </w:pPr>
            <w:r>
              <w:rPr>
                <w:rFonts w:ascii="Arial" w:cs="Arial" w:eastAsia="Arial" w:hAnsi="Arial"/>
                <w:sz w:val="16"/>
                <w:szCs w:val="16"/>
                <w:color w:val="auto"/>
              </w:rPr>
              <w:t xml:space="preserve">Heartland Automotive Holdings, LLC </w:t>
            </w:r>
            <w:r>
              <w:rPr>
                <w:rFonts w:ascii="Arial" w:cs="Arial" w:eastAsia="Arial" w:hAnsi="Arial"/>
                <w:sz w:val="26"/>
                <w:szCs w:val="26"/>
                <w:color w:val="auto"/>
                <w:vertAlign w:val="superscript"/>
              </w:rPr>
              <w:t>(3)(4)</w:t>
            </w:r>
          </w:p>
        </w:tc>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6/2017)</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8/28/2012</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36,002</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36,182</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5"/>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First-lien revolving loan</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($4,611 par, due 6/2017)</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10.75%</w:t>
            </w:r>
          </w:p>
        </w:tc>
        <w:tc>
          <w:tcPr>
            <w:tcW w:w="800" w:type="dxa"/>
            <w:vAlign w:val="bottom"/>
          </w:tcPr>
          <w:p>
            <w:pPr>
              <w:jc w:val="right"/>
              <w:spacing w:after="0"/>
              <w:rPr>
                <w:sz w:val="20"/>
                <w:szCs w:val="20"/>
                <w:color w:val="auto"/>
              </w:rPr>
            </w:pPr>
            <w:r>
              <w:rPr>
                <w:rFonts w:ascii="Arial" w:cs="Arial" w:eastAsia="Arial" w:hAnsi="Arial"/>
                <w:sz w:val="16"/>
                <w:szCs w:val="16"/>
                <w:color w:val="auto"/>
              </w:rPr>
              <w:t>8/28/2012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4,528</w:t>
            </w:r>
          </w:p>
        </w:tc>
        <w:tc>
          <w:tcPr>
            <w:tcW w:w="2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First-lien loan ($21,553 par,</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line="230" w:lineRule="exact"/>
              <w:rPr>
                <w:sz w:val="20"/>
                <w:szCs w:val="20"/>
                <w:color w:val="auto"/>
              </w:rPr>
            </w:pPr>
            <w:r>
              <w:rPr>
                <w:rFonts w:ascii="Arial" w:cs="Arial" w:eastAsia="Arial" w:hAnsi="Arial"/>
                <w:sz w:val="16"/>
                <w:szCs w:val="16"/>
                <w:color w:val="auto"/>
              </w:rPr>
              <w:t xml:space="preserve">Sage Automotive Interiors, Inc. </w:t>
            </w:r>
            <w:r>
              <w:rPr>
                <w:rFonts w:ascii="Arial" w:cs="Arial" w:eastAsia="Arial" w:hAnsi="Arial"/>
                <w:sz w:val="26"/>
                <w:szCs w:val="26"/>
                <w:color w:val="auto"/>
                <w:vertAlign w:val="superscript"/>
              </w:rPr>
              <w:t>(3)(4)(6)</w:t>
            </w:r>
          </w:p>
        </w:tc>
        <w:tc>
          <w:tcPr>
            <w:tcW w:w="2960" w:type="dxa"/>
            <w:vAlign w:val="bottom"/>
            <w:gridSpan w:val="2"/>
          </w:tcPr>
          <w:p>
            <w:pPr>
              <w:spacing w:after="0"/>
              <w:rPr>
                <w:sz w:val="20"/>
                <w:szCs w:val="20"/>
                <w:color w:val="auto"/>
              </w:rPr>
            </w:pPr>
            <w:r>
              <w:rPr>
                <w:rFonts w:ascii="Arial" w:cs="Arial" w:eastAsia="Arial" w:hAnsi="Arial"/>
                <w:sz w:val="18"/>
                <w:szCs w:val="18"/>
                <w:color w:val="auto"/>
              </w:rPr>
              <w:t>due 12/2016)</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w w:val="94"/>
              </w:rPr>
              <w:t>12/31/2012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21,336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21,445</w:t>
            </w:r>
          </w:p>
        </w:tc>
        <w:tc>
          <w:tcPr>
            <w:tcW w:w="2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29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61,838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62,155</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7"/>
        </w:trPr>
        <w:tc>
          <w:tcPr>
            <w:tcW w:w="3100" w:type="dxa"/>
            <w:vAlign w:val="bottom"/>
            <w:gridSpan w:val="2"/>
          </w:tcPr>
          <w:p>
            <w:pPr>
              <w:ind w:left="260"/>
              <w:spacing w:after="0"/>
              <w:rPr>
                <w:sz w:val="20"/>
                <w:szCs w:val="20"/>
                <w:color w:val="auto"/>
              </w:rPr>
            </w:pPr>
            <w:r>
              <w:rPr>
                <w:rFonts w:ascii="Arial" w:cs="Arial" w:eastAsia="Arial" w:hAnsi="Arial"/>
                <w:sz w:val="16"/>
                <w:szCs w:val="16"/>
                <w:b w:val="1"/>
                <w:bCs w:val="1"/>
                <w:color w:val="auto"/>
              </w:rPr>
              <w:t>Beverage, food and tobacco</w:t>
            </w: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100" w:type="dxa"/>
            <w:vAlign w:val="bottom"/>
            <w:gridSpan w:val="2"/>
            <w:shd w:val="clear" w:color="auto" w:fill="CFF0FC"/>
          </w:tcPr>
          <w:p>
            <w:pPr>
              <w:spacing w:after="0" w:line="218" w:lineRule="exact"/>
              <w:rPr>
                <w:sz w:val="20"/>
                <w:szCs w:val="20"/>
                <w:color w:val="auto"/>
              </w:rPr>
            </w:pPr>
            <w:r>
              <w:rPr>
                <w:rFonts w:ascii="Arial" w:cs="Arial" w:eastAsia="Arial" w:hAnsi="Arial"/>
                <w:sz w:val="15"/>
                <w:szCs w:val="15"/>
                <w:color w:val="auto"/>
              </w:rPr>
              <w:t xml:space="preserve">AFS Technologies, Inc. </w:t>
            </w:r>
            <w:r>
              <w:rPr>
                <w:rFonts w:ascii="Arial" w:cs="Arial" w:eastAsia="Arial" w:hAnsi="Arial"/>
                <w:sz w:val="25"/>
                <w:szCs w:val="25"/>
                <w:color w:val="auto"/>
                <w:vertAlign w:val="superscript"/>
              </w:rPr>
              <w:t>(3)(4)(6)</w:t>
            </w:r>
          </w:p>
        </w:tc>
        <w:tc>
          <w:tcPr>
            <w:tcW w:w="2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($44,394 par, due 8/2015)</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8/31/2011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43,837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45,837</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3"/>
        </w:trPr>
        <w:tc>
          <w:tcPr>
            <w:tcW w:w="3100" w:type="dxa"/>
            <w:vAlign w:val="bottom"/>
            <w:gridSpan w:val="2"/>
          </w:tcPr>
          <w:p>
            <w:pPr>
              <w:ind w:left="260"/>
              <w:spacing w:after="0"/>
              <w:rPr>
                <w:sz w:val="20"/>
                <w:szCs w:val="20"/>
                <w:color w:val="auto"/>
              </w:rPr>
            </w:pPr>
            <w:r>
              <w:rPr>
                <w:rFonts w:ascii="Arial" w:cs="Arial" w:eastAsia="Arial" w:hAnsi="Arial"/>
                <w:sz w:val="16"/>
                <w:szCs w:val="16"/>
                <w:b w:val="1"/>
                <w:bCs w:val="1"/>
                <w:color w:val="auto"/>
              </w:rPr>
              <w:t>Business services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00" w:type="dxa"/>
            <w:vAlign w:val="bottom"/>
            <w:gridSpan w:val="2"/>
            <w:shd w:val="clear" w:color="auto" w:fill="CFF0FC"/>
          </w:tcPr>
          <w:p>
            <w:pPr>
              <w:spacing w:after="0" w:line="218" w:lineRule="exact"/>
              <w:rPr>
                <w:sz w:val="20"/>
                <w:szCs w:val="20"/>
                <w:color w:val="auto"/>
              </w:rPr>
            </w:pPr>
            <w:r>
              <w:rPr>
                <w:rFonts w:ascii="Arial" w:cs="Arial" w:eastAsia="Arial" w:hAnsi="Arial"/>
                <w:sz w:val="15"/>
                <w:szCs w:val="15"/>
                <w:color w:val="auto"/>
              </w:rPr>
              <w:t xml:space="preserve">Actian Corporation </w:t>
            </w:r>
            <w:r>
              <w:rPr>
                <w:rFonts w:ascii="Arial" w:cs="Arial" w:eastAsia="Arial" w:hAnsi="Arial"/>
                <w:sz w:val="25"/>
                <w:szCs w:val="25"/>
                <w:color w:val="auto"/>
                <w:vertAlign w:val="superscript"/>
              </w:rPr>
              <w:t>(3)(4)(6)</w:t>
            </w:r>
          </w:p>
        </w:tc>
        <w:tc>
          <w:tcPr>
            <w:tcW w:w="2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($67,933 par, due 4/2018)</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4/11/2013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65,762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66,405</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3"/>
        </w:trPr>
        <w:tc>
          <w:tcPr>
            <w:tcW w:w="3100" w:type="dxa"/>
            <w:vAlign w:val="bottom"/>
            <w:gridSpan w:val="2"/>
          </w:tcPr>
          <w:p>
            <w:pPr>
              <w:spacing w:after="0"/>
              <w:rPr>
                <w:sz w:val="20"/>
                <w:szCs w:val="20"/>
                <w:color w:val="auto"/>
              </w:rPr>
            </w:pPr>
            <w:r>
              <w:rPr>
                <w:rFonts w:ascii="Arial" w:cs="Arial" w:eastAsia="Arial" w:hAnsi="Arial"/>
                <w:sz w:val="16"/>
                <w:szCs w:val="16"/>
                <w:color w:val="auto"/>
              </w:rPr>
              <w:t>Aptean Holdings, Inc. f/k/a Consona</w:t>
            </w:r>
          </w:p>
        </w:tc>
        <w:tc>
          <w:tcPr>
            <w:tcW w:w="2960" w:type="dxa"/>
            <w:vAlign w:val="bottom"/>
            <w:gridSpan w:val="2"/>
          </w:tcPr>
          <w:p>
            <w:pPr>
              <w:spacing w:after="0"/>
              <w:rPr>
                <w:sz w:val="20"/>
                <w:szCs w:val="20"/>
                <w:color w:val="auto"/>
              </w:rPr>
            </w:pPr>
            <w:r>
              <w:rPr>
                <w:rFonts w:ascii="Arial" w:cs="Arial" w:eastAsia="Arial" w:hAnsi="Arial"/>
                <w:sz w:val="16"/>
                <w:szCs w:val="16"/>
                <w:color w:val="auto"/>
              </w:rPr>
              <w:t>First-lien loan ($29,625 par, due 8/2018)</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Holdings, Inc. </w:t>
            </w:r>
            <w:r>
              <w:rPr>
                <w:rFonts w:ascii="Arial" w:cs="Arial" w:eastAsia="Arial" w:hAnsi="Arial"/>
                <w:sz w:val="25"/>
                <w:szCs w:val="25"/>
                <w:color w:val="auto"/>
                <w:vertAlign w:val="superscript"/>
              </w:rPr>
              <w:t>(3)(4)</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7.25%</w:t>
            </w:r>
          </w:p>
        </w:tc>
        <w:tc>
          <w:tcPr>
            <w:tcW w:w="800" w:type="dxa"/>
            <w:vAlign w:val="bottom"/>
          </w:tcPr>
          <w:p>
            <w:pPr>
              <w:jc w:val="right"/>
              <w:spacing w:after="0"/>
              <w:rPr>
                <w:sz w:val="20"/>
                <w:szCs w:val="20"/>
                <w:color w:val="auto"/>
              </w:rPr>
            </w:pPr>
            <w:r>
              <w:rPr>
                <w:rFonts w:ascii="Arial" w:cs="Arial" w:eastAsia="Arial" w:hAnsi="Arial"/>
                <w:sz w:val="16"/>
                <w:szCs w:val="16"/>
                <w:color w:val="auto"/>
              </w:rPr>
              <w:t>8/13/2012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29,279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29,477</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Beyond Trust Software Holding Group, Inc.</w:t>
            </w:r>
          </w:p>
        </w:tc>
        <w:tc>
          <w:tcPr>
            <w:tcW w:w="296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9"/>
              </w:rPr>
              <w:t>First-lien loan ($42,500 par, due 12/2019)</w:t>
            </w:r>
          </w:p>
        </w:tc>
        <w:tc>
          <w:tcPr>
            <w:tcW w:w="11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7.25%</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94"/>
              </w:rPr>
              <w:t>12/18/2013</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41,462</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41,437</w:t>
            </w:r>
          </w:p>
        </w:tc>
        <w:tc>
          <w:tcPr>
            <w:tcW w:w="200" w:type="dxa"/>
            <w:vAlign w:val="bottom"/>
            <w:shd w:val="clear" w:color="auto" w:fill="CFF0FC"/>
          </w:tcPr>
          <w:p>
            <w:pPr>
              <w:spacing w:after="0"/>
              <w:rPr>
                <w:sz w:val="17"/>
                <w:szCs w:val="17"/>
                <w:color w:val="auto"/>
              </w:rPr>
            </w:pPr>
          </w:p>
        </w:tc>
        <w:tc>
          <w:tcPr>
            <w:tcW w:w="10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62"/>
        </w:trPr>
        <w:tc>
          <w:tcPr>
            <w:tcW w:w="2980" w:type="dxa"/>
            <w:vAlign w:val="bottom"/>
            <w:shd w:val="clear" w:color="auto" w:fill="CFF0FC"/>
          </w:tcPr>
          <w:p>
            <w:pPr>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FF0FC"/>
          </w:tcPr>
          <w:p>
            <w:pPr>
              <w:spacing w:after="0"/>
              <w:rPr>
                <w:sz w:val="14"/>
                <w:szCs w:val="14"/>
                <w:color w:val="auto"/>
              </w:rPr>
            </w:pPr>
          </w:p>
        </w:tc>
        <w:tc>
          <w:tcPr>
            <w:tcW w:w="2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Network Merchants, Inc </w:t>
            </w:r>
            <w:r>
              <w:rPr>
                <w:rFonts w:ascii="Arial" w:cs="Arial" w:eastAsia="Arial" w:hAnsi="Arial"/>
                <w:sz w:val="25"/>
                <w:szCs w:val="25"/>
                <w:color w:val="auto"/>
                <w:vertAlign w:val="superscript"/>
              </w:rPr>
              <w:t>(3)(4)</w:t>
            </w:r>
          </w:p>
        </w:tc>
        <w:tc>
          <w:tcPr>
            <w:tcW w:w="2960" w:type="dxa"/>
            <w:vAlign w:val="bottom"/>
            <w:gridSpan w:val="2"/>
          </w:tcPr>
          <w:p>
            <w:pPr>
              <w:spacing w:after="0"/>
              <w:rPr>
                <w:sz w:val="20"/>
                <w:szCs w:val="20"/>
                <w:color w:val="auto"/>
              </w:rPr>
            </w:pPr>
            <w:r>
              <w:rPr>
                <w:rFonts w:ascii="Arial" w:cs="Arial" w:eastAsia="Arial" w:hAnsi="Arial"/>
                <w:sz w:val="16"/>
                <w:szCs w:val="16"/>
                <w:color w:val="auto"/>
              </w:rPr>
              <w:t>First-lien loan ($29,659 par, due 9/2018)</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8.75%</w:t>
            </w:r>
          </w:p>
        </w:tc>
        <w:tc>
          <w:tcPr>
            <w:tcW w:w="800" w:type="dxa"/>
            <w:vAlign w:val="bottom"/>
          </w:tcPr>
          <w:p>
            <w:pPr>
              <w:jc w:val="right"/>
              <w:spacing w:after="0"/>
              <w:rPr>
                <w:sz w:val="20"/>
                <w:szCs w:val="20"/>
                <w:color w:val="auto"/>
              </w:rPr>
            </w:pPr>
            <w:r>
              <w:rPr>
                <w:rFonts w:ascii="Arial" w:cs="Arial" w:eastAsia="Arial" w:hAnsi="Arial"/>
                <w:sz w:val="16"/>
                <w:szCs w:val="16"/>
                <w:color w:val="auto"/>
              </w:rPr>
              <w:t>9/12/2013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29,105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29,202</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29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165,608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166,521</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07"/>
        </w:trPr>
        <w:tc>
          <w:tcPr>
            <w:tcW w:w="3100" w:type="dxa"/>
            <w:vAlign w:val="bottom"/>
            <w:gridSpan w:val="2"/>
          </w:tcPr>
          <w:p>
            <w:pPr>
              <w:ind w:left="260"/>
              <w:spacing w:after="0"/>
              <w:rPr>
                <w:sz w:val="20"/>
                <w:szCs w:val="20"/>
                <w:color w:val="auto"/>
              </w:rPr>
            </w:pPr>
            <w:r>
              <w:rPr>
                <w:rFonts w:ascii="Arial" w:cs="Arial" w:eastAsia="Arial" w:hAnsi="Arial"/>
                <w:sz w:val="16"/>
                <w:szCs w:val="16"/>
                <w:b w:val="1"/>
                <w:bCs w:val="1"/>
                <w:color w:val="auto"/>
              </w:rPr>
              <w:t>Construction and building</w:t>
            </w: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96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5"/>
              </w:rPr>
              <w:t>Second-lien loan ($47,430 par, due 3/2017)</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00" w:type="dxa"/>
            <w:vAlign w:val="bottom"/>
            <w:gridSpan w:val="2"/>
            <w:vMerge w:val="restart"/>
            <w:shd w:val="clear" w:color="auto" w:fill="CFF0FC"/>
          </w:tcPr>
          <w:p>
            <w:pPr>
              <w:spacing w:after="0"/>
              <w:rPr>
                <w:sz w:val="20"/>
                <w:szCs w:val="20"/>
                <w:color w:val="auto"/>
              </w:rPr>
            </w:pPr>
            <w:r>
              <w:rPr>
                <w:rFonts w:ascii="Arial" w:cs="Arial" w:eastAsia="Arial" w:hAnsi="Arial"/>
                <w:sz w:val="16"/>
                <w:szCs w:val="16"/>
                <w:color w:val="auto"/>
              </w:rPr>
              <w:t xml:space="preserve">Mannington Mills, Inc. </w:t>
            </w:r>
            <w:r>
              <w:rPr>
                <w:rFonts w:ascii="Arial" w:cs="Arial" w:eastAsia="Arial" w:hAnsi="Arial"/>
                <w:sz w:val="27"/>
                <w:szCs w:val="27"/>
                <w:color w:val="auto"/>
                <w:vertAlign w:val="superscript"/>
              </w:rPr>
              <w:t>(3)(4)</w:t>
            </w:r>
          </w:p>
        </w:tc>
        <w:tc>
          <w:tcPr>
            <w:tcW w:w="2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(incl. 2.00%</w:t>
            </w: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gridSpan w:val="2"/>
            <w:vMerge w:val="continue"/>
            <w:shd w:val="clear" w:color="auto" w:fill="CFF0FC"/>
          </w:tcPr>
          <w:p>
            <w:pPr>
              <w:spacing w:after="0"/>
              <w:rPr>
                <w:sz w:val="18"/>
                <w:szCs w:val="18"/>
                <w:color w:val="auto"/>
              </w:rPr>
            </w:pPr>
          </w:p>
        </w:tc>
        <w:tc>
          <w:tcPr>
            <w:tcW w:w="2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3/2/2012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46,545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51,817</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3100" w:type="dxa"/>
            <w:vAlign w:val="bottom"/>
            <w:gridSpan w:val="2"/>
          </w:tcPr>
          <w:p>
            <w:pPr>
              <w:ind w:left="260"/>
              <w:spacing w:after="0"/>
              <w:rPr>
                <w:sz w:val="20"/>
                <w:szCs w:val="20"/>
                <w:color w:val="auto"/>
              </w:rPr>
            </w:pPr>
            <w:r>
              <w:rPr>
                <w:rFonts w:ascii="Arial" w:cs="Arial" w:eastAsia="Arial" w:hAnsi="Arial"/>
                <w:sz w:val="16"/>
                <w:szCs w:val="16"/>
                <w:b w:val="1"/>
                <w:bCs w:val="1"/>
                <w:color w:val="auto"/>
              </w:rPr>
              <w:t>Containers and packaging</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00" w:type="dxa"/>
            <w:vAlign w:val="bottom"/>
            <w:gridSpan w:val="2"/>
            <w:shd w:val="clear" w:color="auto" w:fill="CFF0FC"/>
          </w:tcPr>
          <w:p>
            <w:pPr>
              <w:spacing w:after="0" w:line="218" w:lineRule="exact"/>
              <w:rPr>
                <w:sz w:val="20"/>
                <w:szCs w:val="20"/>
                <w:color w:val="auto"/>
              </w:rPr>
            </w:pPr>
            <w:r>
              <w:rPr>
                <w:rFonts w:ascii="Arial" w:cs="Arial" w:eastAsia="Arial" w:hAnsi="Arial"/>
                <w:sz w:val="15"/>
                <w:szCs w:val="15"/>
                <w:color w:val="auto"/>
              </w:rPr>
              <w:t xml:space="preserve">The Newark Group, Inc. </w:t>
            </w:r>
            <w:r>
              <w:rPr>
                <w:rFonts w:ascii="Arial" w:cs="Arial" w:eastAsia="Arial" w:hAnsi="Arial"/>
                <w:sz w:val="25"/>
                <w:szCs w:val="25"/>
                <w:color w:val="auto"/>
                <w:vertAlign w:val="superscript"/>
              </w:rPr>
              <w:t>(3)(4)</w:t>
            </w:r>
          </w:p>
        </w:tc>
        <w:tc>
          <w:tcPr>
            <w:tcW w:w="2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($46,560 par, due 2/2018)</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2/8/2013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46,164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47,142</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3"/>
        </w:trPr>
        <w:tc>
          <w:tcPr>
            <w:tcW w:w="3100" w:type="dxa"/>
            <w:vAlign w:val="bottom"/>
            <w:gridSpan w:val="2"/>
          </w:tcPr>
          <w:p>
            <w:pPr>
              <w:ind w:left="260"/>
              <w:spacing w:after="0"/>
              <w:rPr>
                <w:sz w:val="20"/>
                <w:szCs w:val="20"/>
                <w:color w:val="auto"/>
              </w:rPr>
            </w:pPr>
            <w:r>
              <w:rPr>
                <w:rFonts w:ascii="Arial" w:cs="Arial" w:eastAsia="Arial" w:hAnsi="Arial"/>
                <w:sz w:val="16"/>
                <w:szCs w:val="16"/>
                <w:b w:val="1"/>
                <w:bCs w:val="1"/>
                <w:color w:val="auto"/>
              </w:rPr>
              <w:t>Education</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00" w:type="dxa"/>
            <w:vAlign w:val="bottom"/>
            <w:gridSpan w:val="2"/>
            <w:shd w:val="clear" w:color="auto" w:fill="CFF0FC"/>
          </w:tcPr>
          <w:p>
            <w:pPr>
              <w:spacing w:after="0" w:line="218" w:lineRule="exact"/>
              <w:rPr>
                <w:sz w:val="20"/>
                <w:szCs w:val="20"/>
                <w:color w:val="auto"/>
              </w:rPr>
            </w:pPr>
            <w:r>
              <w:rPr>
                <w:rFonts w:ascii="Arial" w:cs="Arial" w:eastAsia="Arial" w:hAnsi="Arial"/>
                <w:sz w:val="15"/>
                <w:szCs w:val="15"/>
                <w:color w:val="auto"/>
              </w:rPr>
              <w:t xml:space="preserve">Campus Management, Inc. </w:t>
            </w:r>
            <w:r>
              <w:rPr>
                <w:rFonts w:ascii="Arial" w:cs="Arial" w:eastAsia="Arial" w:hAnsi="Arial"/>
                <w:sz w:val="25"/>
                <w:szCs w:val="25"/>
                <w:color w:val="auto"/>
                <w:vertAlign w:val="superscript"/>
              </w:rPr>
              <w:t>(3)(4)(6)</w:t>
            </w:r>
          </w:p>
        </w:tc>
        <w:tc>
          <w:tcPr>
            <w:tcW w:w="2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($29,625 par, due 9/2018)</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9/30/2013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28,931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29,032</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3100" w:type="dxa"/>
            <w:vAlign w:val="bottom"/>
            <w:gridSpan w:val="2"/>
          </w:tcPr>
          <w:p>
            <w:pPr>
              <w:ind w:left="260"/>
              <w:spacing w:after="0"/>
              <w:rPr>
                <w:sz w:val="20"/>
                <w:szCs w:val="20"/>
                <w:color w:val="auto"/>
              </w:rPr>
            </w:pPr>
            <w:r>
              <w:rPr>
                <w:rFonts w:ascii="Arial" w:cs="Arial" w:eastAsia="Arial" w:hAnsi="Arial"/>
                <w:sz w:val="16"/>
                <w:szCs w:val="16"/>
                <w:b w:val="1"/>
                <w:bCs w:val="1"/>
                <w:color w:val="auto"/>
              </w:rPr>
              <w:t>Financial services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00" w:type="dxa"/>
            <w:vAlign w:val="bottom"/>
            <w:gridSpan w:val="2"/>
            <w:shd w:val="clear" w:color="auto" w:fill="CFF0FC"/>
          </w:tcPr>
          <w:p>
            <w:pPr>
              <w:spacing w:after="0" w:line="218" w:lineRule="exact"/>
              <w:rPr>
                <w:sz w:val="20"/>
                <w:szCs w:val="20"/>
                <w:color w:val="auto"/>
              </w:rPr>
            </w:pPr>
            <w:r>
              <w:rPr>
                <w:rFonts w:ascii="Arial" w:cs="Arial" w:eastAsia="Arial" w:hAnsi="Arial"/>
                <w:sz w:val="15"/>
                <w:szCs w:val="15"/>
                <w:color w:val="auto"/>
              </w:rPr>
              <w:t xml:space="preserve">Embarcadero Technologies, Inc. </w:t>
            </w:r>
            <w:r>
              <w:rPr>
                <w:rFonts w:ascii="Arial" w:cs="Arial" w:eastAsia="Arial" w:hAnsi="Arial"/>
                <w:sz w:val="25"/>
                <w:szCs w:val="25"/>
                <w:color w:val="auto"/>
                <w:vertAlign w:val="superscript"/>
              </w:rPr>
              <w:t>(3)(4)(6)</w:t>
            </w:r>
          </w:p>
        </w:tc>
        <w:tc>
          <w:tcPr>
            <w:tcW w:w="296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9"/>
              </w:rPr>
              <w:t>First-lien loan ($42,479 par, due 12/2017)</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12/28/2012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41,597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42,372</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6"/>
        </w:trPr>
        <w:tc>
          <w:tcPr>
            <w:tcW w:w="3100" w:type="dxa"/>
            <w:vAlign w:val="bottom"/>
            <w:tcBorders>
              <w:bottom w:val="single" w:sz="8" w:color="CFF0FC"/>
            </w:tcBorders>
            <w:gridSpan w:val="2"/>
          </w:tcPr>
          <w:p>
            <w:pPr>
              <w:spacing w:after="0" w:line="216" w:lineRule="exact"/>
              <w:rPr>
                <w:sz w:val="20"/>
                <w:szCs w:val="20"/>
                <w:color w:val="auto"/>
              </w:rPr>
            </w:pPr>
            <w:r>
              <w:rPr>
                <w:rFonts w:ascii="Arial" w:cs="Arial" w:eastAsia="Arial" w:hAnsi="Arial"/>
                <w:sz w:val="15"/>
                <w:szCs w:val="15"/>
                <w:color w:val="auto"/>
              </w:rPr>
              <w:t xml:space="preserve">Rogue Wave Holdings, Inc. </w:t>
            </w:r>
            <w:r>
              <w:rPr>
                <w:rFonts w:ascii="Arial" w:cs="Arial" w:eastAsia="Arial" w:hAnsi="Arial"/>
                <w:sz w:val="25"/>
                <w:szCs w:val="25"/>
                <w:color w:val="auto"/>
                <w:vertAlign w:val="superscript"/>
              </w:rPr>
              <w:t>(3)(4)(6)</w:t>
            </w:r>
          </w:p>
        </w:tc>
        <w:tc>
          <w:tcPr>
            <w:tcW w:w="296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w w:val="99"/>
              </w:rPr>
              <w:t>First-lien loan ($76,337 par, due 12/2018)</w:t>
            </w:r>
          </w:p>
        </w:tc>
        <w:tc>
          <w:tcPr>
            <w:tcW w:w="116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8.25%</w:t>
            </w:r>
          </w:p>
        </w:tc>
        <w:tc>
          <w:tcPr>
            <w:tcW w:w="8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94"/>
              </w:rPr>
              <w:t>11/21/2012</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74,752</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75,764</w:t>
            </w:r>
          </w:p>
        </w:tc>
        <w:tc>
          <w:tcPr>
            <w:tcW w:w="20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0"/>
        </w:trPr>
        <w:tc>
          <w:tcPr>
            <w:tcW w:w="2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116,349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118,136</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07"/>
        </w:trPr>
        <w:tc>
          <w:tcPr>
            <w:tcW w:w="3100" w:type="dxa"/>
            <w:vAlign w:val="bottom"/>
            <w:gridSpan w:val="2"/>
          </w:tcPr>
          <w:p>
            <w:pPr>
              <w:ind w:left="260"/>
              <w:spacing w:after="0"/>
              <w:rPr>
                <w:sz w:val="20"/>
                <w:szCs w:val="20"/>
                <w:color w:val="auto"/>
              </w:rPr>
            </w:pPr>
            <w:r>
              <w:rPr>
                <w:rFonts w:ascii="Arial" w:cs="Arial" w:eastAsia="Arial" w:hAnsi="Arial"/>
                <w:sz w:val="16"/>
                <w:szCs w:val="16"/>
                <w:b w:val="1"/>
                <w:bCs w:val="1"/>
                <w:color w:val="auto"/>
              </w:rPr>
              <w:t>Healthcare and pharmaceuticals</w:t>
            </w: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100" w:type="dxa"/>
            <w:vAlign w:val="bottom"/>
            <w:gridSpan w:val="2"/>
            <w:shd w:val="clear" w:color="auto" w:fill="CFF0FC"/>
          </w:tcPr>
          <w:p>
            <w:pPr>
              <w:spacing w:after="0" w:line="218" w:lineRule="exact"/>
              <w:rPr>
                <w:sz w:val="20"/>
                <w:szCs w:val="20"/>
                <w:color w:val="auto"/>
              </w:rPr>
            </w:pPr>
            <w:r>
              <w:rPr>
                <w:rFonts w:ascii="Arial" w:cs="Arial" w:eastAsia="Arial" w:hAnsi="Arial"/>
                <w:sz w:val="15"/>
                <w:szCs w:val="15"/>
                <w:color w:val="auto"/>
              </w:rPr>
              <w:t xml:space="preserve">Mediware Information Systems, Inc. </w:t>
            </w:r>
            <w:r>
              <w:rPr>
                <w:rFonts w:ascii="Arial" w:cs="Arial" w:eastAsia="Arial" w:hAnsi="Arial"/>
                <w:sz w:val="25"/>
                <w:szCs w:val="25"/>
                <w:color w:val="auto"/>
                <w:vertAlign w:val="superscript"/>
              </w:rPr>
              <w:t>(3)(4)(6)</w:t>
            </w:r>
          </w:p>
        </w:tc>
        <w:tc>
          <w:tcPr>
            <w:tcW w:w="2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($71,634 par, due 5/2018)</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11/9/2012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70,120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71,097</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SRS Software, LLC </w:t>
            </w:r>
            <w:r>
              <w:rPr>
                <w:rFonts w:ascii="Arial" w:cs="Arial" w:eastAsia="Arial" w:hAnsi="Arial"/>
                <w:sz w:val="25"/>
                <w:szCs w:val="25"/>
                <w:color w:val="auto"/>
                <w:vertAlign w:val="superscript"/>
              </w:rPr>
              <w:t>(3)(4)</w:t>
            </w:r>
          </w:p>
        </w:tc>
        <w:tc>
          <w:tcPr>
            <w:tcW w:w="2960" w:type="dxa"/>
            <w:vAlign w:val="bottom"/>
            <w:gridSpan w:val="2"/>
          </w:tcPr>
          <w:p>
            <w:pPr>
              <w:spacing w:after="0"/>
              <w:rPr>
                <w:sz w:val="20"/>
                <w:szCs w:val="20"/>
                <w:color w:val="auto"/>
              </w:rPr>
            </w:pPr>
            <w:r>
              <w:rPr>
                <w:rFonts w:ascii="Arial" w:cs="Arial" w:eastAsia="Arial" w:hAnsi="Arial"/>
                <w:sz w:val="16"/>
                <w:szCs w:val="16"/>
                <w:color w:val="auto"/>
                <w:w w:val="99"/>
              </w:rPr>
              <w:t>First-lien loan ($35,625 par, due 12/2017)</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8.75%</w:t>
            </w:r>
          </w:p>
        </w:tc>
        <w:tc>
          <w:tcPr>
            <w:tcW w:w="800" w:type="dxa"/>
            <w:vAlign w:val="bottom"/>
          </w:tcPr>
          <w:p>
            <w:pPr>
              <w:jc w:val="right"/>
              <w:spacing w:after="0"/>
              <w:rPr>
                <w:sz w:val="20"/>
                <w:szCs w:val="20"/>
                <w:color w:val="auto"/>
              </w:rPr>
            </w:pPr>
            <w:r>
              <w:rPr>
                <w:rFonts w:ascii="Arial" w:cs="Arial" w:eastAsia="Arial" w:hAnsi="Arial"/>
                <w:sz w:val="16"/>
                <w:szCs w:val="16"/>
                <w:color w:val="auto"/>
                <w:w w:val="94"/>
              </w:rPr>
              <w:t>12/28/2012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34,782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35,625</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5"/>
        </w:trPr>
        <w:tc>
          <w:tcPr>
            <w:tcW w:w="2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revolving loan ($2,000</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par, due 12/2017)</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12/28/2012</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106,902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108,722</w:t>
            </w:r>
          </w:p>
        </w:tc>
        <w:tc>
          <w:tcPr>
            <w:tcW w:w="20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432"/>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2"/>
          </w:tcPr>
          <w:p>
            <w:pPr>
              <w:ind w:left="2480"/>
              <w:spacing w:after="0"/>
              <w:rPr>
                <w:sz w:val="20"/>
                <w:szCs w:val="20"/>
                <w:color w:val="auto"/>
              </w:rPr>
            </w:pPr>
            <w:r>
              <w:rPr>
                <w:rFonts w:ascii="Arial" w:cs="Arial" w:eastAsia="Arial" w:hAnsi="Arial"/>
                <w:sz w:val="18"/>
                <w:szCs w:val="18"/>
                <w:color w:val="auto"/>
              </w:rPr>
              <w:t>F-9</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3"/>
          </w:tcPr>
          <w:p>
            <w:pPr>
              <w:jc w:val="center"/>
              <w:ind w:right="144"/>
              <w:spacing w:after="0"/>
              <w:rPr>
                <w:sz w:val="20"/>
                <w:szCs w:val="20"/>
                <w:color w:val="auto"/>
              </w:rPr>
            </w:pPr>
            <w:r>
              <w:rPr>
                <w:rFonts w:ascii="Arial" w:cs="Arial" w:eastAsia="Arial" w:hAnsi="Arial"/>
                <w:sz w:val="14"/>
                <w:szCs w:val="14"/>
                <w:b w:val="1"/>
                <w:bCs w:val="1"/>
                <w:color w:val="auto"/>
              </w:rPr>
              <w:t>Initial</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3"/>
          </w:tcPr>
          <w:p>
            <w:pPr>
              <w:jc w:val="center"/>
              <w:ind w:right="144"/>
              <w:spacing w:after="0"/>
              <w:rPr>
                <w:sz w:val="20"/>
                <w:szCs w:val="20"/>
                <w:color w:val="auto"/>
              </w:rPr>
            </w:pPr>
            <w:r>
              <w:rPr>
                <w:rFonts w:ascii="Arial" w:cs="Arial" w:eastAsia="Arial" w:hAnsi="Arial"/>
                <w:sz w:val="14"/>
                <w:szCs w:val="14"/>
                <w:b w:val="1"/>
                <w:bCs w:val="1"/>
                <w:color w:val="auto"/>
                <w:w w:val="91"/>
              </w:rPr>
              <w:t>Acquisition</w:t>
            </w:r>
          </w:p>
        </w:tc>
        <w:tc>
          <w:tcPr>
            <w:tcW w:w="800" w:type="dxa"/>
            <w:vAlign w:val="bottom"/>
          </w:tcPr>
          <w:p>
            <w:pPr>
              <w:jc w:val="right"/>
              <w:ind w:right="4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960" w:type="dxa"/>
            <w:vAlign w:val="bottom"/>
            <w:gridSpan w:val="2"/>
          </w:tcPr>
          <w:p>
            <w:pPr>
              <w:ind w:left="106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1000" w:type="dxa"/>
            <w:vAlign w:val="bottom"/>
            <w:gridSpan w:val="3"/>
          </w:tcPr>
          <w:p>
            <w:pPr>
              <w:jc w:val="center"/>
              <w:ind w:right="164"/>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right"/>
              <w:ind w:right="140"/>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of Net Assets</w:t>
            </w:r>
          </w:p>
        </w:tc>
        <w:tc>
          <w:tcPr>
            <w:tcW w:w="0" w:type="dxa"/>
            <w:vAlign w:val="bottom"/>
          </w:tcPr>
          <w:p>
            <w:pPr>
              <w:spacing w:after="0"/>
              <w:rPr>
                <w:sz w:val="1"/>
                <w:szCs w:val="1"/>
                <w:color w:val="auto"/>
              </w:rPr>
            </w:pPr>
          </w:p>
        </w:tc>
      </w:tr>
      <w:tr>
        <w:trPr>
          <w:trHeight w:val="210"/>
        </w:trPr>
        <w:tc>
          <w:tcPr>
            <w:tcW w:w="296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6"/>
                <w:szCs w:val="16"/>
                <w:b w:val="1"/>
                <w:bCs w:val="1"/>
                <w:color w:val="auto"/>
              </w:rPr>
              <w:t>Hotel, gaming, and leisure</w:t>
            </w:r>
          </w:p>
        </w:tc>
        <w:tc>
          <w:tcPr>
            <w:tcW w:w="120" w:type="dxa"/>
            <w:vAlign w:val="bottom"/>
            <w:tcBorders>
              <w:top w:val="single" w:sz="8" w:color="CFF0FC"/>
            </w:tcBorders>
            <w:shd w:val="clear" w:color="auto" w:fill="CFF0FC"/>
          </w:tcPr>
          <w:p>
            <w:pPr>
              <w:spacing w:after="0"/>
              <w:rPr>
                <w:sz w:val="18"/>
                <w:szCs w:val="18"/>
                <w:color w:val="auto"/>
              </w:rPr>
            </w:pPr>
          </w:p>
        </w:tc>
        <w:tc>
          <w:tcPr>
            <w:tcW w:w="2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AMF Bowling Worldwide, Inc. </w:t>
            </w:r>
            <w:r>
              <w:rPr>
                <w:rFonts w:ascii="Arial" w:cs="Arial" w:eastAsia="Arial" w:hAnsi="Arial"/>
                <w:sz w:val="25"/>
                <w:szCs w:val="25"/>
                <w:color w:val="auto"/>
                <w:vertAlign w:val="superscript"/>
              </w:rPr>
              <w:t>(3)(4)</w:t>
            </w:r>
          </w:p>
        </w:tc>
        <w:tc>
          <w:tcPr>
            <w:tcW w:w="2960" w:type="dxa"/>
            <w:vAlign w:val="bottom"/>
            <w:gridSpan w:val="2"/>
          </w:tcPr>
          <w:p>
            <w:pPr>
              <w:spacing w:after="0"/>
              <w:rPr>
                <w:sz w:val="20"/>
                <w:szCs w:val="20"/>
                <w:color w:val="auto"/>
              </w:rPr>
            </w:pPr>
            <w:r>
              <w:rPr>
                <w:rFonts w:ascii="Arial" w:cs="Arial" w:eastAsia="Arial" w:hAnsi="Arial"/>
                <w:sz w:val="16"/>
                <w:szCs w:val="16"/>
                <w:color w:val="auto"/>
              </w:rPr>
              <w:t>First-lien loan ($14,813 par, due 6/2018)</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8.75%</w:t>
            </w:r>
          </w:p>
        </w:tc>
        <w:tc>
          <w:tcPr>
            <w:tcW w:w="780" w:type="dxa"/>
            <w:vAlign w:val="bottom"/>
          </w:tcPr>
          <w:p>
            <w:pPr>
              <w:jc w:val="right"/>
              <w:spacing w:after="0"/>
              <w:rPr>
                <w:sz w:val="20"/>
                <w:szCs w:val="20"/>
                <w:color w:val="auto"/>
              </w:rPr>
            </w:pPr>
            <w:r>
              <w:rPr>
                <w:rFonts w:ascii="Arial" w:cs="Arial" w:eastAsia="Arial" w:hAnsi="Arial"/>
                <w:sz w:val="16"/>
                <w:szCs w:val="16"/>
                <w:color w:val="auto"/>
              </w:rPr>
              <w:t>7/2/2013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13,687</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14,821</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FF0FC"/>
          </w:tcPr>
          <w:p>
            <w:pPr>
              <w:spacing w:after="0" w:line="216" w:lineRule="exact"/>
              <w:rPr>
                <w:sz w:val="20"/>
                <w:szCs w:val="20"/>
                <w:color w:val="auto"/>
              </w:rPr>
            </w:pPr>
            <w:r>
              <w:rPr>
                <w:rFonts w:ascii="Arial" w:cs="Arial" w:eastAsia="Arial" w:hAnsi="Arial"/>
                <w:sz w:val="15"/>
                <w:szCs w:val="15"/>
                <w:color w:val="auto"/>
              </w:rPr>
              <w:t xml:space="preserve">Centaur, LLC </w:t>
            </w:r>
            <w:r>
              <w:rPr>
                <w:rFonts w:ascii="Arial" w:cs="Arial" w:eastAsia="Arial" w:hAnsi="Arial"/>
                <w:sz w:val="25"/>
                <w:szCs w:val="25"/>
                <w:color w:val="auto"/>
                <w:vertAlign w:val="superscript"/>
              </w:rPr>
              <w:t>(3)</w:t>
            </w:r>
          </w:p>
        </w:tc>
        <w:tc>
          <w:tcPr>
            <w:tcW w:w="296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5"/>
              </w:rPr>
              <w:t>Second-lien loan ($10,000 par, due 2/2020)</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8.75%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2/15/2013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9,923</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10,250</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6"/>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First-lien loan ($34,886 par, due 3/2017)</w:t>
            </w:r>
          </w:p>
        </w:tc>
        <w:tc>
          <w:tcPr>
            <w:tcW w:w="900" w:type="dxa"/>
            <w:vAlign w:val="bottom"/>
          </w:tcPr>
          <w:p>
            <w:pPr>
              <w:jc w:val="right"/>
              <w:spacing w:after="0"/>
              <w:rPr>
                <w:sz w:val="20"/>
                <w:szCs w:val="20"/>
                <w:color w:val="auto"/>
              </w:rPr>
            </w:pPr>
            <w:r>
              <w:rPr>
                <w:rFonts w:ascii="Arial" w:cs="Arial" w:eastAsia="Arial" w:hAnsi="Arial"/>
                <w:sz w:val="16"/>
                <w:szCs w:val="16"/>
                <w:color w:val="auto"/>
              </w:rPr>
              <w:t>12.00%</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vMerge w:val="restart"/>
          </w:tcPr>
          <w:p>
            <w:pPr>
              <w:spacing w:after="0"/>
              <w:rPr>
                <w:sz w:val="20"/>
                <w:szCs w:val="20"/>
                <w:color w:val="auto"/>
              </w:rPr>
            </w:pPr>
            <w:r>
              <w:rPr>
                <w:rFonts w:ascii="Arial" w:cs="Arial" w:eastAsia="Arial" w:hAnsi="Arial"/>
                <w:sz w:val="16"/>
                <w:szCs w:val="16"/>
                <w:color w:val="auto"/>
              </w:rPr>
              <w:t xml:space="preserve">Mandalay Baseball Properties, LLC </w:t>
            </w:r>
            <w:r>
              <w:rPr>
                <w:rFonts w:ascii="Arial" w:cs="Arial" w:eastAsia="Arial" w:hAnsi="Arial"/>
                <w:sz w:val="27"/>
                <w:szCs w:val="27"/>
                <w:color w:val="auto"/>
                <w:vertAlign w:val="superscript"/>
              </w:rPr>
              <w:t>(3)(4)</w:t>
            </w: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(incl. 4.50%</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80" w:type="dxa"/>
            <w:vAlign w:val="bottom"/>
            <w:gridSpan w:val="2"/>
            <w:vMerge w:val="continue"/>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PIK)</w:t>
            </w:r>
          </w:p>
        </w:tc>
        <w:tc>
          <w:tcPr>
            <w:tcW w:w="780" w:type="dxa"/>
            <w:vAlign w:val="bottom"/>
          </w:tcPr>
          <w:p>
            <w:pPr>
              <w:jc w:val="right"/>
              <w:spacing w:after="0"/>
              <w:rPr>
                <w:sz w:val="20"/>
                <w:szCs w:val="20"/>
                <w:color w:val="auto"/>
              </w:rPr>
            </w:pPr>
            <w:r>
              <w:rPr>
                <w:rFonts w:ascii="Arial" w:cs="Arial" w:eastAsia="Arial" w:hAnsi="Arial"/>
                <w:sz w:val="16"/>
                <w:szCs w:val="16"/>
                <w:color w:val="auto"/>
              </w:rPr>
              <w:t>4/12/2012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34,303</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35,758</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6"/>
        </w:trPr>
        <w:tc>
          <w:tcPr>
            <w:tcW w:w="3080" w:type="dxa"/>
            <w:vAlign w:val="bottom"/>
            <w:gridSpan w:val="2"/>
            <w:vMerge w:val="restart"/>
            <w:shd w:val="clear" w:color="auto" w:fill="CFF0FC"/>
          </w:tcPr>
          <w:p>
            <w:pPr>
              <w:spacing w:after="0"/>
              <w:rPr>
                <w:sz w:val="20"/>
                <w:szCs w:val="20"/>
                <w:color w:val="auto"/>
              </w:rPr>
            </w:pPr>
            <w:r>
              <w:rPr>
                <w:rFonts w:ascii="Arial" w:cs="Arial" w:eastAsia="Arial" w:hAnsi="Arial"/>
                <w:sz w:val="16"/>
                <w:szCs w:val="16"/>
                <w:color w:val="auto"/>
              </w:rPr>
              <w:t xml:space="preserve">Soho House </w:t>
            </w:r>
            <w:r>
              <w:rPr>
                <w:rFonts w:ascii="Arial" w:cs="Arial" w:eastAsia="Arial" w:hAnsi="Arial"/>
                <w:sz w:val="27"/>
                <w:szCs w:val="27"/>
                <w:color w:val="auto"/>
                <w:vertAlign w:val="superscript"/>
              </w:rPr>
              <w:t>(5)</w:t>
            </w:r>
          </w:p>
        </w:tc>
        <w:tc>
          <w:tcPr>
            <w:tcW w:w="2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Second-lien bond (GBP 7,000 par,</w:t>
            </w: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80" w:type="dxa"/>
            <w:vAlign w:val="bottom"/>
            <w:gridSpan w:val="2"/>
            <w:vMerge w:val="continue"/>
            <w:shd w:val="clear" w:color="auto" w:fill="CFF0FC"/>
          </w:tcPr>
          <w:p>
            <w:pPr>
              <w:spacing w:after="0"/>
              <w:rPr>
                <w:sz w:val="18"/>
                <w:szCs w:val="18"/>
                <w:color w:val="auto"/>
              </w:rPr>
            </w:pPr>
          </w:p>
        </w:tc>
        <w:tc>
          <w:tcPr>
            <w:tcW w:w="2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due 10/2018)</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9.13%</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9/20/2013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11,200</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11,913</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69,113</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72,742</w:t>
            </w:r>
          </w:p>
        </w:tc>
        <w:tc>
          <w:tcPr>
            <w:tcW w:w="22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3"/>
        </w:trPr>
        <w:tc>
          <w:tcPr>
            <w:tcW w:w="30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6"/>
                <w:szCs w:val="16"/>
                <w:b w:val="1"/>
                <w:bCs w:val="1"/>
                <w:color w:val="auto"/>
              </w:rPr>
              <w:t>Human resource support services</w:t>
            </w:r>
          </w:p>
        </w:tc>
        <w:tc>
          <w:tcPr>
            <w:tcW w:w="28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Pai Group, Inc. </w:t>
            </w:r>
            <w:r>
              <w:rPr>
                <w:rFonts w:ascii="Arial" w:cs="Arial" w:eastAsia="Arial" w:hAnsi="Arial"/>
                <w:sz w:val="25"/>
                <w:szCs w:val="25"/>
                <w:color w:val="auto"/>
                <w:vertAlign w:val="superscript"/>
              </w:rPr>
              <w:t>(3)(4)</w:t>
            </w:r>
          </w:p>
        </w:tc>
        <w:tc>
          <w:tcPr>
            <w:tcW w:w="2960" w:type="dxa"/>
            <w:vAlign w:val="bottom"/>
            <w:gridSpan w:val="2"/>
          </w:tcPr>
          <w:p>
            <w:pPr>
              <w:spacing w:after="0"/>
              <w:rPr>
                <w:sz w:val="20"/>
                <w:szCs w:val="20"/>
                <w:color w:val="auto"/>
              </w:rPr>
            </w:pPr>
            <w:r>
              <w:rPr>
                <w:rFonts w:ascii="Arial" w:cs="Arial" w:eastAsia="Arial" w:hAnsi="Arial"/>
                <w:sz w:val="16"/>
                <w:szCs w:val="16"/>
                <w:color w:val="auto"/>
              </w:rPr>
              <w:t>First-lien loan ($34,737 par, due 5/2018)</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10.50%</w:t>
            </w:r>
          </w:p>
        </w:tc>
        <w:tc>
          <w:tcPr>
            <w:tcW w:w="780" w:type="dxa"/>
            <w:vAlign w:val="bottom"/>
          </w:tcPr>
          <w:p>
            <w:pPr>
              <w:jc w:val="right"/>
              <w:spacing w:after="0"/>
              <w:rPr>
                <w:sz w:val="20"/>
                <w:szCs w:val="20"/>
                <w:color w:val="auto"/>
              </w:rPr>
            </w:pPr>
            <w:r>
              <w:rPr>
                <w:rFonts w:ascii="Arial" w:cs="Arial" w:eastAsia="Arial" w:hAnsi="Arial"/>
                <w:sz w:val="16"/>
                <w:szCs w:val="16"/>
                <w:color w:val="auto"/>
              </w:rPr>
              <w:t>5/8/2013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33,979</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34,141</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FF0FC"/>
          </w:tcPr>
          <w:p>
            <w:pPr>
              <w:spacing w:after="0" w:line="216" w:lineRule="exact"/>
              <w:rPr>
                <w:sz w:val="20"/>
                <w:szCs w:val="20"/>
                <w:color w:val="auto"/>
              </w:rPr>
            </w:pPr>
            <w:r>
              <w:rPr>
                <w:rFonts w:ascii="Arial" w:cs="Arial" w:eastAsia="Arial" w:hAnsi="Arial"/>
                <w:sz w:val="15"/>
                <w:szCs w:val="15"/>
                <w:color w:val="auto"/>
              </w:rPr>
              <w:t xml:space="preserve">SumTotal Systems, LLC </w:t>
            </w:r>
            <w:r>
              <w:rPr>
                <w:rFonts w:ascii="Arial" w:cs="Arial" w:eastAsia="Arial" w:hAnsi="Arial"/>
                <w:sz w:val="25"/>
                <w:szCs w:val="25"/>
                <w:color w:val="auto"/>
                <w:vertAlign w:val="superscript"/>
              </w:rPr>
              <w:t>(3)(4)</w:t>
            </w:r>
          </w:p>
        </w:tc>
        <w:tc>
          <w:tcPr>
            <w:tcW w:w="2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($7,483 par, due 11/2018)</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6.25%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11/16/2012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7,405</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7,371</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w w:val="95"/>
              </w:rPr>
              <w:t>Second-lien loan ($12,000 par, due 5/2019)</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10.25%</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11/16/2012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11,932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11,790</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2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53,316</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53,302</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7"/>
        </w:trPr>
        <w:tc>
          <w:tcPr>
            <w:tcW w:w="3080" w:type="dxa"/>
            <w:vAlign w:val="bottom"/>
            <w:gridSpan w:val="2"/>
          </w:tcPr>
          <w:p>
            <w:pPr>
              <w:ind w:left="260"/>
              <w:spacing w:after="0"/>
              <w:rPr>
                <w:sz w:val="20"/>
                <w:szCs w:val="20"/>
                <w:color w:val="auto"/>
              </w:rPr>
            </w:pPr>
            <w:r>
              <w:rPr>
                <w:rFonts w:ascii="Arial" w:cs="Arial" w:eastAsia="Arial" w:hAnsi="Arial"/>
                <w:sz w:val="16"/>
                <w:szCs w:val="16"/>
                <w:b w:val="1"/>
                <w:bCs w:val="1"/>
                <w:color w:val="auto"/>
              </w:rPr>
              <w:t>Insurance</w:t>
            </w: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80" w:type="dxa"/>
            <w:vAlign w:val="bottom"/>
            <w:gridSpan w:val="2"/>
            <w:shd w:val="clear" w:color="auto" w:fill="CFF0FC"/>
          </w:tcPr>
          <w:p>
            <w:pPr>
              <w:spacing w:after="0" w:line="218" w:lineRule="exact"/>
              <w:rPr>
                <w:sz w:val="20"/>
                <w:szCs w:val="20"/>
                <w:color w:val="auto"/>
              </w:rPr>
            </w:pPr>
            <w:r>
              <w:rPr>
                <w:rFonts w:ascii="Arial" w:cs="Arial" w:eastAsia="Arial" w:hAnsi="Arial"/>
                <w:sz w:val="15"/>
                <w:szCs w:val="15"/>
                <w:color w:val="auto"/>
              </w:rPr>
              <w:t xml:space="preserve">Infogix, Inc. </w:t>
            </w:r>
            <w:r>
              <w:rPr>
                <w:rFonts w:ascii="Arial" w:cs="Arial" w:eastAsia="Arial" w:hAnsi="Arial"/>
                <w:sz w:val="25"/>
                <w:szCs w:val="25"/>
                <w:color w:val="auto"/>
                <w:vertAlign w:val="superscript"/>
              </w:rPr>
              <w:t>(3)(4)</w:t>
            </w:r>
          </w:p>
        </w:tc>
        <w:tc>
          <w:tcPr>
            <w:tcW w:w="2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($31,888 par, due 6/2017)</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6/1/2012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31,433</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31,808</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6"/>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First-lien revolving loan ($850 par,</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due 6/2017)</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10.00%</w:t>
            </w:r>
          </w:p>
        </w:tc>
        <w:tc>
          <w:tcPr>
            <w:tcW w:w="780" w:type="dxa"/>
            <w:vAlign w:val="bottom"/>
          </w:tcPr>
          <w:p>
            <w:pPr>
              <w:jc w:val="right"/>
              <w:spacing w:after="0"/>
              <w:rPr>
                <w:sz w:val="20"/>
                <w:szCs w:val="20"/>
                <w:color w:val="auto"/>
              </w:rPr>
            </w:pPr>
            <w:r>
              <w:rPr>
                <w:rFonts w:ascii="Arial" w:cs="Arial" w:eastAsia="Arial" w:hAnsi="Arial"/>
                <w:sz w:val="16"/>
                <w:szCs w:val="16"/>
                <w:color w:val="auto"/>
              </w:rPr>
              <w:t>6/1/2012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782</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838</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29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8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32,215</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32,646</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3"/>
        </w:trPr>
        <w:tc>
          <w:tcPr>
            <w:tcW w:w="29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8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80" w:type="dxa"/>
            <w:vAlign w:val="bottom"/>
            <w:gridSpan w:val="2"/>
          </w:tcPr>
          <w:p>
            <w:pPr>
              <w:ind w:left="260"/>
              <w:spacing w:after="0"/>
              <w:rPr>
                <w:sz w:val="20"/>
                <w:szCs w:val="20"/>
                <w:color w:val="auto"/>
              </w:rPr>
            </w:pPr>
            <w:r>
              <w:rPr>
                <w:rFonts w:ascii="Arial" w:cs="Arial" w:eastAsia="Arial" w:hAnsi="Arial"/>
                <w:sz w:val="16"/>
                <w:szCs w:val="16"/>
                <w:b w:val="1"/>
                <w:bCs w:val="1"/>
                <w:color w:val="auto"/>
              </w:rPr>
              <w:t>Manufacturing</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80" w:type="dxa"/>
            <w:vAlign w:val="bottom"/>
            <w:gridSpan w:val="2"/>
            <w:vMerge w:val="restart"/>
            <w:shd w:val="clear" w:color="auto" w:fill="CFF0FC"/>
          </w:tcPr>
          <w:p>
            <w:pPr>
              <w:spacing w:after="0"/>
              <w:rPr>
                <w:sz w:val="20"/>
                <w:szCs w:val="20"/>
                <w:color w:val="auto"/>
              </w:rPr>
            </w:pPr>
            <w:r>
              <w:rPr>
                <w:rFonts w:ascii="Arial" w:cs="Arial" w:eastAsia="Arial" w:hAnsi="Arial"/>
                <w:sz w:val="16"/>
                <w:szCs w:val="16"/>
                <w:color w:val="auto"/>
              </w:rPr>
              <w:t xml:space="preserve">Jeeves Information Systems AB </w:t>
            </w:r>
            <w:r>
              <w:rPr>
                <w:rFonts w:ascii="Arial" w:cs="Arial" w:eastAsia="Arial" w:hAnsi="Arial"/>
                <w:sz w:val="27"/>
                <w:szCs w:val="27"/>
                <w:color w:val="auto"/>
                <w:vertAlign w:val="superscript"/>
              </w:rPr>
              <w:t>(3)(5)</w:t>
            </w:r>
          </w:p>
        </w:tc>
        <w:tc>
          <w:tcPr>
            <w:tcW w:w="2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(SEK 177,161 par,</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80" w:type="dxa"/>
            <w:vAlign w:val="bottom"/>
            <w:gridSpan w:val="2"/>
            <w:vMerge w:val="continue"/>
            <w:shd w:val="clear" w:color="auto" w:fill="CFF0FC"/>
          </w:tcPr>
          <w:p>
            <w:pPr>
              <w:spacing w:after="0"/>
              <w:rPr>
                <w:sz w:val="18"/>
                <w:szCs w:val="18"/>
                <w:color w:val="auto"/>
              </w:rPr>
            </w:pPr>
          </w:p>
        </w:tc>
        <w:tc>
          <w:tcPr>
            <w:tcW w:w="2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due 6/2018)</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9.25%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6/5/2013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26,486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27,170</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3080" w:type="dxa"/>
            <w:vAlign w:val="bottom"/>
            <w:gridSpan w:val="2"/>
          </w:tcPr>
          <w:p>
            <w:pPr>
              <w:ind w:left="260"/>
              <w:spacing w:after="0"/>
              <w:rPr>
                <w:sz w:val="20"/>
                <w:szCs w:val="20"/>
                <w:color w:val="auto"/>
              </w:rPr>
            </w:pPr>
            <w:r>
              <w:rPr>
                <w:rFonts w:ascii="Arial" w:cs="Arial" w:eastAsia="Arial" w:hAnsi="Arial"/>
                <w:sz w:val="16"/>
                <w:szCs w:val="16"/>
                <w:b w:val="1"/>
                <w:bCs w:val="1"/>
                <w:color w:val="auto"/>
              </w:rPr>
              <w:t>Metals and mining</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80" w:type="dxa"/>
            <w:vAlign w:val="bottom"/>
            <w:gridSpan w:val="2"/>
            <w:shd w:val="clear" w:color="auto" w:fill="CFF0FC"/>
          </w:tcPr>
          <w:p>
            <w:pPr>
              <w:spacing w:after="0" w:line="218" w:lineRule="exact"/>
              <w:rPr>
                <w:sz w:val="20"/>
                <w:szCs w:val="20"/>
                <w:color w:val="auto"/>
              </w:rPr>
            </w:pPr>
            <w:r>
              <w:rPr>
                <w:rFonts w:ascii="Arial" w:cs="Arial" w:eastAsia="Arial" w:hAnsi="Arial"/>
                <w:sz w:val="15"/>
                <w:szCs w:val="15"/>
                <w:color w:val="auto"/>
              </w:rPr>
              <w:t xml:space="preserve">Metalico, Inc. </w:t>
            </w:r>
            <w:r>
              <w:rPr>
                <w:rFonts w:ascii="Arial" w:cs="Arial" w:eastAsia="Arial" w:hAnsi="Arial"/>
                <w:sz w:val="25"/>
                <w:szCs w:val="25"/>
                <w:color w:val="auto"/>
                <w:vertAlign w:val="superscript"/>
              </w:rPr>
              <w:t>(3)(6)</w:t>
            </w:r>
          </w:p>
        </w:tc>
        <w:tc>
          <w:tcPr>
            <w:tcW w:w="296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9"/>
              </w:rPr>
              <w:t>First-lien loan ($35,650 par, due 11/2019)</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9.50%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11/21/2013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33,523</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33,841</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3"/>
        </w:trPr>
        <w:tc>
          <w:tcPr>
            <w:tcW w:w="3080" w:type="dxa"/>
            <w:vAlign w:val="bottom"/>
            <w:gridSpan w:val="2"/>
          </w:tcPr>
          <w:p>
            <w:pPr>
              <w:ind w:left="260"/>
              <w:spacing w:after="0"/>
              <w:rPr>
                <w:sz w:val="20"/>
                <w:szCs w:val="20"/>
                <w:color w:val="auto"/>
              </w:rPr>
            </w:pPr>
            <w:r>
              <w:rPr>
                <w:rFonts w:ascii="Arial" w:cs="Arial" w:eastAsia="Arial" w:hAnsi="Arial"/>
                <w:sz w:val="16"/>
                <w:szCs w:val="16"/>
                <w:b w:val="1"/>
                <w:bCs w:val="1"/>
                <w:color w:val="auto"/>
              </w:rPr>
              <w:t>Office products</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80" w:type="dxa"/>
            <w:vAlign w:val="bottom"/>
            <w:gridSpan w:val="2"/>
            <w:shd w:val="clear" w:color="auto" w:fill="CFF0FC"/>
          </w:tcPr>
          <w:p>
            <w:pPr>
              <w:spacing w:after="0" w:line="218" w:lineRule="exact"/>
              <w:rPr>
                <w:sz w:val="20"/>
                <w:szCs w:val="20"/>
                <w:color w:val="auto"/>
              </w:rPr>
            </w:pPr>
            <w:r>
              <w:rPr>
                <w:rFonts w:ascii="Arial" w:cs="Arial" w:eastAsia="Arial" w:hAnsi="Arial"/>
                <w:sz w:val="15"/>
                <w:szCs w:val="15"/>
                <w:color w:val="auto"/>
              </w:rPr>
              <w:t xml:space="preserve">Ecommerce Industries, Inc. </w:t>
            </w:r>
            <w:r>
              <w:rPr>
                <w:rFonts w:ascii="Arial" w:cs="Arial" w:eastAsia="Arial" w:hAnsi="Arial"/>
                <w:sz w:val="25"/>
                <w:szCs w:val="25"/>
                <w:color w:val="auto"/>
                <w:vertAlign w:val="superscript"/>
              </w:rPr>
              <w:t>(3)(4)(6)</w:t>
            </w:r>
          </w:p>
        </w:tc>
        <w:tc>
          <w:tcPr>
            <w:tcW w:w="296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9"/>
              </w:rPr>
              <w:t>First-lien loan ($19,936 par, due 10/2016)</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8.00%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10/17/2011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19,764</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20,086</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FF0FC"/>
          </w:tcPr>
          <w:p>
            <w:pPr>
              <w:ind w:left="260"/>
              <w:spacing w:after="0"/>
              <w:rPr>
                <w:sz w:val="20"/>
                <w:szCs w:val="20"/>
                <w:color w:val="auto"/>
              </w:rPr>
            </w:pPr>
            <w:r>
              <w:rPr>
                <w:rFonts w:ascii="Arial" w:cs="Arial" w:eastAsia="Arial" w:hAnsi="Arial"/>
                <w:sz w:val="16"/>
                <w:szCs w:val="16"/>
                <w:b w:val="1"/>
                <w:bCs w:val="1"/>
                <w:color w:val="auto"/>
              </w:rPr>
              <w:t>Oil, gas and consumable fuels</w:t>
            </w:r>
          </w:p>
        </w:tc>
        <w:tc>
          <w:tcPr>
            <w:tcW w:w="2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Global Geophysical </w:t>
            </w:r>
            <w:r>
              <w:rPr>
                <w:rFonts w:ascii="Arial" w:cs="Arial" w:eastAsia="Arial" w:hAnsi="Arial"/>
                <w:sz w:val="25"/>
                <w:szCs w:val="25"/>
                <w:color w:val="auto"/>
                <w:vertAlign w:val="superscript"/>
              </w:rPr>
              <w:t>(3)(4)</w:t>
            </w:r>
          </w:p>
        </w:tc>
        <w:tc>
          <w:tcPr>
            <w:tcW w:w="2960" w:type="dxa"/>
            <w:vAlign w:val="bottom"/>
            <w:gridSpan w:val="2"/>
          </w:tcPr>
          <w:p>
            <w:pPr>
              <w:spacing w:after="0"/>
              <w:rPr>
                <w:sz w:val="20"/>
                <w:szCs w:val="20"/>
                <w:color w:val="auto"/>
              </w:rPr>
            </w:pPr>
            <w:r>
              <w:rPr>
                <w:rFonts w:ascii="Arial" w:cs="Arial" w:eastAsia="Arial" w:hAnsi="Arial"/>
                <w:sz w:val="16"/>
                <w:szCs w:val="16"/>
                <w:color w:val="auto"/>
              </w:rPr>
              <w:t>First-lien loan ($40,883 par, due 9/2016)</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10.75%</w:t>
            </w:r>
          </w:p>
        </w:tc>
        <w:tc>
          <w:tcPr>
            <w:tcW w:w="780" w:type="dxa"/>
            <w:vAlign w:val="bottom"/>
          </w:tcPr>
          <w:p>
            <w:pPr>
              <w:jc w:val="right"/>
              <w:spacing w:after="0"/>
              <w:rPr>
                <w:sz w:val="20"/>
                <w:szCs w:val="20"/>
                <w:color w:val="auto"/>
              </w:rPr>
            </w:pPr>
            <w:r>
              <w:rPr>
                <w:rFonts w:ascii="Arial" w:cs="Arial" w:eastAsia="Arial" w:hAnsi="Arial"/>
                <w:sz w:val="16"/>
                <w:szCs w:val="16"/>
                <w:color w:val="auto"/>
              </w:rPr>
              <w:t>9/30/2013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39,617</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40,065</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80" w:type="dxa"/>
            <w:vAlign w:val="bottom"/>
            <w:gridSpan w:val="2"/>
          </w:tcPr>
          <w:p>
            <w:pPr>
              <w:ind w:left="260"/>
              <w:spacing w:after="0"/>
              <w:rPr>
                <w:sz w:val="20"/>
                <w:szCs w:val="20"/>
                <w:color w:val="auto"/>
              </w:rPr>
            </w:pPr>
            <w:r>
              <w:rPr>
                <w:rFonts w:ascii="Arial" w:cs="Arial" w:eastAsia="Arial" w:hAnsi="Arial"/>
                <w:sz w:val="16"/>
                <w:szCs w:val="16"/>
                <w:b w:val="1"/>
                <w:bCs w:val="1"/>
                <w:color w:val="auto"/>
              </w:rPr>
              <w:t>Transportation</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80" w:type="dxa"/>
            <w:vAlign w:val="bottom"/>
            <w:gridSpan w:val="2"/>
            <w:vMerge w:val="restart"/>
            <w:shd w:val="clear" w:color="auto" w:fill="CFF0FC"/>
          </w:tcPr>
          <w:p>
            <w:pPr>
              <w:spacing w:after="0"/>
              <w:rPr>
                <w:sz w:val="20"/>
                <w:szCs w:val="20"/>
                <w:color w:val="auto"/>
              </w:rPr>
            </w:pPr>
            <w:r>
              <w:rPr>
                <w:rFonts w:ascii="Arial" w:cs="Arial" w:eastAsia="Arial" w:hAnsi="Arial"/>
                <w:sz w:val="16"/>
                <w:szCs w:val="16"/>
                <w:color w:val="auto"/>
              </w:rPr>
              <w:t xml:space="preserve">Kewill, Ltd. </w:t>
            </w:r>
            <w:r>
              <w:rPr>
                <w:rFonts w:ascii="Arial" w:cs="Arial" w:eastAsia="Arial" w:hAnsi="Arial"/>
                <w:sz w:val="27"/>
                <w:szCs w:val="27"/>
                <w:color w:val="auto"/>
                <w:vertAlign w:val="superscript"/>
              </w:rPr>
              <w:t>(3)(5)</w:t>
            </w:r>
          </w:p>
        </w:tc>
        <w:tc>
          <w:tcPr>
            <w:tcW w:w="2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Second-lien loan ($52,500 par,</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80" w:type="dxa"/>
            <w:vAlign w:val="bottom"/>
            <w:gridSpan w:val="2"/>
            <w:vMerge w:val="continue"/>
            <w:shd w:val="clear" w:color="auto" w:fill="CFF0FC"/>
          </w:tcPr>
          <w:p>
            <w:pPr>
              <w:spacing w:after="0"/>
              <w:rPr>
                <w:sz w:val="18"/>
                <w:szCs w:val="18"/>
                <w:color w:val="auto"/>
              </w:rPr>
            </w:pPr>
          </w:p>
        </w:tc>
        <w:tc>
          <w:tcPr>
            <w:tcW w:w="2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due 10/2019)</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9.50%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10/2/2013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51,482</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51,713</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FF0FC"/>
          </w:tcPr>
          <w:p>
            <w:pPr>
              <w:ind w:left="260"/>
              <w:spacing w:after="0"/>
              <w:rPr>
                <w:sz w:val="20"/>
                <w:szCs w:val="20"/>
                <w:color w:val="auto"/>
              </w:rPr>
            </w:pPr>
            <w:r>
              <w:rPr>
                <w:rFonts w:ascii="Arial" w:cs="Arial" w:eastAsia="Arial" w:hAnsi="Arial"/>
                <w:sz w:val="16"/>
                <w:szCs w:val="16"/>
                <w:b w:val="1"/>
                <w:bCs w:val="1"/>
                <w:color w:val="auto"/>
              </w:rPr>
              <w:t>Total Debt Investments</w:t>
            </w:r>
          </w:p>
        </w:tc>
        <w:tc>
          <w:tcPr>
            <w:tcW w:w="2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994,518</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1,014,647</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r>
        <w:trPr>
          <w:trHeight w:val="207"/>
        </w:trPr>
        <w:tc>
          <w:tcPr>
            <w:tcW w:w="3080" w:type="dxa"/>
            <w:vAlign w:val="bottom"/>
            <w:gridSpan w:val="2"/>
          </w:tcPr>
          <w:p>
            <w:pPr>
              <w:spacing w:after="0"/>
              <w:rPr>
                <w:sz w:val="20"/>
                <w:szCs w:val="20"/>
                <w:color w:val="auto"/>
              </w:rPr>
            </w:pPr>
            <w:r>
              <w:rPr>
                <w:rFonts w:ascii="Arial" w:cs="Arial" w:eastAsia="Arial" w:hAnsi="Arial"/>
                <w:sz w:val="16"/>
                <w:szCs w:val="16"/>
                <w:b w:val="1"/>
                <w:bCs w:val="1"/>
                <w:color w:val="auto"/>
              </w:rPr>
              <w:t>Equity Investments</w:t>
            </w: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80" w:type="dxa"/>
            <w:vAlign w:val="bottom"/>
            <w:gridSpan w:val="2"/>
            <w:shd w:val="clear" w:color="auto" w:fill="CFF0FC"/>
          </w:tcPr>
          <w:p>
            <w:pPr>
              <w:ind w:left="260"/>
              <w:spacing w:after="0"/>
              <w:rPr>
                <w:sz w:val="20"/>
                <w:szCs w:val="20"/>
                <w:color w:val="auto"/>
              </w:rPr>
            </w:pPr>
            <w:r>
              <w:rPr>
                <w:rFonts w:ascii="Arial" w:cs="Arial" w:eastAsia="Arial" w:hAnsi="Arial"/>
                <w:sz w:val="16"/>
                <w:szCs w:val="16"/>
                <w:b w:val="1"/>
                <w:bCs w:val="1"/>
                <w:color w:val="auto"/>
              </w:rPr>
              <w:t>Business services</w:t>
            </w:r>
          </w:p>
        </w:tc>
        <w:tc>
          <w:tcPr>
            <w:tcW w:w="2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80" w:type="dxa"/>
            <w:vAlign w:val="bottom"/>
            <w:gridSpan w:val="2"/>
          </w:tcPr>
          <w:p>
            <w:pPr>
              <w:spacing w:after="0"/>
              <w:rPr>
                <w:sz w:val="20"/>
                <w:szCs w:val="20"/>
                <w:color w:val="auto"/>
              </w:rPr>
            </w:pPr>
            <w:r>
              <w:rPr>
                <w:rFonts w:ascii="Arial" w:cs="Arial" w:eastAsia="Arial" w:hAnsi="Arial"/>
                <w:sz w:val="16"/>
                <w:szCs w:val="16"/>
                <w:color w:val="auto"/>
              </w:rPr>
              <w:t>Network Merchants, Inc</w:t>
            </w:r>
          </w:p>
        </w:tc>
        <w:tc>
          <w:tcPr>
            <w:tcW w:w="2960" w:type="dxa"/>
            <w:vAlign w:val="bottom"/>
            <w:gridSpan w:val="2"/>
          </w:tcPr>
          <w:p>
            <w:pPr>
              <w:spacing w:after="0"/>
              <w:rPr>
                <w:sz w:val="20"/>
                <w:szCs w:val="20"/>
                <w:color w:val="auto"/>
              </w:rPr>
            </w:pPr>
            <w:r>
              <w:rPr>
                <w:rFonts w:ascii="Arial" w:cs="Arial" w:eastAsia="Arial" w:hAnsi="Arial"/>
                <w:sz w:val="16"/>
                <w:szCs w:val="16"/>
                <w:color w:val="auto"/>
                <w:w w:val="96"/>
              </w:rPr>
              <w:t>Non-Voting Preferred Units (774,099 units)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9/12/2013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780</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3080" w:type="dxa"/>
            <w:vAlign w:val="bottom"/>
            <w:gridSpan w:val="2"/>
            <w:shd w:val="clear" w:color="auto" w:fill="CFF0FC"/>
          </w:tcPr>
          <w:p>
            <w:pPr>
              <w:ind w:left="260"/>
              <w:spacing w:after="0"/>
              <w:rPr>
                <w:sz w:val="20"/>
                <w:szCs w:val="20"/>
                <w:color w:val="auto"/>
              </w:rPr>
            </w:pPr>
            <w:r>
              <w:rPr>
                <w:rFonts w:ascii="Arial" w:cs="Arial" w:eastAsia="Arial" w:hAnsi="Arial"/>
                <w:sz w:val="16"/>
                <w:szCs w:val="16"/>
                <w:b w:val="1"/>
                <w:bCs w:val="1"/>
                <w:color w:val="auto"/>
              </w:rPr>
              <w:t>Healthcare and pharmaceuticals</w:t>
            </w:r>
          </w:p>
        </w:tc>
        <w:tc>
          <w:tcPr>
            <w:tcW w:w="2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80" w:type="dxa"/>
            <w:vAlign w:val="bottom"/>
            <w:gridSpan w:val="2"/>
          </w:tcPr>
          <w:p>
            <w:pPr>
              <w:spacing w:after="0"/>
              <w:rPr>
                <w:sz w:val="20"/>
                <w:szCs w:val="20"/>
                <w:color w:val="auto"/>
              </w:rPr>
            </w:pPr>
            <w:r>
              <w:rPr>
                <w:rFonts w:ascii="Arial" w:cs="Arial" w:eastAsia="Arial" w:hAnsi="Arial"/>
                <w:sz w:val="16"/>
                <w:szCs w:val="16"/>
                <w:color w:val="auto"/>
              </w:rPr>
              <w:t>SRS Parent Corp.</w:t>
            </w:r>
          </w:p>
        </w:tc>
        <w:tc>
          <w:tcPr>
            <w:tcW w:w="2960" w:type="dxa"/>
            <w:vAlign w:val="bottom"/>
            <w:gridSpan w:val="2"/>
          </w:tcPr>
          <w:p>
            <w:pPr>
              <w:spacing w:after="0"/>
              <w:rPr>
                <w:sz w:val="20"/>
                <w:szCs w:val="20"/>
                <w:color w:val="auto"/>
              </w:rPr>
            </w:pPr>
            <w:r>
              <w:rPr>
                <w:rFonts w:ascii="Arial" w:cs="Arial" w:eastAsia="Arial" w:hAnsi="Arial"/>
                <w:sz w:val="16"/>
                <w:szCs w:val="16"/>
                <w:color w:val="auto"/>
              </w:rPr>
              <w:t>Common Shares Class A (1,980 shares)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12/28/2012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1,980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1,024</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9"/>
        </w:trPr>
        <w:tc>
          <w:tcPr>
            <w:tcW w:w="2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Shares Class B (2,953,020</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96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shares)</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12/28/2012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2,000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1,024</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3080" w:type="dxa"/>
            <w:vAlign w:val="bottom"/>
            <w:gridSpan w:val="2"/>
            <w:vMerge w:val="restart"/>
            <w:shd w:val="clear" w:color="auto" w:fill="CFF0FC"/>
          </w:tcPr>
          <w:p>
            <w:pPr>
              <w:ind w:left="260"/>
              <w:spacing w:after="0"/>
              <w:rPr>
                <w:sz w:val="20"/>
                <w:szCs w:val="20"/>
                <w:color w:val="auto"/>
              </w:rPr>
            </w:pPr>
            <w:r>
              <w:rPr>
                <w:rFonts w:ascii="Arial" w:cs="Arial" w:eastAsia="Arial" w:hAnsi="Arial"/>
                <w:sz w:val="16"/>
                <w:szCs w:val="16"/>
                <w:b w:val="1"/>
                <w:bCs w:val="1"/>
                <w:color w:val="auto"/>
              </w:rPr>
              <w:t>Total Equity Investments</w:t>
            </w:r>
          </w:p>
        </w:tc>
        <w:tc>
          <w:tcPr>
            <w:tcW w:w="2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080" w:type="dxa"/>
            <w:vAlign w:val="bottom"/>
            <w:gridSpan w:val="2"/>
            <w:vMerge w:val="continue"/>
            <w:shd w:val="clear" w:color="auto" w:fill="CFF0FC"/>
          </w:tcPr>
          <w:p>
            <w:pPr>
              <w:spacing w:after="0"/>
              <w:rPr>
                <w:sz w:val="18"/>
                <w:szCs w:val="18"/>
                <w:color w:val="auto"/>
              </w:rPr>
            </w:pPr>
          </w:p>
        </w:tc>
        <w:tc>
          <w:tcPr>
            <w:tcW w:w="2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2,780</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1,804</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Total Investments</w:t>
            </w: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080" w:type="dxa"/>
            <w:vAlign w:val="bottom"/>
            <w:gridSpan w:val="2"/>
            <w:vMerge w:val="continue"/>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997,298</w:t>
            </w:r>
          </w:p>
        </w:tc>
        <w:tc>
          <w:tcPr>
            <w:tcW w:w="220" w:type="dxa"/>
            <w:vAlign w:val="bottom"/>
            <w:vMerge w:val="continue"/>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w w:val="98"/>
              </w:rPr>
              <w:t>$  1,016,451</w:t>
            </w:r>
          </w:p>
        </w:tc>
        <w:tc>
          <w:tcPr>
            <w:tcW w:w="22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176.9%</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14" w:right="239" w:bottom="1440" w:gutter="0" w:footer="0" w:header="0"/>
        </w:sectPr>
      </w:pPr>
    </w:p>
    <w:bookmarkStart w:id="84" w:name="page85"/>
    <w:bookmarkEnd w:id="84"/>
    <w:p>
      <w:pPr>
        <w:ind w:left="532" w:right="60" w:hanging="532"/>
        <w:spacing w:after="0" w:line="265" w:lineRule="auto"/>
        <w:tabs>
          <w:tab w:leader="none" w:pos="532" w:val="left"/>
        </w:tabs>
        <w:numPr>
          <w:ilvl w:val="0"/>
          <w:numId w:val="79"/>
        </w:numPr>
        <w:rPr>
          <w:rFonts w:ascii="Arial" w:cs="Arial" w:eastAsia="Arial" w:hAnsi="Arial"/>
          <w:sz w:val="16"/>
          <w:szCs w:val="16"/>
          <w:color w:val="auto"/>
        </w:rPr>
      </w:pPr>
      <w:r>
        <w:rPr>
          <w:rFonts w:ascii="Arial" w:cs="Arial" w:eastAsia="Arial" w:hAnsi="Arial"/>
          <w:sz w:val="16"/>
          <w:szCs w:val="16"/>
          <w:color w:val="auto"/>
        </w:rPr>
        <w:t>Unless otherwise indicated, the Company’s portfolio companies are domiciled in the United States. As of December 31, 2013, the Company does not “control” any of the portfolio companies nor are any of its portfolio companies considered to be “affiliates” (see Note 4). Certain portfolio company investments are subject to contractual restrictions on sales.</w:t>
      </w:r>
    </w:p>
    <w:p>
      <w:pPr>
        <w:spacing w:after="0" w:line="2" w:lineRule="exact"/>
        <w:rPr>
          <w:rFonts w:ascii="Arial" w:cs="Arial" w:eastAsia="Arial" w:hAnsi="Arial"/>
          <w:sz w:val="16"/>
          <w:szCs w:val="16"/>
          <w:color w:val="auto"/>
        </w:rPr>
      </w:pPr>
    </w:p>
    <w:p>
      <w:pPr>
        <w:ind w:left="532" w:right="40" w:hanging="532"/>
        <w:spacing w:after="0" w:line="264" w:lineRule="auto"/>
        <w:tabs>
          <w:tab w:leader="none" w:pos="532"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amortized cost represents the original cost adjusted for the amortization of discounts and premiums, as applicable, on debt investments using the effective interest method.</w:t>
      </w:r>
    </w:p>
    <w:p>
      <w:pPr>
        <w:ind w:left="532" w:right="100" w:hanging="532"/>
        <w:spacing w:after="0" w:line="264" w:lineRule="auto"/>
        <w:tabs>
          <w:tab w:leader="none" w:pos="532" w:val="left"/>
        </w:tabs>
        <w:numPr>
          <w:ilvl w:val="0"/>
          <w:numId w:val="79"/>
        </w:numPr>
        <w:rPr>
          <w:rFonts w:ascii="Arial" w:cs="Arial" w:eastAsia="Arial" w:hAnsi="Arial"/>
          <w:sz w:val="16"/>
          <w:szCs w:val="16"/>
          <w:color w:val="auto"/>
        </w:rPr>
      </w:pPr>
      <w:r>
        <w:rPr>
          <w:rFonts w:ascii="Arial" w:cs="Arial" w:eastAsia="Arial" w:hAnsi="Arial"/>
          <w:sz w:val="16"/>
          <w:szCs w:val="16"/>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ind w:left="532" w:right="520" w:hanging="532"/>
        <w:spacing w:after="0" w:line="264" w:lineRule="auto"/>
        <w:tabs>
          <w:tab w:leader="none" w:pos="532"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investment, or a portion thereof, is held within TPG SL SPV, LLC, a wholly-owned subsidiary of the Company, and is pledged as collateral supporting the amounts outstanding under the SPV Asset Facility (see Note 7).</w:t>
      </w:r>
    </w:p>
    <w:p>
      <w:pPr>
        <w:ind w:left="532" w:hanging="532"/>
        <w:spacing w:after="0" w:line="264" w:lineRule="auto"/>
        <w:tabs>
          <w:tab w:leader="none" w:pos="532"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532" w:right="180" w:hanging="532"/>
        <w:spacing w:after="0" w:line="288" w:lineRule="auto"/>
        <w:tabs>
          <w:tab w:leader="none" w:pos="532"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spacing w:after="0" w:line="171" w:lineRule="exact"/>
        <w:rPr>
          <w:sz w:val="20"/>
          <w:szCs w:val="20"/>
          <w:color w:val="auto"/>
        </w:rPr>
      </w:pPr>
    </w:p>
    <w:p>
      <w:pPr>
        <w:jc w:val="center"/>
        <w:ind w:right="-51"/>
        <w:spacing w:after="0"/>
        <w:rPr>
          <w:sz w:val="20"/>
          <w:szCs w:val="20"/>
          <w:color w:val="auto"/>
        </w:rPr>
      </w:pPr>
      <w:r>
        <w:rPr>
          <w:rFonts w:ascii="Arial" w:cs="Arial" w:eastAsia="Arial" w:hAnsi="Arial"/>
          <w:sz w:val="16"/>
          <w:szCs w:val="16"/>
          <w:color w:val="auto"/>
        </w:rPr>
        <w:t>The accompanying notes are an integral part of these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52"/>
          </w:cols>
          <w:pgMar w:left="248" w:top="346" w:right="29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920" w:type="dxa"/>
            <w:vAlign w:val="bottom"/>
            <w:vMerge w:val="restart"/>
          </w:tcPr>
          <w:p>
            <w:pPr>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5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December 31, 2014</w:t>
            </w:r>
          </w:p>
        </w:tc>
        <w:tc>
          <w:tcPr>
            <w:tcW w:w="15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December 31, 2013</w:t>
            </w:r>
          </w:p>
        </w:tc>
        <w:tc>
          <w:tcPr>
            <w:tcW w:w="14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December 31, 2012</w:t>
            </w:r>
          </w:p>
        </w:tc>
        <w:tc>
          <w:tcPr>
            <w:tcW w:w="0" w:type="dxa"/>
            <w:vAlign w:val="bottom"/>
          </w:tcPr>
          <w:p>
            <w:pPr>
              <w:spacing w:after="0"/>
              <w:rPr>
                <w:sz w:val="1"/>
                <w:szCs w:val="1"/>
                <w:color w:val="auto"/>
              </w:rPr>
            </w:pPr>
          </w:p>
        </w:tc>
      </w:tr>
      <w:tr>
        <w:trPr>
          <w:trHeight w:val="223"/>
        </w:trPr>
        <w:tc>
          <w:tcPr>
            <w:tcW w:w="6920" w:type="dxa"/>
            <w:vAlign w:val="bottom"/>
            <w:vMerge w:val="continue"/>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104,475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57,501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(17,722)</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8,386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(losses)</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(1,703)</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85,050</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66,983</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234,419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56,857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287,692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Reinvestment of dividends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26,438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(80,077)</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(48,301)</w:t>
            </w:r>
          </w:p>
        </w:tc>
        <w:tc>
          <w:tcPr>
            <w:tcW w:w="2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(26,997)</w:t>
            </w: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Dividends declared from realized gains</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(1,249)</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(7,084)</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(2,773)</w:t>
            </w:r>
          </w:p>
        </w:tc>
        <w:tc>
          <w:tcPr>
            <w:tcW w:w="0" w:type="dxa"/>
            <w:vAlign w:val="bottom"/>
          </w:tcPr>
          <w:p>
            <w:pPr>
              <w:spacing w:after="0"/>
              <w:rPr>
                <w:sz w:val="1"/>
                <w:szCs w:val="1"/>
                <w:color w:val="auto"/>
              </w:rPr>
            </w:pPr>
          </w:p>
        </w:tc>
      </w:tr>
      <w:tr>
        <w:trPr>
          <w:trHeight w:val="223"/>
        </w:trPr>
        <w:tc>
          <w:tcPr>
            <w:tcW w:w="6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175,659</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27,910</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267,116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 Increase in Net Assets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260,709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94,893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306,711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assets, beginning of period</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Net Assets, End of Period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835,405</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574,696</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479,803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b w:val="1"/>
                <w:bCs w:val="1"/>
                <w:color w:val="auto"/>
                <w:w w:val="95"/>
              </w:rPr>
              <w:t>Undistributed Net Investment Income Included in Net Assets at the End of the Period</w:t>
            </w: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2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6,555</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3,981</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337"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920" w:type="dxa"/>
            <w:vAlign w:val="bottom"/>
          </w:tcPr>
          <w:p>
            <w:pPr>
              <w:spacing w:after="0"/>
              <w:rPr>
                <w:sz w:val="14"/>
                <w:szCs w:val="14"/>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December 31, 2014</w:t>
            </w:r>
          </w:p>
        </w:tc>
        <w:tc>
          <w:tcPr>
            <w:tcW w:w="15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December 31, 2013</w:t>
            </w:r>
          </w:p>
        </w:tc>
        <w:tc>
          <w:tcPr>
            <w:tcW w:w="14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December 31, 2012</w:t>
            </w:r>
          </w:p>
        </w:tc>
        <w:tc>
          <w:tcPr>
            <w:tcW w:w="0" w:type="dxa"/>
            <w:vAlign w:val="bottom"/>
          </w:tcPr>
          <w:p>
            <w:pPr>
              <w:spacing w:after="0"/>
              <w:rPr>
                <w:sz w:val="1"/>
                <w:szCs w:val="1"/>
                <w:color w:val="auto"/>
              </w:rPr>
            </w:pPr>
          </w:p>
        </w:tc>
      </w:tr>
      <w:tr>
        <w:trPr>
          <w:trHeight w:val="223"/>
        </w:trPr>
        <w:tc>
          <w:tcPr>
            <w:tcW w:w="6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85,050</w:t>
            </w:r>
          </w:p>
        </w:tc>
        <w:tc>
          <w:tcPr>
            <w:tcW w:w="2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66,983</w:t>
            </w:r>
          </w:p>
        </w:tc>
        <w:tc>
          <w:tcPr>
            <w:tcW w:w="2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increase in net assets resulting from operations</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net cash used in operating activities:</w:t>
            </w: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500"/>
              <w:spacing w:after="0"/>
              <w:rPr>
                <w:sz w:val="20"/>
                <w:szCs w:val="20"/>
                <w:color w:val="auto"/>
              </w:rPr>
            </w:pPr>
            <w:r>
              <w:rPr>
                <w:rFonts w:ascii="Arial" w:cs="Arial" w:eastAsia="Arial" w:hAnsi="Arial"/>
                <w:sz w:val="18"/>
                <w:szCs w:val="18"/>
                <w:color w:val="auto"/>
              </w:rPr>
              <w:t>Net change in unrealized (gains) losses on investments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28,895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(9,630)</w:t>
            </w:r>
          </w:p>
        </w:tc>
        <w:tc>
          <w:tcPr>
            <w:tcW w:w="2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(7,211)</w:t>
            </w: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change in unrealized (gains) losses on foreign currency transactions</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(11,173)</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tcPr>
          <w:p>
            <w:pPr>
              <w:ind w:left="500"/>
              <w:spacing w:after="0"/>
              <w:rPr>
                <w:sz w:val="20"/>
                <w:szCs w:val="20"/>
                <w:color w:val="auto"/>
              </w:rPr>
            </w:pPr>
            <w:r>
              <w:rPr>
                <w:rFonts w:ascii="Arial" w:cs="Arial" w:eastAsia="Arial" w:hAnsi="Arial"/>
                <w:sz w:val="18"/>
                <w:szCs w:val="18"/>
                <w:color w:val="auto"/>
              </w:rPr>
              <w:t>Net realized gains on investments</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(1,061)</w:t>
            </w:r>
          </w:p>
        </w:tc>
        <w:tc>
          <w:tcPr>
            <w:tcW w:w="2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on foreign currency transactions</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tcPr>
          <w:p>
            <w:pPr>
              <w:ind w:left="500"/>
              <w:spacing w:after="0"/>
              <w:rPr>
                <w:sz w:val="20"/>
                <w:szCs w:val="20"/>
                <w:color w:val="auto"/>
              </w:rPr>
            </w:pPr>
            <w:r>
              <w:rPr>
                <w:rFonts w:ascii="Arial" w:cs="Arial" w:eastAsia="Arial" w:hAnsi="Arial"/>
                <w:sz w:val="18"/>
                <w:szCs w:val="18"/>
                <w:color w:val="auto"/>
              </w:rPr>
              <w:t>Net amortization of discount on securities</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(19,627)</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(6,728)</w:t>
            </w:r>
          </w:p>
        </w:tc>
        <w:tc>
          <w:tcPr>
            <w:tcW w:w="2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(4,489)</w:t>
            </w: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500"/>
              <w:spacing w:after="0"/>
              <w:rPr>
                <w:sz w:val="20"/>
                <w:szCs w:val="20"/>
                <w:color w:val="auto"/>
              </w:rPr>
            </w:pPr>
            <w:r>
              <w:rPr>
                <w:rFonts w:ascii="Arial" w:cs="Arial" w:eastAsia="Arial" w:hAnsi="Arial"/>
                <w:sz w:val="18"/>
                <w:szCs w:val="18"/>
                <w:color w:val="auto"/>
              </w:rPr>
              <w:t>Accretion of discount on Convertible Senior Notes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of investments, net</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(974,824)</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(602,988)</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(760,668)</w:t>
            </w:r>
          </w:p>
        </w:tc>
        <w:tc>
          <w:tcPr>
            <w:tcW w:w="0" w:type="dxa"/>
            <w:vAlign w:val="bottom"/>
          </w:tcPr>
          <w:p>
            <w:pPr>
              <w:spacing w:after="0"/>
              <w:rPr>
                <w:sz w:val="1"/>
                <w:szCs w:val="1"/>
                <w:color w:val="auto"/>
              </w:rPr>
            </w:pPr>
          </w:p>
        </w:tc>
      </w:tr>
      <w:tr>
        <w:trPr>
          <w:trHeight w:val="230"/>
        </w:trPr>
        <w:tc>
          <w:tcPr>
            <w:tcW w:w="6920" w:type="dxa"/>
            <w:vAlign w:val="bottom"/>
          </w:tcPr>
          <w:p>
            <w:pPr>
              <w:ind w:left="500"/>
              <w:spacing w:after="0"/>
              <w:rPr>
                <w:sz w:val="20"/>
                <w:szCs w:val="20"/>
                <w:color w:val="auto"/>
              </w:rPr>
            </w:pPr>
            <w:r>
              <w:rPr>
                <w:rFonts w:ascii="Arial" w:cs="Arial" w:eastAsia="Arial" w:hAnsi="Arial"/>
                <w:sz w:val="18"/>
                <w:szCs w:val="18"/>
                <w:color w:val="auto"/>
              </w:rPr>
              <w:t>Proceeds from investments, net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100,656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46,390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119,126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Repayments on investments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620,671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214,293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190,594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500"/>
              <w:spacing w:after="0"/>
              <w:rPr>
                <w:sz w:val="20"/>
                <w:szCs w:val="20"/>
                <w:color w:val="auto"/>
              </w:rPr>
            </w:pPr>
            <w:r>
              <w:rPr>
                <w:rFonts w:ascii="Arial" w:cs="Arial" w:eastAsia="Arial" w:hAnsi="Arial"/>
                <w:sz w:val="18"/>
                <w:szCs w:val="18"/>
                <w:color w:val="auto"/>
              </w:rPr>
              <w:t>Paid-in-kind interest</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(2,748)</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(2,749)</w:t>
            </w:r>
          </w:p>
        </w:tc>
        <w:tc>
          <w:tcPr>
            <w:tcW w:w="2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500"/>
              <w:spacing w:after="0"/>
              <w:rPr>
                <w:sz w:val="20"/>
                <w:szCs w:val="20"/>
                <w:color w:val="auto"/>
              </w:rPr>
            </w:pPr>
            <w:r>
              <w:rPr>
                <w:rFonts w:ascii="Arial" w:cs="Arial" w:eastAsia="Arial" w:hAnsi="Arial"/>
                <w:sz w:val="18"/>
                <w:szCs w:val="18"/>
                <w:color w:val="auto"/>
              </w:rPr>
              <w:t>Interest receivable</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(1,167)</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(2,579)</w:t>
            </w:r>
          </w:p>
        </w:tc>
        <w:tc>
          <w:tcPr>
            <w:tcW w:w="2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receivable paid-in-kind</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(12,443)</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(6,292)</w:t>
            </w: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Management fees payable to affiliate</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500"/>
              <w:spacing w:after="0"/>
              <w:rPr>
                <w:sz w:val="20"/>
                <w:szCs w:val="20"/>
                <w:color w:val="auto"/>
              </w:rPr>
            </w:pPr>
            <w:r>
              <w:rPr>
                <w:rFonts w:ascii="Arial" w:cs="Arial" w:eastAsia="Arial" w:hAnsi="Arial"/>
                <w:sz w:val="18"/>
                <w:szCs w:val="18"/>
                <w:color w:val="auto"/>
              </w:rPr>
              <w:t>Incentive fees payable to affiliate</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Payable to affiliate</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31,972</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(148,831)</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(289,631)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(430,099)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Borrowings on debt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1,108,097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902,000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1,332,688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Payments on debt</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(1,135,388)</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(801,569)</w:t>
            </w:r>
          </w:p>
        </w:tc>
        <w:tc>
          <w:tcPr>
            <w:tcW w:w="2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(1,155,852)</w:t>
            </w: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costs</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(6,766)</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(1,615)</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Proceeds from issuance of common stock, net of offering and underwriting costs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234,419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56,857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287,692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Dividends paid to stockholders</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(52,589)</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(24,396)</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(10,968)</w:t>
            </w:r>
          </w:p>
        </w:tc>
        <w:tc>
          <w:tcPr>
            <w:tcW w:w="0" w:type="dxa"/>
            <w:vAlign w:val="bottom"/>
          </w:tcPr>
          <w:p>
            <w:pPr>
              <w:spacing w:after="0"/>
              <w:rPr>
                <w:sz w:val="1"/>
                <w:szCs w:val="1"/>
                <w:color w:val="auto"/>
              </w:rPr>
            </w:pPr>
          </w:p>
        </w:tc>
      </w:tr>
      <w:tr>
        <w:trPr>
          <w:trHeight w:val="223"/>
        </w:trPr>
        <w:tc>
          <w:tcPr>
            <w:tcW w:w="69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147,773</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131,277</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448,232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(158,354)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161,825</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Cash and Cash Equivalents, End of Period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2,413</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3,471</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161,825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Supplemental Information:</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paid during the period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500"/>
              <w:spacing w:after="0"/>
              <w:rPr>
                <w:sz w:val="20"/>
                <w:szCs w:val="20"/>
                <w:color w:val="auto"/>
              </w:rPr>
            </w:pPr>
            <w:r>
              <w:rPr>
                <w:rFonts w:ascii="Arial" w:cs="Arial" w:eastAsia="Arial" w:hAnsi="Arial"/>
                <w:sz w:val="18"/>
                <w:szCs w:val="18"/>
                <w:color w:val="auto"/>
              </w:rPr>
              <w:t>Excise taxes paid during the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Dividends declared during the period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81,326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55,385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500"/>
              <w:spacing w:after="0"/>
              <w:rPr>
                <w:sz w:val="20"/>
                <w:szCs w:val="20"/>
                <w:color w:val="auto"/>
              </w:rPr>
            </w:pPr>
            <w:r>
              <w:rPr>
                <w:rFonts w:ascii="Arial" w:cs="Arial" w:eastAsia="Arial" w:hAnsi="Arial"/>
                <w:sz w:val="18"/>
                <w:szCs w:val="18"/>
                <w:color w:val="auto"/>
              </w:rPr>
              <w:t>Reinvestment of dividends during the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22,566</w:t>
            </w:r>
          </w:p>
        </w:tc>
        <w:tc>
          <w:tcPr>
            <w:tcW w:w="2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26,438</w:t>
            </w:r>
          </w:p>
        </w:tc>
        <w:tc>
          <w:tcPr>
            <w:tcW w:w="2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Subscription receivable from common stockholders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337" w:right="23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60" w:firstLine="259"/>
        <w:spacing w:after="0" w:line="272" w:lineRule="auto"/>
        <w:rPr>
          <w:sz w:val="20"/>
          <w:szCs w:val="20"/>
          <w:color w:val="auto"/>
        </w:rPr>
      </w:pPr>
      <w:r>
        <w:rPr>
          <w:rFonts w:ascii="Arial" w:cs="Arial" w:eastAsia="Arial" w:hAnsi="Arial"/>
          <w:sz w:val="17"/>
          <w:szCs w:val="17"/>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jc w:val="both"/>
        <w:ind w:right="260" w:firstLine="259"/>
        <w:spacing w:after="0" w:line="264" w:lineRule="auto"/>
        <w:rPr>
          <w:sz w:val="20"/>
          <w:szCs w:val="20"/>
          <w:color w:val="auto"/>
        </w:rPr>
      </w:pPr>
      <w:r>
        <w:rPr>
          <w:rFonts w:ascii="Arial" w:cs="Arial" w:eastAsia="Arial" w:hAnsi="Arial"/>
          <w:sz w:val="18"/>
          <w:szCs w:val="18"/>
          <w:color w:val="auto"/>
        </w:rPr>
        <w:t>On March 21, 2014, the Company completed its initial public offering (“IPO”), issuing 7,000,000 shares at $16.00 per share, and its concurrent private placement, issuing 3,124,984 shares at $16.00 per share. Net of underwriting fees and offering costs, the Company received total cash proceeds of $151.6 million.</w:t>
      </w:r>
    </w:p>
    <w:p>
      <w:pPr>
        <w:spacing w:after="0" w:line="181" w:lineRule="exact"/>
        <w:rPr>
          <w:sz w:val="20"/>
          <w:szCs w:val="20"/>
          <w:color w:val="auto"/>
        </w:rPr>
      </w:pPr>
    </w:p>
    <w:p>
      <w:pPr>
        <w:ind w:right="660" w:firstLine="259"/>
        <w:spacing w:after="0" w:line="277" w:lineRule="auto"/>
        <w:rPr>
          <w:sz w:val="20"/>
          <w:szCs w:val="20"/>
          <w:color w:val="auto"/>
        </w:rPr>
      </w:pPr>
      <w:r>
        <w:rPr>
          <w:rFonts w:ascii="Arial" w:cs="Arial" w:eastAsia="Arial" w:hAnsi="Arial"/>
          <w:sz w:val="18"/>
          <w:szCs w:val="18"/>
          <w:color w:val="auto"/>
        </w:rPr>
        <w:t>In April 2014, the Company issued a total of 1,050,000 shares of stock pursuant to the exercise of the underwriters’ over-allotment option. Net of underwriting fees and offering costs, the Company received additional total cash proceeds of $15.4 million.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March 21, 2014, the Company’s shares began trading on the New York Stock Exchange (“NYSE”) under the symbol “TSLX.”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80" w:firstLine="259"/>
        <w:spacing w:after="0" w:line="259"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All intercompany balances and transactions have been eliminated in consolidation.</w:t>
      </w:r>
    </w:p>
    <w:p>
      <w:pPr>
        <w:spacing w:after="0" w:line="187" w:lineRule="exact"/>
        <w:rPr>
          <w:sz w:val="20"/>
          <w:szCs w:val="20"/>
          <w:color w:val="auto"/>
        </w:rPr>
      </w:pPr>
    </w:p>
    <w:p>
      <w:pPr>
        <w:ind w:right="720" w:firstLine="259"/>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 xml:space="preserve">The Company is an investment company and, therefore, applying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20" w:firstLine="259"/>
        <w:spacing w:after="0" w:line="312"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337" w:right="25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220" w:firstLine="259"/>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jc w:val="both"/>
        <w:ind w:firstLine="259"/>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60" w:firstLine="259"/>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260" w:hanging="253"/>
        <w:spacing w:after="0" w:line="277" w:lineRule="auto"/>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20" w:right="580" w:hanging="253"/>
        <w:spacing w:after="0" w:line="277" w:lineRule="auto"/>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20" w:right="80" w:hanging="253"/>
        <w:spacing w:after="0" w:line="264" w:lineRule="auto"/>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225"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December 31, 2014,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88" w:lineRule="exact"/>
        <w:rPr>
          <w:sz w:val="20"/>
          <w:szCs w:val="20"/>
          <w:color w:val="auto"/>
        </w:rPr>
      </w:pPr>
    </w:p>
    <w:p>
      <w:pPr>
        <w:ind w:right="40" w:firstLine="259"/>
        <w:spacing w:after="0" w:line="291"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59" w:lineRule="exact"/>
        <w:rPr>
          <w:sz w:val="20"/>
          <w:szCs w:val="20"/>
          <w:color w:val="auto"/>
        </w:rPr>
      </w:pPr>
    </w:p>
    <w:p>
      <w:pPr>
        <w:ind w:left="520" w:hanging="253"/>
        <w:spacing w:after="0"/>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has the ability to access.</w:t>
      </w:r>
    </w:p>
    <w:p>
      <w:pPr>
        <w:spacing w:after="0" w:line="117" w:lineRule="exact"/>
        <w:rPr>
          <w:rFonts w:ascii="Arial" w:cs="Arial" w:eastAsia="Arial" w:hAnsi="Arial"/>
          <w:sz w:val="18"/>
          <w:szCs w:val="18"/>
          <w:color w:val="auto"/>
        </w:rPr>
      </w:pPr>
    </w:p>
    <w:p>
      <w:pPr>
        <w:ind w:left="520" w:right="760" w:hanging="253"/>
        <w:spacing w:after="0" w:line="277" w:lineRule="auto"/>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665" w:right="239" w:bottom="1440" w:gutter="0" w:footer="0" w:header="0"/>
        </w:sectPr>
      </w:pPr>
    </w:p>
    <w:bookmarkStart w:id="89" w:name="page90"/>
    <w:bookmarkEnd w:id="89"/>
    <w:p>
      <w:pPr>
        <w:ind w:right="20" w:firstLine="259"/>
        <w:spacing w:after="0" w:line="254"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the Company reviews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92" w:lineRule="exact"/>
        <w:rPr>
          <w:sz w:val="20"/>
          <w:szCs w:val="20"/>
          <w:color w:val="auto"/>
        </w:rPr>
      </w:pPr>
    </w:p>
    <w:p>
      <w:pPr>
        <w:ind w:right="280" w:firstLine="259"/>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ind w:right="20" w:firstLine="259"/>
        <w:spacing w:after="0" w:line="342" w:lineRule="auto"/>
        <w:rPr>
          <w:sz w:val="20"/>
          <w:szCs w:val="20"/>
          <w:color w:val="auto"/>
        </w:rPr>
      </w:pPr>
      <w:r>
        <w:rPr>
          <w:rFonts w:ascii="Arial" w:cs="Arial" w:eastAsia="Arial" w:hAnsi="Arial"/>
          <w:sz w:val="16"/>
          <w:szCs w:val="16"/>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24"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Derivatives, including the Company’s interest rate swaps, for which broker quotes are available are typically valued at those broker quotes.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The Company presents the fair value of foreign currency forward contracts and interest rate swaps executed with the same counterparty on a net basis given the Company has the legal right to offset the recognized amounts, and it intends to settle on a net basis.</w:t>
      </w:r>
    </w:p>
    <w:p>
      <w:pPr>
        <w:spacing w:after="0" w:line="170" w:lineRule="exact"/>
        <w:rPr>
          <w:sz w:val="20"/>
          <w:szCs w:val="20"/>
          <w:color w:val="auto"/>
        </w:rPr>
      </w:pPr>
    </w:p>
    <w:p>
      <w:pPr>
        <w:ind w:right="100" w:firstLine="259"/>
        <w:spacing w:after="0" w:line="312" w:lineRule="auto"/>
        <w:rPr>
          <w:sz w:val="20"/>
          <w:szCs w:val="20"/>
          <w:color w:val="auto"/>
        </w:rPr>
      </w:pPr>
      <w:r>
        <w:rPr>
          <w:rFonts w:ascii="Arial" w:cs="Arial" w:eastAsia="Arial" w:hAnsi="Arial"/>
          <w:sz w:val="16"/>
          <w:szCs w:val="16"/>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 Company has the legal right to offset the recognized amounts, and it intends to either settle on a net basis or realize the asset and settle the liability simultaneously.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17" w:lineRule="exact"/>
        <w:rPr>
          <w:sz w:val="20"/>
          <w:szCs w:val="20"/>
          <w:color w:val="auto"/>
        </w:rPr>
      </w:pPr>
    </w:p>
    <w:p>
      <w:pPr>
        <w:ind w:left="520" w:right="40" w:hanging="253"/>
        <w:spacing w:after="0" w:line="277"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2" w:lineRule="exact"/>
        <w:rPr>
          <w:rFonts w:ascii="Arial" w:cs="Arial" w:eastAsia="Arial" w:hAnsi="Arial"/>
          <w:sz w:val="18"/>
          <w:szCs w:val="18"/>
          <w:color w:val="auto"/>
        </w:rPr>
      </w:pPr>
    </w:p>
    <w:p>
      <w:pPr>
        <w:ind w:left="520" w:right="180" w:hanging="253"/>
        <w:spacing w:after="0" w:line="277"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500" w:firstLine="259"/>
        <w:spacing w:after="0" w:line="277"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557" w:right="239" w:bottom="1440" w:gutter="0" w:footer="0" w:header="0"/>
        </w:sectPr>
      </w:pPr>
    </w:p>
    <w:bookmarkStart w:id="90" w:name="page91"/>
    <w:bookmarkEnd w:id="90"/>
    <w:p>
      <w:pPr>
        <w:ind w:right="420"/>
        <w:spacing w:after="0" w:line="264" w:lineRule="auto"/>
        <w:rPr>
          <w:sz w:val="20"/>
          <w:szCs w:val="20"/>
          <w:color w:val="auto"/>
        </w:rPr>
      </w:pPr>
      <w:r>
        <w:rPr>
          <w:rFonts w:ascii="Arial" w:cs="Arial" w:eastAsia="Arial" w:hAnsi="Arial"/>
          <w:sz w:val="18"/>
          <w:szCs w:val="18"/>
          <w:color w:val="auto"/>
        </w:rPr>
        <w:t>fluctuations arising from changes in fair values of investments held. Such fluctuations are included with the net realized and unrealized gain or loss from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81" w:lineRule="exact"/>
        <w:rPr>
          <w:sz w:val="20"/>
          <w:szCs w:val="20"/>
          <w:color w:val="auto"/>
        </w:rPr>
      </w:pPr>
    </w:p>
    <w:p>
      <w:pPr>
        <w:ind w:right="340" w:firstLine="259"/>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540" w:firstLine="259"/>
        <w:spacing w:after="0" w:line="277" w:lineRule="auto"/>
        <w:rPr>
          <w:sz w:val="20"/>
          <w:szCs w:val="20"/>
          <w:color w:val="auto"/>
        </w:rPr>
      </w:pPr>
      <w:r>
        <w:rPr>
          <w:rFonts w:ascii="Arial" w:cs="Arial" w:eastAsia="Arial" w:hAnsi="Arial"/>
          <w:sz w:val="18"/>
          <w:szCs w:val="18"/>
          <w:color w:val="auto"/>
        </w:rPr>
        <w:t>The Company records expenses related to registration statement filings and applicable offering costs as deferred financing costs. To the extent such expenses relate to equity offerings, these expenses are charged as a reduction of capital upon each such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firstLine="259"/>
        <w:spacing w:after="0" w:line="308" w:lineRule="auto"/>
        <w:rPr>
          <w:sz w:val="20"/>
          <w:szCs w:val="20"/>
          <w:color w:val="auto"/>
        </w:rPr>
      </w:pPr>
      <w:r>
        <w:rPr>
          <w:rFonts w:ascii="Arial" w:cs="Arial" w:eastAsia="Arial" w:hAnsi="Arial"/>
          <w:sz w:val="17"/>
          <w:szCs w:val="17"/>
          <w:color w:val="auto"/>
        </w:rPr>
        <w:t>The Company records origination and other expenses related to its debt obligations as deferred financing costs. These expenses are deferred and amortized using the effective yield method, or straight-line method for revolving credit facilities, over the stated maturity life of the obligation.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100" w:firstLine="259"/>
        <w:spacing w:after="0" w:line="297"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58"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20" w:firstLine="259"/>
        <w:spacing w:after="0" w:line="279" w:lineRule="auto"/>
        <w:rPr>
          <w:sz w:val="20"/>
          <w:szCs w:val="20"/>
          <w:color w:val="auto"/>
        </w:rPr>
      </w:pPr>
      <w:r>
        <w:rPr>
          <w:rFonts w:ascii="Arial" w:cs="Arial" w:eastAsia="Arial" w:hAnsi="Arial"/>
          <w:sz w:val="17"/>
          <w:szCs w:val="17"/>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syndication, structuring or diligence fees, and fees for providing managerial assistance to our portfolio companies.</w:t>
      </w:r>
    </w:p>
    <w:p>
      <w:pPr>
        <w:spacing w:after="0" w:line="171"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160" w:firstLine="259"/>
        <w:spacing w:after="0" w:line="279" w:lineRule="auto"/>
        <w:rPr>
          <w:sz w:val="20"/>
          <w:szCs w:val="20"/>
          <w:color w:val="auto"/>
        </w:rPr>
      </w:pPr>
      <w:r>
        <w:rPr>
          <w:rFonts w:ascii="Arial" w:cs="Arial" w:eastAsia="Arial" w:hAnsi="Arial"/>
          <w:sz w:val="17"/>
          <w:szCs w:val="17"/>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557" w:right="239" w:bottom="1440" w:gutter="0" w:footer="0" w:header="0"/>
        </w:sectPr>
      </w:pPr>
    </w:p>
    <w:bookmarkStart w:id="91" w:name="page92"/>
    <w:bookmarkEnd w:id="91"/>
    <w:p>
      <w:pPr>
        <w:ind w:right="80" w:firstLine="259"/>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60" w:firstLine="259"/>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jc w:val="both"/>
        <w:ind w:right="120" w:firstLine="259"/>
        <w:spacing w:after="0" w:line="264"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81"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In August 2014, the Financial Accounting Standards Board issued Accounting Standards Update 2014–15 (“ASU 2014-15”), “</w:t>
      </w:r>
      <w:r>
        <w:rPr>
          <w:rFonts w:ascii="Arial" w:cs="Arial" w:eastAsia="Arial" w:hAnsi="Arial"/>
          <w:sz w:val="17"/>
          <w:szCs w:val="17"/>
          <w:i w:val="1"/>
          <w:iCs w:val="1"/>
          <w:color w:val="auto"/>
        </w:rPr>
        <w:t>Presentation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 – Going Concern (Subtopic 205 – 40): Disclosure of Uncertainties About an Entity’s Ability to Continue as a Going Concern</w:t>
      </w:r>
      <w:r>
        <w:rPr>
          <w:rFonts w:ascii="Arial" w:cs="Arial" w:eastAsia="Arial" w:hAnsi="Arial"/>
          <w:sz w:val="17"/>
          <w:szCs w:val="17"/>
          <w:color w:val="auto"/>
        </w:rPr>
        <w:t>.” ASU 2014-15</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management to evaluate whether there are conditions or events that raise substantial doubt about the entity’s ability to continue as a going concern, and to provide certain disclosures when it is probable that the entity will be unable to meet its obligations as they become due within one year after the date that the financial statements are issued. Since this guidance is primarily around certain disclosures to the financial statements, the Company anticipates no impact on our financial position, results of operations or cash flows from adopting this standard. The Company is currently assessing the additional disclosure requirements, if any, of ASU 2014-15. ASU 2014-15 is effective for the annual period ending after December 31, 2016 and for annual periods and interim periods thereafter, with early adoption permitted.</w:t>
      </w:r>
    </w:p>
    <w:p>
      <w:pPr>
        <w:spacing w:after="0" w:line="71" w:lineRule="exact"/>
        <w:rPr>
          <w:sz w:val="20"/>
          <w:szCs w:val="20"/>
          <w:color w:val="auto"/>
        </w:rPr>
      </w:pPr>
    </w:p>
    <w:p>
      <w:pPr>
        <w:ind w:right="80" w:firstLine="259"/>
        <w:spacing w:after="0" w:line="273" w:lineRule="auto"/>
        <w:rPr>
          <w:sz w:val="20"/>
          <w:szCs w:val="20"/>
          <w:color w:val="auto"/>
        </w:rPr>
      </w:pPr>
      <w:r>
        <w:rPr>
          <w:rFonts w:ascii="Arial" w:cs="Arial" w:eastAsia="Arial" w:hAnsi="Arial"/>
          <w:sz w:val="17"/>
          <w:szCs w:val="17"/>
          <w:color w:val="auto"/>
        </w:rPr>
        <w:t xml:space="preserve">In May 2014, the Financial Accounting Standards Board issued Accounting Standards Update 2014-09 (“ASU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The guidance in this ASU supersedes the revenue recognition requirements in Topic 605, Revenue Recognition. Under the new</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an entity should recognize revenue to depict the transfer of promised goods or services to customers in an amount that reflects the consideration to which the entity expects to be entitled in exchange for those goods or services. The amendments in ASU 2014-09 are effective for annual reporting periods beginning after December 15, 2016, including interim periods within that reporting period. Early application is not permitted. The Company is currently evaluating the impact of adopting this ASU on its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557" w:right="279" w:bottom="1440" w:gutter="0" w:footer="0" w:header="0"/>
        </w:sectPr>
      </w:pPr>
    </w:p>
    <w:bookmarkStart w:id="92" w:name="page93"/>
    <w:bookmarkEnd w:id="92"/>
    <w:p>
      <w:pPr>
        <w:ind w:right="100"/>
        <w:spacing w:after="0" w:line="277" w:lineRule="auto"/>
        <w:rPr>
          <w:sz w:val="20"/>
          <w:szCs w:val="20"/>
          <w:color w:val="auto"/>
        </w:rPr>
      </w:pPr>
      <w:r>
        <w:rPr>
          <w:rFonts w:ascii="Arial" w:cs="Arial" w:eastAsia="Arial" w:hAnsi="Arial"/>
          <w:sz w:val="18"/>
          <w:szCs w:val="18"/>
          <w:color w:val="auto"/>
        </w:rPr>
        <w:t>to delegate its duties under the Administration Agreement to affiliates or third parties and the Company pays or reimburses the Adviser expenses incurred by any such affiliates or third parties for work done on its behalf.</w:t>
      </w:r>
    </w:p>
    <w:p>
      <w:pPr>
        <w:spacing w:after="0" w:line="170"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For the years ended December 31, 2014, 2013 and 2012, the Company incurred expenses of $2.7 million, $1.4 million and $1.0 million, respectively, for administrative services payable to the Adviser under the terms of the Administration Agreement.</w:t>
      </w:r>
    </w:p>
    <w:p>
      <w:pPr>
        <w:spacing w:after="0" w:line="170"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On November 3, 2014, the Board renewed the Administration Agreement. Unless earlier terminated as described below, the Administration Agreement will remain in effect until November 3, 2015,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120" w:firstLine="259"/>
        <w:spacing w:after="0" w:line="297"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the years ended December 31, 2014, 2013 and 2012, Management Fees were $18.3 million, $13.4 million, and $8.9 million, respectively.</w:t>
      </w:r>
    </w:p>
    <w:p>
      <w:pPr>
        <w:spacing w:after="0" w:line="237" w:lineRule="exact"/>
        <w:rPr>
          <w:sz w:val="20"/>
          <w:szCs w:val="20"/>
          <w:color w:val="auto"/>
        </w:rPr>
      </w:pPr>
    </w:p>
    <w:p>
      <w:pPr>
        <w:ind w:right="240" w:firstLine="259"/>
        <w:spacing w:after="0" w:line="342" w:lineRule="auto"/>
        <w:rPr>
          <w:sz w:val="20"/>
          <w:szCs w:val="20"/>
          <w:color w:val="auto"/>
        </w:rPr>
      </w:pPr>
      <w:r>
        <w:rPr>
          <w:rFonts w:ascii="Arial" w:cs="Arial" w:eastAsia="Arial" w:hAnsi="Arial"/>
          <w:sz w:val="16"/>
          <w:szCs w:val="16"/>
          <w:color w:val="auto"/>
        </w:rPr>
        <w:t>Until the IPO, the Adviser had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24" w:lineRule="exact"/>
        <w:rPr>
          <w:sz w:val="20"/>
          <w:szCs w:val="20"/>
          <w:color w:val="auto"/>
        </w:rPr>
      </w:pPr>
    </w:p>
    <w:p>
      <w:pPr>
        <w:jc w:val="both"/>
        <w:ind w:right="280" w:firstLine="259"/>
        <w:spacing w:after="0" w:line="286" w:lineRule="auto"/>
        <w:rPr>
          <w:sz w:val="20"/>
          <w:szCs w:val="20"/>
          <w:color w:val="auto"/>
        </w:rPr>
      </w:pPr>
      <w:r>
        <w:rPr>
          <w:rFonts w:ascii="Arial" w:cs="Arial" w:eastAsia="Arial" w:hAnsi="Arial"/>
          <w:sz w:val="17"/>
          <w:szCs w:val="17"/>
          <w:color w:val="auto"/>
        </w:rPr>
        <w:t>For the years ended December 31, 2014, 2013, and 2012, Management Fees of $2.5 million, $7.1 million, and $3.7 million, respectively, were waived. Any waived Management Fees were not subject to recoupment by the Adviser. Following the IPO, the Adviser has not waived its right to receive the full Management Fee and accordingly, the Company will be required to continue to pay the full amount of the Management Fee.</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20" w:right="80" w:hanging="253"/>
        <w:spacing w:after="0" w:line="291" w:lineRule="auto"/>
        <w:tabs>
          <w:tab w:leader="none" w:pos="5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through March 31, 2014, equals 100% of the pre-Incentive Fee net investment income in excess of a 1.5% quarterly “hurdle rate” the calculation of which is further explained below, until the Adviser has received 15% of the total pre-Incentive Fee net investment income for that quarter and, for pre-Incentive Fee net investment income in excess of 1.76% quarterly, 15% of all remaining pre-Incentive Fee net investment income for that quarter . The 100% “catch-up” provision for pre-Incentive Fee net investment income in excess of the 1.5% “hurdle rate” is intended to provide the Adviser with an incentive fee of 15% on all pre-Incentive Fee net investment income when that amount equals 1.76% in a quarter (7.04% annualized), which is the rate at which catch-up was achieved. Once the “hurdle rate” is reached and catch-up is achieved, 15% of any pre-Incentive Fee net investment income in excess of 1.76% in any quarter is payable to the Adviser.</w:t>
      </w:r>
    </w:p>
    <w:p>
      <w:pPr>
        <w:spacing w:after="0" w:line="59" w:lineRule="exact"/>
        <w:rPr>
          <w:rFonts w:ascii="Arial" w:cs="Arial" w:eastAsia="Arial" w:hAnsi="Arial"/>
          <w:sz w:val="16"/>
          <w:szCs w:val="16"/>
          <w:color w:val="auto"/>
        </w:rPr>
      </w:pPr>
    </w:p>
    <w:p>
      <w:pPr>
        <w:ind w:left="520" w:right="20"/>
        <w:spacing w:after="0" w:line="293" w:lineRule="auto"/>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beginning April 1, 2014,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49" w:right="259" w:bottom="1440" w:gutter="0" w:footer="0" w:header="0"/>
        </w:sectPr>
      </w:pPr>
    </w:p>
    <w:bookmarkStart w:id="93" w:name="page94"/>
    <w:bookmarkEnd w:id="93"/>
    <w:p>
      <w:pPr>
        <w:ind w:left="520"/>
        <w:spacing w:after="0"/>
        <w:rPr>
          <w:sz w:val="20"/>
          <w:szCs w:val="20"/>
          <w:color w:val="auto"/>
        </w:rPr>
      </w:pPr>
      <w:r>
        <w:rPr>
          <w:rFonts w:ascii="Arial" w:cs="Arial" w:eastAsia="Arial" w:hAnsi="Arial"/>
          <w:sz w:val="16"/>
          <w:szCs w:val="16"/>
          <w:color w:val="auto"/>
        </w:rPr>
        <w:t>reached and catch-up is achieved, 17.5% of any pre-Incentive Fee net investment income in excess of 1.82% in any quarter is payable to the Adviser.</w:t>
      </w:r>
    </w:p>
    <w:p>
      <w:pPr>
        <w:spacing w:after="0" w:line="140" w:lineRule="exact"/>
        <w:rPr>
          <w:sz w:val="20"/>
          <w:szCs w:val="20"/>
          <w:color w:val="auto"/>
        </w:rPr>
      </w:pPr>
    </w:p>
    <w:p>
      <w:pPr>
        <w:ind w:left="520" w:right="180"/>
        <w:spacing w:after="0" w:line="255"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81" w:lineRule="exact"/>
        <w:rPr>
          <w:sz w:val="20"/>
          <w:szCs w:val="20"/>
          <w:color w:val="auto"/>
        </w:rPr>
      </w:pPr>
    </w:p>
    <w:p>
      <w:pPr>
        <w:ind w:left="520" w:hanging="253"/>
        <w:spacing w:after="0" w:line="289" w:lineRule="auto"/>
        <w:tabs>
          <w:tab w:leader="none" w:pos="5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now equals a weighted percentage of cumulative realized capital gains from the Company’s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67" w:lineRule="exact"/>
        <w:rPr>
          <w:sz w:val="20"/>
          <w:szCs w:val="20"/>
          <w:color w:val="auto"/>
        </w:rPr>
      </w:pPr>
    </w:p>
    <w:p>
      <w:pPr>
        <w:ind w:right="20" w:firstLine="259"/>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16" w:lineRule="exact"/>
        <w:rPr>
          <w:sz w:val="20"/>
          <w:szCs w:val="20"/>
          <w:color w:val="auto"/>
        </w:rPr>
      </w:pPr>
    </w:p>
    <w:p>
      <w:pPr>
        <w:ind w:left="520" w:hanging="253"/>
        <w:spacing w:after="0"/>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net assets as of the end of the calendar quarter immediately preceding the day; plus</w:t>
      </w:r>
    </w:p>
    <w:p>
      <w:pPr>
        <w:spacing w:after="0" w:line="117" w:lineRule="exact"/>
        <w:rPr>
          <w:rFonts w:ascii="Arial" w:cs="Arial" w:eastAsia="Arial" w:hAnsi="Arial"/>
          <w:sz w:val="18"/>
          <w:szCs w:val="18"/>
          <w:color w:val="auto"/>
        </w:rPr>
      </w:pPr>
    </w:p>
    <w:p>
      <w:pPr>
        <w:ind w:left="520" w:right="360" w:hanging="253"/>
        <w:spacing w:after="0" w:line="277" w:lineRule="auto"/>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the dividend reinvestment plan) from the beginning of the current quarter to the day; minus</w:t>
      </w:r>
    </w:p>
    <w:p>
      <w:pPr>
        <w:spacing w:after="0" w:line="62" w:lineRule="exact"/>
        <w:rPr>
          <w:rFonts w:ascii="Arial" w:cs="Arial" w:eastAsia="Arial" w:hAnsi="Arial"/>
          <w:sz w:val="18"/>
          <w:szCs w:val="18"/>
          <w:color w:val="auto"/>
        </w:rPr>
      </w:pPr>
    </w:p>
    <w:p>
      <w:pPr>
        <w:ind w:left="520" w:right="260" w:hanging="253"/>
        <w:spacing w:after="0" w:line="308" w:lineRule="auto"/>
        <w:tabs>
          <w:tab w:leader="none" w:pos="5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aggregate amount of distributions (including share repurchases) made by the Company from the beginning of the current quarter to the day (but only to the extent the distributions were not declared and accounted for on our books and records in a previous quarter).</w:t>
      </w:r>
    </w:p>
    <w:p>
      <w:pPr>
        <w:spacing w:after="0" w:line="147" w:lineRule="exact"/>
        <w:rPr>
          <w:sz w:val="20"/>
          <w:szCs w:val="20"/>
          <w:color w:val="auto"/>
        </w:rPr>
      </w:pPr>
    </w:p>
    <w:p>
      <w:pPr>
        <w:ind w:right="680" w:firstLine="259"/>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24" w:lineRule="exact"/>
        <w:rPr>
          <w:sz w:val="20"/>
          <w:szCs w:val="20"/>
          <w:color w:val="auto"/>
        </w:rPr>
      </w:pPr>
    </w:p>
    <w:p>
      <w:pPr>
        <w:ind w:right="260" w:firstLine="259"/>
        <w:spacing w:after="0" w:line="264"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w:t>
      </w:r>
    </w:p>
    <w:p>
      <w:pPr>
        <w:spacing w:after="0" w:line="181" w:lineRule="exact"/>
        <w:rPr>
          <w:sz w:val="20"/>
          <w:szCs w:val="20"/>
          <w:color w:val="auto"/>
        </w:rPr>
      </w:pPr>
    </w:p>
    <w:p>
      <w:pPr>
        <w:ind w:right="120" w:firstLine="259"/>
        <w:spacing w:after="0" w:line="255" w:lineRule="auto"/>
        <w:rPr>
          <w:sz w:val="20"/>
          <w:szCs w:val="20"/>
          <w:color w:val="auto"/>
        </w:rPr>
      </w:pPr>
      <w:r>
        <w:rPr>
          <w:rFonts w:ascii="Arial" w:cs="Arial" w:eastAsia="Arial" w:hAnsi="Arial"/>
          <w:sz w:val="18"/>
          <w:szCs w:val="18"/>
          <w:color w:val="auto"/>
        </w:rPr>
        <w:t>For the year ended December 31, 2014, Incentive Fees were $17.8 million, comprised of fees related to pre-incentive fee net investment income of $20.8 million offset by ($2.9) million of incentive fees related to capital gains and losses attributable to unrealized losses on investments and realized losses on foreign exchange transactions. For the year ended December 31, 2013, Incentive Fees were $11.8 million, comprised of fees related to pre-incentive fee net investment income of $10.4 million and $1.4 million of incentive fees related to capital gains and losses. For the year ended December 31, 2012, Incentive Fees were $7.0 million, comprised of fees related to pre-incentive fee net investment income of $5.3 million and $1.7 million of incentive fees related to capital gains and losses.</w:t>
      </w:r>
    </w:p>
    <w:p>
      <w:pPr>
        <w:spacing w:after="0" w:line="193" w:lineRule="exact"/>
        <w:rPr>
          <w:sz w:val="20"/>
          <w:szCs w:val="20"/>
          <w:color w:val="auto"/>
        </w:rPr>
      </w:pPr>
    </w:p>
    <w:p>
      <w:pPr>
        <w:ind w:right="160" w:firstLine="259"/>
        <w:spacing w:after="0" w:line="312" w:lineRule="auto"/>
        <w:rPr>
          <w:sz w:val="20"/>
          <w:szCs w:val="20"/>
          <w:color w:val="auto"/>
        </w:rPr>
      </w:pPr>
      <w:r>
        <w:rPr>
          <w:rFonts w:ascii="Arial" w:cs="Arial" w:eastAsia="Arial" w:hAnsi="Arial"/>
          <w:sz w:val="16"/>
          <w:szCs w:val="16"/>
          <w:color w:val="auto"/>
        </w:rPr>
        <w:t>On November 3, 2014, the Board renewed the Investment Advisory Agreement. Unless earlier terminated as described above, the Investment Advisory Agreement will remain in effect until November 3, 2015,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7" w:lineRule="exact"/>
        <w:rPr>
          <w:sz w:val="20"/>
          <w:szCs w:val="20"/>
          <w:color w:val="auto"/>
        </w:rPr>
      </w:pPr>
    </w:p>
    <w:p>
      <w:pPr>
        <w:ind w:right="240" w:firstLine="259"/>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49" w:right="259" w:bottom="1440" w:gutter="0" w:footer="0" w:header="0"/>
        </w:sectPr>
      </w:pPr>
    </w:p>
    <w:bookmarkStart w:id="94" w:name="page95"/>
    <w:bookmarkEnd w:id="94"/>
    <w:p>
      <w:pPr>
        <w:ind w:right="160" w:firstLine="259"/>
        <w:spacing w:after="0" w:line="257" w:lineRule="auto"/>
        <w:rPr>
          <w:sz w:val="20"/>
          <w:szCs w:val="20"/>
          <w:color w:val="auto"/>
        </w:rPr>
      </w:pPr>
      <w:r>
        <w:rPr>
          <w:rFonts w:ascii="Arial" w:cs="Arial" w:eastAsia="Arial" w:hAnsi="Arial"/>
          <w:sz w:val="18"/>
          <w:szCs w:val="18"/>
          <w:color w:val="auto"/>
        </w:rPr>
        <w:t>In 2014, the Adviser entered into a purchase agreement (the “Adviser 10b5-1 Plan”), in accordance with Rules 10b5-1 and 10b-18 under the Securities Exchange Act of 1934, as amended (the “Exchange Act”), under which an agent for the Adviser would buy up to $25 million in the aggregate of the Company’s common stock, subject to certain conditions. The Adviser 10b5-1 Plan expired in accordance with its terms on December 31, 2014. During the year ended December 31, 2014, 300 shares were purchased under the Adviser 10b5-1 Plan. These 300 shares were purchased prior to the approval and implementation of the Company 10b5-1 Plan.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affiliated investments.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Investments at fair value consisted of the following at December 31, 2014 and 2013:</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December 31, 2014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r>
      <w:tr>
        <w:trPr>
          <w:trHeight w:val="180"/>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6"/>
              </w:rPr>
              <w:t xml:space="preserve">Amortized Cost </w:t>
            </w:r>
            <w:r>
              <w:rPr>
                <w:rFonts w:ascii="Arial" w:cs="Arial" w:eastAsia="Arial" w:hAnsi="Arial"/>
                <w:sz w:val="12"/>
                <w:szCs w:val="12"/>
                <w:b w:val="1"/>
                <w:bCs w:val="1"/>
                <w:color w:val="auto"/>
                <w:w w:val="96"/>
              </w:rPr>
              <w:t>(1)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Gain (Loss)</w:t>
            </w:r>
          </w:p>
        </w:tc>
      </w:tr>
      <w:tr>
        <w:trPr>
          <w:trHeight w:val="26"/>
        </w:trPr>
        <w:tc>
          <w:tcPr>
            <w:tcW w:w="20" w:type="dxa"/>
            <w:vAlign w:val="bottom"/>
          </w:tcPr>
          <w:p>
            <w:pPr>
              <w:spacing w:after="0"/>
              <w:rPr>
                <w:sz w:val="2"/>
                <w:szCs w:val="2"/>
                <w:color w:val="auto"/>
              </w:rPr>
            </w:pPr>
          </w:p>
        </w:tc>
        <w:tc>
          <w:tcPr>
            <w:tcW w:w="542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1,127,215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1,124,246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111,121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111,408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(450)</w:t>
            </w: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(6,609)</w:t>
            </w: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1,273,252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1,263,511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December 31, 2013</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0"/>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6"/>
              </w:rPr>
              <w:t xml:space="preserve">Amortized Cost </w:t>
            </w:r>
            <w:r>
              <w:rPr>
                <w:rFonts w:ascii="Arial" w:cs="Arial" w:eastAsia="Arial" w:hAnsi="Arial"/>
                <w:sz w:val="12"/>
                <w:szCs w:val="12"/>
                <w:b w:val="1"/>
                <w:bCs w:val="1"/>
                <w:color w:val="auto"/>
                <w:w w:val="96"/>
              </w:rPr>
              <w:t>(1)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Gain (Loss)</w:t>
            </w:r>
          </w:p>
        </w:tc>
      </w:tr>
      <w:tr>
        <w:trPr>
          <w:trHeight w:val="26"/>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863,436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877,164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131,082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137,482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6,400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(975)</w:t>
            </w: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997,298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1,016,451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19,153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160" w:hanging="532"/>
        <w:spacing w:after="0" w:line="277"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00"/>
          </w:cols>
          <w:pgMar w:left="240" w:top="557" w:right="359" w:bottom="1440" w:gutter="0" w:footer="0" w:header="0"/>
        </w:sectPr>
      </w:pPr>
    </w:p>
    <w:bookmarkStart w:id="95" w:name="page96"/>
    <w:bookmarkEnd w:id="95"/>
    <w:p>
      <w:pPr>
        <w:ind w:left="260"/>
        <w:spacing w:after="0"/>
        <w:rPr>
          <w:sz w:val="20"/>
          <w:szCs w:val="20"/>
          <w:color w:val="auto"/>
        </w:rPr>
      </w:pPr>
      <w:r>
        <w:rPr>
          <w:rFonts w:ascii="Arial" w:cs="Arial" w:eastAsia="Arial" w:hAnsi="Arial"/>
          <w:sz w:val="18"/>
          <w:szCs w:val="18"/>
          <w:color w:val="auto"/>
        </w:rPr>
        <w:t>The industry composition of Investments at fair value at December 31, 2014 and 2013 is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 2014</w:t>
            </w: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December 31, 2013</w:t>
            </w:r>
          </w:p>
        </w:tc>
        <w:tc>
          <w:tcPr>
            <w:tcW w:w="0" w:type="dxa"/>
            <w:vAlign w:val="bottom"/>
          </w:tcPr>
          <w:p>
            <w:pPr>
              <w:spacing w:after="0"/>
              <w:rPr>
                <w:sz w:val="1"/>
                <w:szCs w:val="1"/>
                <w:color w:val="auto"/>
              </w:rPr>
            </w:pPr>
          </w:p>
        </w:tc>
      </w:tr>
      <w:tr>
        <w:trPr>
          <w:trHeight w:val="20"/>
        </w:trPr>
        <w:tc>
          <w:tcPr>
            <w:tcW w:w="3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Aerospace and defense</w:t>
            </w:r>
          </w:p>
        </w:tc>
        <w:tc>
          <w:tcPr>
            <w:tcW w:w="14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vMerge w:val="continue"/>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continue"/>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Automotive</w:t>
            </w:r>
          </w:p>
        </w:tc>
        <w:tc>
          <w:tcPr>
            <w:tcW w:w="2820" w:type="dxa"/>
            <w:vAlign w:val="bottom"/>
            <w:gridSpan w:val="3"/>
          </w:tcPr>
          <w:p>
            <w:pPr>
              <w:jc w:val="right"/>
              <w:ind w:right="80"/>
              <w:spacing w:after="0"/>
              <w:rPr>
                <w:sz w:val="20"/>
                <w:szCs w:val="20"/>
                <w:color w:val="auto"/>
              </w:rPr>
            </w:pPr>
            <w:r>
              <w:rPr>
                <w:rFonts w:ascii="Arial" w:cs="Arial" w:eastAsia="Arial" w:hAnsi="Arial"/>
                <w:sz w:val="18"/>
                <w:szCs w:val="18"/>
                <w:color w:val="auto"/>
              </w:rPr>
              <w:t>2.7%</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Beverage, food, and tobacco</w:t>
            </w:r>
          </w:p>
        </w:tc>
        <w:tc>
          <w:tcPr>
            <w:tcW w:w="28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6.8%</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Business services</w:t>
            </w:r>
          </w:p>
        </w:tc>
        <w:tc>
          <w:tcPr>
            <w:tcW w:w="282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Communications</w:t>
            </w:r>
          </w:p>
        </w:tc>
        <w:tc>
          <w:tcPr>
            <w:tcW w:w="28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14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Containers and packaging</w:t>
            </w:r>
          </w:p>
        </w:tc>
        <w:tc>
          <w:tcPr>
            <w:tcW w:w="28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3.2%</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Education</w:t>
            </w:r>
          </w:p>
        </w:tc>
        <w:tc>
          <w:tcPr>
            <w:tcW w:w="2820" w:type="dxa"/>
            <w:vAlign w:val="bottom"/>
            <w:gridSpan w:val="3"/>
          </w:tcPr>
          <w:p>
            <w:pPr>
              <w:jc w:val="right"/>
              <w:ind w:right="80"/>
              <w:spacing w:after="0"/>
              <w:rPr>
                <w:sz w:val="20"/>
                <w:szCs w:val="20"/>
                <w:color w:val="auto"/>
              </w:rPr>
            </w:pPr>
            <w:r>
              <w:rPr>
                <w:rFonts w:ascii="Arial" w:cs="Arial" w:eastAsia="Arial" w:hAnsi="Arial"/>
                <w:sz w:val="18"/>
                <w:szCs w:val="18"/>
                <w:color w:val="auto"/>
              </w:rPr>
              <w:t>2.2%</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Electronics</w:t>
            </w:r>
          </w:p>
        </w:tc>
        <w:tc>
          <w:tcPr>
            <w:tcW w:w="28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6.2%</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Financial services</w:t>
            </w:r>
          </w:p>
        </w:tc>
        <w:tc>
          <w:tcPr>
            <w:tcW w:w="2820" w:type="dxa"/>
            <w:vAlign w:val="bottom"/>
            <w:gridSpan w:val="3"/>
          </w:tcPr>
          <w:p>
            <w:pPr>
              <w:jc w:val="right"/>
              <w:ind w:right="80"/>
              <w:spacing w:after="0"/>
              <w:rPr>
                <w:sz w:val="20"/>
                <w:szCs w:val="20"/>
                <w:color w:val="auto"/>
              </w:rPr>
            </w:pPr>
            <w:r>
              <w:rPr>
                <w:rFonts w:ascii="Arial" w:cs="Arial" w:eastAsia="Arial" w:hAnsi="Arial"/>
                <w:sz w:val="18"/>
                <w:szCs w:val="18"/>
                <w:color w:val="auto"/>
              </w:rPr>
              <w:t>8.4%</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Healthcare and pharmaceuticals</w:t>
            </w:r>
          </w:p>
        </w:tc>
        <w:tc>
          <w:tcPr>
            <w:tcW w:w="28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17.3%</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2820" w:type="dxa"/>
            <w:vAlign w:val="bottom"/>
            <w:gridSpan w:val="3"/>
          </w:tcPr>
          <w:p>
            <w:pPr>
              <w:jc w:val="right"/>
              <w:ind w:right="80"/>
              <w:spacing w:after="0"/>
              <w:rPr>
                <w:sz w:val="20"/>
                <w:szCs w:val="20"/>
                <w:color w:val="auto"/>
              </w:rPr>
            </w:pPr>
            <w:r>
              <w:rPr>
                <w:rFonts w:ascii="Arial" w:cs="Arial" w:eastAsia="Arial" w:hAnsi="Arial"/>
                <w:sz w:val="18"/>
                <w:szCs w:val="18"/>
                <w:color w:val="auto"/>
              </w:rPr>
              <w:t>5.9%</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Human resource support services</w:t>
            </w:r>
          </w:p>
        </w:tc>
        <w:tc>
          <w:tcPr>
            <w:tcW w:w="14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Insurance</w:t>
            </w:r>
          </w:p>
        </w:tc>
        <w:tc>
          <w:tcPr>
            <w:tcW w:w="2820" w:type="dxa"/>
            <w:vAlign w:val="bottom"/>
            <w:gridSpan w:val="3"/>
          </w:tcPr>
          <w:p>
            <w:pPr>
              <w:jc w:val="right"/>
              <w:ind w:right="80"/>
              <w:spacing w:after="0"/>
              <w:rPr>
                <w:sz w:val="20"/>
                <w:szCs w:val="20"/>
                <w:color w:val="auto"/>
              </w:rPr>
            </w:pPr>
            <w:r>
              <w:rPr>
                <w:rFonts w:ascii="Arial" w:cs="Arial" w:eastAsia="Arial" w:hAnsi="Arial"/>
                <w:sz w:val="18"/>
                <w:szCs w:val="18"/>
                <w:color w:val="auto"/>
              </w:rPr>
              <w:t>8.0%</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Internet services</w:t>
            </w:r>
          </w:p>
        </w:tc>
        <w:tc>
          <w:tcPr>
            <w:tcW w:w="28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3.2%</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Manufacturing</w:t>
            </w:r>
          </w:p>
        </w:tc>
        <w:tc>
          <w:tcPr>
            <w:tcW w:w="282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Metals and mining</w:t>
            </w:r>
          </w:p>
        </w:tc>
        <w:tc>
          <w:tcPr>
            <w:tcW w:w="28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Office products</w:t>
            </w:r>
          </w:p>
        </w:tc>
        <w:tc>
          <w:tcPr>
            <w:tcW w:w="2820" w:type="dxa"/>
            <w:vAlign w:val="bottom"/>
            <w:gridSpan w:val="3"/>
          </w:tcPr>
          <w:p>
            <w:pPr>
              <w:jc w:val="right"/>
              <w:ind w:right="80"/>
              <w:spacing w:after="0"/>
              <w:rPr>
                <w:sz w:val="20"/>
                <w:szCs w:val="20"/>
                <w:color w:val="auto"/>
              </w:rPr>
            </w:pPr>
            <w:r>
              <w:rPr>
                <w:rFonts w:ascii="Arial" w:cs="Arial" w:eastAsia="Arial" w:hAnsi="Arial"/>
                <w:sz w:val="18"/>
                <w:szCs w:val="18"/>
                <w:color w:val="auto"/>
              </w:rPr>
              <w:t>2.8%</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Oil, gas and consumable fuels</w:t>
            </w:r>
          </w:p>
        </w:tc>
        <w:tc>
          <w:tcPr>
            <w:tcW w:w="28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8.2%</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Other</w:t>
            </w:r>
          </w:p>
        </w:tc>
        <w:tc>
          <w:tcPr>
            <w:tcW w:w="2820" w:type="dxa"/>
            <w:vAlign w:val="bottom"/>
            <w:gridSpan w:val="3"/>
          </w:tcPr>
          <w:p>
            <w:pPr>
              <w:jc w:val="right"/>
              <w:ind w:right="80"/>
              <w:spacing w:after="0"/>
              <w:rPr>
                <w:sz w:val="20"/>
                <w:szCs w:val="20"/>
                <w:color w:val="auto"/>
              </w:rPr>
            </w:pPr>
            <w:r>
              <w:rPr>
                <w:rFonts w:ascii="Arial" w:cs="Arial" w:eastAsia="Arial" w:hAnsi="Arial"/>
                <w:sz w:val="18"/>
                <w:szCs w:val="18"/>
                <w:color w:val="auto"/>
              </w:rPr>
              <w:t>0.4%</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Retail</w:t>
            </w:r>
          </w:p>
        </w:tc>
        <w:tc>
          <w:tcPr>
            <w:tcW w:w="28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3.3%</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Transportation</w:t>
            </w:r>
          </w:p>
        </w:tc>
        <w:tc>
          <w:tcPr>
            <w:tcW w:w="142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82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42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vMerge w:val="continue"/>
            <w:shd w:val="clear" w:color="auto" w:fill="CFF0FC"/>
          </w:tcPr>
          <w:p>
            <w:pPr>
              <w:spacing w:after="0"/>
              <w:rPr>
                <w:sz w:val="19"/>
                <w:szCs w:val="19"/>
                <w:color w:val="auto"/>
              </w:rPr>
            </w:pPr>
          </w:p>
        </w:tc>
        <w:tc>
          <w:tcPr>
            <w:tcW w:w="1420" w:type="dxa"/>
            <w:vAlign w:val="bottom"/>
            <w:vMerge w:val="continue"/>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geographic composition of Investments at fair value at December 31, 2014 and 2013 is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December 31, 2014</w:t>
            </w:r>
          </w:p>
        </w:tc>
        <w:tc>
          <w:tcPr>
            <w:tcW w:w="1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40"/>
              <w:spacing w:after="0"/>
              <w:rPr>
                <w:sz w:val="20"/>
                <w:szCs w:val="20"/>
                <w:color w:val="auto"/>
              </w:rPr>
            </w:pPr>
            <w:r>
              <w:rPr>
                <w:rFonts w:ascii="Arial" w:cs="Arial" w:eastAsia="Arial" w:hAnsi="Arial"/>
                <w:sz w:val="18"/>
                <w:szCs w:val="18"/>
                <w:color w:val="auto"/>
              </w:rPr>
              <w:t>Midwest</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27.1%</w:t>
            </w: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4640" w:type="dxa"/>
            <w:vAlign w:val="bottom"/>
          </w:tcPr>
          <w:p>
            <w:pPr>
              <w:ind w:left="240"/>
              <w:spacing w:after="0"/>
              <w:rPr>
                <w:sz w:val="20"/>
                <w:szCs w:val="20"/>
                <w:color w:val="auto"/>
              </w:rPr>
            </w:pPr>
            <w:r>
              <w:rPr>
                <w:rFonts w:ascii="Arial" w:cs="Arial" w:eastAsia="Arial" w:hAnsi="Arial"/>
                <w:sz w:val="18"/>
                <w:szCs w:val="18"/>
                <w:color w:val="auto"/>
              </w:rPr>
              <w:t>South</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23.6%</w:t>
            </w: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Canada</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11.3%</w:t>
            </w: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1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vMerge w:val="continue"/>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firstLine="259"/>
        <w:spacing w:after="0" w:line="290" w:lineRule="auto"/>
        <w:rPr>
          <w:sz w:val="20"/>
          <w:szCs w:val="20"/>
          <w:color w:val="auto"/>
        </w:rPr>
      </w:pPr>
      <w:r>
        <w:rPr>
          <w:rFonts w:ascii="Arial" w:cs="Arial" w:eastAsia="Arial" w:hAnsi="Arial"/>
          <w:sz w:val="16"/>
          <w:szCs w:val="16"/>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during the year ended December 31, 2014 generally had terms of approximately two months or less. The volume of open contracts at the end of each reporting period is reflective of the typical volume of transactions during each month. Risks may arise as a result of the potential inability of the counterparties to meet the terms of their contracts. The Company attempts to limit this risk by dealing with only creditworthy counterparties.</w:t>
      </w:r>
    </w:p>
    <w:p>
      <w:pPr>
        <w:spacing w:after="0" w:line="166" w:lineRule="exact"/>
        <w:rPr>
          <w:sz w:val="20"/>
          <w:szCs w:val="20"/>
          <w:color w:val="auto"/>
        </w:rPr>
      </w:pPr>
    </w:p>
    <w:p>
      <w:pPr>
        <w:ind w:right="640" w:firstLine="259"/>
        <w:spacing w:after="0" w:line="277" w:lineRule="auto"/>
        <w:rPr>
          <w:sz w:val="20"/>
          <w:szCs w:val="20"/>
          <w:color w:val="auto"/>
        </w:rPr>
      </w:pPr>
      <w:r>
        <w:rPr>
          <w:rFonts w:ascii="Arial" w:cs="Arial" w:eastAsia="Arial" w:hAnsi="Arial"/>
          <w:sz w:val="18"/>
          <w:szCs w:val="18"/>
          <w:color w:val="auto"/>
        </w:rPr>
        <w:t>During the year ended December 31, 2014, the Company entered into foreign currency forward contracts related to its non-USD investments. The Company did not have any open foreign currency forward contracts as of December 31, 2014.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557" w:right="239" w:bottom="1440" w:gutter="0" w:footer="0" w:header="0"/>
        </w:sectPr>
      </w:pPr>
    </w:p>
    <w:bookmarkStart w:id="96" w:name="page97"/>
    <w:bookmarkEnd w:id="96"/>
    <w:p>
      <w:pPr>
        <w:ind w:left="260"/>
        <w:spacing w:after="0"/>
        <w:rPr>
          <w:sz w:val="20"/>
          <w:szCs w:val="20"/>
          <w:color w:val="auto"/>
        </w:rPr>
      </w:pPr>
      <w:r>
        <w:rPr>
          <w:rFonts w:ascii="Arial" w:cs="Arial" w:eastAsia="Arial" w:hAnsi="Arial"/>
          <w:sz w:val="18"/>
          <w:szCs w:val="18"/>
          <w:color w:val="auto"/>
        </w:rPr>
        <w:t>As of December 31, 2013, details of open foreign currency forward contracts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Unrealized</w:t>
            </w:r>
          </w:p>
        </w:tc>
      </w:tr>
      <w:tr>
        <w:trPr>
          <w:trHeight w:val="230"/>
        </w:trPr>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Depreciation</w:t>
            </w:r>
          </w:p>
        </w:tc>
      </w:tr>
      <w:tr>
        <w:trPr>
          <w:trHeight w:val="230"/>
        </w:trPr>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presented in</w:t>
            </w:r>
          </w:p>
        </w:tc>
      </w:tr>
      <w:tr>
        <w:trPr>
          <w:trHeight w:val="230"/>
        </w:trPr>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Consolidated</w:t>
            </w:r>
          </w:p>
        </w:tc>
      </w:tr>
      <w:tr>
        <w:trPr>
          <w:trHeight w:val="230"/>
        </w:trPr>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3"/>
              </w:rPr>
              <w:t>Amount (in ‘000s)</w:t>
            </w:r>
          </w:p>
        </w:tc>
        <w:tc>
          <w:tcPr>
            <w:tcW w:w="100" w:type="dxa"/>
            <w:vAlign w:val="bottom"/>
          </w:tcPr>
          <w:p>
            <w:pPr>
              <w:spacing w:after="0"/>
              <w:rPr>
                <w:sz w:val="19"/>
                <w:szCs w:val="19"/>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USD Value at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USD Value at</w:t>
            </w:r>
          </w:p>
        </w:tc>
        <w:tc>
          <w:tcPr>
            <w:tcW w:w="100" w:type="dxa"/>
            <w:vAlign w:val="bottom"/>
          </w:tcPr>
          <w:p>
            <w:pPr>
              <w:spacing w:after="0"/>
              <w:rPr>
                <w:sz w:val="19"/>
                <w:szCs w:val="19"/>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Financial</w:t>
            </w:r>
          </w:p>
        </w:tc>
      </w:tr>
      <w:tr>
        <w:trPr>
          <w:trHeight w:val="215"/>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Foreign Currency Forward Contracts</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Settlement Date</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6"/>
              </w:rPr>
              <w:t>and Transaction</w:t>
            </w:r>
          </w:p>
        </w:tc>
        <w:tc>
          <w:tcPr>
            <w:tcW w:w="1220" w:type="dxa"/>
            <w:vAlign w:val="bottom"/>
            <w:gridSpan w:val="4"/>
          </w:tcPr>
          <w:p>
            <w:pPr>
              <w:ind w:left="100"/>
              <w:spacing w:after="0"/>
              <w:rPr>
                <w:sz w:val="20"/>
                <w:szCs w:val="20"/>
                <w:color w:val="auto"/>
              </w:rPr>
            </w:pPr>
            <w:r>
              <w:rPr>
                <w:rFonts w:ascii="Arial" w:cs="Arial" w:eastAsia="Arial" w:hAnsi="Arial"/>
                <w:sz w:val="14"/>
                <w:szCs w:val="14"/>
                <w:b w:val="1"/>
                <w:bCs w:val="1"/>
                <w:color w:val="auto"/>
              </w:rPr>
              <w:t>Settlement Date</w:t>
            </w:r>
          </w:p>
        </w:tc>
        <w:tc>
          <w:tcPr>
            <w:tcW w:w="146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Statements</w:t>
            </w:r>
          </w:p>
        </w:tc>
      </w:tr>
      <w:tr>
        <w:trPr>
          <w:trHeight w:val="223"/>
        </w:trPr>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Swedish Krona (SEK)</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January 24, 2014</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188,672 sold</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80"/>
              </w:rPr>
              <w:t>(28,440)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80"/>
              </w:rPr>
              <w:t>(29,366)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Pound Sterling (GBP)</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January 24, 2014</w:t>
            </w:r>
          </w:p>
        </w:tc>
        <w:tc>
          <w:tcPr>
            <w:tcW w:w="1140" w:type="dxa"/>
            <w:vAlign w:val="bottom"/>
          </w:tcPr>
          <w:p>
            <w:pPr>
              <w:jc w:val="right"/>
              <w:spacing w:after="0"/>
              <w:rPr>
                <w:sz w:val="20"/>
                <w:szCs w:val="20"/>
                <w:color w:val="auto"/>
              </w:rPr>
            </w:pPr>
            <w:r>
              <w:rPr>
                <w:rFonts w:ascii="Arial" w:cs="Arial" w:eastAsia="Arial" w:hAnsi="Arial"/>
                <w:sz w:val="18"/>
                <w:szCs w:val="18"/>
                <w:color w:val="auto"/>
              </w:rPr>
              <w:t>7,000 sold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ind w:left="160"/>
              <w:spacing w:after="0"/>
              <w:rPr>
                <w:sz w:val="20"/>
                <w:szCs w:val="20"/>
                <w:color w:val="auto"/>
              </w:rPr>
            </w:pPr>
            <w:r>
              <w:rPr>
                <w:rFonts w:ascii="Arial" w:cs="Arial" w:eastAsia="Arial" w:hAnsi="Arial"/>
                <w:sz w:val="18"/>
                <w:szCs w:val="18"/>
                <w:color w:val="auto"/>
              </w:rPr>
              <w:t>(11,274)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480"/>
              <w:spacing w:after="0"/>
              <w:rPr>
                <w:sz w:val="20"/>
                <w:szCs w:val="20"/>
                <w:color w:val="auto"/>
              </w:rPr>
            </w:pPr>
            <w:r>
              <w:rPr>
                <w:rFonts w:ascii="Arial" w:cs="Arial" w:eastAsia="Arial" w:hAnsi="Arial"/>
                <w:sz w:val="18"/>
                <w:szCs w:val="18"/>
                <w:color w:val="auto"/>
              </w:rPr>
              <w:t>(11,592)</w:t>
            </w: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(318)</w:t>
            </w:r>
          </w:p>
        </w:tc>
      </w:tr>
      <w:tr>
        <w:trPr>
          <w:trHeight w:val="223"/>
        </w:trPr>
        <w:tc>
          <w:tcPr>
            <w:tcW w:w="524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88"/>
              </w:rPr>
              <w:t>(39,714</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80"/>
              </w:rPr>
              <w:t>(40,958)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259"/>
        <w:spacing w:after="0" w:line="264" w:lineRule="auto"/>
        <w:rPr>
          <w:sz w:val="20"/>
          <w:szCs w:val="20"/>
          <w:color w:val="auto"/>
        </w:rPr>
      </w:pPr>
      <w:r>
        <w:rPr>
          <w:rFonts w:ascii="Arial" w:cs="Arial" w:eastAsia="Arial" w:hAnsi="Arial"/>
          <w:sz w:val="18"/>
          <w:szCs w:val="18"/>
          <w:color w:val="auto"/>
        </w:rPr>
        <w:t>All realized and unrealized gains and losses on foreign currency forward contracts are included in earnings (changes in net assets) and are reported as separate line items within the Company’s consolidated statements of operations. Unrealized gains and losses on foreign currency forward contracts are also reported as a separate line item within the Company’s consolidated balance sheets.</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Company has not been required to post cash collateral related to its foreign currency forward contracts, but may be required to do so in the future.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20" w:firstLine="259"/>
        <w:spacing w:after="0" w:line="276" w:lineRule="auto"/>
        <w:rPr>
          <w:sz w:val="20"/>
          <w:szCs w:val="20"/>
          <w:color w:val="auto"/>
        </w:rPr>
      </w:pPr>
      <w:r>
        <w:rPr>
          <w:rFonts w:ascii="Arial" w:cs="Arial" w:eastAsia="Arial" w:hAnsi="Arial"/>
          <w:sz w:val="17"/>
          <w:szCs w:val="17"/>
          <w:color w:val="auto"/>
        </w:rPr>
        <w:t>In June 2014, the Company entered into two interest rate swap transactions, each with a $57.5 million notional amount. As of December 31, 2014 the Company received fixed rate interest at 4.50% and paid variable rate interest based on the 3-month London Interbank Offered Rate (“LIBOR”) plus 2.529%. The swap transactions mature on December 15, 2019. For the year ended December 31, 2014, the Company recognized $1.0 million in unrealized appreciation on derivatives in the consolidated statement of operations related to the swap transactions. As of December 31, 2014, the swap transactions had a fair value of $1.0 million, which is included in receivable on interest rate swaps on the Company’s consolidated balance sheet.</w:t>
      </w:r>
    </w:p>
    <w:p>
      <w:pPr>
        <w:spacing w:after="0" w:line="173"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During the year ended December 31, 2014, the Company received $2.6 million and paid $1.6 million related to the quarterly settlements of its interest rate swaps. This net amount is a reduction to interest expense in the Company’s consolidated statements of operations.</w:t>
      </w:r>
    </w:p>
    <w:p>
      <w:pPr>
        <w:spacing w:after="0" w:line="170" w:lineRule="exact"/>
        <w:rPr>
          <w:sz w:val="20"/>
          <w:szCs w:val="20"/>
          <w:color w:val="auto"/>
        </w:rPr>
      </w:pPr>
    </w:p>
    <w:p>
      <w:pPr>
        <w:ind w:right="20" w:firstLine="259"/>
        <w:spacing w:after="0" w:line="291" w:lineRule="auto"/>
        <w:rPr>
          <w:sz w:val="20"/>
          <w:szCs w:val="20"/>
          <w:color w:val="auto"/>
        </w:rPr>
      </w:pPr>
      <w:r>
        <w:rPr>
          <w:rFonts w:ascii="Arial" w:cs="Arial" w:eastAsia="Arial" w:hAnsi="Arial"/>
          <w:sz w:val="16"/>
          <w:szCs w:val="16"/>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December 31, 2014, $2.3 million of cash is pledged as collateral under the Company’s derivative instruments and is included in restricted cash as a component of other assets on the Company’s consolidated balance sheet. The Company also had less than $0.1 million of cash collateral posted as of December 31, 2014, which is also included in restricted cash as a component of other assets on the Company’s consolidated balance sheet.</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fair value measurements of investments as of December 31, 2014 and 2013:</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7"/>
          </w:tcPr>
          <w:p>
            <w:pPr>
              <w:ind w:left="140"/>
              <w:spacing w:after="0"/>
              <w:rPr>
                <w:sz w:val="20"/>
                <w:szCs w:val="20"/>
                <w:color w:val="auto"/>
              </w:rPr>
            </w:pPr>
            <w:r>
              <w:rPr>
                <w:rFonts w:ascii="Arial" w:cs="Arial" w:eastAsia="Arial" w:hAnsi="Arial"/>
                <w:sz w:val="14"/>
                <w:szCs w:val="14"/>
                <w:b w:val="1"/>
                <w:bCs w:val="1"/>
                <w:color w:val="auto"/>
                <w:w w:val="95"/>
              </w:rPr>
              <w:t>Fair Value Hierarchy at December 31, 2014</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3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r>
      <w:tr>
        <w:trPr>
          <w:trHeight w:val="156"/>
        </w:trPr>
        <w:tc>
          <w:tcPr>
            <w:tcW w:w="3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Borders>
              <w:top w:val="single" w:sz="8" w:color="auto"/>
            </w:tcBorders>
          </w:tcPr>
          <w:p>
            <w:pPr>
              <w:ind w:left="340"/>
              <w:spacing w:after="0" w:line="155" w:lineRule="exact"/>
              <w:rPr>
                <w:sz w:val="20"/>
                <w:szCs w:val="20"/>
                <w:color w:val="auto"/>
              </w:rPr>
            </w:pPr>
            <w:r>
              <w:rPr>
                <w:rFonts w:ascii="Arial" w:cs="Arial" w:eastAsia="Arial" w:hAnsi="Arial"/>
                <w:sz w:val="14"/>
                <w:szCs w:val="14"/>
                <w:b w:val="1"/>
                <w:bCs w:val="1"/>
                <w:color w:val="auto"/>
              </w:rPr>
              <w:t>Level 1</w:t>
            </w:r>
          </w:p>
        </w:tc>
        <w:tc>
          <w:tcPr>
            <w:tcW w:w="2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Level 3</w:t>
            </w: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2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64,910</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1,059,336</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1,124,246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50,158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61,250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111,408</w:t>
            </w:r>
          </w:p>
        </w:tc>
        <w:tc>
          <w:tcPr>
            <w:tcW w:w="12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12,964</w:t>
            </w:r>
          </w:p>
        </w:tc>
        <w:tc>
          <w:tcPr>
            <w:tcW w:w="120" w:type="dxa"/>
            <w:vAlign w:val="bottom"/>
            <w:shd w:val="clear" w:color="auto" w:fill="CFF0FC"/>
          </w:tcPr>
          <w:p>
            <w:pPr>
              <w:spacing w:after="0"/>
              <w:rPr>
                <w:sz w:val="19"/>
                <w:szCs w:val="19"/>
                <w:color w:val="auto"/>
              </w:rPr>
            </w:pPr>
          </w:p>
        </w:tc>
      </w:tr>
      <w:tr>
        <w:trPr>
          <w:trHeight w:val="230"/>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5,525</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9,368</w:t>
            </w: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14,893</w:t>
            </w:r>
          </w:p>
        </w:tc>
        <w:tc>
          <w:tcPr>
            <w:tcW w:w="120" w:type="dxa"/>
            <w:vAlign w:val="bottom"/>
            <w:tcBorders>
              <w:bottom w:val="single" w:sz="8" w:color="CFF0FC"/>
            </w:tcBorders>
          </w:tcPr>
          <w:p>
            <w:pPr>
              <w:spacing w:after="0"/>
              <w:rPr>
                <w:sz w:val="19"/>
                <w:szCs w:val="19"/>
                <w:color w:val="auto"/>
              </w:rPr>
            </w:pPr>
          </w:p>
        </w:tc>
      </w:tr>
      <w:tr>
        <w:trPr>
          <w:trHeight w:val="223"/>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1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129,037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1,134,474</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1,263,511</w:t>
            </w:r>
          </w:p>
        </w:tc>
        <w:tc>
          <w:tcPr>
            <w:tcW w:w="120" w:type="dxa"/>
            <w:vAlign w:val="bottom"/>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1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9"/>
                <w:szCs w:val="19"/>
                <w:color w:val="auto"/>
              </w:rPr>
            </w:pPr>
          </w:p>
        </w:tc>
      </w:tr>
      <w:tr>
        <w:trPr>
          <w:trHeight w:val="223"/>
        </w:trPr>
        <w:tc>
          <w:tcPr>
            <w:tcW w:w="37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130,057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1,134,474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1,264,531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3720" w:type="dxa"/>
            <w:vAlign w:val="bottom"/>
          </w:tcPr>
          <w:p>
            <w:pPr>
              <w:spacing w:after="0"/>
              <w:rPr>
                <w:sz w:val="24"/>
                <w:szCs w:val="24"/>
                <w:color w:val="auto"/>
              </w:rPr>
            </w:pPr>
          </w:p>
        </w:tc>
        <w:tc>
          <w:tcPr>
            <w:tcW w:w="2080" w:type="dxa"/>
            <w:vAlign w:val="bottom"/>
            <w:gridSpan w:val="2"/>
          </w:tcPr>
          <w:p>
            <w:pPr>
              <w:ind w:left="1240"/>
              <w:spacing w:after="0"/>
              <w:rPr>
                <w:sz w:val="20"/>
                <w:szCs w:val="20"/>
                <w:color w:val="auto"/>
              </w:rPr>
            </w:pPr>
            <w:r>
              <w:rPr>
                <w:rFonts w:ascii="Arial" w:cs="Arial" w:eastAsia="Arial" w:hAnsi="Arial"/>
                <w:sz w:val="18"/>
                <w:szCs w:val="18"/>
                <w:color w:val="auto"/>
              </w:rPr>
              <w:t>F-23</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97" w:name="page98"/>
    <w:bookmarkEnd w:id="97"/>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w w:val="95"/>
              </w:rPr>
              <w:t>Fair Value Hierarchy at December 31, 2013</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1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22,192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854,972</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877,164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103,530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137,482</w:t>
            </w:r>
          </w:p>
        </w:tc>
        <w:tc>
          <w:tcPr>
            <w:tcW w:w="120" w:type="dxa"/>
            <w:vAlign w:val="bottom"/>
          </w:tcPr>
          <w:p>
            <w:pPr>
              <w:spacing w:after="0"/>
              <w:rPr>
                <w:sz w:val="19"/>
                <w:szCs w:val="19"/>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Equity investments</w:t>
            </w: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1,805</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1,805</w:t>
            </w:r>
          </w:p>
        </w:tc>
        <w:tc>
          <w:tcPr>
            <w:tcW w:w="120" w:type="dxa"/>
            <w:vAlign w:val="bottom"/>
          </w:tcPr>
          <w:p>
            <w:pPr>
              <w:spacing w:after="0"/>
              <w:rPr>
                <w:sz w:val="19"/>
                <w:szCs w:val="19"/>
                <w:color w:val="auto"/>
              </w:rPr>
            </w:pPr>
          </w:p>
        </w:tc>
      </w:tr>
      <w:tr>
        <w:trPr>
          <w:trHeight w:val="223"/>
        </w:trPr>
        <w:tc>
          <w:tcPr>
            <w:tcW w:w="38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 at Fair Value</w:t>
            </w:r>
          </w:p>
        </w:tc>
        <w:tc>
          <w:tcPr>
            <w:tcW w:w="11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56,144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960,307</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1,016,451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currency forward contracts</w:t>
            </w:r>
          </w:p>
        </w:tc>
        <w:tc>
          <w:tcPr>
            <w:tcW w:w="11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20" w:type="dxa"/>
            <w:vAlign w:val="bottom"/>
            <w:tcBorders>
              <w:bottom w:val="single" w:sz="8" w:color="CFF0FC"/>
            </w:tcBorders>
          </w:tcPr>
          <w:p>
            <w:pPr>
              <w:spacing w:after="0"/>
              <w:rPr>
                <w:sz w:val="19"/>
                <w:szCs w:val="19"/>
                <w:color w:val="auto"/>
              </w:rPr>
            </w:pPr>
          </w:p>
        </w:tc>
      </w:tr>
      <w:tr>
        <w:trPr>
          <w:trHeight w:val="223"/>
        </w:trPr>
        <w:tc>
          <w:tcPr>
            <w:tcW w:w="38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54,900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960,307</w:t>
            </w:r>
          </w:p>
        </w:tc>
        <w:tc>
          <w:tcPr>
            <w:tcW w:w="16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1,015,207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year ended December 31, 2014 and 2013: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4"/>
              </w:rPr>
              <w:t>First-lien</w:t>
            </w: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0"/>
              </w:rPr>
              <w:t>Second-lien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4"/>
              </w:rPr>
              <w:t>Mezzanine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debt</w:t>
            </w: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debt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debt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2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year</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854,972</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103,530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1,805</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960,307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770,732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72,850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4,640</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13,192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861,414</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investments</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(94,952)</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(94,952)</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(473,178)</w:t>
            </w:r>
          </w:p>
        </w:tc>
        <w:tc>
          <w:tcPr>
            <w:tcW w:w="1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(113,148)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(586,326)</w:t>
            </w: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2,748</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Net change in unrealized losses</w:t>
            </w: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(15,365)</w:t>
            </w:r>
          </w:p>
        </w:tc>
        <w:tc>
          <w:tcPr>
            <w:tcW w:w="1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(5,681)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(328)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(5,629)</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(27,003)</w:t>
            </w: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15,357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18,347</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Pr>
          <w:p>
            <w:pPr>
              <w:ind w:left="260"/>
              <w:spacing w:after="0"/>
              <w:rPr>
                <w:sz w:val="20"/>
                <w:szCs w:val="20"/>
                <w:color w:val="auto"/>
              </w:rPr>
            </w:pPr>
            <w:r>
              <w:rPr>
                <w:rFonts w:ascii="Arial" w:cs="Arial" w:eastAsia="Arial" w:hAnsi="Arial"/>
                <w:sz w:val="18"/>
                <w:szCs w:val="18"/>
                <w:b w:val="1"/>
                <w:bCs w:val="1"/>
                <w:color w:val="auto"/>
              </w:rPr>
              <w:t>Balance, End of Year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1,059,336</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9,368</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1,134,474</w:t>
            </w:r>
          </w:p>
        </w:tc>
        <w:tc>
          <w:tcPr>
            <w:tcW w:w="12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7"/>
        </w:trPr>
        <w:tc>
          <w:tcPr>
            <w:tcW w:w="5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5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4"/>
              </w:rPr>
              <w:t>First-lien</w:t>
            </w: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0"/>
              </w:rPr>
              <w:t>Second-lien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4"/>
              </w:rPr>
              <w:t>Mezzanine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debt</w:t>
            </w: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debt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debt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2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year</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514,104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53,190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569,294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507,056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51,270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559,106</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investments</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(30,615)</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(30,615)</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(178,831)</w:t>
            </w:r>
          </w:p>
        </w:tc>
        <w:tc>
          <w:tcPr>
            <w:tcW w:w="1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(4,086)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(182,917)</w:t>
            </w: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2,749</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6,054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(975)</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6,944</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5,367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5,679</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of Level 3</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29,925</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Pr>
          <w:p>
            <w:pPr>
              <w:ind w:left="260"/>
              <w:spacing w:after="0"/>
              <w:rPr>
                <w:sz w:val="20"/>
                <w:szCs w:val="20"/>
                <w:color w:val="auto"/>
              </w:rPr>
            </w:pPr>
            <w:r>
              <w:rPr>
                <w:rFonts w:ascii="Arial" w:cs="Arial" w:eastAsia="Arial" w:hAnsi="Arial"/>
                <w:sz w:val="18"/>
                <w:szCs w:val="18"/>
                <w:b w:val="1"/>
                <w:bCs w:val="1"/>
                <w:color w:val="auto"/>
              </w:rPr>
              <w:t>Balance,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854,972</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960,307</w:t>
            </w:r>
          </w:p>
        </w:tc>
        <w:tc>
          <w:tcPr>
            <w:tcW w:w="12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20" w:firstLine="259"/>
        <w:spacing w:after="0" w:line="277" w:lineRule="auto"/>
        <w:rPr>
          <w:sz w:val="20"/>
          <w:szCs w:val="20"/>
          <w:color w:val="auto"/>
        </w:rPr>
      </w:pPr>
      <w:r>
        <w:rPr>
          <w:rFonts w:ascii="Arial" w:cs="Arial" w:eastAsia="Arial" w:hAnsi="Arial"/>
          <w:sz w:val="18"/>
          <w:szCs w:val="18"/>
          <w:color w:val="auto"/>
        </w:rPr>
        <w:t>Aptean Holdings, Inc., formerly known as Consona Holdings, Inc., transferred into Level 3 during the year ended December 31, 2013, as a result of changes in the observability of inputs into its valuation.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562" w:right="239" w:bottom="1440" w:gutter="0" w:footer="0" w:header="0"/>
        </w:sectPr>
      </w:pPr>
    </w:p>
    <w:bookmarkStart w:id="98" w:name="page99"/>
    <w:bookmarkEnd w:id="98"/>
    <w:p>
      <w:pPr>
        <w:ind w:right="300" w:firstLine="259"/>
        <w:spacing w:after="0" w:line="277"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2014 and 2013:</w:t>
      </w:r>
    </w:p>
    <w:p>
      <w:pPr>
        <w:sectPr>
          <w:pgSz w:w="11900" w:h="16838" w:orient="portrait"/>
          <w:cols w:equalWidth="0" w:num="1">
            <w:col w:w="11420"/>
          </w:cols>
          <w:pgMar w:left="240" w:top="557" w:right="239" w:bottom="1440" w:gutter="0" w:footer="0" w:header="0"/>
        </w:sectPr>
      </w:pPr>
    </w:p>
    <w:p>
      <w:pPr>
        <w:spacing w:after="0" w:line="176" w:lineRule="exact"/>
        <w:rPr>
          <w:sz w:val="20"/>
          <w:szCs w:val="20"/>
          <w:color w:val="auto"/>
        </w:rPr>
      </w:pPr>
    </w:p>
    <w:p>
      <w:pPr>
        <w:jc w:val="center"/>
        <w:ind w:left="5640"/>
        <w:spacing w:after="0"/>
        <w:rPr>
          <w:sz w:val="20"/>
          <w:szCs w:val="20"/>
          <w:color w:val="auto"/>
        </w:rPr>
      </w:pPr>
      <w:r>
        <w:rPr>
          <w:rFonts w:ascii="Arial" w:cs="Arial" w:eastAsia="Arial" w:hAnsi="Arial"/>
          <w:sz w:val="14"/>
          <w:szCs w:val="14"/>
          <w:b w:val="1"/>
          <w:bCs w:val="1"/>
          <w:color w:val="auto"/>
        </w:rPr>
        <w:t>Net Change in Unrealized</w:t>
      </w:r>
    </w:p>
    <w:p>
      <w:pPr>
        <w:spacing w:after="0" w:line="17" w:lineRule="exact"/>
        <w:rPr>
          <w:sz w:val="20"/>
          <w:szCs w:val="20"/>
          <w:color w:val="auto"/>
        </w:rPr>
      </w:pPr>
    </w:p>
    <w:p>
      <w:pPr>
        <w:jc w:val="center"/>
        <w:ind w:left="5640"/>
        <w:spacing w:after="0"/>
        <w:rPr>
          <w:sz w:val="20"/>
          <w:szCs w:val="20"/>
          <w:color w:val="auto"/>
        </w:rPr>
      </w:pPr>
      <w:r>
        <w:rPr>
          <w:rFonts w:ascii="Arial" w:cs="Arial" w:eastAsia="Arial" w:hAnsi="Arial"/>
          <w:sz w:val="13"/>
          <w:szCs w:val="13"/>
          <w:b w:val="1"/>
          <w:bCs w:val="1"/>
          <w:color w:val="auto"/>
        </w:rPr>
        <w:t>Appreciation or (Depreciation)</w:t>
      </w:r>
    </w:p>
    <w:p>
      <w:pPr>
        <w:spacing w:after="0" w:line="13" w:lineRule="exact"/>
        <w:rPr>
          <w:sz w:val="20"/>
          <w:szCs w:val="20"/>
          <w:color w:val="auto"/>
        </w:rPr>
      </w:pPr>
    </w:p>
    <w:p>
      <w:pPr>
        <w:jc w:val="center"/>
        <w:ind w:left="5640"/>
        <w:spacing w:after="0"/>
        <w:rPr>
          <w:sz w:val="20"/>
          <w:szCs w:val="20"/>
          <w:color w:val="auto"/>
        </w:rPr>
      </w:pPr>
      <w:r>
        <w:rPr>
          <w:rFonts w:ascii="Arial" w:cs="Arial" w:eastAsia="Arial" w:hAnsi="Arial"/>
          <w:sz w:val="14"/>
          <w:szCs w:val="14"/>
          <w:b w:val="1"/>
          <w:bCs w:val="1"/>
          <w:color w:val="auto"/>
        </w:rPr>
        <w:t>for the Year Ended</w:t>
      </w:r>
    </w:p>
    <w:p>
      <w:pPr>
        <w:spacing w:after="0" w:line="1" w:lineRule="exact"/>
        <w:rPr>
          <w:sz w:val="20"/>
          <w:szCs w:val="20"/>
          <w:color w:val="auto"/>
        </w:rPr>
      </w:pPr>
    </w:p>
    <w:p>
      <w:pPr>
        <w:ind w:left="5920"/>
        <w:spacing w:after="0"/>
        <w:rPr>
          <w:sz w:val="20"/>
          <w:szCs w:val="20"/>
          <w:color w:val="auto"/>
        </w:rPr>
      </w:pPr>
      <w:r>
        <w:rPr>
          <w:rFonts w:ascii="Arial" w:cs="Arial" w:eastAsia="Arial" w:hAnsi="Arial"/>
          <w:sz w:val="14"/>
          <w:szCs w:val="14"/>
          <w:b w:val="1"/>
          <w:bCs w:val="1"/>
          <w:color w:val="auto"/>
        </w:rPr>
        <w:t>December 31, 2014 on</w:t>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4"/>
          <w:szCs w:val="14"/>
          <w:b w:val="1"/>
          <w:bCs w:val="1"/>
          <w:color w:val="auto"/>
        </w:rPr>
        <w:t>Investments Held at</w:t>
      </w:r>
    </w:p>
    <w:p>
      <w:pPr>
        <w:ind w:left="6020"/>
        <w:spacing w:after="0" w:line="233" w:lineRule="auto"/>
        <w:rPr>
          <w:sz w:val="20"/>
          <w:szCs w:val="20"/>
          <w:color w:val="auto"/>
        </w:rPr>
      </w:pPr>
      <w:r>
        <w:rPr>
          <w:rFonts w:ascii="Arial" w:cs="Arial" w:eastAsia="Arial" w:hAnsi="Arial"/>
          <w:sz w:val="14"/>
          <w:szCs w:val="14"/>
          <w:b w:val="1"/>
          <w:bCs w:val="1"/>
          <w:color w:val="auto"/>
        </w:rPr>
        <w:t>December 31, 2014</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820"/>
        <w:spacing w:after="0"/>
        <w:rPr>
          <w:sz w:val="20"/>
          <w:szCs w:val="20"/>
          <w:color w:val="auto"/>
        </w:rPr>
      </w:pPr>
      <w:r>
        <w:rPr>
          <w:rFonts w:ascii="Arial" w:cs="Arial" w:eastAsia="Arial" w:hAnsi="Arial"/>
          <w:sz w:val="14"/>
          <w:szCs w:val="14"/>
          <w:b w:val="1"/>
          <w:bCs w:val="1"/>
          <w:color w:val="auto"/>
        </w:rPr>
        <w:t>Net Change in Unrealized</w:t>
      </w:r>
    </w:p>
    <w:p>
      <w:pPr>
        <w:spacing w:after="0" w:line="17" w:lineRule="exact"/>
        <w:rPr>
          <w:sz w:val="20"/>
          <w:szCs w:val="20"/>
          <w:color w:val="auto"/>
        </w:rPr>
      </w:pPr>
    </w:p>
    <w:p>
      <w:pPr>
        <w:jc w:val="center"/>
        <w:ind w:right="1820"/>
        <w:spacing w:after="0"/>
        <w:rPr>
          <w:sz w:val="20"/>
          <w:szCs w:val="20"/>
          <w:color w:val="auto"/>
        </w:rPr>
      </w:pPr>
      <w:r>
        <w:rPr>
          <w:rFonts w:ascii="Arial" w:cs="Arial" w:eastAsia="Arial" w:hAnsi="Arial"/>
          <w:sz w:val="13"/>
          <w:szCs w:val="13"/>
          <w:b w:val="1"/>
          <w:bCs w:val="1"/>
          <w:color w:val="auto"/>
        </w:rPr>
        <w:t>Appreciation or (Depreciation)</w:t>
      </w:r>
    </w:p>
    <w:p>
      <w:pPr>
        <w:spacing w:after="0" w:line="13" w:lineRule="exact"/>
        <w:rPr>
          <w:sz w:val="20"/>
          <w:szCs w:val="20"/>
          <w:color w:val="auto"/>
        </w:rPr>
      </w:pPr>
    </w:p>
    <w:p>
      <w:pPr>
        <w:jc w:val="center"/>
        <w:ind w:right="1820"/>
        <w:spacing w:after="0"/>
        <w:rPr>
          <w:sz w:val="20"/>
          <w:szCs w:val="20"/>
          <w:color w:val="auto"/>
        </w:rPr>
      </w:pPr>
      <w:r>
        <w:rPr>
          <w:rFonts w:ascii="Arial" w:cs="Arial" w:eastAsia="Arial" w:hAnsi="Arial"/>
          <w:sz w:val="14"/>
          <w:szCs w:val="14"/>
          <w:b w:val="1"/>
          <w:bCs w:val="1"/>
          <w:color w:val="auto"/>
        </w:rPr>
        <w:t>for the Year Ended</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December 31, 2013 on</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Investments Held at</w:t>
      </w:r>
    </w:p>
    <w:p>
      <w:pPr>
        <w:ind w:left="360"/>
        <w:spacing w:after="0" w:line="233" w:lineRule="auto"/>
        <w:rPr>
          <w:sz w:val="20"/>
          <w:szCs w:val="20"/>
          <w:color w:val="auto"/>
        </w:rPr>
      </w:pPr>
      <w:r>
        <w:rPr>
          <w:rFonts w:ascii="Arial" w:cs="Arial" w:eastAsia="Arial" w:hAnsi="Arial"/>
          <w:sz w:val="14"/>
          <w:szCs w:val="14"/>
          <w:b w:val="1"/>
          <w:bCs w:val="1"/>
          <w:color w:val="auto"/>
        </w:rPr>
        <w:t>December 31, 2013</w:t>
      </w:r>
    </w:p>
    <w:p>
      <w:pPr>
        <w:spacing w:after="0" w:line="20" w:lineRule="exact"/>
        <w:rPr>
          <w:sz w:val="20"/>
          <w:szCs w:val="20"/>
          <w:color w:val="auto"/>
        </w:rPr>
      </w:pPr>
    </w:p>
    <w:p>
      <w:pPr>
        <w:sectPr>
          <w:pgSz w:w="11900" w:h="16838" w:orient="portrait"/>
          <w:cols w:equalWidth="0" w:num="2">
            <w:col w:w="7540" w:space="180"/>
            <w:col w:w="3700"/>
          </w:cols>
          <w:pgMar w:left="240" w:top="557" w:right="239" w:bottom="1440" w:gutter="0" w:footer="0" w:header="0"/>
          <w:type w:val="continuous"/>
        </w:sectPr>
      </w:pPr>
    </w:p>
    <w:tbl>
      <w:tblPr>
        <w:tblLayout w:type="fixed"/>
        <w:tblInd w:w="1720" w:type="dxa"/>
        <w:tblCellMar>
          <w:top w:w="0" w:type="dxa"/>
          <w:left w:w="0" w:type="dxa"/>
          <w:bottom w:w="0" w:type="dxa"/>
          <w:right w:w="0" w:type="dxa"/>
        </w:tblCellMar>
      </w:tblPr>
      <w:tr>
        <w:trPr>
          <w:trHeight w:val="20"/>
        </w:trPr>
        <w:tc>
          <w:tcPr>
            <w:tcW w:w="39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7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vMerge w:val="continue"/>
            <w:shd w:val="clear" w:color="auto" w:fill="CFF0FC"/>
          </w:tcPr>
          <w:p>
            <w:pPr>
              <w:spacing w:after="0"/>
              <w:rPr>
                <w:sz w:val="17"/>
                <w:szCs w:val="17"/>
                <w:color w:val="auto"/>
              </w:rPr>
            </w:pPr>
          </w:p>
        </w:tc>
        <w:tc>
          <w:tcPr>
            <w:tcW w:w="720" w:type="dxa"/>
            <w:vAlign w:val="bottom"/>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1340" w:type="dxa"/>
            <w:vAlign w:val="bottom"/>
            <w:tcBorders>
              <w:right w:val="single" w:sz="8" w:color="CFF0FC"/>
            </w:tcBorders>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(10,256)</w:t>
            </w:r>
          </w:p>
        </w:tc>
        <w:tc>
          <w:tcPr>
            <w:tcW w:w="800" w:type="dxa"/>
            <w:vAlign w:val="bottom"/>
            <w:shd w:val="clear" w:color="auto" w:fill="CFF0FC"/>
          </w:tcPr>
          <w:p>
            <w:pPr>
              <w:jc w:val="right"/>
              <w:ind w:right="6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8,468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72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(408)</w:t>
            </w:r>
          </w:p>
        </w:tc>
        <w:tc>
          <w:tcPr>
            <w:tcW w:w="8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720" w:type="dxa"/>
            <w:vAlign w:val="bottom"/>
            <w:shd w:val="clear" w:color="auto" w:fill="CFF0FC"/>
          </w:tcPr>
          <w:p>
            <w:pPr>
              <w:spacing w:after="0"/>
              <w:rPr>
                <w:sz w:val="19"/>
                <w:szCs w:val="19"/>
                <w:color w:val="auto"/>
              </w:rPr>
            </w:pPr>
          </w:p>
        </w:tc>
        <w:tc>
          <w:tcPr>
            <w:tcW w:w="134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(328)</w:t>
            </w:r>
          </w:p>
        </w:tc>
        <w:tc>
          <w:tcPr>
            <w:tcW w:w="8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72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(5,629)</w:t>
            </w:r>
          </w:p>
        </w:tc>
        <w:tc>
          <w:tcPr>
            <w:tcW w:w="8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top w:val="single" w:sz="8" w:color="auto"/>
              <w:bottom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(16,621)</w:t>
            </w:r>
          </w:p>
        </w:tc>
        <w:tc>
          <w:tcPr>
            <w:tcW w:w="14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presents the fair value of Level 3 Investments at fair value and the significant unobservable inputs used in the valuations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and 2013:</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146"/>
        </w:trPr>
        <w:tc>
          <w:tcPr>
            <w:tcW w:w="2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Impact to Valuation</w:t>
            </w:r>
          </w:p>
        </w:tc>
      </w:tr>
      <w:tr>
        <w:trPr>
          <w:trHeight w:val="162"/>
        </w:trPr>
        <w:tc>
          <w:tcPr>
            <w:tcW w:w="2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360"/>
              <w:spacing w:after="0"/>
              <w:rPr>
                <w:sz w:val="20"/>
                <w:szCs w:val="20"/>
                <w:color w:val="auto"/>
              </w:rPr>
            </w:pPr>
            <w:r>
              <w:rPr>
                <w:rFonts w:ascii="Arial" w:cs="Arial" w:eastAsia="Arial" w:hAnsi="Arial"/>
                <w:sz w:val="14"/>
                <w:szCs w:val="14"/>
                <w:b w:val="1"/>
                <w:bCs w:val="1"/>
                <w:color w:val="auto"/>
              </w:rPr>
              <w:t>Valuation</w:t>
            </w:r>
          </w:p>
        </w:tc>
        <w:tc>
          <w:tcPr>
            <w:tcW w:w="1300" w:type="dxa"/>
            <w:vAlign w:val="bottom"/>
          </w:tcPr>
          <w:p>
            <w:pPr>
              <w:ind w:left="220"/>
              <w:spacing w:after="0"/>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from an Increase to</w:t>
            </w:r>
          </w:p>
        </w:tc>
      </w:tr>
      <w:tr>
        <w:trPr>
          <w:trHeight w:val="171"/>
        </w:trPr>
        <w:tc>
          <w:tcPr>
            <w:tcW w:w="2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460" w:type="dxa"/>
            <w:vAlign w:val="bottom"/>
            <w:gridSpan w:val="2"/>
          </w:tcPr>
          <w:p>
            <w:pPr>
              <w:ind w:left="340"/>
              <w:spacing w:after="0"/>
              <w:rPr>
                <w:sz w:val="20"/>
                <w:szCs w:val="20"/>
                <w:color w:val="auto"/>
              </w:rPr>
            </w:pPr>
            <w:r>
              <w:rPr>
                <w:rFonts w:ascii="Arial" w:cs="Arial" w:eastAsia="Arial" w:hAnsi="Arial"/>
                <w:sz w:val="14"/>
                <w:szCs w:val="14"/>
                <w:b w:val="1"/>
                <w:bCs w:val="1"/>
                <w:color w:val="auto"/>
              </w:rPr>
              <w:t>Technique</w:t>
            </w:r>
          </w:p>
        </w:tc>
        <w:tc>
          <w:tcPr>
            <w:tcW w:w="1300" w:type="dxa"/>
            <w:vAlign w:val="bottom"/>
          </w:tcPr>
          <w:p>
            <w:pPr>
              <w:ind w:left="460"/>
              <w:spacing w:after="0"/>
              <w:rPr>
                <w:sz w:val="20"/>
                <w:szCs w:val="20"/>
                <w:color w:val="auto"/>
              </w:rPr>
            </w:pPr>
            <w:r>
              <w:rPr>
                <w:rFonts w:ascii="Arial" w:cs="Arial" w:eastAsia="Arial" w:hAnsi="Arial"/>
                <w:sz w:val="14"/>
                <w:szCs w:val="14"/>
                <w:b w:val="1"/>
                <w:bCs w:val="1"/>
                <w:color w:val="auto"/>
              </w:rPr>
              <w:t>Input</w:t>
            </w:r>
          </w:p>
        </w:tc>
        <w:tc>
          <w:tcPr>
            <w:tcW w:w="10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Input</w:t>
            </w:r>
          </w:p>
        </w:tc>
      </w:tr>
      <w:tr>
        <w:trPr>
          <w:trHeight w:val="209"/>
        </w:trPr>
        <w:tc>
          <w:tcPr>
            <w:tcW w:w="294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4"/>
              </w:rPr>
              <w:t>Income approach</w:t>
            </w:r>
          </w:p>
        </w:tc>
        <w:tc>
          <w:tcPr>
            <w:tcW w:w="12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1,059,336</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r>
              <w:rPr>
                <w:rFonts w:ascii="Arial" w:cs="Arial" w:eastAsia="Arial" w:hAnsi="Arial"/>
                <w:sz w:val="18"/>
                <w:szCs w:val="18"/>
                <w:color w:val="auto"/>
              </w:rPr>
              <w:t>Market yield</w:t>
            </w:r>
          </w:p>
        </w:tc>
        <w:tc>
          <w:tcPr>
            <w:tcW w:w="100" w:type="dxa"/>
            <w:vAlign w:val="bottom"/>
            <w:shd w:val="clear" w:color="auto" w:fill="CFF0FC"/>
          </w:tcPr>
          <w:p>
            <w:pPr>
              <w:spacing w:after="0"/>
              <w:rPr>
                <w:sz w:val="20"/>
                <w:szCs w:val="20"/>
                <w:color w:val="auto"/>
              </w:rPr>
            </w:pPr>
          </w:p>
        </w:tc>
        <w:tc>
          <w:tcPr>
            <w:tcW w:w="2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8.00% — 15.35% (10.86%)</w:t>
            </w:r>
          </w:p>
        </w:tc>
        <w:tc>
          <w:tcPr>
            <w:tcW w:w="14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Decrease</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61,250</w:t>
            </w:r>
          </w:p>
        </w:tc>
        <w:tc>
          <w:tcPr>
            <w:tcW w:w="22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Income approach</w:t>
            </w:r>
          </w:p>
        </w:tc>
        <w:tc>
          <w:tcPr>
            <w:tcW w:w="1300" w:type="dxa"/>
            <w:vAlign w:val="bottom"/>
          </w:tcPr>
          <w:p>
            <w:pPr>
              <w:spacing w:after="0"/>
              <w:rPr>
                <w:sz w:val="20"/>
                <w:szCs w:val="20"/>
                <w:color w:val="auto"/>
              </w:rPr>
            </w:pPr>
            <w:r>
              <w:rPr>
                <w:rFonts w:ascii="Arial" w:cs="Arial" w:eastAsia="Arial" w:hAnsi="Arial"/>
                <w:sz w:val="18"/>
                <w:szCs w:val="18"/>
                <w:color w:val="auto"/>
              </w:rPr>
              <w:t>Market yield</w:t>
            </w:r>
          </w:p>
        </w:tc>
        <w:tc>
          <w:tcPr>
            <w:tcW w:w="10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2"/>
              </w:rPr>
              <w:t>10.97% — 10.97% (10.97%)</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Decrease</w:t>
            </w: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approach</w:t>
            </w:r>
          </w:p>
        </w:tc>
        <w:tc>
          <w:tcPr>
            <w:tcW w:w="1300" w:type="dxa"/>
            <w:vAlign w:val="bottom"/>
            <w:shd w:val="clear" w:color="auto" w:fill="CFF0FC"/>
          </w:tcPr>
          <w:p>
            <w:pPr>
              <w:spacing w:after="0"/>
              <w:rPr>
                <w:sz w:val="20"/>
                <w:szCs w:val="20"/>
                <w:color w:val="auto"/>
              </w:rPr>
            </w:pPr>
            <w:r>
              <w:rPr>
                <w:rFonts w:ascii="Arial" w:cs="Arial" w:eastAsia="Arial" w:hAnsi="Arial"/>
                <w:sz w:val="18"/>
                <w:szCs w:val="18"/>
                <w:color w:val="auto"/>
              </w:rPr>
              <w:t>Market yield</w:t>
            </w:r>
          </w:p>
        </w:tc>
        <w:tc>
          <w:tcPr>
            <w:tcW w:w="100" w:type="dxa"/>
            <w:vAlign w:val="bottom"/>
            <w:shd w:val="clear" w:color="auto" w:fill="CFF0FC"/>
          </w:tcPr>
          <w:p>
            <w:pPr>
              <w:spacing w:after="0"/>
              <w:rPr>
                <w:sz w:val="19"/>
                <w:szCs w:val="19"/>
                <w:color w:val="auto"/>
              </w:rPr>
            </w:pPr>
          </w:p>
        </w:tc>
        <w:tc>
          <w:tcPr>
            <w:tcW w:w="2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20.78% — 20.78% (20.78%)</w:t>
            </w:r>
          </w:p>
        </w:tc>
        <w:tc>
          <w:tcPr>
            <w:tcW w:w="14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Decrease</w:t>
            </w:r>
          </w:p>
        </w:tc>
      </w:tr>
      <w:tr>
        <w:trPr>
          <w:trHeight w:val="215"/>
        </w:trPr>
        <w:tc>
          <w:tcPr>
            <w:tcW w:w="2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Market Multiple,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Discounted Cash</w:t>
            </w:r>
          </w:p>
        </w:tc>
        <w:tc>
          <w:tcPr>
            <w:tcW w:w="1300" w:type="dxa"/>
            <w:vAlign w:val="bottom"/>
          </w:tcPr>
          <w:p>
            <w:pPr>
              <w:spacing w:after="0"/>
              <w:rPr>
                <w:sz w:val="20"/>
                <w:szCs w:val="20"/>
                <w:color w:val="auto"/>
              </w:rPr>
            </w:pPr>
            <w:r>
              <w:rPr>
                <w:rFonts w:ascii="Arial" w:cs="Arial" w:eastAsia="Arial" w:hAnsi="Arial"/>
                <w:sz w:val="18"/>
                <w:szCs w:val="18"/>
                <w:color w:val="auto"/>
              </w:rPr>
              <w:t>Comparable</w:t>
            </w: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Flow or</w:t>
            </w:r>
          </w:p>
        </w:tc>
        <w:tc>
          <w:tcPr>
            <w:tcW w:w="1300" w:type="dxa"/>
            <w:vAlign w:val="bottom"/>
          </w:tcPr>
          <w:p>
            <w:pPr>
              <w:spacing w:after="0"/>
              <w:rPr>
                <w:sz w:val="20"/>
                <w:szCs w:val="20"/>
                <w:color w:val="auto"/>
              </w:rPr>
            </w:pPr>
            <w:r>
              <w:rPr>
                <w:rFonts w:ascii="Arial" w:cs="Arial" w:eastAsia="Arial" w:hAnsi="Arial"/>
                <w:sz w:val="18"/>
                <w:szCs w:val="18"/>
                <w:color w:val="auto"/>
              </w:rPr>
              <w:t>multiple,</w:t>
            </w: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Black Scholes</w:t>
            </w:r>
          </w:p>
        </w:tc>
        <w:tc>
          <w:tcPr>
            <w:tcW w:w="1300" w:type="dxa"/>
            <w:vAlign w:val="bottom"/>
          </w:tcPr>
          <w:p>
            <w:pPr>
              <w:spacing w:after="0"/>
              <w:rPr>
                <w:sz w:val="20"/>
                <w:szCs w:val="20"/>
                <w:color w:val="auto"/>
              </w:rPr>
            </w:pPr>
            <w:r>
              <w:rPr>
                <w:rFonts w:ascii="Arial" w:cs="Arial" w:eastAsia="Arial" w:hAnsi="Arial"/>
                <w:sz w:val="18"/>
                <w:szCs w:val="18"/>
                <w:color w:val="auto"/>
              </w:rPr>
              <w:t>discount rate or</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7.9x — 13.0x (10.4x) or</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Increase or</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9,368</w:t>
            </w:r>
          </w:p>
        </w:tc>
        <w:tc>
          <w:tcPr>
            <w:tcW w:w="22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Option Model</w:t>
            </w:r>
          </w:p>
        </w:tc>
        <w:tc>
          <w:tcPr>
            <w:tcW w:w="1300" w:type="dxa"/>
            <w:vAlign w:val="bottom"/>
          </w:tcPr>
          <w:p>
            <w:pPr>
              <w:spacing w:after="0"/>
              <w:rPr>
                <w:sz w:val="20"/>
                <w:szCs w:val="20"/>
                <w:color w:val="auto"/>
              </w:rPr>
            </w:pPr>
            <w:r>
              <w:rPr>
                <w:rFonts w:ascii="Arial" w:cs="Arial" w:eastAsia="Arial" w:hAnsi="Arial"/>
                <w:sz w:val="18"/>
                <w:szCs w:val="18"/>
                <w:color w:val="auto"/>
              </w:rPr>
              <w:t>volatility</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14.4% or 40%</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decrease</w:t>
            </w:r>
          </w:p>
        </w:tc>
      </w:tr>
    </w:tbl>
    <w:p>
      <w:pPr>
        <w:spacing w:after="0" w:line="161" w:lineRule="exact"/>
        <w:rPr>
          <w:sz w:val="20"/>
          <w:szCs w:val="20"/>
          <w:color w:val="auto"/>
        </w:rPr>
      </w:pPr>
    </w:p>
    <w:p>
      <w:pPr>
        <w:ind w:left="760" w:right="160" w:hanging="372"/>
        <w:spacing w:after="0" w:line="277" w:lineRule="auto"/>
        <w:tabs>
          <w:tab w:leader="none" w:pos="7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$15.6 million of first-lien debt investments which, due to the proximity of the transactions relative to the measurement date, were valued using the cost of the investments.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9"/>
              </w:rPr>
              <w:t>December 31, 2013</w:t>
            </w:r>
          </w:p>
        </w:tc>
        <w:tc>
          <w:tcPr>
            <w:tcW w:w="1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146"/>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Impact to Valuation</w:t>
            </w:r>
          </w:p>
        </w:tc>
      </w:tr>
      <w:tr>
        <w:trPr>
          <w:trHeight w:val="162"/>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ind w:left="380"/>
              <w:spacing w:after="0"/>
              <w:rPr>
                <w:sz w:val="20"/>
                <w:szCs w:val="20"/>
                <w:color w:val="auto"/>
              </w:rPr>
            </w:pPr>
            <w:r>
              <w:rPr>
                <w:rFonts w:ascii="Arial" w:cs="Arial" w:eastAsia="Arial" w:hAnsi="Arial"/>
                <w:sz w:val="14"/>
                <w:szCs w:val="14"/>
                <w:b w:val="1"/>
                <w:bCs w:val="1"/>
                <w:color w:val="auto"/>
              </w:rPr>
              <w:t>Valuation</w:t>
            </w:r>
          </w:p>
        </w:tc>
        <w:tc>
          <w:tcPr>
            <w:tcW w:w="1460" w:type="dxa"/>
            <w:vAlign w:val="bottom"/>
            <w:gridSpan w:val="2"/>
          </w:tcPr>
          <w:p>
            <w:pPr>
              <w:ind w:left="240"/>
              <w:spacing w:after="0"/>
              <w:rPr>
                <w:sz w:val="20"/>
                <w:szCs w:val="20"/>
                <w:color w:val="auto"/>
              </w:rPr>
            </w:pPr>
            <w:r>
              <w:rPr>
                <w:rFonts w:ascii="Arial" w:cs="Arial" w:eastAsia="Arial" w:hAnsi="Arial"/>
                <w:sz w:val="14"/>
                <w:szCs w:val="14"/>
                <w:b w:val="1"/>
                <w:bCs w:val="1"/>
                <w:color w:val="auto"/>
              </w:rPr>
              <w:t>Unobservable</w:t>
            </w: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Range (Weighted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from an Increase to</w:t>
            </w:r>
          </w:p>
        </w:tc>
      </w:tr>
      <w:tr>
        <w:trPr>
          <w:trHeight w:val="171"/>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480" w:type="dxa"/>
            <w:vAlign w:val="bottom"/>
            <w:gridSpan w:val="2"/>
          </w:tcPr>
          <w:p>
            <w:pPr>
              <w:ind w:left="360"/>
              <w:spacing w:after="0"/>
              <w:rPr>
                <w:sz w:val="20"/>
                <w:szCs w:val="20"/>
                <w:color w:val="auto"/>
              </w:rPr>
            </w:pPr>
            <w:r>
              <w:rPr>
                <w:rFonts w:ascii="Arial" w:cs="Arial" w:eastAsia="Arial" w:hAnsi="Arial"/>
                <w:sz w:val="14"/>
                <w:szCs w:val="14"/>
                <w:b w:val="1"/>
                <w:bCs w:val="1"/>
                <w:color w:val="auto"/>
              </w:rPr>
              <w:t>Technique</w:t>
            </w:r>
          </w:p>
        </w:tc>
        <w:tc>
          <w:tcPr>
            <w:tcW w:w="1460" w:type="dxa"/>
            <w:vAlign w:val="bottom"/>
            <w:gridSpan w:val="2"/>
          </w:tcPr>
          <w:p>
            <w:pPr>
              <w:ind w:left="500"/>
              <w:spacing w:after="0"/>
              <w:rPr>
                <w:sz w:val="20"/>
                <w:szCs w:val="20"/>
                <w:color w:val="auto"/>
              </w:rPr>
            </w:pPr>
            <w:r>
              <w:rPr>
                <w:rFonts w:ascii="Arial" w:cs="Arial" w:eastAsia="Arial" w:hAnsi="Arial"/>
                <w:sz w:val="14"/>
                <w:szCs w:val="14"/>
                <w:b w:val="1"/>
                <w:bCs w:val="1"/>
                <w:color w:val="auto"/>
              </w:rPr>
              <w:t>Input</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Average)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9"/>
              </w:rPr>
              <w:t>Input</w:t>
            </w:r>
          </w:p>
        </w:tc>
      </w:tr>
      <w:tr>
        <w:trPr>
          <w:trHeight w:val="209"/>
        </w:trPr>
        <w:tc>
          <w:tcPr>
            <w:tcW w:w="43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5.50% — 13.12%</w:t>
            </w:r>
          </w:p>
        </w:tc>
        <w:tc>
          <w:tcPr>
            <w:tcW w:w="12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854,972</w:t>
            </w:r>
          </w:p>
        </w:tc>
        <w:tc>
          <w:tcPr>
            <w:tcW w:w="2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Approach</w:t>
            </w:r>
          </w:p>
        </w:tc>
        <w:tc>
          <w:tcPr>
            <w:tcW w:w="1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 Yield</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(9.81% )</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Decrease</w:t>
            </w:r>
          </w:p>
        </w:tc>
      </w:tr>
      <w:tr>
        <w:trPr>
          <w:trHeight w:val="215"/>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9.32% — 9.87%</w:t>
            </w:r>
          </w:p>
        </w:tc>
        <w:tc>
          <w:tcPr>
            <w:tcW w:w="1360" w:type="dxa"/>
            <w:vAlign w:val="bottom"/>
          </w:tcPr>
          <w:p>
            <w:pPr>
              <w:spacing w:after="0"/>
              <w:rPr>
                <w:sz w:val="18"/>
                <w:szCs w:val="18"/>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103,530</w:t>
            </w:r>
          </w:p>
        </w:tc>
        <w:tc>
          <w:tcPr>
            <w:tcW w:w="24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Income Approach</w:t>
            </w:r>
          </w:p>
        </w:tc>
        <w:tc>
          <w:tcPr>
            <w:tcW w:w="1460" w:type="dxa"/>
            <w:vAlign w:val="bottom"/>
            <w:gridSpan w:val="2"/>
          </w:tcPr>
          <w:p>
            <w:pPr>
              <w:spacing w:after="0"/>
              <w:rPr>
                <w:sz w:val="20"/>
                <w:szCs w:val="20"/>
                <w:color w:val="auto"/>
              </w:rPr>
            </w:pPr>
            <w:r>
              <w:rPr>
                <w:rFonts w:ascii="Arial" w:cs="Arial" w:eastAsia="Arial" w:hAnsi="Arial"/>
                <w:sz w:val="18"/>
                <w:szCs w:val="18"/>
                <w:color w:val="auto"/>
              </w:rPr>
              <w:t>Market Yield</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(9.59% )</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Decrease</w:t>
            </w: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15"/>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Weighted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Average Cost of</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12.1% —</w:t>
            </w:r>
          </w:p>
        </w:tc>
        <w:tc>
          <w:tcPr>
            <w:tcW w:w="1360" w:type="dxa"/>
            <w:vAlign w:val="bottom"/>
          </w:tcPr>
          <w:p>
            <w:pPr>
              <w:spacing w:after="0"/>
              <w:rPr>
                <w:sz w:val="18"/>
                <w:szCs w:val="18"/>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Equity investments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1,805</w:t>
            </w:r>
          </w:p>
        </w:tc>
        <w:tc>
          <w:tcPr>
            <w:tcW w:w="24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Income Approach</w:t>
            </w:r>
          </w:p>
        </w:tc>
        <w:tc>
          <w:tcPr>
            <w:tcW w:w="1460" w:type="dxa"/>
            <w:vAlign w:val="bottom"/>
            <w:gridSpan w:val="2"/>
          </w:tcPr>
          <w:p>
            <w:pPr>
              <w:spacing w:after="0"/>
              <w:rPr>
                <w:sz w:val="20"/>
                <w:szCs w:val="20"/>
                <w:color w:val="auto"/>
              </w:rPr>
            </w:pPr>
            <w:r>
              <w:rPr>
                <w:rFonts w:ascii="Arial" w:cs="Arial" w:eastAsia="Arial" w:hAnsi="Arial"/>
                <w:sz w:val="18"/>
                <w:szCs w:val="18"/>
                <w:color w:val="auto"/>
              </w:rPr>
              <w:t>Capital (WACC)</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15.3% (14.0%)</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Decrease</w:t>
            </w:r>
          </w:p>
        </w:tc>
      </w:tr>
    </w:tbl>
    <w:p>
      <w:pPr>
        <w:spacing w:after="0" w:line="229"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 Company’s Level 3 equity investments, multiples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557" w:right="239" w:bottom="1440" w:gutter="0" w:footer="0" w:header="0"/>
          <w:type w:val="continuous"/>
        </w:sectPr>
      </w:pPr>
    </w:p>
    <w:bookmarkStart w:id="99" w:name="page100"/>
    <w:bookmarkEnd w:id="99"/>
    <w:p>
      <w:pPr>
        <w:ind w:right="60"/>
        <w:spacing w:after="0" w:line="277" w:lineRule="auto"/>
        <w:rPr>
          <w:sz w:val="20"/>
          <w:szCs w:val="20"/>
          <w:color w:val="auto"/>
        </w:rPr>
      </w:pPr>
      <w:r>
        <w:rPr>
          <w:rFonts w:ascii="Arial" w:cs="Arial" w:eastAsia="Arial" w:hAnsi="Arial"/>
          <w:sz w:val="18"/>
          <w:szCs w:val="18"/>
          <w:color w:val="auto"/>
        </w:rPr>
        <w:t>similar companies’ revenues, earnings before income taxes, depreciation and amortization (“EBITDA”) or some combination thereof and comparable market transactions are typically used.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The fair value of the Company’s revolving credit facilities, which are categorized as Level 3 within the fair value hierarchy, as of December 31, 2014 and 2013, approximates their carrying value as the outstanding balances are callable at carrying value.</w:t>
      </w:r>
    </w:p>
    <w:p>
      <w:pPr>
        <w:spacing w:after="0" w:line="170"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The fair value of the Company’s Convertible Senior Notes, which is categorized as Level 2 within the fair value hierarchy, as of December 31, 2014, was $112.2 million, based on broker quotes received by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120" w:firstLine="259"/>
        <w:spacing w:after="0" w:line="34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200% after such borrowing. As of December 31, 2014 and 2013, the Company’s asset coverage was 311.0% and 232.9%, respectively.</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December 31, 2014 and 2013:</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December 31, 2014</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3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4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92"/>
              </w:rPr>
              <w:t>Aggregate Principal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58"/>
              <w:spacing w:after="0" w:line="147" w:lineRule="exact"/>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6"/>
              <w:spacing w:after="0" w:line="147"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96"/>
              <w:spacing w:after="0" w:line="147"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r>
      <w:tr>
        <w:trPr>
          <w:trHeight w:val="171"/>
        </w:trPr>
        <w:tc>
          <w:tcPr>
            <w:tcW w:w="3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93"/>
              </w:rPr>
              <w:t>Amount Committed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97"/>
              </w:rPr>
              <w:t>Principal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Available (1)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SPV Asset Facility </w:t>
            </w:r>
            <w:r>
              <w:rPr>
                <w:rFonts w:ascii="Arial" w:cs="Arial" w:eastAsia="Arial" w:hAnsi="Arial"/>
                <w:sz w:val="15"/>
                <w:szCs w:val="15"/>
                <w:color w:val="auto"/>
              </w:rPr>
              <w:t>(2)</w:t>
            </w:r>
          </w:p>
        </w:tc>
        <w:tc>
          <w:tcPr>
            <w:tcW w:w="15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175,000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106,725</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45,279</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106,725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781,250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177,216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466,189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177,216</w:t>
            </w:r>
          </w:p>
        </w:tc>
        <w:tc>
          <w:tcPr>
            <w:tcW w:w="12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15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111,923</w:t>
            </w:r>
          </w:p>
        </w:tc>
        <w:tc>
          <w:tcPr>
            <w:tcW w:w="120" w:type="dxa"/>
            <w:vAlign w:val="bottom"/>
            <w:shd w:val="clear" w:color="auto" w:fill="CFF0FC"/>
          </w:tcPr>
          <w:p>
            <w:pPr>
              <w:spacing w:after="0"/>
              <w:rPr>
                <w:sz w:val="19"/>
                <w:szCs w:val="19"/>
                <w:color w:val="auto"/>
              </w:rPr>
            </w:pPr>
          </w:p>
        </w:tc>
      </w:tr>
      <w:tr>
        <w:trPr>
          <w:trHeight w:val="223"/>
        </w:trPr>
        <w:tc>
          <w:tcPr>
            <w:tcW w:w="3740" w:type="dxa"/>
            <w:vAlign w:val="bottom"/>
          </w:tcPr>
          <w:p>
            <w:pPr>
              <w:ind w:left="240"/>
              <w:spacing w:after="0"/>
              <w:rPr>
                <w:sz w:val="20"/>
                <w:szCs w:val="20"/>
                <w:color w:val="auto"/>
              </w:rPr>
            </w:pPr>
            <w:r>
              <w:rPr>
                <w:rFonts w:ascii="Arial" w:cs="Arial" w:eastAsia="Arial" w:hAnsi="Arial"/>
                <w:sz w:val="18"/>
                <w:szCs w:val="18"/>
                <w:b w:val="1"/>
                <w:bCs w:val="1"/>
                <w:color w:val="auto"/>
              </w:rPr>
              <w:t>Total Debt</w:t>
            </w:r>
          </w:p>
        </w:tc>
        <w:tc>
          <w:tcPr>
            <w:tcW w:w="152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1,071,250</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398,941</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511,468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395,864</w:t>
            </w:r>
          </w:p>
        </w:tc>
        <w:tc>
          <w:tcPr>
            <w:tcW w:w="120" w:type="dxa"/>
            <w:vAlign w:val="bottom"/>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December 31, 2013</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52"/>
        </w:trPr>
        <w:tc>
          <w:tcPr>
            <w:tcW w:w="3740" w:type="dxa"/>
            <w:vAlign w:val="bottom"/>
          </w:tcPr>
          <w:p>
            <w:pPr>
              <w:spacing w:after="0"/>
              <w:rPr>
                <w:sz w:val="21"/>
                <w:szCs w:val="21"/>
                <w:color w:val="auto"/>
              </w:rPr>
            </w:pPr>
          </w:p>
        </w:tc>
        <w:tc>
          <w:tcPr>
            <w:tcW w:w="2760" w:type="dxa"/>
            <w:vAlign w:val="bottom"/>
            <w:gridSpan w:val="3"/>
          </w:tcPr>
          <w:p>
            <w:pPr>
              <w:ind w:left="1520"/>
              <w:spacing w:after="0"/>
              <w:rPr>
                <w:sz w:val="20"/>
                <w:szCs w:val="20"/>
                <w:color w:val="auto"/>
              </w:rPr>
            </w:pPr>
            <w:r>
              <w:rPr>
                <w:rFonts w:ascii="Arial" w:cs="Arial" w:eastAsia="Arial" w:hAnsi="Arial"/>
                <w:sz w:val="14"/>
                <w:szCs w:val="14"/>
                <w:b w:val="1"/>
                <w:bCs w:val="1"/>
                <w:color w:val="auto"/>
                <w:w w:val="92"/>
              </w:rPr>
              <w:t>Aggregate Principal</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r>
      <w:tr>
        <w:trPr>
          <w:trHeight w:val="228"/>
        </w:trPr>
        <w:tc>
          <w:tcPr>
            <w:tcW w:w="3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93"/>
              </w:rPr>
              <w:t>Amount Committed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97"/>
              </w:rPr>
              <w:t>Principal</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Available (1)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Subscription Credit Facility </w:t>
            </w:r>
            <w:r>
              <w:rPr>
                <w:rFonts w:ascii="Arial" w:cs="Arial" w:eastAsia="Arial" w:hAnsi="Arial"/>
                <w:sz w:val="15"/>
                <w:szCs w:val="15"/>
                <w:color w:val="auto"/>
              </w:rPr>
              <w:t>(3)</w:t>
            </w:r>
          </w:p>
        </w:tc>
        <w:tc>
          <w:tcPr>
            <w:tcW w:w="15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32,000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68,000</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SPV Asset Facility</w:t>
            </w: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77,767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77,767</w:t>
            </w:r>
          </w:p>
        </w:tc>
        <w:tc>
          <w:tcPr>
            <w:tcW w:w="12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5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322,500</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77,500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322,500</w:t>
            </w:r>
          </w:p>
        </w:tc>
        <w:tc>
          <w:tcPr>
            <w:tcW w:w="120" w:type="dxa"/>
            <w:vAlign w:val="bottom"/>
            <w:shd w:val="clear" w:color="auto" w:fill="CFF0FC"/>
          </w:tcPr>
          <w:p>
            <w:pPr>
              <w:spacing w:after="0"/>
              <w:rPr>
                <w:sz w:val="19"/>
                <w:szCs w:val="19"/>
                <w:color w:val="auto"/>
              </w:rPr>
            </w:pPr>
          </w:p>
        </w:tc>
      </w:tr>
      <w:tr>
        <w:trPr>
          <w:trHeight w:val="223"/>
        </w:trPr>
        <w:tc>
          <w:tcPr>
            <w:tcW w:w="3740" w:type="dxa"/>
            <w:vAlign w:val="bottom"/>
          </w:tcPr>
          <w:p>
            <w:pPr>
              <w:ind w:left="240"/>
              <w:spacing w:after="0"/>
              <w:rPr>
                <w:sz w:val="20"/>
                <w:szCs w:val="20"/>
                <w:color w:val="auto"/>
              </w:rPr>
            </w:pPr>
            <w:r>
              <w:rPr>
                <w:rFonts w:ascii="Arial" w:cs="Arial" w:eastAsia="Arial" w:hAnsi="Arial"/>
                <w:sz w:val="18"/>
                <w:szCs w:val="18"/>
                <w:b w:val="1"/>
                <w:bCs w:val="1"/>
                <w:color w:val="auto"/>
              </w:rPr>
              <w:t>Total Debt</w:t>
            </w:r>
          </w:p>
        </w:tc>
        <w:tc>
          <w:tcPr>
            <w:tcW w:w="152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600,000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432,267</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145,500</w:t>
            </w:r>
          </w:p>
        </w:tc>
        <w:tc>
          <w:tcPr>
            <w:tcW w:w="200" w:type="dxa"/>
            <w:vAlign w:val="bottom"/>
            <w:gridSpan w:val="2"/>
          </w:tcPr>
          <w:p>
            <w:pPr>
              <w:spacing w:after="0"/>
              <w:rPr>
                <w:sz w:val="19"/>
                <w:szCs w:val="19"/>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432,267</w:t>
            </w:r>
          </w:p>
        </w:tc>
        <w:tc>
          <w:tcPr>
            <w:tcW w:w="120" w:type="dxa"/>
            <w:vAlign w:val="bottom"/>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532"/>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40" w:hanging="532"/>
        <w:spacing w:after="0" w:line="250"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reinvestment period under the SPV Asset Facility terminated on January 21, 2015 and accordingly any undrawn availability under the facility also terminated.</w:t>
      </w:r>
    </w:p>
    <w:p>
      <w:pPr>
        <w:ind w:left="540" w:right="320" w:hanging="532"/>
        <w:spacing w:after="0" w:line="261"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On February 27, 2014, the Company terminated the Subscription Credit Facility, effective March 4, 2014. The outstanding balance was paid down prior to terminating the facility.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557" w:right="259" w:bottom="1440" w:gutter="0" w:footer="0" w:header="0"/>
        </w:sectPr>
      </w:pPr>
    </w:p>
    <w:bookmarkStart w:id="100" w:name="page101"/>
    <w:bookmarkEnd w:id="100"/>
    <w:p>
      <w:pPr>
        <w:ind w:left="260"/>
        <w:spacing w:after="0"/>
        <w:rPr>
          <w:sz w:val="20"/>
          <w:szCs w:val="20"/>
          <w:color w:val="auto"/>
        </w:rPr>
      </w:pPr>
      <w:r>
        <w:rPr>
          <w:rFonts w:ascii="Arial" w:cs="Arial" w:eastAsia="Arial" w:hAnsi="Arial"/>
          <w:sz w:val="18"/>
          <w:szCs w:val="18"/>
          <w:color w:val="auto"/>
        </w:rPr>
        <w:t>For the years ended December 31, 2014, 2013 and 2012, the components of interest expense were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Year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Year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440" w:type="dxa"/>
            <w:vAlign w:val="bottom"/>
            <w:gridSpan w:val="4"/>
          </w:tcPr>
          <w:p>
            <w:pPr>
              <w:ind w:left="1060"/>
              <w:spacing w:after="0"/>
              <w:rPr>
                <w:sz w:val="20"/>
                <w:szCs w:val="20"/>
                <w:color w:val="auto"/>
              </w:rPr>
            </w:pPr>
            <w:r>
              <w:rPr>
                <w:rFonts w:ascii="Arial" w:cs="Arial" w:eastAsia="Arial" w:hAnsi="Arial"/>
                <w:sz w:val="14"/>
                <w:szCs w:val="14"/>
                <w:b w:val="1"/>
                <w:bCs w:val="1"/>
                <w:color w:val="auto"/>
              </w:rPr>
              <w:t>December 31, 2014</w:t>
            </w:r>
          </w:p>
        </w:tc>
        <w:tc>
          <w:tcPr>
            <w:tcW w:w="144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 2013</w:t>
            </w:r>
          </w:p>
        </w:tc>
        <w:tc>
          <w:tcPr>
            <w:tcW w:w="140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9,962</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7,168</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3,272</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Commitment fees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issuance costs</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15,078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Average debt outstanding (in millions)</w:t>
            </w: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interest rate</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259"/>
        <w:spacing w:after="0" w:line="293" w:lineRule="auto"/>
        <w:rPr>
          <w:sz w:val="20"/>
          <w:szCs w:val="20"/>
          <w:color w:val="auto"/>
        </w:rPr>
      </w:pPr>
      <w:r>
        <w:rPr>
          <w:rFonts w:ascii="Arial" w:cs="Arial" w:eastAsia="Arial" w:hAnsi="Arial"/>
          <w:sz w:val="16"/>
          <w:szCs w:val="16"/>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65"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62" w:lineRule="exact"/>
        <w:rPr>
          <w:sz w:val="20"/>
          <w:szCs w:val="20"/>
          <w:color w:val="auto"/>
        </w:rPr>
      </w:pPr>
    </w:p>
    <w:p>
      <w:pPr>
        <w:ind w:left="520" w:hanging="253"/>
        <w:spacing w:after="0"/>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17" w:lineRule="exact"/>
        <w:rPr>
          <w:rFonts w:ascii="Arial" w:cs="Arial" w:eastAsia="Arial" w:hAnsi="Arial"/>
          <w:sz w:val="18"/>
          <w:szCs w:val="18"/>
          <w:color w:val="auto"/>
        </w:rPr>
      </w:pPr>
    </w:p>
    <w:p>
      <w:pPr>
        <w:ind w:left="520" w:right="320" w:hanging="253"/>
        <w:spacing w:after="0" w:line="277" w:lineRule="auto"/>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17" w:lineRule="exact"/>
        <w:rPr>
          <w:rFonts w:ascii="Arial" w:cs="Arial" w:eastAsia="Arial" w:hAnsi="Arial"/>
          <w:sz w:val="18"/>
          <w:szCs w:val="18"/>
          <w:color w:val="auto"/>
        </w:rPr>
      </w:pPr>
    </w:p>
    <w:p>
      <w:pPr>
        <w:ind w:left="780" w:right="380" w:hanging="254"/>
        <w:spacing w:after="0" w:line="277" w:lineRule="auto"/>
        <w:tabs>
          <w:tab w:leader="none" w:pos="7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62" w:lineRule="exact"/>
        <w:rPr>
          <w:rFonts w:ascii="Arial" w:cs="Arial" w:eastAsia="Arial" w:hAnsi="Arial"/>
          <w:sz w:val="18"/>
          <w:szCs w:val="18"/>
          <w:color w:val="auto"/>
        </w:rPr>
      </w:pPr>
    </w:p>
    <w:p>
      <w:pPr>
        <w:ind w:left="780" w:hanging="254"/>
        <w:spacing w:after="0"/>
        <w:tabs>
          <w:tab w:leader="none" w:pos="7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jc w:val="both"/>
        <w:ind w:right="240" w:firstLine="259"/>
        <w:spacing w:after="0" w:line="342" w:lineRule="auto"/>
        <w:rPr>
          <w:sz w:val="20"/>
          <w:szCs w:val="20"/>
          <w:color w:val="auto"/>
        </w:rPr>
      </w:pPr>
      <w:r>
        <w:rPr>
          <w:rFonts w:ascii="Arial" w:cs="Arial" w:eastAsia="Arial" w:hAnsi="Arial"/>
          <w:sz w:val="16"/>
          <w:szCs w:val="16"/>
          <w:color w:val="auto"/>
        </w:rPr>
        <w:t>On May 30, 2014, the Company entered into agreements with various financial institutions pursuant to which each of the institutions agreed to provide commitments through the accordion feature of the Revolving Credit Facility, increasing the aggregate commitments from $581.3 million to $781.3 million.</w:t>
      </w:r>
    </w:p>
    <w:p>
      <w:pPr>
        <w:spacing w:after="0" w:line="124"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On June 27, 2014, the Company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17, 2014, the Company entered into a third amendment to the Revolving Credit Facility:</w:t>
      </w:r>
    </w:p>
    <w:p>
      <w:pPr>
        <w:spacing w:after="0" w:line="117" w:lineRule="exact"/>
        <w:rPr>
          <w:sz w:val="20"/>
          <w:szCs w:val="20"/>
          <w:color w:val="auto"/>
        </w:rPr>
      </w:pPr>
    </w:p>
    <w:p>
      <w:pPr>
        <w:ind w:left="520" w:right="140" w:hanging="253"/>
        <w:spacing w:after="0" w:line="308" w:lineRule="auto"/>
        <w:tabs>
          <w:tab w:leader="none" w:pos="5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38" w:lineRule="exact"/>
        <w:rPr>
          <w:rFonts w:ascii="Arial" w:cs="Arial" w:eastAsia="Arial" w:hAnsi="Arial"/>
          <w:sz w:val="17"/>
          <w:szCs w:val="17"/>
          <w:color w:val="auto"/>
        </w:rPr>
      </w:pPr>
    </w:p>
    <w:p>
      <w:pPr>
        <w:ind w:left="520" w:hanging="253"/>
        <w:spacing w:after="0"/>
        <w:tabs>
          <w:tab w:leader="none" w:pos="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557" w:right="239" w:bottom="1440" w:gutter="0" w:footer="0" w:header="0"/>
        </w:sectPr>
      </w:pPr>
    </w:p>
    <w:bookmarkStart w:id="101" w:name="page102"/>
    <w:bookmarkEnd w:id="101"/>
    <w:p>
      <w:pPr>
        <w:jc w:val="both"/>
        <w:ind w:right="20" w:firstLine="259"/>
        <w:spacing w:after="0" w:line="312" w:lineRule="auto"/>
        <w:rPr>
          <w:sz w:val="20"/>
          <w:szCs w:val="20"/>
          <w:color w:val="auto"/>
        </w:rPr>
      </w:pPr>
      <w:r>
        <w:rPr>
          <w:rFonts w:ascii="Arial" w:cs="Arial" w:eastAsia="Arial" w:hAnsi="Arial"/>
          <w:sz w:val="16"/>
          <w:szCs w:val="16"/>
          <w:color w:val="auto"/>
        </w:rPr>
        <w:t>On October 23, 2014, the Company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47" w:lineRule="exact"/>
        <w:rPr>
          <w:sz w:val="20"/>
          <w:szCs w:val="20"/>
          <w:color w:val="auto"/>
        </w:rPr>
      </w:pPr>
    </w:p>
    <w:p>
      <w:pPr>
        <w:ind w:right="240" w:firstLine="259"/>
        <w:spacing w:after="0" w:line="277" w:lineRule="auto"/>
        <w:rPr>
          <w:sz w:val="20"/>
          <w:szCs w:val="20"/>
          <w:color w:val="auto"/>
        </w:rPr>
      </w:pPr>
      <w:r>
        <w:rPr>
          <w:rFonts w:ascii="Arial" w:cs="Arial" w:eastAsia="Arial" w:hAnsi="Arial"/>
          <w:sz w:val="18"/>
          <w:szCs w:val="18"/>
          <w:color w:val="auto"/>
        </w:rPr>
        <w:t>The Revolving Credit Facility continues to include the accordion feature, which would allow the Company, under certain circumstances, to increase the size to a maximum of $956.3 million.</w:t>
      </w:r>
    </w:p>
    <w:p>
      <w:pPr>
        <w:spacing w:after="0" w:line="170" w:lineRule="exact"/>
        <w:rPr>
          <w:sz w:val="20"/>
          <w:szCs w:val="20"/>
          <w:color w:val="auto"/>
        </w:rPr>
      </w:pPr>
    </w:p>
    <w:p>
      <w:pPr>
        <w:ind w:right="260" w:firstLine="259"/>
        <w:spacing w:after="0" w:line="264" w:lineRule="auto"/>
        <w:rPr>
          <w:sz w:val="20"/>
          <w:szCs w:val="20"/>
          <w:color w:val="auto"/>
        </w:rPr>
      </w:pPr>
      <w:r>
        <w:rPr>
          <w:rFonts w:ascii="Arial" w:cs="Arial" w:eastAsia="Arial" w:hAnsi="Arial"/>
          <w:sz w:val="18"/>
          <w:szCs w:val="18"/>
          <w:color w:val="auto"/>
        </w:rPr>
        <w:t>The Company may borrow amounts in U.S. dollars or certain other permitted currencies. As of December 31, 2014, the Company had outstanding debt denominated in Swedish Krona (SEK) of 205.8 million, Euro (EUR) of 28.1 million and Pound Sterling (GBP) of 14.1 million on its Revolving Credit Facility, included in the Outstanding Principal amount in the table above.</w:t>
      </w:r>
    </w:p>
    <w:p>
      <w:pPr>
        <w:spacing w:after="0" w:line="181" w:lineRule="exact"/>
        <w:rPr>
          <w:sz w:val="20"/>
          <w:szCs w:val="20"/>
          <w:color w:val="auto"/>
        </w:rPr>
      </w:pPr>
    </w:p>
    <w:p>
      <w:pPr>
        <w:jc w:val="both"/>
        <w:ind w:right="140" w:firstLine="259"/>
        <w:spacing w:after="0" w:line="279"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The Revolving Credit Facility is guaranteed by TC Lending, LLC and TSL MR, LLC and may be guaranteed by certain domestic subsidiaries that are formed or acquired by the Company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7"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62" w:lineRule="exact"/>
        <w:rPr>
          <w:sz w:val="20"/>
          <w:szCs w:val="20"/>
          <w:color w:val="auto"/>
        </w:rPr>
      </w:pPr>
    </w:p>
    <w:p>
      <w:pPr>
        <w:ind w:left="520" w:hanging="253"/>
        <w:spacing w:after="0"/>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17" w:lineRule="exact"/>
        <w:rPr>
          <w:rFonts w:ascii="Arial" w:cs="Arial" w:eastAsia="Arial" w:hAnsi="Arial"/>
          <w:sz w:val="18"/>
          <w:szCs w:val="18"/>
          <w:color w:val="auto"/>
        </w:rPr>
      </w:pPr>
    </w:p>
    <w:p>
      <w:pPr>
        <w:ind w:left="520" w:right="160" w:hanging="253"/>
        <w:spacing w:after="0" w:line="342" w:lineRule="auto"/>
        <w:tabs>
          <w:tab w:leader="none" w:pos="5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15" w:lineRule="exact"/>
        <w:rPr>
          <w:rFonts w:ascii="Arial" w:cs="Arial" w:eastAsia="Arial" w:hAnsi="Arial"/>
          <w:sz w:val="16"/>
          <w:szCs w:val="16"/>
          <w:color w:val="auto"/>
        </w:rPr>
      </w:pPr>
    </w:p>
    <w:p>
      <w:pPr>
        <w:ind w:left="520" w:hanging="253"/>
        <w:spacing w:after="0"/>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17, 2014.</w:t>
      </w:r>
    </w:p>
    <w:p>
      <w:pPr>
        <w:spacing w:after="0" w:line="225"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Net proceeds received from the Company’s IPO, the exercise of the underwriters’ over-allotment option from the IPO, and net proceeds received from the issuance of the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right="40" w:firstLine="259"/>
        <w:spacing w:after="0" w:line="271" w:lineRule="auto"/>
        <w:rPr>
          <w:sz w:val="20"/>
          <w:szCs w:val="20"/>
          <w:color w:val="auto"/>
        </w:rPr>
      </w:pPr>
      <w:r>
        <w:rPr>
          <w:rFonts w:ascii="Arial" w:cs="Arial" w:eastAsia="Arial" w:hAnsi="Arial"/>
          <w:sz w:val="17"/>
          <w:szCs w:val="17"/>
          <w:color w:val="auto"/>
        </w:rPr>
        <w:t>On May 8, 2012, the “Closing Date,” the Company’s wholly owned subsidiary TPG SL SPV, LLC, a Delaware limited liability company,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may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79"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557" w:right="239" w:bottom="1440" w:gutter="0" w:footer="0" w:header="0"/>
        </w:sectPr>
      </w:pPr>
    </w:p>
    <w:bookmarkStart w:id="102" w:name="page103"/>
    <w:bookmarkEnd w:id="102"/>
    <w:p>
      <w:pPr>
        <w:ind w:left="260"/>
        <w:spacing w:after="0"/>
        <w:rPr>
          <w:sz w:val="20"/>
          <w:szCs w:val="20"/>
          <w:color w:val="auto"/>
        </w:rPr>
      </w:pPr>
      <w:r>
        <w:rPr>
          <w:rFonts w:ascii="Arial" w:cs="Arial" w:eastAsia="Arial" w:hAnsi="Arial"/>
          <w:sz w:val="16"/>
          <w:szCs w:val="16"/>
          <w:color w:val="auto"/>
        </w:rPr>
        <w:t>On January 21, 2014, TPG SL SPV entered into an agreement to amend and restate the credit and security agreement (as amended, SPV Asset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amended and restated facility, among other things:</w:t>
      </w:r>
    </w:p>
    <w:p>
      <w:pPr>
        <w:spacing w:after="0" w:line="103" w:lineRule="exact"/>
        <w:rPr>
          <w:sz w:val="20"/>
          <w:szCs w:val="20"/>
          <w:color w:val="auto"/>
        </w:rPr>
      </w:pPr>
    </w:p>
    <w:p>
      <w:pPr>
        <w:ind w:left="520" w:hanging="253"/>
        <w:spacing w:after="0"/>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117" w:lineRule="exact"/>
        <w:rPr>
          <w:rFonts w:ascii="Arial" w:cs="Arial" w:eastAsia="Arial" w:hAnsi="Arial"/>
          <w:sz w:val="18"/>
          <w:szCs w:val="18"/>
          <w:color w:val="auto"/>
        </w:rPr>
      </w:pPr>
    </w:p>
    <w:p>
      <w:pPr>
        <w:ind w:left="520" w:right="20" w:hanging="253"/>
        <w:spacing w:after="0" w:line="264" w:lineRule="auto"/>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reinvestment period was subsequently extended by the borrower for an additional six month period (pursuant to an extension right exercisable by the borrower) so that the reinvestment period would remain open until January 21, 2015;</w:t>
      </w:r>
    </w:p>
    <w:p>
      <w:pPr>
        <w:spacing w:after="0" w:line="73" w:lineRule="exact"/>
        <w:rPr>
          <w:rFonts w:ascii="Arial" w:cs="Arial" w:eastAsia="Arial" w:hAnsi="Arial"/>
          <w:sz w:val="18"/>
          <w:szCs w:val="18"/>
          <w:color w:val="auto"/>
        </w:rPr>
      </w:pPr>
    </w:p>
    <w:p>
      <w:pPr>
        <w:ind w:left="520" w:hanging="253"/>
        <w:spacing w:after="0"/>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225"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The reinvestment period under the SPV Asset Facility terminated on January 21, 2015 and accordingly any undrawn availability under the facility also terminated.</w:t>
      </w:r>
    </w:p>
    <w:p>
      <w:pPr>
        <w:spacing w:after="0" w:line="170" w:lineRule="exact"/>
        <w:rPr>
          <w:sz w:val="20"/>
          <w:szCs w:val="20"/>
          <w:color w:val="auto"/>
        </w:rPr>
      </w:pPr>
    </w:p>
    <w:p>
      <w:pPr>
        <w:ind w:right="40" w:firstLine="259"/>
        <w:spacing w:after="0" w:line="270" w:lineRule="auto"/>
        <w:rPr>
          <w:sz w:val="20"/>
          <w:szCs w:val="20"/>
          <w:color w:val="auto"/>
        </w:rPr>
      </w:pPr>
      <w:r>
        <w:rPr>
          <w:rFonts w:ascii="Arial" w:cs="Arial" w:eastAsia="Arial" w:hAnsi="Arial"/>
          <w:sz w:val="17"/>
          <w:szCs w:val="17"/>
          <w:color w:val="auto"/>
        </w:rPr>
        <w:t>Amounts drawn under the original credit and security agreement bore interest at LIBOR plus a margin or base rate plus a margin, in each case at TPG SL SPV’s option. Amounts drawn under the amended and restated SPV Asset Facility bear interest at LIBOR plus a margin, base rate plus a margin or the lenders’ cost of funds plus a margin, in each case at TPG SL SPV’s option. TPG SL SPV’s ability to borrow at lenders’ cost of funds plus a margin under the amended and restated SPV Asset Facility lowered the interest rate currently applicable on the Company’s borrowings under the SPV Asset Facility. The undrawn portion of the commitment bore an unutilized commitment fee of 0.75%. This fee ceased to accrue on January 21, 2015 when the reinvestment period ended.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the Company’s other debt obligations</w:t>
      </w:r>
    </w:p>
    <w:p>
      <w:pPr>
        <w:spacing w:after="0" w:line="182" w:lineRule="exact"/>
        <w:rPr>
          <w:sz w:val="20"/>
          <w:szCs w:val="20"/>
          <w:color w:val="auto"/>
        </w:rPr>
      </w:pPr>
    </w:p>
    <w:p>
      <w:pPr>
        <w:ind w:right="260" w:firstLine="259"/>
        <w:spacing w:after="0" w:line="259" w:lineRule="auto"/>
        <w:rPr>
          <w:sz w:val="20"/>
          <w:szCs w:val="20"/>
          <w:color w:val="auto"/>
        </w:rPr>
      </w:pPr>
      <w:r>
        <w:rPr>
          <w:rFonts w:ascii="Arial" w:cs="Arial" w:eastAsia="Arial" w:hAnsi="Arial"/>
          <w:sz w:val="18"/>
          <w:szCs w:val="18"/>
          <w:color w:val="auto"/>
        </w:rPr>
        <w:t>As of December 31, 2014, and 2013 TPG SL SPV had $334.0 million and $184.3 million, respectively, in investments at fair value, and $108.8 million and $78.3 million, respectively, in liabilities, including the outstanding borrowings, on its balance sheet. As of December 31, 2014, and 2013 TPG SL SPV had $10.2 million and $6.3 million, respectively, in restricted cash, a component of prepaid expenses and other assets, in the accompanying consolidated financial statements.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 Act.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firstLine="259"/>
        <w:spacing w:after="0" w:line="269" w:lineRule="auto"/>
        <w:rPr>
          <w:sz w:val="20"/>
          <w:szCs w:val="20"/>
          <w:color w:val="auto"/>
        </w:rPr>
      </w:pPr>
      <w:r>
        <w:rPr>
          <w:rFonts w:ascii="Arial" w:cs="Arial" w:eastAsia="Arial" w:hAnsi="Arial"/>
          <w:sz w:val="17"/>
          <w:szCs w:val="17"/>
          <w:color w:val="auto"/>
        </w:rPr>
        <w:t>On June 10, 2014, the Company issued $115 million aggregate principal amount convertible senior notes due December 2019 (the “Convertible Senior Notes”). The Convertible Senior Notes were issued in a private placement only to qualified institutional buyers pursuant to Rule 144A under the Securities Act of 1933, as amended. The Convertible Senior Notes are unsecured, and bear interest at a rate of 4.50% per year, payable semiannually. The Convertible Senior Notes will mature on December 15, 2019. In certain circumstances, the Convertible Senior Notes will be convertible into cash, shares of the Company’s common stock or a combination of cash and shares of the Company’s common stock, at the Company’s election, at an initial conversion rate of 38.7162 shares of common stock per $1,000 principal amount of Convertible Senior Notes, which is equivalent to an initial conversion price of approximately $25.83 per share of the Company’s common stock, subject to customary anti-dilution adjustments. The sale of the Convertible Senior Notes generated net proceeds of approximately $110.8 million. The Company used the net proceeds of the offering to pay down debt under the Revolving Credit Facility. In connection with the offering of Convertible Senior Notes, the Company entered into interest rate swaps to continue to align the interest rates of its liabilities with its investment portfolio, which consists of predominately floating rate loans. As a result of the swaps, as of December 31, 2014, the Company’s effective interest rate on the Convertible Senior Notes was three-month LIBOR plus 252.9 basis points. See Note 5 for further information related to the Company’s interest rate swaps.</w:t>
      </w:r>
    </w:p>
    <w:p>
      <w:pPr>
        <w:spacing w:after="0" w:line="180" w:lineRule="exact"/>
        <w:rPr>
          <w:sz w:val="20"/>
          <w:szCs w:val="20"/>
          <w:color w:val="auto"/>
        </w:rPr>
      </w:pPr>
    </w:p>
    <w:p>
      <w:pPr>
        <w:ind w:right="80" w:firstLine="259"/>
        <w:spacing w:after="0" w:line="291" w:lineRule="auto"/>
        <w:rPr>
          <w:sz w:val="20"/>
          <w:szCs w:val="20"/>
          <w:color w:val="auto"/>
        </w:rPr>
      </w:pPr>
      <w:r>
        <w:rPr>
          <w:rFonts w:ascii="Arial" w:cs="Arial" w:eastAsia="Arial" w:hAnsi="Arial"/>
          <w:sz w:val="16"/>
          <w:szCs w:val="16"/>
          <w:color w:val="auto"/>
        </w:rPr>
        <w:t>Holders may convert their Convertible Senior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Convertible Senior Notes) per $1,000 principal amount of notes for each trading day of the measurement period was less than 98% of the product of the last reported sale price of the Company’s common stock and the conversion rate on each such trading day; 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557" w:right="239" w:bottom="1440" w:gutter="0" w:footer="0" w:header="0"/>
        </w:sectPr>
      </w:pPr>
    </w:p>
    <w:bookmarkStart w:id="103" w:name="page104"/>
    <w:bookmarkEnd w:id="103"/>
    <w:p>
      <w:pPr>
        <w:ind w:firstLine="8"/>
        <w:spacing w:after="0" w:line="342" w:lineRule="auto"/>
        <w:tabs>
          <w:tab w:leader="none" w:pos="255" w:val="left"/>
        </w:tabs>
        <w:numPr>
          <w:ilvl w:val="0"/>
          <w:numId w:val="93"/>
        </w:numPr>
        <w:rPr>
          <w:rFonts w:ascii="Arial" w:cs="Arial" w:eastAsia="Arial" w:hAnsi="Arial"/>
          <w:sz w:val="16"/>
          <w:szCs w:val="16"/>
          <w:color w:val="auto"/>
        </w:rPr>
      </w:pPr>
      <w:r>
        <w:rPr>
          <w:rFonts w:ascii="Arial" w:cs="Arial" w:eastAsia="Arial" w:hAnsi="Arial"/>
          <w:sz w:val="16"/>
          <w:szCs w:val="16"/>
          <w:color w:val="auto"/>
        </w:rPr>
        <w:t>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24"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color w:val="auto"/>
        </w:rPr>
        <w:t>The notes are senior unsecured obligations and rank senior in right of payment to the Company’s future indebtedness that is expressly subordinated in right of payment to the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year ended December 31, 2014, the components of interest expense related to the Convertible Senior Notes were as follows:</w:t>
      </w:r>
    </w:p>
    <w:p>
      <w:pPr>
        <w:spacing w:after="0" w:line="230"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2014</w:t>
            </w: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issuance cost</w:t>
            </w: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FF0FC"/>
          </w:tcPr>
          <w:p>
            <w:pPr>
              <w:spacing w:after="0"/>
              <w:rPr>
                <w:sz w:val="19"/>
                <w:szCs w:val="19"/>
                <w:color w:val="auto"/>
              </w:rPr>
            </w:pPr>
          </w:p>
        </w:tc>
      </w:tr>
      <w:tr>
        <w:trPr>
          <w:trHeight w:val="223"/>
        </w:trPr>
        <w:tc>
          <w:tcPr>
            <w:tcW w:w="484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w:t>
            </w:r>
          </w:p>
        </w:tc>
        <w:tc>
          <w:tcPr>
            <w:tcW w:w="12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0" w:firstLine="259"/>
        <w:spacing w:after="0" w:line="312" w:lineRule="auto"/>
        <w:rPr>
          <w:sz w:val="20"/>
          <w:szCs w:val="20"/>
          <w:color w:val="auto"/>
        </w:rPr>
      </w:pPr>
      <w:r>
        <w:rPr>
          <w:rFonts w:ascii="Arial" w:cs="Arial" w:eastAsia="Arial" w:hAnsi="Arial"/>
          <w:sz w:val="16"/>
          <w:szCs w:val="16"/>
          <w:color w:val="auto"/>
        </w:rPr>
        <w:t>Total interest expense in the table above does not include the effect of the interest rate swaps. During the year ended December 31, 2014, the Company received $2.6 million and paid $1.6 million related to the quarterly settlement of its interest rate swaps. This net amount is a reduction to interest expense in the Company’s consolidated statements of operations. Please see Note 5 for further information about the Company’s interest rate swaps.</w:t>
      </w:r>
    </w:p>
    <w:p>
      <w:pPr>
        <w:spacing w:after="0" w:line="147" w:lineRule="exact"/>
        <w:rPr>
          <w:sz w:val="20"/>
          <w:szCs w:val="20"/>
          <w:color w:val="auto"/>
        </w:rPr>
      </w:pPr>
    </w:p>
    <w:p>
      <w:pPr>
        <w:jc w:val="both"/>
        <w:ind w:right="220" w:firstLine="259"/>
        <w:spacing w:after="0" w:line="277" w:lineRule="auto"/>
        <w:rPr>
          <w:sz w:val="20"/>
          <w:szCs w:val="20"/>
          <w:color w:val="auto"/>
        </w:rPr>
      </w:pPr>
      <w:r>
        <w:rPr>
          <w:rFonts w:ascii="Arial" w:cs="Arial" w:eastAsia="Arial" w:hAnsi="Arial"/>
          <w:sz w:val="18"/>
          <w:szCs w:val="18"/>
          <w:color w:val="auto"/>
        </w:rPr>
        <w:t>As of December 31, 2014, the principal amount of the Convertible Senior Notes exceeded the value of the underlying shares multiplied by the per share closing price of the Company’s common stock.</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December 31, 2014, the components of the carrying value of the Convertible Senior Notes and the stated interest rate were as follows:</w:t>
      </w:r>
    </w:p>
    <w:p>
      <w:pPr>
        <w:spacing w:after="0" w:line="242"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December 2019</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Senior Notes</w:t>
            </w: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0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Carrying value of debt</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111,923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color w:val="auto"/>
              </w:rPr>
              <w:t>Stated interest rate</w:t>
            </w: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60" w:firstLine="259"/>
        <w:spacing w:after="0" w:line="342" w:lineRule="auto"/>
        <w:rPr>
          <w:sz w:val="20"/>
          <w:szCs w:val="20"/>
          <w:color w:val="auto"/>
        </w:rPr>
      </w:pPr>
      <w:r>
        <w:rPr>
          <w:rFonts w:ascii="Arial" w:cs="Arial" w:eastAsia="Arial" w:hAnsi="Arial"/>
          <w:sz w:val="16"/>
          <w:szCs w:val="16"/>
          <w:color w:val="auto"/>
        </w:rPr>
        <w:t>The stated interest rate in the table above does not include the effect of the interest rate swaps. The Company’s swap-adjusted interest rate as of December 31, 2014 was three-month LIBOR plus 252.9 basis points. Please see Note 5 for further information about the Company’s interest rate swaps.</w:t>
      </w:r>
    </w:p>
    <w:p>
      <w:pPr>
        <w:spacing w:after="0" w:line="124" w:lineRule="exact"/>
        <w:rPr>
          <w:sz w:val="20"/>
          <w:szCs w:val="20"/>
          <w:color w:val="auto"/>
        </w:rPr>
      </w:pPr>
    </w:p>
    <w:p>
      <w:pPr>
        <w:ind w:right="40" w:firstLine="259"/>
        <w:spacing w:after="0" w:line="302" w:lineRule="auto"/>
        <w:rPr>
          <w:sz w:val="20"/>
          <w:szCs w:val="20"/>
          <w:color w:val="auto"/>
        </w:rPr>
      </w:pPr>
      <w:r>
        <w:rPr>
          <w:rFonts w:ascii="Arial" w:cs="Arial" w:eastAsia="Arial" w:hAnsi="Arial"/>
          <w:sz w:val="16"/>
          <w:szCs w:val="16"/>
          <w:color w:val="auto"/>
        </w:rPr>
        <w:t>The Convertible Senior Notes Indenture contains certain covenants, including covenants requiring the Company to comply with the requirement under the 1940 Act that the Company’s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December 31, 2014, the Company was in compliance with the terms of the Convertible Senior Notes Indenture.</w:t>
      </w:r>
    </w:p>
    <w:p>
      <w:pPr>
        <w:spacing w:after="0" w:line="154" w:lineRule="exact"/>
        <w:rPr>
          <w:sz w:val="20"/>
          <w:szCs w:val="20"/>
          <w:color w:val="auto"/>
        </w:rPr>
      </w:pPr>
    </w:p>
    <w:p>
      <w:pPr>
        <w:ind w:right="20" w:firstLine="259"/>
        <w:spacing w:after="0" w:line="271" w:lineRule="auto"/>
        <w:rPr>
          <w:sz w:val="20"/>
          <w:szCs w:val="20"/>
          <w:color w:val="auto"/>
        </w:rPr>
      </w:pPr>
      <w:r>
        <w:rPr>
          <w:rFonts w:ascii="Arial" w:cs="Arial" w:eastAsia="Arial" w:hAnsi="Arial"/>
          <w:sz w:val="17"/>
          <w:szCs w:val="17"/>
          <w:color w:val="auto"/>
        </w:rPr>
        <w:t>The Convertible Senior Notes are accounted for in accordance with Accounting Standards Codification (“ASC”) 470-20. Upon conversion of any of the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Convertible Senior Notes Indenture. The Company has determined that the embedded conversion options in the Convertible Senior Notes are not required to be separately accounted for as a derivative under U.S. GAAP. In accounting for the Convertible Senior Notes, the Company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557" w:right="239" w:bottom="1440" w:gutter="0" w:footer="0" w:header="0"/>
        </w:sectPr>
      </w:pPr>
    </w:p>
    <w:bookmarkStart w:id="104" w:name="page105"/>
    <w:bookmarkEnd w:id="104"/>
    <w:p>
      <w:pPr>
        <w:ind w:right="40"/>
        <w:spacing w:after="0" w:line="277" w:lineRule="auto"/>
        <w:rPr>
          <w:sz w:val="20"/>
          <w:szCs w:val="20"/>
          <w:color w:val="auto"/>
        </w:rPr>
      </w:pPr>
      <w:r>
        <w:rPr>
          <w:rFonts w:ascii="Arial" w:cs="Arial" w:eastAsia="Arial" w:hAnsi="Arial"/>
          <w:sz w:val="18"/>
          <w:szCs w:val="18"/>
          <w:color w:val="auto"/>
        </w:rPr>
        <w:t>allocated to the debt and equity components in proportion to the allocation of the proceeds and accounted for as debt issuance costs and equity issuance costs,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Credit Facility</w:t>
      </w:r>
    </w:p>
    <w:p>
      <w:pPr>
        <w:spacing w:after="0" w:line="117"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On February 27, 2014, the Company terminated its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2014 and December 31, 2013, the Company was in compliance with the terms of its debt obligations.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From time to time, the Company may enter into commitments to fund investments. As of December 31, 2014 and 2013, the Company had the following commitments to fund investments:</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31, 2014</w:t>
            </w:r>
          </w:p>
        </w:tc>
        <w:tc>
          <w:tcPr>
            <w:tcW w:w="12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 2013</w:t>
            </w: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secured revolving loan commitments</w:t>
            </w: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34,242</w:t>
            </w: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18,374</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Senior secured term loan commitments</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13,816</w:t>
            </w: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36,600</w:t>
            </w:r>
          </w:p>
        </w:tc>
        <w:tc>
          <w:tcPr>
            <w:tcW w:w="60" w:type="dxa"/>
            <w:vAlign w:val="bottom"/>
            <w:tcBorders>
              <w:bottom w:val="single" w:sz="8" w:color="CFF0FC"/>
            </w:tcBorders>
          </w:tcPr>
          <w:p>
            <w:pPr>
              <w:spacing w:after="0"/>
              <w:rPr>
                <w:sz w:val="19"/>
                <w:szCs w:val="19"/>
                <w:color w:val="auto"/>
              </w:rPr>
            </w:pPr>
          </w:p>
        </w:tc>
      </w:tr>
      <w:tr>
        <w:trPr>
          <w:trHeight w:val="223"/>
        </w:trPr>
        <w:tc>
          <w:tcPr>
            <w:tcW w:w="5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4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48,058</w:t>
            </w: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54,974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As of December 31, 2013 the Company had $1.5 billion in total capital commitments from investors (over $0.9 billion unfunded). Of this amount, $117.1 million was from the Adviser and its affiliates ($76.7 million unfunded). Unfunded capital commitments terminated upon the completion of the Company’s IPO.</w:t>
      </w:r>
    </w:p>
    <w:p>
      <w:pPr>
        <w:spacing w:after="0" w:line="181" w:lineRule="exact"/>
        <w:rPr>
          <w:sz w:val="20"/>
          <w:szCs w:val="20"/>
          <w:color w:val="auto"/>
        </w:rPr>
      </w:pPr>
    </w:p>
    <w:p>
      <w:pPr>
        <w:ind w:right="360" w:firstLine="259"/>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December 31, 2014, management is not aware of any pending or threatened litigation.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740" w:firstLine="259"/>
        <w:spacing w:after="0" w:line="342" w:lineRule="auto"/>
        <w:rPr>
          <w:sz w:val="20"/>
          <w:szCs w:val="20"/>
          <w:color w:val="auto"/>
        </w:rPr>
      </w:pPr>
      <w:r>
        <w:rPr>
          <w:rFonts w:ascii="Arial" w:cs="Arial" w:eastAsia="Arial" w:hAnsi="Arial"/>
          <w:sz w:val="16"/>
          <w:szCs w:val="16"/>
          <w:color w:val="auto"/>
        </w:rPr>
        <w:t>On March 21, 2014, the Company completed its IPO, issuing 7,000,000 shares at $16.00 per share, and its concurrent private placement, issuing 3,124,984 shares at $16.00 per share. Net of underwriting fees and offering costs, the Company received total cash proceeds of $151.6 million.</w:t>
      </w:r>
    </w:p>
    <w:p>
      <w:pPr>
        <w:spacing w:after="0" w:line="124" w:lineRule="exact"/>
        <w:rPr>
          <w:sz w:val="20"/>
          <w:szCs w:val="20"/>
          <w:color w:val="auto"/>
        </w:rPr>
      </w:pPr>
    </w:p>
    <w:p>
      <w:pPr>
        <w:ind w:right="180" w:firstLine="259"/>
        <w:spacing w:after="0" w:line="308" w:lineRule="auto"/>
        <w:rPr>
          <w:sz w:val="20"/>
          <w:szCs w:val="20"/>
          <w:color w:val="auto"/>
        </w:rPr>
      </w:pPr>
      <w:r>
        <w:rPr>
          <w:rFonts w:ascii="Arial" w:cs="Arial" w:eastAsia="Arial" w:hAnsi="Arial"/>
          <w:sz w:val="17"/>
          <w:szCs w:val="17"/>
          <w:color w:val="auto"/>
        </w:rPr>
        <w:t>In April 2014, the Company issued a total of 1,050,000 shares of stock pursuant to the exercise of the underwriters’ over-allotment option in connection with the Company’s IPO. Net of underwriting fees and offering costs, the Company received total cash proceeds of $15.4 million.</w:t>
      </w:r>
    </w:p>
    <w:p>
      <w:pPr>
        <w:spacing w:after="0" w:line="14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Prior to December 31, 2013, the Company entered into subscription agreements (collectively, the “Subscription Agreements”) with several investors, including the Adviser and its affiliates, providing for the private placement of the Company’s common stock. Under the terms of the Subscription Agreements, investors were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 The remaining unfunded capital commitments related to these subscription agreements terminated upon the completion of the Company’s IPO.</w:t>
      </w:r>
    </w:p>
    <w:p>
      <w:pPr>
        <w:spacing w:after="0" w:line="193" w:lineRule="exact"/>
        <w:rPr>
          <w:sz w:val="20"/>
          <w:szCs w:val="20"/>
          <w:color w:val="auto"/>
        </w:rPr>
      </w:pPr>
    </w:p>
    <w:p>
      <w:pPr>
        <w:ind w:right="640" w:firstLine="259"/>
        <w:spacing w:after="0" w:line="277"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years ended December 31, 2014 and 2013:</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3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December 31, 2014</w:t>
            </w:r>
          </w:p>
        </w:tc>
      </w:tr>
      <w:tr>
        <w:trPr>
          <w:trHeight w:val="156"/>
        </w:trPr>
        <w:tc>
          <w:tcPr>
            <w:tcW w:w="3020" w:type="dxa"/>
            <w:vAlign w:val="bottom"/>
            <w:tcBorders>
              <w:bottom w:val="single" w:sz="8" w:color="CFF0FC"/>
            </w:tcBorders>
          </w:tcPr>
          <w:p>
            <w:pPr>
              <w:spacing w:after="0"/>
              <w:rPr>
                <w:sz w:val="13"/>
                <w:szCs w:val="13"/>
                <w:color w:val="auto"/>
              </w:rPr>
            </w:pPr>
          </w:p>
        </w:tc>
        <w:tc>
          <w:tcPr>
            <w:tcW w:w="1820" w:type="dxa"/>
            <w:vAlign w:val="bottom"/>
            <w:tcBorders>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Shares Issued</w:t>
            </w:r>
          </w:p>
        </w:tc>
        <w:tc>
          <w:tcPr>
            <w:tcW w:w="28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w w:val="88"/>
              </w:rPr>
              <w:t>Proceeds Received</w:t>
            </w:r>
          </w:p>
        </w:tc>
        <w:tc>
          <w:tcPr>
            <w:tcW w:w="80" w:type="dxa"/>
            <w:vAlign w:val="bottom"/>
            <w:tcBorders>
              <w:bottom w:val="single" w:sz="8" w:color="CFF0FC"/>
            </w:tcBorders>
          </w:tcPr>
          <w:p>
            <w:pPr>
              <w:spacing w:after="0"/>
              <w:rPr>
                <w:sz w:val="13"/>
                <w:szCs w:val="13"/>
                <w:color w:val="auto"/>
              </w:rPr>
            </w:pPr>
          </w:p>
        </w:tc>
      </w:tr>
      <w:tr>
        <w:trPr>
          <w:trHeight w:val="223"/>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January 15, 2014</w:t>
            </w:r>
          </w:p>
        </w:tc>
        <w:tc>
          <w:tcPr>
            <w:tcW w:w="1820" w:type="dxa"/>
            <w:vAlign w:val="bottom"/>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4,234,501</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65,000</w:t>
            </w:r>
          </w:p>
        </w:tc>
        <w:tc>
          <w:tcPr>
            <w:tcW w:w="80" w:type="dxa"/>
            <w:vAlign w:val="bottom"/>
            <w:shd w:val="clear" w:color="auto" w:fill="CFF0FC"/>
          </w:tcPr>
          <w:p>
            <w:pPr>
              <w:spacing w:after="0"/>
              <w:rPr>
                <w:sz w:val="19"/>
                <w:szCs w:val="19"/>
                <w:color w:val="auto"/>
              </w:rPr>
            </w:pPr>
          </w:p>
        </w:tc>
      </w:tr>
      <w:tr>
        <w:trPr>
          <w:trHeight w:val="223"/>
        </w:trPr>
        <w:tc>
          <w:tcPr>
            <w:tcW w:w="3020" w:type="dxa"/>
            <w:vAlign w:val="bottom"/>
          </w:tcPr>
          <w:p>
            <w:pPr>
              <w:ind w:left="240"/>
              <w:spacing w:after="0"/>
              <w:rPr>
                <w:sz w:val="20"/>
                <w:szCs w:val="20"/>
                <w:color w:val="auto"/>
              </w:rPr>
            </w:pPr>
            <w:r>
              <w:rPr>
                <w:rFonts w:ascii="Arial" w:cs="Arial" w:eastAsia="Arial" w:hAnsi="Arial"/>
                <w:sz w:val="18"/>
                <w:szCs w:val="18"/>
                <w:b w:val="1"/>
                <w:bCs w:val="1"/>
                <w:color w:val="auto"/>
              </w:rPr>
              <w:t>Total Capital Drawdowns</w:t>
            </w:r>
          </w:p>
        </w:tc>
        <w:tc>
          <w:tcPr>
            <w:tcW w:w="18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4,234,501</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80" w:type="dxa"/>
            <w:vAlign w:val="bottom"/>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9"/>
        </w:trPr>
        <w:tc>
          <w:tcPr>
            <w:tcW w:w="3020" w:type="dxa"/>
            <w:vAlign w:val="bottom"/>
          </w:tcPr>
          <w:p>
            <w:pPr>
              <w:spacing w:after="0"/>
              <w:rPr>
                <w:sz w:val="24"/>
                <w:szCs w:val="24"/>
                <w:color w:val="auto"/>
              </w:rPr>
            </w:pPr>
          </w:p>
        </w:tc>
        <w:tc>
          <w:tcPr>
            <w:tcW w:w="3100" w:type="dxa"/>
            <w:vAlign w:val="bottom"/>
            <w:gridSpan w:val="2"/>
          </w:tcPr>
          <w:p>
            <w:pPr>
              <w:jc w:val="right"/>
              <w:ind w:right="1881"/>
              <w:spacing w:after="0"/>
              <w:rPr>
                <w:sz w:val="20"/>
                <w:szCs w:val="20"/>
                <w:color w:val="auto"/>
              </w:rPr>
            </w:pPr>
            <w:r>
              <w:rPr>
                <w:rFonts w:ascii="Arial" w:cs="Arial" w:eastAsia="Arial" w:hAnsi="Arial"/>
                <w:sz w:val="18"/>
                <w:szCs w:val="18"/>
                <w:color w:val="auto"/>
              </w:rPr>
              <w:t>F-31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00"/>
          </w:cols>
          <w:pgMar w:left="240" w:top="557" w:right="259" w:bottom="1440" w:gutter="0" w:footer="0" w:header="0"/>
        </w:sectPr>
      </w:pPr>
    </w:p>
    <w:bookmarkStart w:id="105" w:name="page106"/>
    <w:bookmarkEnd w:id="105"/>
    <w:p>
      <w:pPr>
        <w:jc w:val="center"/>
        <w:ind w:left="4720"/>
        <w:spacing w:after="0"/>
        <w:rPr>
          <w:sz w:val="20"/>
          <w:szCs w:val="20"/>
          <w:color w:val="auto"/>
        </w:rPr>
      </w:pPr>
      <w:r>
        <w:rPr>
          <w:rFonts w:ascii="Arial" w:cs="Arial" w:eastAsia="Arial" w:hAnsi="Arial"/>
          <w:sz w:val="14"/>
          <w:szCs w:val="14"/>
          <w:b w:val="1"/>
          <w:bCs w:val="1"/>
          <w:color w:val="auto"/>
        </w:rPr>
        <w:t>Year Ended</w:t>
      </w:r>
    </w:p>
    <w:p>
      <w:pPr>
        <w:spacing w:after="0" w:line="17" w:lineRule="exact"/>
        <w:rPr>
          <w:sz w:val="20"/>
          <w:szCs w:val="20"/>
          <w:color w:val="auto"/>
        </w:rPr>
      </w:pPr>
    </w:p>
    <w:p>
      <w:pPr>
        <w:jc w:val="center"/>
        <w:ind w:left="4720"/>
        <w:spacing w:after="0"/>
        <w:rPr>
          <w:sz w:val="20"/>
          <w:szCs w:val="20"/>
          <w:color w:val="auto"/>
        </w:rPr>
      </w:pPr>
      <w:r>
        <w:rPr>
          <w:rFonts w:ascii="Arial" w:cs="Arial" w:eastAsia="Arial" w:hAnsi="Arial"/>
          <w:sz w:val="14"/>
          <w:szCs w:val="14"/>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-3175</wp:posOffset>
            </wp:positionV>
            <wp:extent cx="19469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6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300" w:type="dxa"/>
            <w:vAlign w:val="bottom"/>
          </w:tcPr>
          <w:p>
            <w:pPr>
              <w:jc w:val="right"/>
              <w:ind w:right="54"/>
              <w:spacing w:after="0"/>
              <w:rPr>
                <w:sz w:val="20"/>
                <w:szCs w:val="20"/>
                <w:color w:val="auto"/>
              </w:rPr>
            </w:pPr>
            <w:r>
              <w:rPr>
                <w:rFonts w:ascii="Arial" w:cs="Arial" w:eastAsia="Arial" w:hAnsi="Arial"/>
                <w:sz w:val="14"/>
                <w:szCs w:val="14"/>
                <w:b w:val="1"/>
                <w:bCs w:val="1"/>
                <w:color w:val="auto"/>
              </w:rPr>
              <w:t xml:space="preserve">Shares Issued </w:t>
            </w:r>
            <w:r>
              <w:rPr>
                <w:rFonts w:ascii="Arial" w:cs="Arial" w:eastAsia="Arial" w:hAnsi="Arial"/>
                <w:sz w:val="12"/>
                <w:szCs w:val="12"/>
                <w:b w:val="1"/>
                <w:bCs w:val="1"/>
                <w:color w:val="auto"/>
              </w:rPr>
              <w:t>(1)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Proceeds Received</w:t>
            </w: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20, 2013</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2,079,224</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31,857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September 26, 2013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1,633,829</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Borders>
              <w:bottom w:val="single" w:sz="8" w:color="CFF0FC"/>
            </w:tcBorders>
          </w:tcPr>
          <w:p>
            <w:pPr>
              <w:spacing w:after="0"/>
              <w:rPr>
                <w:sz w:val="19"/>
                <w:szCs w:val="19"/>
                <w:color w:val="auto"/>
              </w:rPr>
            </w:pPr>
          </w:p>
        </w:tc>
      </w:tr>
      <w:tr>
        <w:trPr>
          <w:trHeight w:val="223"/>
        </w:trPr>
        <w:tc>
          <w:tcPr>
            <w:tcW w:w="48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Capital Drawdowns</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3,713,053</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56,857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260" w:hanging="532"/>
        <w:spacing w:after="0" w:line="277" w:lineRule="auto"/>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70" w:lineRule="exact"/>
        <w:rPr>
          <w:sz w:val="20"/>
          <w:szCs w:val="20"/>
          <w:color w:val="auto"/>
        </w:rPr>
      </w:pPr>
    </w:p>
    <w:p>
      <w:pPr>
        <w:ind w:right="60" w:firstLine="259"/>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2" w:lineRule="exact"/>
        <w:rPr>
          <w:sz w:val="20"/>
          <w:szCs w:val="20"/>
          <w:color w:val="auto"/>
        </w:rPr>
      </w:pPr>
    </w:p>
    <w:p>
      <w:pPr>
        <w:jc w:val="both"/>
        <w:ind w:right="120" w:firstLine="259"/>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year ended December 31, 2014 and 2013. All shares issued to stockholders in the tables below are newly issued shares.</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ind w:left="340"/>
              <w:spacing w:after="0"/>
              <w:rPr>
                <w:sz w:val="20"/>
                <w:szCs w:val="20"/>
                <w:color w:val="auto"/>
              </w:rPr>
            </w:pPr>
            <w:r>
              <w:rPr>
                <w:rFonts w:ascii="Arial" w:cs="Arial" w:eastAsia="Arial" w:hAnsi="Arial"/>
                <w:sz w:val="14"/>
                <w:szCs w:val="14"/>
                <w:b w:val="1"/>
                <w:bCs w:val="1"/>
                <w:color w:val="auto"/>
              </w:rPr>
              <w:t>Year Ended</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2014</w:t>
            </w:r>
          </w:p>
        </w:tc>
        <w:tc>
          <w:tcPr>
            <w:tcW w:w="1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ind w:left="600"/>
              <w:spacing w:after="0" w:line="147" w:lineRule="exact"/>
              <w:rPr>
                <w:sz w:val="20"/>
                <w:szCs w:val="20"/>
                <w:color w:val="auto"/>
              </w:rPr>
            </w:pPr>
            <w:r>
              <w:rPr>
                <w:rFonts w:ascii="Arial" w:cs="Arial" w:eastAsia="Arial" w:hAnsi="Arial"/>
                <w:sz w:val="14"/>
                <w:szCs w:val="14"/>
                <w:b w:val="1"/>
                <w:bCs w:val="1"/>
                <w:color w:val="auto"/>
              </w:rPr>
              <w:t>Date</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Date Declared</w:t>
            </w:r>
          </w:p>
        </w:tc>
        <w:tc>
          <w:tcPr>
            <w:tcW w:w="1600" w:type="dxa"/>
            <w:vAlign w:val="bottom"/>
            <w:gridSpan w:val="2"/>
          </w:tcPr>
          <w:p>
            <w:pPr>
              <w:ind w:left="360"/>
              <w:spacing w:after="0"/>
              <w:rPr>
                <w:sz w:val="20"/>
                <w:szCs w:val="20"/>
                <w:color w:val="auto"/>
              </w:rPr>
            </w:pPr>
            <w:r>
              <w:rPr>
                <w:rFonts w:ascii="Arial" w:cs="Arial" w:eastAsia="Arial" w:hAnsi="Arial"/>
                <w:sz w:val="14"/>
                <w:szCs w:val="14"/>
                <w:b w:val="1"/>
                <w:bCs w:val="1"/>
                <w:color w:val="auto"/>
              </w:rPr>
              <w:t>Record Date</w:t>
            </w:r>
          </w:p>
        </w:tc>
        <w:tc>
          <w:tcPr>
            <w:tcW w:w="160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 Issued</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December 31, 2013</w:t>
            </w:r>
          </w:p>
        </w:tc>
        <w:tc>
          <w:tcPr>
            <w:tcW w:w="8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December 31, 2013</w:t>
            </w:r>
          </w:p>
        </w:tc>
        <w:tc>
          <w:tcPr>
            <w:tcW w:w="8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13, 2014</w:t>
            </w:r>
          </w:p>
        </w:tc>
        <w:tc>
          <w:tcPr>
            <w:tcW w:w="8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502,200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March 26, 2014</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March 31, 2014</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May 1, 2014</w:t>
            </w:r>
          </w:p>
        </w:tc>
        <w:tc>
          <w:tcPr>
            <w:tcW w:w="1420" w:type="dxa"/>
            <w:vAlign w:val="bottom"/>
          </w:tcPr>
          <w:p>
            <w:pPr>
              <w:jc w:val="right"/>
              <w:spacing w:after="0"/>
              <w:rPr>
                <w:sz w:val="20"/>
                <w:szCs w:val="20"/>
                <w:color w:val="auto"/>
              </w:rPr>
            </w:pPr>
            <w:r>
              <w:rPr>
                <w:rFonts w:ascii="Arial" w:cs="Arial" w:eastAsia="Arial" w:hAnsi="Arial"/>
                <w:sz w:val="18"/>
                <w:szCs w:val="18"/>
                <w:color w:val="auto"/>
              </w:rPr>
              <w:t>410,183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May 6, 2014</w:t>
            </w: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June 30, 2014</w:t>
            </w: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August 1, 2014</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August 4, 2014</w:t>
            </w:r>
          </w:p>
        </w:tc>
        <w:tc>
          <w:tcPr>
            <w:tcW w:w="160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w w:val="90"/>
              </w:rPr>
              <w:t>September 30, 2014</w:t>
            </w:r>
          </w:p>
        </w:tc>
        <w:tc>
          <w:tcPr>
            <w:tcW w:w="160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w w:val="99"/>
              </w:rPr>
              <w:t>November 3, 2014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230,575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5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1,361,850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Year Ended</w:t>
            </w: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2013</w:t>
            </w:r>
          </w:p>
        </w:tc>
        <w:tc>
          <w:tcPr>
            <w:tcW w:w="1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ind w:left="600"/>
              <w:spacing w:after="0" w:line="147" w:lineRule="exact"/>
              <w:rPr>
                <w:sz w:val="20"/>
                <w:szCs w:val="20"/>
                <w:color w:val="auto"/>
              </w:rPr>
            </w:pPr>
            <w:r>
              <w:rPr>
                <w:rFonts w:ascii="Arial" w:cs="Arial" w:eastAsia="Arial" w:hAnsi="Arial"/>
                <w:sz w:val="14"/>
                <w:szCs w:val="14"/>
                <w:b w:val="1"/>
                <w:bCs w:val="1"/>
                <w:color w:val="auto"/>
              </w:rPr>
              <w:t>Date</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Date Declared</w:t>
            </w:r>
          </w:p>
        </w:tc>
        <w:tc>
          <w:tcPr>
            <w:tcW w:w="1600" w:type="dxa"/>
            <w:vAlign w:val="bottom"/>
            <w:gridSpan w:val="2"/>
          </w:tcPr>
          <w:p>
            <w:pPr>
              <w:ind w:left="360"/>
              <w:spacing w:after="0"/>
              <w:rPr>
                <w:sz w:val="20"/>
                <w:szCs w:val="20"/>
                <w:color w:val="auto"/>
              </w:rPr>
            </w:pPr>
            <w:r>
              <w:rPr>
                <w:rFonts w:ascii="Arial" w:cs="Arial" w:eastAsia="Arial" w:hAnsi="Arial"/>
                <w:sz w:val="14"/>
                <w:szCs w:val="14"/>
                <w:b w:val="1"/>
                <w:bCs w:val="1"/>
                <w:color w:val="auto"/>
              </w:rPr>
              <w:t>Record Date</w:t>
            </w:r>
          </w:p>
        </w:tc>
        <w:tc>
          <w:tcPr>
            <w:tcW w:w="160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 Issued</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 xml:space="preserve">Shares Issued </w:t>
            </w:r>
            <w:r>
              <w:rPr>
                <w:rFonts w:ascii="Arial" w:cs="Arial" w:eastAsia="Arial" w:hAnsi="Arial"/>
                <w:sz w:val="12"/>
                <w:szCs w:val="12"/>
                <w:b w:val="1"/>
                <w:bCs w:val="1"/>
                <w:color w:val="auto"/>
                <w:w w:val="89"/>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December 31, 2012</w:t>
            </w:r>
          </w:p>
        </w:tc>
        <w:tc>
          <w:tcPr>
            <w:tcW w:w="8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December 31, 2012</w:t>
            </w:r>
          </w:p>
        </w:tc>
        <w:tc>
          <w:tcPr>
            <w:tcW w:w="8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12, 2013</w:t>
            </w:r>
          </w:p>
        </w:tc>
        <w:tc>
          <w:tcPr>
            <w:tcW w:w="8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343,981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March 12, 2013</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March 31, 2013</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May 7, 2013</w:t>
            </w:r>
          </w:p>
        </w:tc>
        <w:tc>
          <w:tcPr>
            <w:tcW w:w="1420" w:type="dxa"/>
            <w:vAlign w:val="bottom"/>
          </w:tcPr>
          <w:p>
            <w:pPr>
              <w:jc w:val="right"/>
              <w:spacing w:after="0"/>
              <w:rPr>
                <w:sz w:val="20"/>
                <w:szCs w:val="20"/>
                <w:color w:val="auto"/>
              </w:rPr>
            </w:pPr>
            <w:r>
              <w:rPr>
                <w:rFonts w:ascii="Arial" w:cs="Arial" w:eastAsia="Arial" w:hAnsi="Arial"/>
                <w:sz w:val="18"/>
                <w:szCs w:val="18"/>
                <w:color w:val="auto"/>
              </w:rPr>
              <w:t>436,728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June 30, 2013</w:t>
            </w: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June 30, 2013</w:t>
            </w: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August 6, 2013</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469,799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September 30, 2013</w:t>
            </w:r>
          </w:p>
        </w:tc>
        <w:tc>
          <w:tcPr>
            <w:tcW w:w="160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w w:val="90"/>
              </w:rPr>
              <w:t>September 30, 2013</w:t>
            </w:r>
          </w:p>
        </w:tc>
        <w:tc>
          <w:tcPr>
            <w:tcW w:w="160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w w:val="99"/>
              </w:rPr>
              <w:t>November 5, 2013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479,534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5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1,730,042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180" w:hanging="532"/>
        <w:spacing w:after="0" w:line="277" w:lineRule="auto"/>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70" w:lineRule="exact"/>
        <w:rPr>
          <w:sz w:val="20"/>
          <w:szCs w:val="20"/>
          <w:color w:val="auto"/>
        </w:rPr>
      </w:pPr>
    </w:p>
    <w:p>
      <w:pPr>
        <w:ind w:right="100" w:firstLine="259"/>
        <w:spacing w:after="0" w:line="259" w:lineRule="auto"/>
        <w:rPr>
          <w:sz w:val="20"/>
          <w:szCs w:val="20"/>
          <w:color w:val="auto"/>
        </w:rPr>
      </w:pPr>
      <w:r>
        <w:rPr>
          <w:rFonts w:ascii="Arial" w:cs="Arial" w:eastAsia="Arial" w:hAnsi="Arial"/>
          <w:sz w:val="18"/>
          <w:szCs w:val="18"/>
          <w:color w:val="auto"/>
        </w:rPr>
        <w:t>Prior to the Company’s IPO, the number of shares issued through the dividend reinvestment plan was determined by dividing the total dollar amount of the dividend payable to such stockholder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87"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On November 3, 2014, the Company’s Board of Directors approved a stock repurchase plan (the “Company 10b5-1 Plan”) to acquire up to $50 million in the aggregate of the Company’s common stock at prices below the Company’s net asset value per share, in accordance with the guidelines specified in Rule 10b-18 and Rule 10b5-1 of the Exchange Act.</w:t>
      </w:r>
    </w:p>
    <w:p>
      <w:pPr>
        <w:spacing w:after="0" w:line="181"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The Company 10b5-1 Plan is designed to allow the Company to repurchase its common stock at times when it otherwise might be prevented from doing so under insider trading laws. The Company 10b5-1 Plan requires an agent selected by the Company to</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40"/>
          </w:cols>
          <w:pgMar w:left="240" w:top="346" w:right="319" w:bottom="1440" w:gutter="0" w:footer="0" w:header="0"/>
        </w:sectPr>
      </w:pPr>
    </w:p>
    <w:bookmarkStart w:id="106" w:name="page107"/>
    <w:bookmarkEnd w:id="106"/>
    <w:p>
      <w:pPr>
        <w:ind w:right="180"/>
        <w:spacing w:after="0" w:line="297" w:lineRule="auto"/>
        <w:rPr>
          <w:sz w:val="20"/>
          <w:szCs w:val="20"/>
          <w:color w:val="auto"/>
        </w:rPr>
      </w:pPr>
      <w:r>
        <w:rPr>
          <w:rFonts w:ascii="Arial" w:cs="Arial" w:eastAsia="Arial" w:hAnsi="Arial"/>
          <w:sz w:val="16"/>
          <w:szCs w:val="16"/>
          <w:color w:val="auto"/>
        </w:rPr>
        <w:t>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will depend on the terms and conditions of the Company 10b5-1 Plan, the market price of the common stock and trading volumes, and no assurance can be given that any particular amount of common stock will be repurchased.</w:t>
      </w:r>
    </w:p>
    <w:p>
      <w:pPr>
        <w:spacing w:after="0" w:line="158" w:lineRule="exact"/>
        <w:rPr>
          <w:sz w:val="20"/>
          <w:szCs w:val="20"/>
          <w:color w:val="auto"/>
        </w:rPr>
      </w:pPr>
    </w:p>
    <w:p>
      <w:pPr>
        <w:ind w:right="22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jc w:val="both"/>
        <w:ind w:right="120" w:firstLine="259"/>
        <w:spacing w:after="0" w:line="286" w:lineRule="auto"/>
        <w:rPr>
          <w:sz w:val="20"/>
          <w:szCs w:val="20"/>
          <w:color w:val="auto"/>
        </w:rPr>
      </w:pPr>
      <w:r>
        <w:rPr>
          <w:rFonts w:ascii="Arial" w:cs="Arial" w:eastAsia="Arial" w:hAnsi="Arial"/>
          <w:sz w:val="17"/>
          <w:szCs w:val="17"/>
          <w:color w:val="auto"/>
        </w:rPr>
        <w:t>Unless extended or terminated by the Board of Directors, the Company 10b5-1 Plan will be in effect through the earlier of May 4, 2015 or such time as the approved $50 million repurchase amount has been fully utilized, subject to certain conditions. On February 20, 2015, the Company’s Board of Directors authorized the extension of the termination date of the Company 10b5-1 Plan from May 4, 2015 to June 30, 2015.</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2014, no shares had been repurchased under the Company 10b5-1 Plan.</w:t>
      </w:r>
    </w:p>
    <w:p>
      <w:pPr>
        <w:spacing w:after="0" w:line="225" w:lineRule="exact"/>
        <w:rPr>
          <w:sz w:val="20"/>
          <w:szCs w:val="20"/>
          <w:color w:val="auto"/>
        </w:rPr>
      </w:pPr>
    </w:p>
    <w:p>
      <w:pPr>
        <w:ind w:right="60" w:firstLine="259"/>
        <w:spacing w:after="0" w:line="279" w:lineRule="auto"/>
        <w:rPr>
          <w:sz w:val="20"/>
          <w:szCs w:val="20"/>
          <w:color w:val="auto"/>
        </w:rPr>
      </w:pPr>
      <w:r>
        <w:rPr>
          <w:rFonts w:ascii="Arial" w:cs="Arial" w:eastAsia="Arial" w:hAnsi="Arial"/>
          <w:sz w:val="17"/>
          <w:szCs w:val="17"/>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w:t>
      </w:r>
    </w:p>
    <w:p>
      <w:pPr>
        <w:spacing w:after="0" w:line="357" w:lineRule="exact"/>
        <w:rPr>
          <w:sz w:val="20"/>
          <w:szCs w:val="20"/>
          <w:color w:val="auto"/>
        </w:rPr>
      </w:pPr>
    </w:p>
    <w:p>
      <w:pPr>
        <w:ind w:left="280" w:hanging="272"/>
        <w:spacing w:after="0"/>
        <w:tabs>
          <w:tab w:leader="none" w:pos="2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December 31, 2014</w:t>
            </w:r>
          </w:p>
        </w:tc>
        <w:tc>
          <w:tcPr>
            <w:tcW w:w="180" w:type="dxa"/>
            <w:vAlign w:val="bottom"/>
          </w:tcPr>
          <w:p>
            <w:pPr>
              <w:spacing w:after="0"/>
              <w:rPr>
                <w:sz w:val="13"/>
                <w:szCs w:val="13"/>
                <w:color w:val="auto"/>
              </w:rPr>
            </w:pPr>
          </w:p>
        </w:tc>
        <w:tc>
          <w:tcPr>
            <w:tcW w:w="136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1"/>
              </w:rPr>
              <w:t>December 31, 2013</w:t>
            </w:r>
          </w:p>
        </w:tc>
        <w:tc>
          <w:tcPr>
            <w:tcW w:w="180" w:type="dxa"/>
            <w:vAlign w:val="bottom"/>
          </w:tcPr>
          <w:p>
            <w:pPr>
              <w:spacing w:after="0"/>
              <w:rPr>
                <w:sz w:val="13"/>
                <w:szCs w:val="13"/>
                <w:color w:val="auto"/>
              </w:rPr>
            </w:pPr>
          </w:p>
        </w:tc>
        <w:tc>
          <w:tcPr>
            <w:tcW w:w="1280" w:type="dxa"/>
            <w:vAlign w:val="bottom"/>
          </w:tcPr>
          <w:p>
            <w:pPr>
              <w:jc w:val="right"/>
              <w:ind w:right="34"/>
              <w:spacing w:after="0" w:line="155" w:lineRule="exact"/>
              <w:rPr>
                <w:sz w:val="20"/>
                <w:szCs w:val="20"/>
                <w:color w:val="auto"/>
              </w:rPr>
            </w:pPr>
            <w:r>
              <w:rPr>
                <w:rFonts w:ascii="Arial" w:cs="Arial" w:eastAsia="Arial" w:hAnsi="Arial"/>
                <w:sz w:val="14"/>
                <w:szCs w:val="14"/>
                <w:b w:val="1"/>
                <w:bCs w:val="1"/>
                <w:color w:val="auto"/>
                <w:w w:val="90"/>
              </w:rPr>
              <w:t>December 31, 2012</w:t>
            </w:r>
          </w:p>
        </w:tc>
        <w:tc>
          <w:tcPr>
            <w:tcW w:w="10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85,050</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66,983</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3"/>
              </w:rPr>
              <w:t>Weighted average shares of common stock outstanding—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8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basic and diluted </w:t>
            </w:r>
            <w:r>
              <w:rPr>
                <w:rFonts w:ascii="Arial" w:cs="Arial" w:eastAsia="Arial" w:hAnsi="Arial"/>
                <w:sz w:val="22"/>
                <w:szCs w:val="22"/>
                <w:color w:val="auto"/>
                <w:vertAlign w:val="superscript"/>
              </w:rPr>
              <w:t>(1)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50,509,692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34,635,208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20,541,475</w:t>
            </w:r>
          </w:p>
        </w:tc>
        <w:tc>
          <w:tcPr>
            <w:tcW w:w="10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line="229" w:lineRule="exact"/>
              <w:rPr>
                <w:sz w:val="20"/>
                <w:szCs w:val="20"/>
                <w:color w:val="auto"/>
              </w:rPr>
            </w:pPr>
            <w:r>
              <w:rPr>
                <w:rFonts w:ascii="Arial" w:cs="Arial" w:eastAsia="Arial" w:hAnsi="Arial"/>
                <w:sz w:val="18"/>
                <w:szCs w:val="18"/>
                <w:color w:val="auto"/>
              </w:rPr>
              <w:t xml:space="preserve">Earnings per common share—basic and diluted </w:t>
            </w:r>
            <w:r>
              <w:rPr>
                <w:rFonts w:ascii="Arial" w:cs="Arial" w:eastAsia="Arial" w:hAnsi="Arial"/>
                <w:sz w:val="22"/>
                <w:szCs w:val="22"/>
                <w:color w:val="auto"/>
                <w:vertAlign w:val="superscript"/>
              </w:rPr>
              <w:t>(1)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540" w:right="40" w:hanging="532"/>
        <w:spacing w:after="0" w:line="277" w:lineRule="auto"/>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year ended December 31, 2014 was less than the conversion price for the Convertible Senior Notes outstanding as of December 31, 2014. Therefore, for all periods presented in the financial statements, the underlying shares for the intrinsic value of the embedded options in the Convertible Senior Notes have no impact on the computation of diluted earnings per common share.</w:t>
      </w:r>
    </w:p>
    <w:p>
      <w:pPr>
        <w:spacing w:after="0" w:line="372" w:lineRule="exact"/>
        <w:rPr>
          <w:sz w:val="20"/>
          <w:szCs w:val="20"/>
          <w:color w:val="auto"/>
        </w:rPr>
      </w:pPr>
    </w:p>
    <w:p>
      <w:pPr>
        <w:ind w:left="260" w:hanging="252"/>
        <w:spacing w:after="0"/>
        <w:tabs>
          <w:tab w:leader="none" w:pos="2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dividends declared during the years ended December 31, 2014 and 2013:</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ind w:right="418"/>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w w:val="93"/>
              </w:rPr>
              <w:t>December 31, 2014</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80" w:type="dxa"/>
            <w:vAlign w:val="bottom"/>
            <w:gridSpan w:val="2"/>
            <w:vMerge w:val="continue"/>
          </w:tcPr>
          <w:p>
            <w:pPr>
              <w:spacing w:after="0"/>
              <w:rPr>
                <w:sz w:val="13"/>
                <w:szCs w:val="13"/>
                <w:color w:val="auto"/>
              </w:rPr>
            </w:pPr>
          </w:p>
        </w:tc>
        <w:tc>
          <w:tcPr>
            <w:tcW w:w="1740" w:type="dxa"/>
            <w:vAlign w:val="bottom"/>
            <w:gridSpan w:val="2"/>
          </w:tcPr>
          <w:p>
            <w:pPr>
              <w:ind w:left="420"/>
              <w:spacing w:after="0" w:line="155" w:lineRule="exact"/>
              <w:rPr>
                <w:sz w:val="20"/>
                <w:szCs w:val="20"/>
                <w:color w:val="auto"/>
              </w:rPr>
            </w:pPr>
            <w:r>
              <w:rPr>
                <w:rFonts w:ascii="Arial" w:cs="Arial" w:eastAsia="Arial" w:hAnsi="Arial"/>
                <w:sz w:val="14"/>
                <w:szCs w:val="14"/>
                <w:b w:val="1"/>
                <w:bCs w:val="1"/>
                <w:color w:val="auto"/>
              </w:rPr>
              <w:t>Record Date</w:t>
            </w:r>
          </w:p>
        </w:tc>
        <w:tc>
          <w:tcPr>
            <w:tcW w:w="1480" w:type="dxa"/>
            <w:vAlign w:val="bottom"/>
          </w:tcPr>
          <w:p>
            <w:pPr>
              <w:jc w:val="right"/>
              <w:ind w:right="238"/>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53"/>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March 26, 2014</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2014</w:t>
            </w:r>
          </w:p>
        </w:tc>
        <w:tc>
          <w:tcPr>
            <w:tcW w:w="8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30, 2014</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May 6, 2014</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June 30, 2014</w:t>
            </w:r>
          </w:p>
        </w:tc>
        <w:tc>
          <w:tcPr>
            <w:tcW w:w="1480" w:type="dxa"/>
            <w:vAlign w:val="bottom"/>
          </w:tcPr>
          <w:p>
            <w:pPr>
              <w:jc w:val="right"/>
              <w:spacing w:after="0"/>
              <w:rPr>
                <w:sz w:val="20"/>
                <w:szCs w:val="20"/>
                <w:color w:val="auto"/>
              </w:rPr>
            </w:pPr>
            <w:r>
              <w:rPr>
                <w:rFonts w:ascii="Arial" w:cs="Arial" w:eastAsia="Arial" w:hAnsi="Arial"/>
                <w:sz w:val="18"/>
                <w:szCs w:val="18"/>
                <w:color w:val="auto"/>
              </w:rPr>
              <w:t>July 31, 2014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August 4, 2014</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September 30, 2014</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October 31, 2014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November 3, 2014</w:t>
            </w:r>
          </w:p>
        </w:tc>
        <w:tc>
          <w:tcPr>
            <w:tcW w:w="174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December 31, 2014</w:t>
            </w:r>
          </w:p>
        </w:tc>
        <w:tc>
          <w:tcPr>
            <w:tcW w:w="14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January 30, 2015</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40" w:type="dxa"/>
            <w:vAlign w:val="bottom"/>
            <w:gridSpan w:val="2"/>
            <w:vMerge w:val="restart"/>
          </w:tcPr>
          <w:p>
            <w:pPr>
              <w:ind w:left="120"/>
              <w:spacing w:after="0"/>
              <w:rPr>
                <w:sz w:val="20"/>
                <w:szCs w:val="20"/>
                <w:color w:val="auto"/>
              </w:rPr>
            </w:pPr>
            <w:r>
              <w:rPr>
                <w:rFonts w:ascii="Arial" w:cs="Arial" w:eastAsia="Arial" w:hAnsi="Arial"/>
                <w:sz w:val="18"/>
                <w:szCs w:val="18"/>
                <w:color w:val="auto"/>
              </w:rPr>
              <w:t>F-33</w:t>
            </w: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74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557" w:right="299" w:bottom="1440" w:gutter="0" w:footer="0" w:header="0"/>
        </w:sectPr>
      </w:pPr>
    </w:p>
    <w:bookmarkStart w:id="107" w:name="page108"/>
    <w:bookmarkEnd w:id="107"/>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Date Declared</w:t>
            </w:r>
          </w:p>
        </w:tc>
        <w:tc>
          <w:tcPr>
            <w:tcW w:w="1720" w:type="dxa"/>
            <w:vAlign w:val="bottom"/>
            <w:gridSpan w:val="2"/>
          </w:tcPr>
          <w:p>
            <w:pPr>
              <w:ind w:left="420"/>
              <w:spacing w:after="0"/>
              <w:rPr>
                <w:sz w:val="20"/>
                <w:szCs w:val="20"/>
                <w:color w:val="auto"/>
              </w:rPr>
            </w:pPr>
            <w:r>
              <w:rPr>
                <w:rFonts w:ascii="Arial" w:cs="Arial" w:eastAsia="Arial" w:hAnsi="Arial"/>
                <w:sz w:val="14"/>
                <w:szCs w:val="14"/>
                <w:b w:val="1"/>
                <w:bCs w:val="1"/>
                <w:color w:val="auto"/>
              </w:rPr>
              <w:t>Record Date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Dividend per Share </w:t>
            </w:r>
            <w:r>
              <w:rPr>
                <w:rFonts w:ascii="Arial" w:cs="Arial" w:eastAsia="Arial" w:hAnsi="Arial"/>
                <w:sz w:val="12"/>
                <w:szCs w:val="12"/>
                <w:b w:val="1"/>
                <w:bCs w:val="1"/>
                <w:color w:val="auto"/>
              </w:rPr>
              <w:t>(2)</w:t>
            </w:r>
          </w:p>
        </w:tc>
      </w:tr>
      <w:tr>
        <w:trPr>
          <w:trHeight w:val="223"/>
        </w:trPr>
        <w:tc>
          <w:tcPr>
            <w:tcW w:w="2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March 12, 2013</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2013</w:t>
            </w:r>
          </w:p>
        </w:tc>
        <w:tc>
          <w:tcPr>
            <w:tcW w:w="1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May 6, 2013</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June 30, 2013</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June 30, 2013</w:t>
            </w:r>
          </w:p>
        </w:tc>
        <w:tc>
          <w:tcPr>
            <w:tcW w:w="1440" w:type="dxa"/>
            <w:vAlign w:val="bottom"/>
          </w:tcPr>
          <w:p>
            <w:pPr>
              <w:jc w:val="right"/>
              <w:spacing w:after="0"/>
              <w:rPr>
                <w:sz w:val="20"/>
                <w:szCs w:val="20"/>
                <w:color w:val="auto"/>
              </w:rPr>
            </w:pPr>
            <w:r>
              <w:rPr>
                <w:rFonts w:ascii="Arial" w:cs="Arial" w:eastAsia="Arial" w:hAnsi="Arial"/>
                <w:sz w:val="18"/>
                <w:szCs w:val="18"/>
                <w:color w:val="auto"/>
              </w:rPr>
              <w:t>July 31, 2013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2013</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6"/>
              </w:rPr>
              <w:t>September 30, 2013</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October 31, 2013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FF0FC"/>
            </w:tcBorders>
          </w:tcPr>
          <w:p>
            <w:pPr>
              <w:spacing w:after="0" w:line="229" w:lineRule="exact"/>
              <w:rPr>
                <w:sz w:val="20"/>
                <w:szCs w:val="20"/>
                <w:color w:val="auto"/>
              </w:rPr>
            </w:pPr>
            <w:r>
              <w:rPr>
                <w:rFonts w:ascii="Arial" w:cs="Arial" w:eastAsia="Arial" w:hAnsi="Arial"/>
                <w:sz w:val="18"/>
                <w:szCs w:val="18"/>
                <w:color w:val="auto"/>
              </w:rPr>
              <w:t xml:space="preserve">December 31, 2013 </w:t>
            </w:r>
            <w:r>
              <w:rPr>
                <w:rFonts w:ascii="Arial" w:cs="Arial" w:eastAsia="Arial" w:hAnsi="Arial"/>
                <w:sz w:val="22"/>
                <w:szCs w:val="22"/>
                <w:color w:val="auto"/>
                <w:vertAlign w:val="superscript"/>
              </w:rPr>
              <w:t>(1)</w:t>
            </w:r>
          </w:p>
        </w:tc>
        <w:tc>
          <w:tcPr>
            <w:tcW w:w="172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w w:val="99"/>
              </w:rPr>
              <w:t>December 31, 2013</w:t>
            </w:r>
          </w:p>
        </w:tc>
        <w:tc>
          <w:tcPr>
            <w:tcW w:w="14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January 30, 2014</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16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532"/>
        <w:spacing w:after="0"/>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23" w:lineRule="exact"/>
        <w:rPr>
          <w:rFonts w:ascii="Arial" w:cs="Arial" w:eastAsia="Arial" w:hAnsi="Arial"/>
          <w:sz w:val="18"/>
          <w:szCs w:val="18"/>
          <w:color w:val="auto"/>
        </w:rPr>
      </w:pPr>
    </w:p>
    <w:p>
      <w:pPr>
        <w:ind w:left="540" w:right="260" w:hanging="532"/>
        <w:spacing w:after="0" w:line="261"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84"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color w:val="auto"/>
        </w:rPr>
        <w:t>The dividends declared during the years ended December 31, 2014 and December 31, 2013, were derived from net investment income and long-term capital gains, determined on a tax basis.</w:t>
      </w:r>
    </w:p>
    <w:p>
      <w:pPr>
        <w:spacing w:after="0" w:line="356" w:lineRule="exact"/>
        <w:rPr>
          <w:sz w:val="20"/>
          <w:szCs w:val="20"/>
          <w:color w:val="auto"/>
        </w:rPr>
      </w:pPr>
    </w:p>
    <w:p>
      <w:pPr>
        <w:ind w:left="280" w:hanging="272"/>
        <w:spacing w:after="0"/>
        <w:tabs>
          <w:tab w:leader="none" w:pos="2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tax character of shareholder distributions attributable to the fiscal years ended December 31, 2014, 2013 and 2012 were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154"/>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154"/>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060" w:type="dxa"/>
            <w:vAlign w:val="bottom"/>
            <w:gridSpan w:val="3"/>
          </w:tcPr>
          <w:p>
            <w:pPr>
              <w:ind w:left="1860"/>
              <w:spacing w:after="0"/>
              <w:rPr>
                <w:sz w:val="20"/>
                <w:szCs w:val="20"/>
                <w:color w:val="auto"/>
              </w:rPr>
            </w:pPr>
            <w:r>
              <w:rPr>
                <w:rFonts w:ascii="Arial" w:cs="Arial" w:eastAsia="Arial" w:hAnsi="Arial"/>
                <w:sz w:val="14"/>
                <w:szCs w:val="14"/>
                <w:b w:val="1"/>
                <w:bCs w:val="1"/>
                <w:color w:val="auto"/>
                <w:w w:val="93"/>
              </w:rPr>
              <w:t>December 31, 2014</w:t>
            </w:r>
          </w:p>
        </w:tc>
        <w:tc>
          <w:tcPr>
            <w:tcW w:w="1320" w:type="dxa"/>
            <w:vAlign w:val="bottom"/>
            <w:gridSpan w:val="3"/>
          </w:tcPr>
          <w:p>
            <w:pPr>
              <w:ind w:left="140"/>
              <w:spacing w:after="0"/>
              <w:rPr>
                <w:sz w:val="20"/>
                <w:szCs w:val="20"/>
                <w:color w:val="auto"/>
              </w:rPr>
            </w:pPr>
            <w:r>
              <w:rPr>
                <w:rFonts w:ascii="Arial" w:cs="Arial" w:eastAsia="Arial" w:hAnsi="Arial"/>
                <w:sz w:val="14"/>
                <w:szCs w:val="14"/>
                <w:b w:val="1"/>
                <w:bCs w:val="1"/>
                <w:color w:val="auto"/>
                <w:w w:val="91"/>
              </w:rPr>
              <w:t>December 31, 2013</w:t>
            </w:r>
          </w:p>
        </w:tc>
        <w:tc>
          <w:tcPr>
            <w:tcW w:w="1420" w:type="dxa"/>
            <w:vAlign w:val="bottom"/>
            <w:gridSpan w:val="4"/>
          </w:tcPr>
          <w:p>
            <w:pPr>
              <w:ind w:left="160"/>
              <w:spacing w:after="0"/>
              <w:rPr>
                <w:sz w:val="20"/>
                <w:szCs w:val="20"/>
                <w:color w:val="auto"/>
              </w:rPr>
            </w:pPr>
            <w:r>
              <w:rPr>
                <w:rFonts w:ascii="Arial" w:cs="Arial" w:eastAsia="Arial" w:hAnsi="Arial"/>
                <w:sz w:val="14"/>
                <w:szCs w:val="14"/>
                <w:b w:val="1"/>
                <w:bCs w:val="1"/>
                <w:color w:val="auto"/>
                <w:w w:val="98"/>
              </w:rPr>
              <w:t>December 31, 2012</w:t>
            </w:r>
          </w:p>
        </w:tc>
      </w:tr>
      <w:tr>
        <w:trPr>
          <w:trHeight w:val="223"/>
        </w:trPr>
        <w:tc>
          <w:tcPr>
            <w:tcW w:w="2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Ordinary Income </w:t>
            </w:r>
            <w:r>
              <w:rPr>
                <w:rFonts w:ascii="Arial" w:cs="Arial" w:eastAsia="Arial" w:hAnsi="Arial"/>
                <w:sz w:val="15"/>
                <w:szCs w:val="15"/>
                <w:color w:val="auto"/>
              </w:rPr>
              <w:t>(1)</w:t>
            </w:r>
          </w:p>
        </w:tc>
        <w:tc>
          <w:tcPr>
            <w:tcW w:w="18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80,077</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51,476</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27,994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 Gains</w:t>
            </w:r>
          </w:p>
        </w:tc>
        <w:tc>
          <w:tcPr>
            <w:tcW w:w="18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8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81,326</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55,385</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29,770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right="460" w:hanging="373"/>
        <w:spacing w:after="0" w:line="277" w:lineRule="auto"/>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the years ended December 31, 2014, 2013 and 2012, 78.85%, 91.52% and 78.08% of ordinary income qualified as interest related dividend which is exempt from U.S. withholding tax applicable to non U.S. shareholders.</w:t>
      </w:r>
    </w:p>
    <w:p>
      <w:pPr>
        <w:spacing w:after="0" w:line="197"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The following reconciles increase in net assets resulting from operations for the fiscal years ended December 31, 2014, 2013 and 2012, to taxable income at December 31, 2014, 2013 and 2012:</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Year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94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 2014</w:t>
            </w: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2013</w:t>
            </w: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w w:val="98"/>
              </w:rPr>
              <w:t>December 31, 2012</w:t>
            </w:r>
          </w:p>
        </w:tc>
      </w:tr>
      <w:tr>
        <w:trPr>
          <w:trHeight w:val="223"/>
        </w:trPr>
        <w:tc>
          <w:tcPr>
            <w:tcW w:w="20" w:type="dxa"/>
            <w:vAlign w:val="bottom"/>
          </w:tcPr>
          <w:p>
            <w:pPr>
              <w:spacing w:after="0"/>
              <w:rPr>
                <w:sz w:val="19"/>
                <w:szCs w:val="19"/>
                <w:color w:val="auto"/>
              </w:rPr>
            </w:pPr>
          </w:p>
        </w:tc>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6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85,050</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66,983</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39,595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Adjustments: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 loss on investments</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(8,386)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(7,211)</w:t>
            </w:r>
          </w:p>
        </w:tc>
      </w:tr>
      <w:tr>
        <w:trPr>
          <w:trHeight w:val="230"/>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Other income (expense) for tax purposes, not book</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(670)</w:t>
            </w: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organization costs</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Other expenses not currently deductible</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book-tax differences</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(901)</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480"/>
              <w:spacing w:after="0"/>
              <w:rPr>
                <w:sz w:val="20"/>
                <w:szCs w:val="20"/>
                <w:color w:val="auto"/>
              </w:rPr>
            </w:pPr>
            <w:r>
              <w:rPr>
                <w:rFonts w:ascii="Arial" w:cs="Arial" w:eastAsia="Arial" w:hAnsi="Arial"/>
                <w:sz w:val="18"/>
                <w:szCs w:val="18"/>
                <w:b w:val="1"/>
                <w:bCs w:val="1"/>
                <w:color w:val="auto"/>
              </w:rPr>
              <w:t>Taxable Income</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58,401</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31,755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Note: Taxable income is an estimate and is not fully determined until the Company’s tax return is filed.</w:t>
      </w:r>
    </w:p>
    <w:p>
      <w:pPr>
        <w:spacing w:after="0" w:line="225" w:lineRule="exact"/>
        <w:rPr>
          <w:sz w:val="20"/>
          <w:szCs w:val="20"/>
          <w:color w:val="auto"/>
        </w:rPr>
      </w:pPr>
    </w:p>
    <w:p>
      <w:pPr>
        <w:jc w:val="both"/>
        <w:ind w:right="240" w:firstLine="259"/>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562" w:right="239" w:bottom="1440" w:gutter="0" w:footer="0" w:header="0"/>
        </w:sectPr>
      </w:pPr>
    </w:p>
    <w:bookmarkStart w:id="108" w:name="page109"/>
    <w:bookmarkEnd w:id="108"/>
    <w:p>
      <w:pPr>
        <w:ind w:right="100" w:firstLine="259"/>
        <w:spacing w:after="0" w:line="273" w:lineRule="auto"/>
        <w:rPr>
          <w:sz w:val="20"/>
          <w:szCs w:val="20"/>
          <w:color w:val="auto"/>
        </w:rPr>
      </w:pPr>
      <w:r>
        <w:rPr>
          <w:rFonts w:ascii="Arial" w:cs="Arial" w:eastAsia="Arial" w:hAnsi="Arial"/>
          <w:sz w:val="17"/>
          <w:szCs w:val="17"/>
          <w:color w:val="auto"/>
        </w:rPr>
        <w:t>During the year ended December 31, 2014, permanent differences were principally related to $19.9 million of recharacterization of prepayment penalties for tax purposes between ordinary income and capital gains, $1.1 million attributable to accrued U.S. federal excise taxes, and $0.2 million attributable to the foreign currency reclassifications. During the year ended December 31, 2013, permanent differences were principally related to $0.2 million attributable to accrued U.S. federal excise taxes, $3.0 million of recharacterization of prepayment penalties for tax purposes between ordinary income and capital gains and $1.4 million on the disposition of investments with PIK earnings not previously recognized for tax purposes. During the year ended December 31, 2012, permanent differences of $46 thousand were principally attributable to accrued U.S. federal excise taxes.</w:t>
      </w:r>
    </w:p>
    <w:p>
      <w:pPr>
        <w:spacing w:after="0" w:line="178" w:lineRule="exact"/>
        <w:rPr>
          <w:sz w:val="20"/>
          <w:szCs w:val="20"/>
          <w:color w:val="auto"/>
        </w:rPr>
      </w:pPr>
    </w:p>
    <w:p>
      <w:pPr>
        <w:jc w:val="both"/>
        <w:ind w:right="440" w:firstLine="259"/>
        <w:spacing w:after="0" w:line="312" w:lineRule="auto"/>
        <w:rPr>
          <w:sz w:val="20"/>
          <w:szCs w:val="20"/>
          <w:color w:val="auto"/>
        </w:rPr>
      </w:pPr>
      <w:r>
        <w:rPr>
          <w:rFonts w:ascii="Arial" w:cs="Arial" w:eastAsia="Arial" w:hAnsi="Arial"/>
          <w:sz w:val="16"/>
          <w:szCs w:val="16"/>
          <w:color w:val="auto"/>
        </w:rPr>
        <w:t xml:space="preserve">The Company neither has any uncertain tax positions that met the recognition or measurement criteria of ASC 740-10-25, </w:t>
      </w:r>
      <w:r>
        <w:rPr>
          <w:rFonts w:ascii="Arial" w:cs="Arial" w:eastAsia="Arial" w:hAnsi="Arial"/>
          <w:sz w:val="16"/>
          <w:szCs w:val="16"/>
          <w:i w:val="1"/>
          <w:iCs w:val="1"/>
          <w:color w:val="auto"/>
        </w:rPr>
        <w:t>Income Taxes</w:t>
      </w:r>
      <w:r>
        <w:rPr>
          <w:rFonts w:ascii="Arial" w:cs="Arial" w:eastAsia="Arial" w:hAnsi="Arial"/>
          <w:sz w:val="16"/>
          <w:szCs w:val="16"/>
          <w:color w:val="auto"/>
        </w:rPr>
        <w:t>, nor did the Company have any unrecognized tax benefits as of the periods presented herein. Although the Company files federal and state tax returns, our major tax jurisdiction is federal. Our inception-to-date federal tax year remains subject to examination by the Internal Revenue Service.</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tax cost of the Company’s investments as of December 31, 2014 and 2013, approximates their amortized cost.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160" w:firstLine="259"/>
        <w:spacing w:after="0" w:line="286"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years ended December 31, 2014, 2013, 2012, and 2011. There was no activity for the period from July 21, 2010 (inception) to December 31, 2010 other than the initial issuance of Common Stock.</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July 21, 2010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Year Ended</w:t>
            </w:r>
          </w:p>
        </w:tc>
        <w:tc>
          <w:tcPr>
            <w:tcW w:w="14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Year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40" w:type="dxa"/>
            <w:vAlign w:val="bottom"/>
            <w:gridSpan w:val="4"/>
          </w:tcPr>
          <w:p>
            <w:pPr>
              <w:ind w:left="660"/>
              <w:spacing w:after="0"/>
              <w:rPr>
                <w:sz w:val="20"/>
                <w:szCs w:val="20"/>
                <w:color w:val="auto"/>
              </w:rPr>
            </w:pPr>
            <w:r>
              <w:rPr>
                <w:rFonts w:ascii="Arial" w:cs="Arial" w:eastAsia="Arial" w:hAnsi="Arial"/>
                <w:sz w:val="14"/>
                <w:szCs w:val="14"/>
                <w:b w:val="1"/>
                <w:bCs w:val="1"/>
                <w:color w:val="auto"/>
              </w:rPr>
              <w:t>December 31, 2014</w:t>
            </w:r>
          </w:p>
        </w:tc>
        <w:tc>
          <w:tcPr>
            <w:tcW w:w="150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 2013</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13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(5)</w:t>
            </w:r>
          </w:p>
        </w:tc>
        <w:tc>
          <w:tcPr>
            <w:tcW w:w="6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15.52</w:t>
            </w:r>
          </w:p>
        </w:tc>
        <w:tc>
          <w:tcPr>
            <w:tcW w:w="22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15.19</w:t>
            </w:r>
          </w:p>
        </w:tc>
        <w:tc>
          <w:tcPr>
            <w:tcW w:w="2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14.71</w:t>
            </w:r>
          </w:p>
        </w:tc>
        <w:tc>
          <w:tcPr>
            <w:tcW w:w="3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 xml:space="preserve">Net investment income (loss) </w:t>
            </w:r>
            <w:r>
              <w:rPr>
                <w:rFonts w:ascii="Arial" w:cs="Arial" w:eastAsia="Arial" w:hAnsi="Arial"/>
                <w:sz w:val="15"/>
                <w:szCs w:val="15"/>
                <w:color w:val="auto"/>
              </w:rPr>
              <w:t>(1)</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realized and unrealized gain (loss) </w:t>
            </w:r>
            <w:r>
              <w:rPr>
                <w:rFonts w:ascii="Arial" w:cs="Arial" w:eastAsia="Arial" w:hAnsi="Arial"/>
                <w:sz w:val="15"/>
                <w:szCs w:val="15"/>
                <w:color w:val="auto"/>
              </w:rPr>
              <w:t>(1)</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Total from operations</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net of</w:t>
            </w: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offering costs </w:t>
            </w:r>
            <w:r>
              <w:rPr>
                <w:rFonts w:ascii="Arial" w:cs="Arial" w:eastAsia="Arial" w:hAnsi="Arial"/>
                <w:sz w:val="15"/>
                <w:szCs w:val="15"/>
                <w:color w:val="auto"/>
              </w:rPr>
              <w:t>(1)</w:t>
            </w: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(0.20)</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Dividends declared from net investment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 xml:space="preserve">income </w:t>
            </w:r>
            <w:r>
              <w:rPr>
                <w:rFonts w:ascii="Arial" w:cs="Arial" w:eastAsia="Arial" w:hAnsi="Arial"/>
                <w:sz w:val="15"/>
                <w:szCs w:val="15"/>
                <w:color w:val="auto"/>
              </w:rPr>
              <w:t>(2)</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Dividends declared from realized</w:t>
            </w: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gains </w:t>
            </w:r>
            <w:r>
              <w:rPr>
                <w:rFonts w:ascii="Arial" w:cs="Arial" w:eastAsia="Arial" w:hAnsi="Arial"/>
                <w:sz w:val="15"/>
                <w:szCs w:val="15"/>
                <w:color w:val="auto"/>
              </w:rPr>
              <w:t>(2)</w:t>
            </w: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increase in net assets</w:t>
            </w:r>
          </w:p>
        </w:tc>
        <w:tc>
          <w:tcPr>
            <w:tcW w:w="6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2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3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Net Asset Value, End of Period</w:t>
            </w:r>
          </w:p>
        </w:tc>
        <w:tc>
          <w:tcPr>
            <w:tcW w:w="6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15.19</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color w:val="auto"/>
              </w:rPr>
              <w:t>Per share market value at end of period</w:t>
            </w:r>
          </w:p>
        </w:tc>
        <w:tc>
          <w:tcPr>
            <w:tcW w:w="6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16.82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(3)</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15"/>
                <w:szCs w:val="15"/>
                <w:color w:val="auto"/>
              </w:rPr>
              <w:t>(4)</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Shares Outstanding, End of Period</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53,797,358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37,026,023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31,582,954</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11,770,514</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Ratios / Supplemental Data</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Ratio of net expenses to average net</w:t>
            </w: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assets</w:t>
            </w: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7.5%</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Ratio of net investment income (loss) to</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average net assets</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Portfolio turnover</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53.2%</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45.7%</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n.m.</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835,405</w:t>
            </w:r>
          </w:p>
        </w:tc>
        <w:tc>
          <w:tcPr>
            <w:tcW w:w="22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574,696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479,803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173,092</w:t>
            </w:r>
          </w:p>
        </w:tc>
        <w:tc>
          <w:tcPr>
            <w:tcW w:w="2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660" w:right="80" w:hanging="652"/>
        <w:spacing w:after="0" w:line="250"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660" w:right="440" w:hanging="652"/>
        <w:spacing w:after="0" w:line="261"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557" w:right="239" w:bottom="1440" w:gutter="0" w:footer="0" w:header="0"/>
        </w:sectPr>
      </w:pPr>
    </w:p>
    <w:bookmarkStart w:id="109" w:name="page110"/>
    <w:bookmarkEnd w:id="109"/>
    <w:p>
      <w:pPr>
        <w:ind w:left="660" w:right="120" w:hanging="652"/>
        <w:spacing w:after="0" w:line="277"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Q3</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Q1</w:t>
            </w:r>
          </w:p>
        </w:tc>
        <w:tc>
          <w:tcPr>
            <w:tcW w:w="120" w:type="dxa"/>
            <w:vAlign w:val="bottom"/>
          </w:tcPr>
          <w:p>
            <w:pPr>
              <w:spacing w:after="0"/>
              <w:rPr>
                <w:sz w:val="13"/>
                <w:szCs w:val="13"/>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6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45,778</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38,404</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45,657</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33,481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Net Expenses</w:t>
            </w:r>
          </w:p>
        </w:tc>
        <w:tc>
          <w:tcPr>
            <w:tcW w:w="8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15,094</w:t>
            </w:r>
          </w:p>
        </w:tc>
        <w:tc>
          <w:tcPr>
            <w:tcW w:w="10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15,288</w:t>
            </w:r>
          </w:p>
        </w:tc>
        <w:tc>
          <w:tcPr>
            <w:tcW w:w="120" w:type="dxa"/>
            <w:vAlign w:val="bottom"/>
          </w:tcPr>
          <w:p>
            <w:pPr>
              <w:spacing w:after="0"/>
              <w:rPr>
                <w:sz w:val="19"/>
                <w:szCs w:val="19"/>
                <w:color w:val="auto"/>
              </w:rPr>
            </w:pP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16,224</w:t>
            </w:r>
          </w:p>
        </w:tc>
        <w:tc>
          <w:tcPr>
            <w:tcW w:w="120" w:type="dxa"/>
            <w:vAlign w:val="bottom"/>
          </w:tcPr>
          <w:p>
            <w:pPr>
              <w:spacing w:after="0"/>
              <w:rPr>
                <w:sz w:val="19"/>
                <w:szCs w:val="19"/>
                <w:color w:val="auto"/>
              </w:rPr>
            </w:pP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12,239</w:t>
            </w:r>
          </w:p>
        </w:tc>
        <w:tc>
          <w:tcPr>
            <w:tcW w:w="12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8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30,684</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23,116</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29,433</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21,242</w:t>
            </w:r>
          </w:p>
        </w:tc>
        <w:tc>
          <w:tcPr>
            <w:tcW w:w="120" w:type="dxa"/>
            <w:vAlign w:val="bottom"/>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8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(16,879)</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(4,513)</w:t>
            </w: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(2,139)</w:t>
            </w: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4,106</w:t>
            </w:r>
          </w:p>
        </w:tc>
        <w:tc>
          <w:tcPr>
            <w:tcW w:w="12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8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13,805</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18,603</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27,294</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25,348</w:t>
            </w:r>
          </w:p>
        </w:tc>
        <w:tc>
          <w:tcPr>
            <w:tcW w:w="120" w:type="dxa"/>
            <w:vAlign w:val="bottom"/>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8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0"/>
                <w:szCs w:val="20"/>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20"/>
                <w:szCs w:val="20"/>
                <w:color w:val="auto"/>
              </w:rPr>
            </w:pP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20"/>
                <w:szCs w:val="20"/>
                <w:color w:val="auto"/>
              </w:rPr>
            </w:pP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20"/>
                <w:szCs w:val="20"/>
                <w:color w:val="auto"/>
              </w:rPr>
            </w:pPr>
          </w:p>
        </w:tc>
      </w:tr>
      <w:tr>
        <w:trPr>
          <w:trHeight w:val="377"/>
        </w:trPr>
        <w:tc>
          <w:tcPr>
            <w:tcW w:w="4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4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Q3</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Q1</w:t>
            </w:r>
          </w:p>
        </w:tc>
        <w:tc>
          <w:tcPr>
            <w:tcW w:w="120" w:type="dxa"/>
            <w:vAlign w:val="bottom"/>
          </w:tcPr>
          <w:p>
            <w:pPr>
              <w:spacing w:after="0"/>
              <w:rPr>
                <w:sz w:val="13"/>
                <w:szCs w:val="13"/>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6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27,569</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23,298</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20,940</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20,802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Net Expenses</w:t>
            </w:r>
          </w:p>
        </w:tc>
        <w:tc>
          <w:tcPr>
            <w:tcW w:w="8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10,576</w:t>
            </w:r>
          </w:p>
        </w:tc>
        <w:tc>
          <w:tcPr>
            <w:tcW w:w="10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8,713</w:t>
            </w:r>
          </w:p>
        </w:tc>
        <w:tc>
          <w:tcPr>
            <w:tcW w:w="120" w:type="dxa"/>
            <w:vAlign w:val="bottom"/>
          </w:tcPr>
          <w:p>
            <w:pPr>
              <w:spacing w:after="0"/>
              <w:rPr>
                <w:sz w:val="19"/>
                <w:szCs w:val="19"/>
                <w:color w:val="auto"/>
              </w:rPr>
            </w:pP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8,123</w:t>
            </w:r>
          </w:p>
        </w:tc>
        <w:tc>
          <w:tcPr>
            <w:tcW w:w="120" w:type="dxa"/>
            <w:vAlign w:val="bottom"/>
          </w:tcPr>
          <w:p>
            <w:pPr>
              <w:spacing w:after="0"/>
              <w:rPr>
                <w:sz w:val="19"/>
                <w:szCs w:val="19"/>
                <w:color w:val="auto"/>
              </w:rPr>
            </w:pP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7,696</w:t>
            </w:r>
          </w:p>
        </w:tc>
        <w:tc>
          <w:tcPr>
            <w:tcW w:w="12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8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16,993</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14,585</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12,817</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13,106</w:t>
            </w:r>
          </w:p>
        </w:tc>
        <w:tc>
          <w:tcPr>
            <w:tcW w:w="120" w:type="dxa"/>
            <w:vAlign w:val="bottom"/>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Total unrealized and realized gains</w:t>
            </w:r>
          </w:p>
        </w:tc>
        <w:tc>
          <w:tcPr>
            <w:tcW w:w="8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4,063</w:t>
            </w:r>
          </w:p>
        </w:tc>
        <w:tc>
          <w:tcPr>
            <w:tcW w:w="10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1,674</w:t>
            </w:r>
          </w:p>
        </w:tc>
        <w:tc>
          <w:tcPr>
            <w:tcW w:w="120" w:type="dxa"/>
            <w:vAlign w:val="bottom"/>
          </w:tcPr>
          <w:p>
            <w:pPr>
              <w:spacing w:after="0"/>
              <w:rPr>
                <w:sz w:val="19"/>
                <w:szCs w:val="19"/>
                <w:color w:val="auto"/>
              </w:rPr>
            </w:pP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19"/>
                <w:szCs w:val="19"/>
                <w:color w:val="auto"/>
              </w:rPr>
            </w:pP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2,355</w:t>
            </w:r>
          </w:p>
        </w:tc>
        <w:tc>
          <w:tcPr>
            <w:tcW w:w="12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8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21,056</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16,259</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14,208</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15,461</w:t>
            </w:r>
          </w:p>
        </w:tc>
        <w:tc>
          <w:tcPr>
            <w:tcW w:w="120" w:type="dxa"/>
            <w:vAlign w:val="bottom"/>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 xml:space="preserve">Net Asset Value per Share as of the End of the Quarter </w:t>
            </w:r>
            <w:r>
              <w:rPr>
                <w:rFonts w:ascii="Arial" w:cs="Arial" w:eastAsia="Arial" w:hAnsi="Arial"/>
                <w:sz w:val="15"/>
                <w:szCs w:val="15"/>
                <w:color w:val="auto"/>
              </w:rPr>
              <w:t>(1)</w:t>
            </w:r>
          </w:p>
        </w:tc>
        <w:tc>
          <w:tcPr>
            <w:tcW w:w="8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0"/>
                <w:szCs w:val="20"/>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20"/>
                <w:szCs w:val="20"/>
                <w:color w:val="auto"/>
              </w:rPr>
            </w:pP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15.29</w:t>
            </w:r>
          </w:p>
        </w:tc>
        <w:tc>
          <w:tcPr>
            <w:tcW w:w="120" w:type="dxa"/>
            <w:vAlign w:val="bottom"/>
          </w:tcPr>
          <w:p>
            <w:pPr>
              <w:spacing w:after="0"/>
              <w:rPr>
                <w:sz w:val="20"/>
                <w:szCs w:val="20"/>
                <w:color w:val="auto"/>
              </w:rPr>
            </w:pP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20"/>
                <w:szCs w:val="20"/>
                <w:color w:val="auto"/>
              </w:rPr>
            </w:pPr>
          </w:p>
        </w:tc>
      </w:tr>
      <w:tr>
        <w:trPr>
          <w:trHeight w:val="377"/>
        </w:trPr>
        <w:tc>
          <w:tcPr>
            <w:tcW w:w="4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4"/>
                <w:szCs w:val="14"/>
                <w:b w:val="1"/>
                <w:bCs w:val="1"/>
                <w:color w:val="auto"/>
              </w:rPr>
              <w:t>2012</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4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Q3</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Q1</w:t>
            </w:r>
          </w:p>
        </w:tc>
        <w:tc>
          <w:tcPr>
            <w:tcW w:w="120" w:type="dxa"/>
            <w:vAlign w:val="bottom"/>
          </w:tcPr>
          <w:p>
            <w:pPr>
              <w:spacing w:after="0"/>
              <w:rPr>
                <w:sz w:val="13"/>
                <w:szCs w:val="13"/>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6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18,169</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14,554</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11,314</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Net Expenses</w:t>
            </w:r>
          </w:p>
        </w:tc>
        <w:tc>
          <w:tcPr>
            <w:tcW w:w="8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7,277</w:t>
            </w:r>
          </w:p>
        </w:tc>
        <w:tc>
          <w:tcPr>
            <w:tcW w:w="10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6,637</w:t>
            </w:r>
          </w:p>
        </w:tc>
        <w:tc>
          <w:tcPr>
            <w:tcW w:w="120" w:type="dxa"/>
            <w:vAlign w:val="bottom"/>
          </w:tcPr>
          <w:p>
            <w:pPr>
              <w:spacing w:after="0"/>
              <w:rPr>
                <w:sz w:val="19"/>
                <w:szCs w:val="19"/>
                <w:color w:val="auto"/>
              </w:rPr>
            </w:pP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4,711</w:t>
            </w:r>
          </w:p>
        </w:tc>
        <w:tc>
          <w:tcPr>
            <w:tcW w:w="120" w:type="dxa"/>
            <w:vAlign w:val="bottom"/>
          </w:tcPr>
          <w:p>
            <w:pPr>
              <w:spacing w:after="0"/>
              <w:rPr>
                <w:sz w:val="19"/>
                <w:szCs w:val="19"/>
                <w:color w:val="auto"/>
              </w:rPr>
            </w:pP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4,357</w:t>
            </w:r>
          </w:p>
        </w:tc>
        <w:tc>
          <w:tcPr>
            <w:tcW w:w="12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8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10,892</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7,917</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6,603</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w:t>
            </w:r>
          </w:p>
        </w:tc>
        <w:tc>
          <w:tcPr>
            <w:tcW w:w="120" w:type="dxa"/>
            <w:vAlign w:val="bottom"/>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Total unrealized and realized gains</w:t>
            </w:r>
          </w:p>
        </w:tc>
        <w:tc>
          <w:tcPr>
            <w:tcW w:w="8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5,664</w:t>
            </w:r>
          </w:p>
        </w:tc>
        <w:tc>
          <w:tcPr>
            <w:tcW w:w="120" w:type="dxa"/>
            <w:vAlign w:val="bottom"/>
          </w:tcPr>
          <w:p>
            <w:pPr>
              <w:spacing w:after="0"/>
              <w:rPr>
                <w:sz w:val="19"/>
                <w:szCs w:val="19"/>
                <w:color w:val="auto"/>
              </w:rPr>
            </w:pP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19"/>
                <w:szCs w:val="19"/>
                <w:color w:val="auto"/>
              </w:rPr>
            </w:pP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3,169</w:t>
            </w:r>
          </w:p>
        </w:tc>
        <w:tc>
          <w:tcPr>
            <w:tcW w:w="12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8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12,460</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13,581</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7,768</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5,786</w:t>
            </w:r>
          </w:p>
        </w:tc>
        <w:tc>
          <w:tcPr>
            <w:tcW w:w="120" w:type="dxa"/>
            <w:vAlign w:val="bottom"/>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 xml:space="preserve">Net Asset Value per Share as of the End of the Quarter </w:t>
            </w:r>
            <w:r>
              <w:rPr>
                <w:rFonts w:ascii="Arial" w:cs="Arial" w:eastAsia="Arial" w:hAnsi="Arial"/>
                <w:sz w:val="15"/>
                <w:szCs w:val="15"/>
                <w:color w:val="auto"/>
              </w:rPr>
              <w:t>(1)</w:t>
            </w:r>
          </w:p>
        </w:tc>
        <w:tc>
          <w:tcPr>
            <w:tcW w:w="8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0"/>
                <w:szCs w:val="20"/>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20"/>
                <w:szCs w:val="20"/>
                <w:color w:val="auto"/>
              </w:rPr>
            </w:pP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14.92</w:t>
            </w:r>
          </w:p>
        </w:tc>
        <w:tc>
          <w:tcPr>
            <w:tcW w:w="120" w:type="dxa"/>
            <w:vAlign w:val="bottom"/>
          </w:tcPr>
          <w:p>
            <w:pPr>
              <w:spacing w:after="0"/>
              <w:rPr>
                <w:sz w:val="20"/>
                <w:szCs w:val="20"/>
                <w:color w:val="auto"/>
              </w:rPr>
            </w:pP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14.88</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ind w:left="540" w:right="80" w:hanging="532"/>
        <w:spacing w:after="0" w:line="277"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management has evaluated subsequent events through the date of issuance of the consolidated financial statements included herein. There have been no subsequent events that occurred during such period that would require disclosure in this Form 10-K or would be required to be recognized in the Consolidated Financial Statements as of and for the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341" w:right="2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b w:val="1"/>
          <w:bCs w:val="1"/>
          <w:i w:val="1"/>
          <w:iCs w:val="1"/>
          <w:color w:val="auto"/>
        </w:rPr>
        <w:t xml:space="preserve">Evaluation of Disclosure Controls and Procedures. </w:t>
      </w:r>
      <w:r>
        <w:rPr>
          <w:rFonts w:ascii="Arial" w:cs="Arial" w:eastAsia="Arial" w:hAnsi="Arial"/>
          <w:sz w:val="17"/>
          <w:szCs w:val="17"/>
          <w:color w:val="auto"/>
        </w:rPr>
        <w:t>As of the end of the period covered by this report, we carried out an evaluation, under the supervision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with the participation of our management, including our Co-Chief Executive Officers and Chief Financial Officer, of the effectiveness of the design and operation of our disclosure controls and procedures (as defined in Rule 13a-15 under the Exchange Act). Based on that evaluation, our Co-Chief Executive Officers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73"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b w:val="1"/>
          <w:bCs w:val="1"/>
          <w:i w:val="1"/>
          <w:iCs w:val="1"/>
          <w:color w:val="auto"/>
        </w:rPr>
        <w:t xml:space="preserve">Management’s Report on Internal Control Over Financial Reporting. </w:t>
      </w:r>
      <w:r>
        <w:rPr>
          <w:rFonts w:ascii="Arial" w:cs="Arial" w:eastAsia="Arial" w:hAnsi="Arial"/>
          <w:sz w:val="17"/>
          <w:szCs w:val="17"/>
          <w:color w:val="auto"/>
        </w:rPr>
        <w:t>Our management is responsible for establishing and maintaining adequate internal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control over financial reporting (as defined in Rules 13a-15(f) and 15d-15(f) of the Exchange Act). Under the supervision and with the participation of management, including the Co-Chief Executive Officers and Chief Financial Officer, we conducted an evaluation of the effectiveness of our internal control over financial reporting based on the criteria established in </w:t>
      </w:r>
      <w:r>
        <w:rPr>
          <w:rFonts w:ascii="Arial" w:cs="Arial" w:eastAsia="Arial" w:hAnsi="Arial"/>
          <w:sz w:val="17"/>
          <w:szCs w:val="17"/>
          <w:i w:val="1"/>
          <w:iCs w:val="1"/>
          <w:color w:val="auto"/>
        </w:rPr>
        <w:t>Internal Control—Integrated Framework (1992)</w:t>
      </w:r>
      <w:r>
        <w:rPr>
          <w:rFonts w:ascii="Arial" w:cs="Arial" w:eastAsia="Arial" w:hAnsi="Arial"/>
          <w:sz w:val="17"/>
          <w:szCs w:val="17"/>
          <w:color w:val="auto"/>
        </w:rPr>
        <w:t xml:space="preserve"> issued by the Committee of Sponsoring Organizations of the Treadway Commission (COSO). Based on our evaluation under the framework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management concluded that our internal control over financial reporting was effective as of December 31, 2014.</w:t>
      </w:r>
    </w:p>
    <w:p>
      <w:pPr>
        <w:spacing w:after="0" w:line="178"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b w:val="1"/>
          <w:bCs w:val="1"/>
          <w:i w:val="1"/>
          <w:iCs w:val="1"/>
          <w:color w:val="auto"/>
        </w:rPr>
        <w:t xml:space="preserve">Attestation Report of the Independent Registered Public Accounting Firm. </w:t>
      </w:r>
      <w:r>
        <w:rPr>
          <w:rFonts w:ascii="Arial" w:cs="Arial" w:eastAsia="Arial" w:hAnsi="Arial"/>
          <w:sz w:val="18"/>
          <w:szCs w:val="18"/>
          <w:color w:val="auto"/>
        </w:rPr>
        <w:t>Our independent registered public accounting firm, KPMG LLP, has 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audit report on the effectiveness of our internal control over financial reporting, which is set forth under the heading “Report of Independent Registered Public Accounting Firm” on page F-2.</w:t>
      </w:r>
    </w:p>
    <w:p>
      <w:pPr>
        <w:spacing w:after="0" w:line="181"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most recently completed fiscal quarter that have materially affected, or are reasonably likely to materially affect, our internal control over financial reporting.</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37" w:right="239" w:bottom="1440" w:gutter="0" w:footer="0" w:header="0"/>
        </w:sectPr>
      </w:pPr>
    </w:p>
    <w:bookmarkStart w:id="111" w:name="page112"/>
    <w:bookmarkEnd w:id="111"/>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Information in response to this item is incorporated by reference from our Proxy Statement relating to our 2015 annual meeting of stockholders. The Proxy Statement will be filed with the SEC within 120 days after the end of the fiscal year covered by this Form 10-K pursuant to Regulation 14A under the Exchange Act.</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Information in response to this item is incorporated by reference from our Proxy Statement relating to our 2015 annual meeting of stockholders.</w:t>
      </w:r>
    </w:p>
    <w:p>
      <w:pPr>
        <w:spacing w:after="0" w:line="200" w:lineRule="exact"/>
        <w:rPr>
          <w:sz w:val="20"/>
          <w:szCs w:val="20"/>
          <w:color w:val="auto"/>
        </w:rPr>
      </w:pPr>
    </w:p>
    <w:p>
      <w:pPr>
        <w:spacing w:after="0" w:line="222"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Information in response to this item is incorporated by reference from our Proxy Statement relating to our 2015 annual meeting of stockholders.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 AND RELATED TRANSACTION, AND DIRECTOR INDEPENDENCE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Information in response to this item is incorporated by reference from our Proxy Statement relating to our 2015 annual meeting of stockholders.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Information in response to this item is incorporated by reference from our Proxy Statement relating to our 2015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60"/>
          </w:cols>
          <w:pgMar w:left="240" w:top="337" w:right="399" w:bottom="1440" w:gutter="0" w:footer="0" w:header="0"/>
        </w:sectPr>
      </w:pPr>
    </w:p>
    <w:bookmarkStart w:id="112" w:name="page113"/>
    <w:bookmarkEnd w:id="112"/>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documents are filed as part of this Annual Report:</w:t>
      </w:r>
    </w:p>
    <w:p>
      <w:pPr>
        <w:spacing w:after="0" w:line="117" w:lineRule="exact"/>
        <w:rPr>
          <w:sz w:val="20"/>
          <w:szCs w:val="20"/>
          <w:color w:val="auto"/>
        </w:rPr>
      </w:pPr>
    </w:p>
    <w:p>
      <w:pPr>
        <w:ind w:left="780" w:right="380" w:hanging="513"/>
        <w:spacing w:after="0" w:line="277" w:lineRule="auto"/>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Financial Statements—Financial statements are included in Item 8. See the Index to the Consolidated Financial Statements on page F-1 of this annual report on Form 10-K.</w:t>
      </w:r>
    </w:p>
    <w:p>
      <w:pPr>
        <w:spacing w:after="0" w:line="62" w:lineRule="exact"/>
        <w:rPr>
          <w:rFonts w:ascii="Arial" w:cs="Arial" w:eastAsia="Arial" w:hAnsi="Arial"/>
          <w:sz w:val="18"/>
          <w:szCs w:val="18"/>
          <w:color w:val="auto"/>
        </w:rPr>
      </w:pPr>
    </w:p>
    <w:p>
      <w:pPr>
        <w:ind w:left="780" w:right="160" w:hanging="513"/>
        <w:spacing w:after="0" w:line="264" w:lineRule="auto"/>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Financial Statement Schedules—None. We have omitted financial statements schedules because they are not required or are not applicable, or the required information is shown in the consolidated financial statements or notes to the consolidated financial statements included in this annual report on Form 10-K.</w:t>
      </w:r>
    </w:p>
    <w:p>
      <w:pPr>
        <w:spacing w:after="0" w:line="73" w:lineRule="exact"/>
        <w:rPr>
          <w:rFonts w:ascii="Arial" w:cs="Arial" w:eastAsia="Arial" w:hAnsi="Arial"/>
          <w:sz w:val="18"/>
          <w:szCs w:val="18"/>
          <w:color w:val="auto"/>
        </w:rPr>
      </w:pPr>
    </w:p>
    <w:p>
      <w:pPr>
        <w:ind w:left="780" w:hanging="513"/>
        <w:spacing w:after="0"/>
        <w:tabs>
          <w:tab w:leader="none" w:pos="7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Exhibits—The following is a list of all exhibits filed as a part of this annual report on Form 10-K, including those incorporated by reference.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4"/>
                <w:szCs w:val="14"/>
                <w:color w:val="auto"/>
              </w:rPr>
              <w:t>Exhibit No</w:t>
            </w:r>
          </w:p>
        </w:tc>
        <w:tc>
          <w:tcPr>
            <w:tcW w:w="10340" w:type="dxa"/>
            <w:vAlign w:val="bottom"/>
          </w:tcPr>
          <w:p>
            <w:pPr>
              <w:spacing w:after="0"/>
              <w:rPr>
                <w:sz w:val="20"/>
                <w:szCs w:val="20"/>
                <w:color w:val="auto"/>
              </w:rPr>
            </w:pPr>
            <w:r>
              <w:rPr>
                <w:rFonts w:ascii="Arial" w:cs="Arial" w:eastAsia="Arial" w:hAnsi="Arial"/>
                <w:sz w:val="14"/>
                <w:szCs w:val="14"/>
                <w:color w:val="auto"/>
              </w:rPr>
              <w:t>Description of Exhibits</w:t>
            </w:r>
          </w:p>
        </w:tc>
      </w:tr>
      <w:tr>
        <w:trPr>
          <w:trHeight w:val="317"/>
        </w:trPr>
        <w:tc>
          <w:tcPr>
            <w:tcW w:w="9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03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Amended and Restated Certificate of Incorporation (incorporated by reference to Exhibit 3.1 to Amendment No. 1 to the Company’s</w:t>
            </w: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Registration Statement on Form 10 filed on March 14, 2011).</w:t>
            </w:r>
          </w:p>
        </w:tc>
      </w:tr>
      <w:tr>
        <w:trPr>
          <w:trHeight w:val="323"/>
        </w:trPr>
        <w:tc>
          <w:tcPr>
            <w:tcW w:w="900" w:type="dxa"/>
            <w:vAlign w:val="bottom"/>
          </w:tcPr>
          <w:p>
            <w:pPr>
              <w:ind w:left="16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Certificate of Amendment to Amended and Restated Certificate of Incorporation (incorporated by reference to Exhibit 3.1 to the Company’s</w:t>
            </w: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Current Report on Form 8-K filed on March 12, 2014).</w:t>
            </w: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Bylaws (incorporated by reference to Exhibit 3.2 to Amendment No. 1 to the Company’s Registration Statement on Form 10 filed on March</w:t>
            </w: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14, 2011).</w:t>
            </w: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8"/>
              </w:rPr>
              <w:t>Form of Subscription Agreement in connection with the Private Offerings (incorporated by reference to Exhibit 4.1 to the Company’s</w:t>
            </w: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Registration Statement on Form 10 filed on January 14, 2011).</w:t>
            </w: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Form of Common Stock Certificate (incorporated by reference to Exhibit 4.2 to the Company’s Annual Report on Form 10-K filed on March</w:t>
            </w: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22, 2012).</w:t>
            </w:r>
          </w:p>
        </w:tc>
      </w:tr>
      <w:tr>
        <w:trPr>
          <w:trHeight w:val="418"/>
        </w:trPr>
        <w:tc>
          <w:tcPr>
            <w:tcW w:w="900" w:type="dxa"/>
            <w:vAlign w:val="bottom"/>
          </w:tcPr>
          <w:p>
            <w:pPr>
              <w:ind w:left="14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6"/>
              </w:rPr>
              <w:t>Form of Private Placement Agreement (incorporated by reference to Exhibit (d)(3) to Amendment No. 2 to the Company’s Registration</w:t>
            </w: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Statement on Form N-2 filed on March 12, 2014).</w:t>
            </w: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Indenture, dated June 10, 2014, between TPG Specialty Lending, Inc. and Wells Fargo Bank, National Association, as Trustee (incorporated by</w:t>
            </w: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reference to Exhibit 4.1 to the Company’s Current Report on Form 8-K filed on June 10, 2014).</w:t>
            </w: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Form of 4.50% Convertible Senior Note Due 2019 (incorporated by reference to Exhibit 4.2 to the Company’s Current Report on Form 8-K</w:t>
            </w: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filed on June 10, 2014).</w:t>
            </w: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Form of Indemnification Agreement between the Company and certain officers and directors (incorporated by reference to Exhibit 10.3 to</w:t>
            </w: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Amendment No. 1 to the Company’s Registration Statement on Form 10 filed on March 14, 2011).</w:t>
            </w: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Administration Agreement, dated as of March 15, 2011, between the Company and the Adviser (incorporated by reference to Exhibit 10.1 to</w:t>
            </w: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the Company’s Current Report on Form 8-K filed on March 15, 2011).</w:t>
            </w: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Revolving Credit Agreement, dated September 28, 2011, among TPG Specialty Lending Inc., as Borrower, Deutsche Bank Trust Company</w:t>
            </w:r>
          </w:p>
        </w:tc>
      </w:tr>
      <w:tr>
        <w:trPr>
          <w:trHeight w:val="216"/>
        </w:trPr>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Americas, as Administrative Agent, and Lenders Party Thereto (incorporated by reference to Exhibit 10.1 to the Company’s Quarterly Report</w:t>
            </w: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on Form 10-Q filed on November 14, 2011).</w:t>
            </w: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First Amendment to Revolving Credit Agreement, dated September 28, 2011, among TPG Specialty Lending, Inc., as Borrower, Deutsche</w:t>
            </w:r>
          </w:p>
        </w:tc>
      </w:tr>
      <w:tr>
        <w:trPr>
          <w:trHeight w:val="216"/>
        </w:trPr>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7"/>
              </w:rPr>
              <w:t>Bank Trust Company Americas, as Administrative Agent, and Lenders Party Thereto (incorporated by reference to Exhibit 10.2 to the</w:t>
            </w: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Company’s Quarterly Report on Form 10-Q filed on November 14, 2011).</w:t>
            </w: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Amended and Restated Investment Advisory and Management Agreement, dated December 12, 2011, between the Company and the Adviser</w:t>
            </w: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(incorporated by reference to Exhibit 10.1 to the Company’s Current Report on Form 8-K filed on December 13, 2011).</w:t>
            </w: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Amended and Restated Revolving Credit Agreement, dated December 22, 2011, among TPG Specialty Lending, Inc., as Borrower, Deutsche</w:t>
            </w:r>
          </w:p>
        </w:tc>
      </w:tr>
      <w:tr>
        <w:trPr>
          <w:trHeight w:val="216"/>
        </w:trPr>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Bank Trust Company Americas, as Administrative Agent, and Lenders Party (incorporated by reference to Exhibit 10.6 to the Company’s</w:t>
            </w: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Annual Report on Form 10-K filed on March 22, 2012).</w:t>
            </w: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Dividend Reinvestment Plan of TPG Specialty Lending, Inc. (incorporated by reference to Exhibit 10.7 to the Company’s Annual Report on</w:t>
            </w: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10-K filed on March 22, 2012).</w:t>
            </w:r>
          </w:p>
        </w:tc>
      </w:tr>
      <w:tr>
        <w:trPr>
          <w:trHeight w:val="432"/>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340" w:type="dxa"/>
            <w:vAlign w:val="bottom"/>
          </w:tcPr>
          <w:p>
            <w:pPr>
              <w:ind w:left="4540"/>
              <w:spacing w:after="0"/>
              <w:rPr>
                <w:sz w:val="20"/>
                <w:szCs w:val="20"/>
                <w:color w:val="auto"/>
              </w:rPr>
            </w:pPr>
            <w:r>
              <w:rPr>
                <w:rFonts w:ascii="Arial" w:cs="Arial" w:eastAsia="Arial" w:hAnsi="Arial"/>
                <w:sz w:val="18"/>
                <w:szCs w:val="18"/>
                <w:color w:val="auto"/>
              </w:rPr>
              <w:t>77</w:t>
            </w:r>
          </w:p>
        </w:tc>
      </w:tr>
    </w:tbl>
    <w:p>
      <w:pPr>
        <w:sectPr>
          <w:pgSz w:w="11900" w:h="16838" w:orient="portrait"/>
          <w:cols w:equalWidth="0" w:num="1">
            <w:col w:w="11420"/>
          </w:cols>
          <w:pgMar w:left="240" w:top="337" w:right="239" w:bottom="1440" w:gutter="0" w:footer="0" w:header="0"/>
        </w:sectPr>
      </w:pPr>
    </w:p>
    <w:bookmarkStart w:id="113" w:name="page114"/>
    <w:bookmarkEnd w:id="113"/>
    <w:p>
      <w:pPr>
        <w:spacing w:after="0"/>
        <w:tabs>
          <w:tab w:leader="none" w:pos="106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p>
      <w:pPr>
        <w:spacing w:after="0" w:line="127"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10.8</w:t>
            </w: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Revolving Credit and Security Agreement, dated May 8, 2012, among TPG SL SPV, LLC, as Borrower, the Lenders from Time to Time Parties</w:t>
            </w:r>
          </w:p>
        </w:tc>
      </w:tr>
      <w:tr>
        <w:trPr>
          <w:trHeight w:val="216"/>
        </w:trPr>
        <w:tc>
          <w:tcPr>
            <w:tcW w:w="66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Hereto, Natixis, New York Branch, as Facility Agent and The Bank of New York Mellon Trust Company, N.A., as Collateral Agent</w:t>
            </w:r>
          </w:p>
        </w:tc>
      </w:tr>
      <w:tr>
        <w:trPr>
          <w:trHeight w:val="230"/>
        </w:trPr>
        <w:tc>
          <w:tcPr>
            <w:tcW w:w="66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10.1 to the Company’s Quarterly Report on Form 10-Q filed on August 13, 2012).</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10.9</w:t>
            </w:r>
          </w:p>
        </w:tc>
        <w:tc>
          <w:tcPr>
            <w:tcW w:w="10600" w:type="dxa"/>
            <w:vAlign w:val="bottom"/>
          </w:tcPr>
          <w:p>
            <w:pPr>
              <w:ind w:left="280"/>
              <w:spacing w:after="0"/>
              <w:rPr>
                <w:sz w:val="20"/>
                <w:szCs w:val="20"/>
                <w:color w:val="auto"/>
              </w:rPr>
            </w:pPr>
            <w:r>
              <w:rPr>
                <w:rFonts w:ascii="Arial" w:cs="Arial" w:eastAsia="Arial" w:hAnsi="Arial"/>
                <w:sz w:val="18"/>
                <w:szCs w:val="18"/>
                <w:color w:val="auto"/>
                <w:w w:val="90"/>
              </w:rPr>
              <w:t>Master Sale and Contribution Agreement by and between TPG Specialty Lending, Inc., as the Originator and TPG SL SPV, LLC, as the Buyer,</w:t>
            </w:r>
          </w:p>
        </w:tc>
      </w:tr>
      <w:tr>
        <w:trPr>
          <w:trHeight w:val="216"/>
        </w:trPr>
        <w:tc>
          <w:tcPr>
            <w:tcW w:w="66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5"/>
              </w:rPr>
              <w:t>dated as of May 8, 2012 (incorporated by reference to Exhibit 10.2 to the Company’s Quarterly Report on Form 10-Q filed on August 13,</w:t>
            </w:r>
          </w:p>
        </w:tc>
      </w:tr>
      <w:tr>
        <w:trPr>
          <w:trHeight w:val="230"/>
        </w:trPr>
        <w:tc>
          <w:tcPr>
            <w:tcW w:w="66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2012).</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10.10</w:t>
            </w:r>
          </w:p>
        </w:tc>
        <w:tc>
          <w:tcPr>
            <w:tcW w:w="10600" w:type="dxa"/>
            <w:vAlign w:val="bottom"/>
          </w:tcPr>
          <w:p>
            <w:pPr>
              <w:ind w:left="280"/>
              <w:spacing w:after="0"/>
              <w:rPr>
                <w:sz w:val="20"/>
                <w:szCs w:val="20"/>
                <w:color w:val="auto"/>
              </w:rPr>
            </w:pPr>
            <w:r>
              <w:rPr>
                <w:rFonts w:ascii="Arial" w:cs="Arial" w:eastAsia="Arial" w:hAnsi="Arial"/>
                <w:sz w:val="18"/>
                <w:szCs w:val="18"/>
                <w:color w:val="auto"/>
                <w:w w:val="94"/>
              </w:rPr>
              <w:t>Senior Secured Revolving Credit Agreement, dated as of August 23, 2012, among TPG Specialty Lending, Inc., as Borrower, the Lenders</w:t>
            </w:r>
          </w:p>
        </w:tc>
      </w:tr>
      <w:tr>
        <w:trPr>
          <w:trHeight w:val="216"/>
        </w:trPr>
        <w:tc>
          <w:tcPr>
            <w:tcW w:w="66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2"/>
              </w:rPr>
              <w:t>Party Hereto and SunTrust Bank, as Administrative Agent, JPMorgan Chase Bank, N.A., as Syndication Agent (incorporated by reference to</w:t>
            </w:r>
          </w:p>
        </w:tc>
      </w:tr>
      <w:tr>
        <w:trPr>
          <w:trHeight w:val="230"/>
        </w:trPr>
        <w:tc>
          <w:tcPr>
            <w:tcW w:w="66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Exhibit 10.1 to the Company’s Quarterly Report on Form 10-Q filed on November 14, 2012).</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10.11</w:t>
            </w:r>
          </w:p>
        </w:tc>
        <w:tc>
          <w:tcPr>
            <w:tcW w:w="10600" w:type="dxa"/>
            <w:vAlign w:val="bottom"/>
          </w:tcPr>
          <w:p>
            <w:pPr>
              <w:ind w:left="280"/>
              <w:spacing w:after="0"/>
              <w:rPr>
                <w:sz w:val="20"/>
                <w:szCs w:val="20"/>
                <w:color w:val="auto"/>
              </w:rPr>
            </w:pPr>
            <w:r>
              <w:rPr>
                <w:rFonts w:ascii="Arial" w:cs="Arial" w:eastAsia="Arial" w:hAnsi="Arial"/>
                <w:sz w:val="18"/>
                <w:szCs w:val="18"/>
                <w:color w:val="auto"/>
                <w:w w:val="92"/>
              </w:rPr>
              <w:t>First Amendment to Amended and Restated Revolving Credit Agreement, dated October 31, 2012, among TPG. Specialty Lending, Inc., as</w:t>
            </w:r>
          </w:p>
        </w:tc>
      </w:tr>
      <w:tr>
        <w:trPr>
          <w:trHeight w:val="216"/>
        </w:trPr>
        <w:tc>
          <w:tcPr>
            <w:tcW w:w="66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5"/>
              </w:rPr>
              <w:t>Borrower, Deutsche Bank Trust Company Americas, as Administrative Agent, and Lenders Named Herein (incorporated by reference to</w:t>
            </w:r>
          </w:p>
        </w:tc>
      </w:tr>
      <w:tr>
        <w:trPr>
          <w:trHeight w:val="230"/>
        </w:trPr>
        <w:tc>
          <w:tcPr>
            <w:tcW w:w="66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Exhibit 10.2 to the Company’s Quarterly Report on Form 10-Q filed on November 14, 2012).</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10.12</w:t>
            </w:r>
          </w:p>
        </w:tc>
        <w:tc>
          <w:tcPr>
            <w:tcW w:w="10600" w:type="dxa"/>
            <w:vAlign w:val="bottom"/>
          </w:tcPr>
          <w:p>
            <w:pPr>
              <w:ind w:left="280"/>
              <w:spacing w:after="0"/>
              <w:rPr>
                <w:sz w:val="20"/>
                <w:szCs w:val="20"/>
                <w:color w:val="auto"/>
              </w:rPr>
            </w:pPr>
            <w:r>
              <w:rPr>
                <w:rFonts w:ascii="Arial" w:cs="Arial" w:eastAsia="Arial" w:hAnsi="Arial"/>
                <w:sz w:val="18"/>
                <w:szCs w:val="18"/>
                <w:color w:val="auto"/>
                <w:w w:val="93"/>
              </w:rPr>
              <w:t>Custodian Agreement dated November 29, 2012 (incorporated by reference to Exhibit 10.1 to the Company’s Current Report on Form 8-K</w:t>
            </w:r>
          </w:p>
        </w:tc>
      </w:tr>
      <w:tr>
        <w:trPr>
          <w:trHeight w:val="230"/>
        </w:trPr>
        <w:tc>
          <w:tcPr>
            <w:tcW w:w="66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filed on December 4, 2012).</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10.13</w:t>
            </w: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Instrument of Removal, Appointment and Acceptance, dated November 29, 2012, among State Street Bank and Trust Company and TPG SL</w:t>
            </w:r>
          </w:p>
        </w:tc>
      </w:tr>
      <w:tr>
        <w:trPr>
          <w:trHeight w:val="216"/>
        </w:trPr>
        <w:tc>
          <w:tcPr>
            <w:tcW w:w="66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2"/>
              </w:rPr>
              <w:t>SPV, LLC, TPG Specialty Lending, Inc. and the Bank of New York Mellon Trust Company, N.A. (incorporated by reference to Exhibit 10.1 to</w:t>
            </w:r>
          </w:p>
        </w:tc>
      </w:tr>
      <w:tr>
        <w:trPr>
          <w:trHeight w:val="230"/>
        </w:trPr>
        <w:tc>
          <w:tcPr>
            <w:tcW w:w="66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the Company’s Current Report on Form 8-K filed on January 2, 2013).</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10.14</w:t>
            </w:r>
          </w:p>
        </w:tc>
        <w:tc>
          <w:tcPr>
            <w:tcW w:w="10600" w:type="dxa"/>
            <w:vAlign w:val="bottom"/>
          </w:tcPr>
          <w:p>
            <w:pPr>
              <w:ind w:left="280"/>
              <w:spacing w:after="0"/>
              <w:rPr>
                <w:sz w:val="20"/>
                <w:szCs w:val="20"/>
                <w:color w:val="auto"/>
              </w:rPr>
            </w:pPr>
            <w:r>
              <w:rPr>
                <w:rFonts w:ascii="Arial" w:cs="Arial" w:eastAsia="Arial" w:hAnsi="Arial"/>
                <w:sz w:val="18"/>
                <w:szCs w:val="18"/>
                <w:color w:val="auto"/>
                <w:w w:val="94"/>
              </w:rPr>
              <w:t>Second Amendment to Amended and Restated Revolving Credit Agreement, dated May 7, 2013, among TPG Specialty Lending, Inc., as</w:t>
            </w:r>
          </w:p>
        </w:tc>
      </w:tr>
      <w:tr>
        <w:trPr>
          <w:trHeight w:val="216"/>
        </w:trPr>
        <w:tc>
          <w:tcPr>
            <w:tcW w:w="66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5"/>
              </w:rPr>
              <w:t>Borrower, Deutsche Bank Trust Company Americas, as Administrative Agent, and Lenders Named Herein (incorporated by reference to</w:t>
            </w:r>
          </w:p>
        </w:tc>
      </w:tr>
      <w:tr>
        <w:trPr>
          <w:trHeight w:val="230"/>
        </w:trPr>
        <w:tc>
          <w:tcPr>
            <w:tcW w:w="66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Exhibit 10.1 to the Company’s Quarterly Report on Form 10-Q filed on May 10, 2013).</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10.15</w:t>
            </w:r>
          </w:p>
        </w:tc>
        <w:tc>
          <w:tcPr>
            <w:tcW w:w="10600" w:type="dxa"/>
            <w:vAlign w:val="bottom"/>
          </w:tcPr>
          <w:p>
            <w:pPr>
              <w:ind w:left="280"/>
              <w:spacing w:after="0"/>
              <w:rPr>
                <w:sz w:val="20"/>
                <w:szCs w:val="20"/>
                <w:color w:val="auto"/>
              </w:rPr>
            </w:pPr>
            <w:r>
              <w:rPr>
                <w:rFonts w:ascii="Arial" w:cs="Arial" w:eastAsia="Arial" w:hAnsi="Arial"/>
                <w:sz w:val="18"/>
                <w:szCs w:val="18"/>
                <w:color w:val="auto"/>
                <w:w w:val="90"/>
              </w:rPr>
              <w:t>Amended and Restated Senior Secured Revolving Credit Agreement, dated as of July 2, 2013, among TPG Specialty Lending, Inc., the lenders</w:t>
            </w:r>
          </w:p>
        </w:tc>
      </w:tr>
      <w:tr>
        <w:trPr>
          <w:trHeight w:val="216"/>
        </w:trPr>
        <w:tc>
          <w:tcPr>
            <w:tcW w:w="66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4"/>
              </w:rPr>
              <w:t>party thereto, SunTrust Bank as administrative agent and JPMorgan Chase Bank N.A. as syndication agent (incorporated by reference to</w:t>
            </w:r>
          </w:p>
        </w:tc>
      </w:tr>
      <w:tr>
        <w:trPr>
          <w:trHeight w:val="230"/>
        </w:trPr>
        <w:tc>
          <w:tcPr>
            <w:tcW w:w="66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Exhibit 10.1 to the Company’s Current Report on Form 8-K filed on July 9, 2013).</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10.16</w:t>
            </w:r>
          </w:p>
        </w:tc>
        <w:tc>
          <w:tcPr>
            <w:tcW w:w="10600" w:type="dxa"/>
            <w:vAlign w:val="bottom"/>
          </w:tcPr>
          <w:p>
            <w:pPr>
              <w:ind w:left="280"/>
              <w:spacing w:after="0"/>
              <w:rPr>
                <w:sz w:val="20"/>
                <w:szCs w:val="20"/>
                <w:color w:val="auto"/>
              </w:rPr>
            </w:pPr>
            <w:r>
              <w:rPr>
                <w:rFonts w:ascii="Arial" w:cs="Arial" w:eastAsia="Arial" w:hAnsi="Arial"/>
                <w:sz w:val="18"/>
                <w:szCs w:val="18"/>
                <w:color w:val="auto"/>
                <w:w w:val="96"/>
              </w:rPr>
              <w:t>Amendment No. 1 dated July 17, 2013 to Revolving Credit and Security Agreement, dated May 8, 2012, among TPG SL SPV, LLC, as</w:t>
            </w:r>
          </w:p>
        </w:tc>
      </w:tr>
      <w:tr>
        <w:trPr>
          <w:trHeight w:val="216"/>
        </w:trPr>
        <w:tc>
          <w:tcPr>
            <w:tcW w:w="66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5"/>
              </w:rPr>
              <w:t>Borrower, the Lenders from Time to Time Parties Hereto, Natixis, New York Branch, as Facility Agent and The Bank of New York Mellon</w:t>
            </w:r>
          </w:p>
        </w:tc>
      </w:tr>
      <w:tr>
        <w:trPr>
          <w:trHeight w:val="216"/>
        </w:trPr>
        <w:tc>
          <w:tcPr>
            <w:tcW w:w="66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3"/>
              </w:rPr>
              <w:t>Trust Company, N.A., as Collateral Agent (incorporated by reference to Exhibit 10.1 to the Company’s Quarterly Report on Form 10-Q filed</w:t>
            </w:r>
          </w:p>
        </w:tc>
      </w:tr>
      <w:tr>
        <w:trPr>
          <w:trHeight w:val="230"/>
        </w:trPr>
        <w:tc>
          <w:tcPr>
            <w:tcW w:w="66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on August 9, 2013).</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10.17</w:t>
            </w:r>
          </w:p>
        </w:tc>
        <w:tc>
          <w:tcPr>
            <w:tcW w:w="10600" w:type="dxa"/>
            <w:vAlign w:val="bottom"/>
          </w:tcPr>
          <w:p>
            <w:pPr>
              <w:ind w:left="280"/>
              <w:spacing w:after="0"/>
              <w:rPr>
                <w:sz w:val="20"/>
                <w:szCs w:val="20"/>
                <w:color w:val="auto"/>
              </w:rPr>
            </w:pPr>
            <w:r>
              <w:rPr>
                <w:rFonts w:ascii="Arial" w:cs="Arial" w:eastAsia="Arial" w:hAnsi="Arial"/>
                <w:sz w:val="18"/>
                <w:szCs w:val="18"/>
                <w:color w:val="auto"/>
                <w:w w:val="92"/>
              </w:rPr>
              <w:t>Third Amendment to Amended and Restated Revolving Credit Agreement, dated November 5, 2013, among TPG Specialty Lending, Inc., as</w:t>
            </w:r>
          </w:p>
        </w:tc>
      </w:tr>
      <w:tr>
        <w:trPr>
          <w:trHeight w:val="216"/>
        </w:trPr>
        <w:tc>
          <w:tcPr>
            <w:tcW w:w="66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5"/>
              </w:rPr>
              <w:t>Borrower, Deutsche Bank Trust Company Americas, as Administrative Agent, and Lenders Named Herein (incorporated by reference to</w:t>
            </w:r>
          </w:p>
        </w:tc>
      </w:tr>
      <w:tr>
        <w:trPr>
          <w:trHeight w:val="230"/>
        </w:trPr>
        <w:tc>
          <w:tcPr>
            <w:tcW w:w="66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Exhibit 10.1 to the Company’s Current Report on Form 8-K filed on November 7, 2013).</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10.18</w:t>
            </w: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Amended and Restated Revolving Credit and Security Agreement, dated as of January 21, 2014, among TPG SL SPV, LLC, as Borrower, the</w:t>
            </w:r>
          </w:p>
        </w:tc>
      </w:tr>
      <w:tr>
        <w:trPr>
          <w:trHeight w:val="216"/>
        </w:trPr>
        <w:tc>
          <w:tcPr>
            <w:tcW w:w="66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6"/>
              </w:rPr>
              <w:t>Lenders from Time to Time Parties Hereto, Natixis, New York Branch, as Facility Agent and State Street Bank and Trust Company, as</w:t>
            </w:r>
          </w:p>
        </w:tc>
      </w:tr>
      <w:tr>
        <w:trPr>
          <w:trHeight w:val="230"/>
        </w:trPr>
        <w:tc>
          <w:tcPr>
            <w:tcW w:w="66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8"/>
              </w:rPr>
              <w:t>Collateral Agent (incorporated by reference to Exhibit 10.18 to the Company’s Annual Report on Form 10-K filed on March 4, 2014).</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10.19</w:t>
            </w: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Amended and Restated Master Sale and Contribution Agreement by and between TPG Specialty Lending, Inc., as the Originator and TPG SL</w:t>
            </w:r>
          </w:p>
        </w:tc>
      </w:tr>
      <w:tr>
        <w:trPr>
          <w:trHeight w:val="216"/>
        </w:trPr>
        <w:tc>
          <w:tcPr>
            <w:tcW w:w="66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2"/>
              </w:rPr>
              <w:t>SPV, LLC, as the Buyer, dated as of January 21, 2014 (incorporated by reference to Exhibit 10.19 to the Company’s Annual Report on Form</w:t>
            </w:r>
          </w:p>
        </w:tc>
      </w:tr>
      <w:tr>
        <w:trPr>
          <w:trHeight w:val="230"/>
        </w:trPr>
        <w:tc>
          <w:tcPr>
            <w:tcW w:w="66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10-K filed on March 4, 2014).</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10.20</w:t>
            </w:r>
          </w:p>
        </w:tc>
        <w:tc>
          <w:tcPr>
            <w:tcW w:w="10600" w:type="dxa"/>
            <w:vAlign w:val="bottom"/>
          </w:tcPr>
          <w:p>
            <w:pPr>
              <w:ind w:left="280"/>
              <w:spacing w:after="0"/>
              <w:rPr>
                <w:sz w:val="20"/>
                <w:szCs w:val="20"/>
                <w:color w:val="auto"/>
              </w:rPr>
            </w:pPr>
            <w:r>
              <w:rPr>
                <w:rFonts w:ascii="Arial" w:cs="Arial" w:eastAsia="Arial" w:hAnsi="Arial"/>
                <w:sz w:val="18"/>
                <w:szCs w:val="18"/>
                <w:color w:val="auto"/>
                <w:w w:val="90"/>
              </w:rPr>
              <w:t>Second Amended and Restated Senior Secured Credit Agreement, dated February 27, 2014, among TPG Specialty Lending, Inc., as Borrower,</w:t>
            </w:r>
          </w:p>
        </w:tc>
      </w:tr>
      <w:tr>
        <w:trPr>
          <w:trHeight w:val="216"/>
        </w:trPr>
        <w:tc>
          <w:tcPr>
            <w:tcW w:w="66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the Lenders Party Hereto and SunTrust Bank, as Administrative Agent, and JPMorgan Chase Bank, N.A., as Syndication Agent (incorporated</w:t>
            </w:r>
          </w:p>
        </w:tc>
      </w:tr>
      <w:tr>
        <w:trPr>
          <w:trHeight w:val="230"/>
        </w:trPr>
        <w:tc>
          <w:tcPr>
            <w:tcW w:w="66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by reference to Exhibit 10.20 to the Company’s Annual Report on Form 10-K filed on March 4, 2014).</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10.21</w:t>
            </w:r>
          </w:p>
        </w:tc>
        <w:tc>
          <w:tcPr>
            <w:tcW w:w="10600" w:type="dxa"/>
            <w:vAlign w:val="bottom"/>
          </w:tcPr>
          <w:p>
            <w:pPr>
              <w:ind w:left="280"/>
              <w:spacing w:after="0"/>
              <w:rPr>
                <w:sz w:val="20"/>
                <w:szCs w:val="20"/>
                <w:color w:val="auto"/>
              </w:rPr>
            </w:pPr>
            <w:r>
              <w:rPr>
                <w:rFonts w:ascii="Arial" w:cs="Arial" w:eastAsia="Arial" w:hAnsi="Arial"/>
                <w:sz w:val="18"/>
                <w:szCs w:val="18"/>
                <w:color w:val="auto"/>
                <w:w w:val="94"/>
              </w:rPr>
              <w:t>Dividend Reinvestment Plan of TPG Specialty Lending, Inc. (incorporated by reference to Exhibit (e) to Pre-Effective Amendment No. 4 to</w:t>
            </w:r>
          </w:p>
        </w:tc>
      </w:tr>
      <w:tr>
        <w:trPr>
          <w:trHeight w:val="230"/>
        </w:trPr>
        <w:tc>
          <w:tcPr>
            <w:tcW w:w="66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the Company’s Registration Statement on Form N-2 filed on March 17, 2014).</w:t>
            </w:r>
          </w:p>
        </w:tc>
      </w:tr>
      <w:tr>
        <w:trPr>
          <w:trHeight w:val="432"/>
        </w:trPr>
        <w:tc>
          <w:tcPr>
            <w:tcW w:w="660" w:type="dxa"/>
            <w:vAlign w:val="bottom"/>
          </w:tcPr>
          <w:p>
            <w:pPr>
              <w:spacing w:after="0"/>
              <w:rPr>
                <w:sz w:val="24"/>
                <w:szCs w:val="24"/>
                <w:color w:val="auto"/>
              </w:rPr>
            </w:pPr>
          </w:p>
        </w:tc>
        <w:tc>
          <w:tcPr>
            <w:tcW w:w="10600" w:type="dxa"/>
            <w:vAlign w:val="bottom"/>
          </w:tcPr>
          <w:p>
            <w:pPr>
              <w:ind w:left="4820"/>
              <w:spacing w:after="0"/>
              <w:rPr>
                <w:sz w:val="20"/>
                <w:szCs w:val="20"/>
                <w:color w:val="auto"/>
              </w:rPr>
            </w:pPr>
            <w:r>
              <w:rPr>
                <w:rFonts w:ascii="Arial" w:cs="Arial" w:eastAsia="Arial" w:hAnsi="Arial"/>
                <w:sz w:val="18"/>
                <w:szCs w:val="18"/>
                <w:color w:val="auto"/>
              </w:rPr>
              <w:t>78</w:t>
            </w:r>
          </w:p>
        </w:tc>
      </w:tr>
    </w:tbl>
    <w:p>
      <w:pPr>
        <w:sectPr>
          <w:pgSz w:w="11900" w:h="16838" w:orient="portrait"/>
          <w:cols w:equalWidth="0" w:num="1">
            <w:col w:w="11400"/>
          </w:cols>
          <w:pgMar w:left="240" w:top="337" w:right="259" w:bottom="1440" w:gutter="0" w:footer="0" w:header="0"/>
          <w:type w:val="continuous"/>
        </w:sectPr>
      </w:pPr>
    </w:p>
    <w:bookmarkStart w:id="114" w:name="page115"/>
    <w:bookmarkEnd w:id="114"/>
    <w:p>
      <w:pPr>
        <w:spacing w:after="0"/>
        <w:tabs>
          <w:tab w:leader="none" w:pos="106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p>
      <w:pPr>
        <w:spacing w:after="0" w:line="127"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10.22</w:t>
            </w:r>
          </w:p>
        </w:tc>
        <w:tc>
          <w:tcPr>
            <w:tcW w:w="10560" w:type="dxa"/>
            <w:vAlign w:val="bottom"/>
          </w:tcPr>
          <w:p>
            <w:pPr>
              <w:ind w:left="280"/>
              <w:spacing w:after="0"/>
              <w:rPr>
                <w:sz w:val="20"/>
                <w:szCs w:val="20"/>
                <w:color w:val="auto"/>
              </w:rPr>
            </w:pPr>
            <w:r>
              <w:rPr>
                <w:rFonts w:ascii="Arial" w:cs="Arial" w:eastAsia="Arial" w:hAnsi="Arial"/>
                <w:sz w:val="18"/>
                <w:szCs w:val="18"/>
                <w:color w:val="auto"/>
                <w:w w:val="91"/>
              </w:rPr>
              <w:t>Form of Increase Letter pursuant to the Second Amended and Restated Senior Secured Credit Agreement, dated February 27, 2014, among</w:t>
            </w:r>
          </w:p>
        </w:tc>
      </w:tr>
      <w:tr>
        <w:trPr>
          <w:trHeight w:val="216"/>
        </w:trPr>
        <w:tc>
          <w:tcPr>
            <w:tcW w:w="66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w w:val="90"/>
              </w:rPr>
              <w:t>TPG Specialty Lending, Inc., as Borrower, the Lenders Party Hereto and SunTrust Bank, as Administrative Agent, and JPMorgan Chase Bank,</w:t>
            </w:r>
          </w:p>
        </w:tc>
      </w:tr>
      <w:tr>
        <w:trPr>
          <w:trHeight w:val="216"/>
        </w:trPr>
        <w:tc>
          <w:tcPr>
            <w:tcW w:w="66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w w:val="95"/>
              </w:rPr>
              <w:t>N.A., as Syndication Agent (incorporated by reference to Exhibit 10.3 to the Company’s Quarterly Annual Report on Form 10-Q filed on</w:t>
            </w:r>
          </w:p>
        </w:tc>
      </w:tr>
      <w:tr>
        <w:trPr>
          <w:trHeight w:val="230"/>
        </w:trPr>
        <w:tc>
          <w:tcPr>
            <w:tcW w:w="66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rPr>
              <w:t>August 4, 2014).</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10.23</w:t>
            </w:r>
          </w:p>
        </w:tc>
        <w:tc>
          <w:tcPr>
            <w:tcW w:w="10560" w:type="dxa"/>
            <w:vAlign w:val="bottom"/>
          </w:tcPr>
          <w:p>
            <w:pPr>
              <w:ind w:left="280"/>
              <w:spacing w:after="0"/>
              <w:rPr>
                <w:sz w:val="20"/>
                <w:szCs w:val="20"/>
                <w:color w:val="auto"/>
              </w:rPr>
            </w:pPr>
            <w:r>
              <w:rPr>
                <w:rFonts w:ascii="Arial" w:cs="Arial" w:eastAsia="Arial" w:hAnsi="Arial"/>
                <w:sz w:val="18"/>
                <w:szCs w:val="18"/>
                <w:color w:val="auto"/>
                <w:w w:val="91"/>
              </w:rPr>
              <w:t>First Amendment to Second Amended and Restated Senior Secured Revolving Credit Agreement, dated June 3, 2014, among TPG Specialty</w:t>
            </w:r>
          </w:p>
        </w:tc>
      </w:tr>
      <w:tr>
        <w:trPr>
          <w:trHeight w:val="216"/>
        </w:trPr>
        <w:tc>
          <w:tcPr>
            <w:tcW w:w="66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w w:val="94"/>
              </w:rPr>
              <w:t>Lending, Inc., as Borrower, the Lenders party thereto and SunTrust Bank, as Administrative Agent and Collateral Agent (incorporated by</w:t>
            </w:r>
          </w:p>
        </w:tc>
      </w:tr>
      <w:tr>
        <w:trPr>
          <w:trHeight w:val="230"/>
        </w:trPr>
        <w:tc>
          <w:tcPr>
            <w:tcW w:w="66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rPr>
              <w:t>reference to Exhibit 10.4 to the Company’s Quarterly Report on Form 10-Q filed on August 4, 2014).</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10.24</w:t>
            </w:r>
          </w:p>
        </w:tc>
        <w:tc>
          <w:tcPr>
            <w:tcW w:w="10560" w:type="dxa"/>
            <w:vAlign w:val="bottom"/>
          </w:tcPr>
          <w:p>
            <w:pPr>
              <w:ind w:left="280"/>
              <w:spacing w:after="0"/>
              <w:rPr>
                <w:sz w:val="20"/>
                <w:szCs w:val="20"/>
                <w:color w:val="auto"/>
              </w:rPr>
            </w:pPr>
            <w:r>
              <w:rPr>
                <w:rFonts w:ascii="Arial" w:cs="Arial" w:eastAsia="Arial" w:hAnsi="Arial"/>
                <w:sz w:val="18"/>
                <w:szCs w:val="18"/>
                <w:color w:val="auto"/>
                <w:w w:val="94"/>
              </w:rPr>
              <w:t>Second Amendment to Second Amended and Restated Senior Secured Revolving Credit Agreement, dated June 27, 2014, among TPG</w:t>
            </w:r>
          </w:p>
        </w:tc>
      </w:tr>
      <w:tr>
        <w:trPr>
          <w:trHeight w:val="216"/>
        </w:trPr>
        <w:tc>
          <w:tcPr>
            <w:tcW w:w="66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w w:val="91"/>
              </w:rPr>
              <w:t>Specialty Lending, Inc., as Borrower, Morgan Stanley Bank, N.A., as a Lender, and SunTrust Bank, as Administrative Agent (incorporated by</w:t>
            </w:r>
          </w:p>
        </w:tc>
      </w:tr>
      <w:tr>
        <w:trPr>
          <w:trHeight w:val="230"/>
        </w:trPr>
        <w:tc>
          <w:tcPr>
            <w:tcW w:w="66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rPr>
              <w:t>reference to Exhibit 10.5 to the Company’s Quarterly Report on Form 10-Q filed on August 4, 2014).</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10.25</w:t>
            </w:r>
          </w:p>
        </w:tc>
        <w:tc>
          <w:tcPr>
            <w:tcW w:w="10560" w:type="dxa"/>
            <w:vAlign w:val="bottom"/>
          </w:tcPr>
          <w:p>
            <w:pPr>
              <w:ind w:left="280"/>
              <w:spacing w:after="0"/>
              <w:rPr>
                <w:sz w:val="20"/>
                <w:szCs w:val="20"/>
                <w:color w:val="auto"/>
              </w:rPr>
            </w:pPr>
            <w:r>
              <w:rPr>
                <w:rFonts w:ascii="Arial" w:cs="Arial" w:eastAsia="Arial" w:hAnsi="Arial"/>
                <w:sz w:val="18"/>
                <w:szCs w:val="18"/>
                <w:color w:val="auto"/>
                <w:w w:val="94"/>
              </w:rPr>
              <w:t>Third Amendment to Second Amended and Restated Senior Secured Revolving Credit Agreement, dated October 17, 2014, among TPG</w:t>
            </w:r>
          </w:p>
        </w:tc>
      </w:tr>
      <w:tr>
        <w:trPr>
          <w:trHeight w:val="216"/>
        </w:trPr>
        <w:tc>
          <w:tcPr>
            <w:tcW w:w="66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w w:val="93"/>
              </w:rPr>
              <w:t>Specialty Lending, Inc., as Borrower, the Lenders party thereto and SunTrust Bank, as Administrative Agent (incorporated by reference to</w:t>
            </w:r>
          </w:p>
        </w:tc>
      </w:tr>
      <w:tr>
        <w:trPr>
          <w:trHeight w:val="230"/>
        </w:trPr>
        <w:tc>
          <w:tcPr>
            <w:tcW w:w="66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rPr>
              <w:t>Exhibit 10.1 to the Company’s Quarterly Report on Form 10-Q filed on November 3, 2014).</w:t>
            </w:r>
          </w:p>
        </w:tc>
      </w:tr>
      <w:tr>
        <w:trPr>
          <w:trHeight w:val="338"/>
        </w:trPr>
        <w:tc>
          <w:tcPr>
            <w:tcW w:w="660" w:type="dxa"/>
            <w:vAlign w:val="bottom"/>
          </w:tcPr>
          <w:p>
            <w:pPr>
              <w:spacing w:after="0"/>
              <w:rPr>
                <w:sz w:val="20"/>
                <w:szCs w:val="20"/>
                <w:color w:val="auto"/>
              </w:rPr>
            </w:pPr>
            <w:r>
              <w:rPr>
                <w:rFonts w:ascii="Arial" w:cs="Arial" w:eastAsia="Arial" w:hAnsi="Arial"/>
                <w:sz w:val="18"/>
                <w:szCs w:val="18"/>
                <w:color w:val="auto"/>
              </w:rPr>
              <w:t>21.1</w:t>
            </w:r>
          </w:p>
        </w:tc>
        <w:tc>
          <w:tcPr>
            <w:tcW w:w="10560" w:type="dxa"/>
            <w:vAlign w:val="bottom"/>
          </w:tcPr>
          <w:p>
            <w:pPr>
              <w:ind w:left="280"/>
              <w:spacing w:after="0"/>
              <w:rPr>
                <w:sz w:val="20"/>
                <w:szCs w:val="20"/>
                <w:color w:val="auto"/>
              </w:rPr>
            </w:pPr>
            <w:r>
              <w:rPr>
                <w:rFonts w:ascii="Arial" w:cs="Arial" w:eastAsia="Arial" w:hAnsi="Arial"/>
                <w:sz w:val="18"/>
                <w:szCs w:val="18"/>
                <w:color w:val="auto"/>
              </w:rPr>
              <w:t>Subsidiaries of TPG Specialty Lending, Inc.</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tcPr>
          <w:p>
            <w:pPr>
              <w:ind w:left="280"/>
              <w:spacing w:after="0"/>
              <w:rPr>
                <w:sz w:val="20"/>
                <w:szCs w:val="20"/>
                <w:color w:val="auto"/>
              </w:rPr>
            </w:pPr>
            <w:r>
              <w:rPr>
                <w:rFonts w:ascii="Arial" w:cs="Arial" w:eastAsia="Arial" w:hAnsi="Arial"/>
                <w:sz w:val="18"/>
                <w:szCs w:val="18"/>
                <w:color w:val="auto"/>
                <w:w w:val="92"/>
              </w:rPr>
              <w:t>Certification of Co-Chief Executive Officer Pursuant to 18 U.S.C. Section 1350, as Adopted Pursuant to Section 302 of the Sarbanes-Oxley</w:t>
            </w:r>
          </w:p>
        </w:tc>
      </w:tr>
      <w:tr>
        <w:trPr>
          <w:trHeight w:val="230"/>
        </w:trPr>
        <w:tc>
          <w:tcPr>
            <w:tcW w:w="66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rPr>
              <w:t>Act of 2002.</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10560" w:type="dxa"/>
            <w:vAlign w:val="bottom"/>
          </w:tcPr>
          <w:p>
            <w:pPr>
              <w:ind w:left="280"/>
              <w:spacing w:after="0"/>
              <w:rPr>
                <w:sz w:val="20"/>
                <w:szCs w:val="20"/>
                <w:color w:val="auto"/>
              </w:rPr>
            </w:pPr>
            <w:r>
              <w:rPr>
                <w:rFonts w:ascii="Arial" w:cs="Arial" w:eastAsia="Arial" w:hAnsi="Arial"/>
                <w:sz w:val="18"/>
                <w:szCs w:val="18"/>
                <w:color w:val="auto"/>
                <w:w w:val="92"/>
              </w:rPr>
              <w:t>Certification of Co-Chief Executive Officer Pursuant to 18 U.S.C. Section 1350, as Adopted Pursuant to Section 302 of the Sarbanes-Oxley</w:t>
            </w:r>
          </w:p>
        </w:tc>
      </w:tr>
      <w:tr>
        <w:trPr>
          <w:trHeight w:val="230"/>
        </w:trPr>
        <w:tc>
          <w:tcPr>
            <w:tcW w:w="66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rPr>
              <w:t>Act of 2002.</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31.3</w:t>
            </w:r>
          </w:p>
        </w:tc>
        <w:tc>
          <w:tcPr>
            <w:tcW w:w="10560" w:type="dxa"/>
            <w:vAlign w:val="bottom"/>
          </w:tcPr>
          <w:p>
            <w:pPr>
              <w:ind w:left="28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302 of the Sarbanes-Oxley Act of</w:t>
            </w:r>
          </w:p>
        </w:tc>
      </w:tr>
      <w:tr>
        <w:trPr>
          <w:trHeight w:val="230"/>
        </w:trPr>
        <w:tc>
          <w:tcPr>
            <w:tcW w:w="66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rPr>
              <w:t>2002.</w:t>
            </w:r>
          </w:p>
        </w:tc>
      </w:tr>
    </w:tbl>
    <w:p>
      <w:pPr>
        <w:spacing w:after="0" w:line="107" w:lineRule="exact"/>
        <w:rPr>
          <w:sz w:val="20"/>
          <w:szCs w:val="20"/>
          <w:color w:val="auto"/>
        </w:rPr>
      </w:pPr>
    </w:p>
    <w:p>
      <w:pPr>
        <w:ind w:left="1080" w:right="320" w:hanging="942"/>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Certification of Co-CEOs and CFO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9607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60"/>
          </w:cols>
          <w:pgMar w:left="240" w:top="337" w:right="299" w:bottom="144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February 24, 2015</w:t>
      </w:r>
      <w:r>
        <w:rPr>
          <w:sz w:val="20"/>
          <w:szCs w:val="20"/>
          <w:color w:val="auto"/>
        </w:rPr>
        <w:tab/>
      </w:r>
      <w:r>
        <w:rPr>
          <w:rFonts w:ascii="Arial" w:cs="Arial" w:eastAsia="Arial" w:hAnsi="Arial"/>
          <w:sz w:val="18"/>
          <w:szCs w:val="18"/>
          <w:b w:val="1"/>
          <w:bCs w:val="1"/>
          <w:color w:val="auto"/>
        </w:rPr>
        <w:t>TPG SPECIALTY LENDING, INC.</w:t>
      </w:r>
    </w:p>
    <w:p>
      <w:pPr>
        <w:spacing w:after="0" w:line="28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Fishman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36874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Joshua Easterly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36874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4" w:lineRule="exact"/>
        <w:rPr>
          <w:sz w:val="20"/>
          <w:szCs w:val="20"/>
          <w:color w:val="auto"/>
        </w:rPr>
      </w:pPr>
    </w:p>
    <w:p>
      <w:pPr>
        <w:ind w:right="40" w:firstLine="259"/>
        <w:spacing w:after="0" w:line="254" w:lineRule="auto"/>
        <w:rPr>
          <w:sz w:val="20"/>
          <w:szCs w:val="20"/>
          <w:color w:val="auto"/>
        </w:rPr>
      </w:pPr>
      <w:r>
        <w:rPr>
          <w:rFonts w:ascii="Arial" w:cs="Arial" w:eastAsia="Arial" w:hAnsi="Arial"/>
          <w:sz w:val="18"/>
          <w:szCs w:val="18"/>
          <w:color w:val="auto"/>
        </w:rPr>
        <w:t>Each person whose signature appears below constitutes and appoints Michael Fishman, Joshua Easterly, Alan Kirshenbaum, David Stiepleman and Jennifer Mello, and each of them, such person’s true and lawful attorney-in-fact and agent, with full power of substitution and revocation, for such person and in such person’s name, place and stead, in any and all capacities, to sign one or more Annual Reports on Form 10-K for the fiscal year ended December 31, 2014, and any and all amendments thereto, and to file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and each of them, or their or his substitute or substitutes, may lawfully do or cause to be done by virtue hereof.</w:t>
      </w:r>
    </w:p>
    <w:p>
      <w:pPr>
        <w:spacing w:after="0" w:line="192" w:lineRule="exact"/>
        <w:rPr>
          <w:sz w:val="20"/>
          <w:szCs w:val="20"/>
          <w:color w:val="auto"/>
        </w:rPr>
      </w:pPr>
    </w:p>
    <w:p>
      <w:pPr>
        <w:ind w:right="72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24,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4"/>
                <w:szCs w:val="14"/>
                <w:color w:val="auto"/>
              </w:rPr>
            </w:pPr>
          </w:p>
        </w:tc>
        <w:tc>
          <w:tcPr>
            <w:tcW w:w="6920" w:type="dxa"/>
            <w:vAlign w:val="bottom"/>
            <w:tcBorders>
              <w:bottom w:val="single" w:sz="8" w:color="auto"/>
            </w:tcBorders>
          </w:tcPr>
          <w:p>
            <w:pPr>
              <w:jc w:val="right"/>
              <w:ind w:right="3248"/>
              <w:spacing w:after="0"/>
              <w:rPr>
                <w:sz w:val="20"/>
                <w:szCs w:val="20"/>
                <w:color w:val="auto"/>
              </w:rPr>
            </w:pPr>
            <w:r>
              <w:rPr>
                <w:rFonts w:ascii="Arial" w:cs="Arial" w:eastAsia="Arial" w:hAnsi="Arial"/>
                <w:sz w:val="14"/>
                <w:szCs w:val="14"/>
                <w:b w:val="1"/>
                <w:bCs w:val="1"/>
                <w:color w:val="auto"/>
              </w:rPr>
              <w:t>Title</w:t>
            </w:r>
          </w:p>
        </w:tc>
      </w:tr>
      <w:tr>
        <w:trPr>
          <w:trHeight w:val="39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Fishman</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Co-Chief Executive Officer and Director (Principal Executive Officer)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Michael Fishman</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85"/>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Easterly</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Co-Chief Executive Officer, Director and Chairman of the Board of Directors</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Joshua Easterly</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85"/>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Kirshenbaum</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Alan Kirshenbaum</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85"/>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Ross</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Director and Chairman of the Audit Committee</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John A. Ross</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85"/>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Higginbotham</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Richard A. Higginbotham</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85"/>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K. Tanemura</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Ronald K. Tanemura</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647"/>
        </w:trPr>
        <w:tc>
          <w:tcPr>
            <w:tcW w:w="4400" w:type="dxa"/>
            <w:vAlign w:val="bottom"/>
          </w:tcPr>
          <w:p>
            <w:pPr>
              <w:spacing w:after="0"/>
              <w:rPr>
                <w:sz w:val="24"/>
                <w:szCs w:val="24"/>
                <w:color w:val="auto"/>
              </w:rPr>
            </w:pPr>
          </w:p>
        </w:tc>
        <w:tc>
          <w:tcPr>
            <w:tcW w:w="7020" w:type="dxa"/>
            <w:vAlign w:val="bottom"/>
            <w:gridSpan w:val="2"/>
          </w:tcPr>
          <w:p>
            <w:pPr>
              <w:jc w:val="right"/>
              <w:ind w:right="5548"/>
              <w:spacing w:after="0"/>
              <w:rPr>
                <w:sz w:val="20"/>
                <w:szCs w:val="20"/>
                <w:color w:val="auto"/>
              </w:rPr>
            </w:pPr>
            <w:r>
              <w:rPr>
                <w:rFonts w:ascii="Arial" w:cs="Arial" w:eastAsia="Arial" w:hAnsi="Arial"/>
                <w:sz w:val="18"/>
                <w:szCs w:val="18"/>
                <w:color w:val="auto"/>
              </w:rPr>
              <w:t>80</w:t>
            </w:r>
          </w:p>
        </w:tc>
      </w:tr>
    </w:tbl>
    <w:p>
      <w:pPr>
        <w:sectPr>
          <w:pgSz w:w="11900" w:h="16838" w:orient="portrait"/>
          <w:cols w:equalWidth="0" w:num="1">
            <w:col w:w="11420"/>
          </w:cols>
          <w:pgMar w:left="240" w:top="337"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960" w:type="dxa"/>
            <w:vAlign w:val="bottom"/>
            <w:gridSpan w:val="3"/>
          </w:tcPr>
          <w:p>
            <w:pPr>
              <w:ind w:left="1060"/>
              <w:spacing w:after="0"/>
              <w:rPr>
                <w:sz w:val="20"/>
                <w:szCs w:val="20"/>
                <w:color w:val="auto"/>
              </w:rPr>
            </w:pPr>
            <w:r>
              <w:rPr>
                <w:rFonts w:ascii="Arial" w:cs="Arial" w:eastAsia="Arial" w:hAnsi="Arial"/>
                <w:sz w:val="18"/>
                <w:szCs w:val="18"/>
                <w:b w:val="1"/>
                <w:bCs w:val="1"/>
                <w:color w:val="auto"/>
              </w:rPr>
              <w:t>SUBSIDIARIES OF TPG SPECIALTY LENDING, INC.</w:t>
            </w:r>
          </w:p>
        </w:tc>
      </w:tr>
      <w:tr>
        <w:trPr>
          <w:trHeight w:val="365"/>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4"/>
                <w:szCs w:val="14"/>
                <w:b w:val="1"/>
                <w:bCs w:val="1"/>
                <w:color w:val="auto"/>
              </w:rPr>
              <w:t>Jurisdiction</w:t>
            </w:r>
          </w:p>
        </w:tc>
      </w:tr>
      <w:tr>
        <w:trPr>
          <w:trHeight w:val="195"/>
        </w:trPr>
        <w:tc>
          <w:tcPr>
            <w:tcW w:w="20" w:type="dxa"/>
            <w:vAlign w:val="bottom"/>
          </w:tcPr>
          <w:p>
            <w:pPr>
              <w:spacing w:after="0"/>
              <w:rPr>
                <w:sz w:val="16"/>
                <w:szCs w:val="16"/>
                <w:color w:val="auto"/>
              </w:rPr>
            </w:pPr>
          </w:p>
        </w:tc>
        <w:tc>
          <w:tcPr>
            <w:tcW w:w="2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TC Lending, LLC</w:t>
            </w:r>
          </w:p>
        </w:tc>
        <w:tc>
          <w:tcPr>
            <w:tcW w:w="3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TPG SL SPV, LLC</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TSL MR, LLC</w:t>
            </w: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337"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Fishman, certify that:</w:t>
      </w:r>
    </w:p>
    <w:p>
      <w:pPr>
        <w:spacing w:after="0" w:line="117" w:lineRule="exact"/>
        <w:rPr>
          <w:sz w:val="20"/>
          <w:szCs w:val="20"/>
          <w:color w:val="auto"/>
        </w:rPr>
      </w:pPr>
    </w:p>
    <w:p>
      <w:pPr>
        <w:ind w:left="780" w:hanging="513"/>
        <w:spacing w:after="0"/>
        <w:tabs>
          <w:tab w:leader="none" w:pos="7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2014, of TPG Specialty Lending, Inc.;</w:t>
      </w:r>
    </w:p>
    <w:p>
      <w:pPr>
        <w:spacing w:after="0" w:line="117" w:lineRule="exact"/>
        <w:rPr>
          <w:rFonts w:ascii="Arial" w:cs="Arial" w:eastAsia="Arial" w:hAnsi="Arial"/>
          <w:sz w:val="18"/>
          <w:szCs w:val="18"/>
          <w:color w:val="auto"/>
        </w:rPr>
      </w:pPr>
    </w:p>
    <w:p>
      <w:pPr>
        <w:jc w:val="both"/>
        <w:ind w:left="780" w:right="160" w:hanging="513"/>
        <w:spacing w:after="0" w:line="264" w:lineRule="auto"/>
        <w:tabs>
          <w:tab w:leader="none" w:pos="7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3"/>
        <w:spacing w:after="0" w:line="308" w:lineRule="auto"/>
        <w:tabs>
          <w:tab w:leader="none" w:pos="7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3"/>
        <w:spacing w:after="0" w:line="264" w:lineRule="auto"/>
        <w:tabs>
          <w:tab w:leader="none" w:pos="7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280" w:right="120" w:hanging="496"/>
        <w:spacing w:after="0" w:line="264" w:lineRule="auto"/>
        <w:tabs>
          <w:tab w:leader="none" w:pos="12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80" w:right="260" w:hanging="496"/>
        <w:spacing w:after="0" w:line="264" w:lineRule="auto"/>
        <w:tabs>
          <w:tab w:leader="none" w:pos="12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280" w:right="420" w:hanging="496"/>
        <w:spacing w:after="0" w:line="342" w:lineRule="auto"/>
        <w:tabs>
          <w:tab w:leader="none" w:pos="128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80" w:right="280" w:hanging="496"/>
        <w:spacing w:after="0" w:line="264" w:lineRule="auto"/>
        <w:tabs>
          <w:tab w:leader="none" w:pos="12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60" w:hanging="513"/>
        <w:spacing w:after="0" w:line="342" w:lineRule="auto"/>
        <w:tabs>
          <w:tab w:leader="none" w:pos="7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80" w:right="660" w:hanging="496"/>
        <w:spacing w:after="0" w:line="342" w:lineRule="auto"/>
        <w:tabs>
          <w:tab w:leader="none" w:pos="128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80" w:right="360" w:hanging="496"/>
        <w:spacing w:after="0" w:line="277" w:lineRule="auto"/>
        <w:tabs>
          <w:tab w:leader="none" w:pos="12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2015</w:t>
      </w:r>
    </w:p>
    <w:p>
      <w:pPr>
        <w:spacing w:after="0" w:line="225" w:lineRule="exact"/>
        <w:rPr>
          <w:sz w:val="20"/>
          <w:szCs w:val="20"/>
          <w:color w:val="auto"/>
        </w:rPr>
      </w:pPr>
    </w:p>
    <w:p>
      <w:pPr>
        <w:ind w:left="6280"/>
        <w:spacing w:after="0"/>
        <w:tabs>
          <w:tab w:leader="none" w:pos="6760" w:val="left"/>
        </w:tabs>
        <w:rPr>
          <w:sz w:val="20"/>
          <w:szCs w:val="20"/>
          <w:color w:val="auto"/>
        </w:rPr>
      </w:pPr>
      <w:r>
        <w:rPr>
          <w:rFonts w:ascii="Arial" w:cs="Arial" w:eastAsia="Arial" w:hAnsi="Arial"/>
          <w:sz w:val="18"/>
          <w:szCs w:val="18"/>
          <w:color w:val="auto"/>
        </w:rPr>
        <w:t>By:</w:t>
        <w:tab/>
        <w:t>/</w:t>
      </w:r>
      <w:r>
        <w:rPr>
          <w:rFonts w:ascii="Arial" w:cs="Arial" w:eastAsia="Arial" w:hAnsi="Arial"/>
          <w:sz w:val="13"/>
          <w:szCs w:val="13"/>
          <w:color w:val="auto"/>
        </w:rPr>
        <w:t>S</w:t>
      </w:r>
      <w:r>
        <w:rPr>
          <w:rFonts w:ascii="Arial" w:cs="Arial" w:eastAsia="Arial" w:hAnsi="Arial"/>
          <w:sz w:val="18"/>
          <w:szCs w:val="18"/>
          <w:color w:val="auto"/>
        </w:rPr>
        <w:t>/ M</w:t>
      </w:r>
      <w:r>
        <w:rPr>
          <w:rFonts w:ascii="Arial" w:cs="Arial" w:eastAsia="Arial" w:hAnsi="Arial"/>
          <w:sz w:val="13"/>
          <w:szCs w:val="13"/>
          <w:color w:val="auto"/>
        </w:rPr>
        <w:t>ICHAEL</w:t>
      </w:r>
      <w:r>
        <w:rPr>
          <w:rFonts w:ascii="Arial" w:cs="Arial" w:eastAsia="Arial" w:hAnsi="Arial"/>
          <w:sz w:val="18"/>
          <w:szCs w:val="18"/>
          <w:color w:val="auto"/>
        </w:rPr>
        <w:t xml:space="preserve"> F</w:t>
      </w:r>
      <w:r>
        <w:rPr>
          <w:rFonts w:ascii="Arial" w:cs="Arial" w:eastAsia="Arial" w:hAnsi="Arial"/>
          <w:sz w:val="13"/>
          <w:szCs w:val="13"/>
          <w:color w:val="auto"/>
        </w:rPr>
        <w:t>ISHMAN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-130810</wp:posOffset>
            </wp:positionV>
            <wp:extent cx="29756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420"/>
          </w:cols>
          <w:pgMar w:left="240" w:top="337"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17" w:lineRule="exact"/>
        <w:rPr>
          <w:sz w:val="20"/>
          <w:szCs w:val="20"/>
          <w:color w:val="auto"/>
        </w:rPr>
      </w:pPr>
    </w:p>
    <w:p>
      <w:pPr>
        <w:ind w:left="780" w:hanging="513"/>
        <w:spacing w:after="0"/>
        <w:tabs>
          <w:tab w:leader="none" w:pos="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2014, of TPG Specialty Lending, Inc.;</w:t>
      </w:r>
    </w:p>
    <w:p>
      <w:pPr>
        <w:spacing w:after="0" w:line="117" w:lineRule="exact"/>
        <w:rPr>
          <w:rFonts w:ascii="Arial" w:cs="Arial" w:eastAsia="Arial" w:hAnsi="Arial"/>
          <w:sz w:val="18"/>
          <w:szCs w:val="18"/>
          <w:color w:val="auto"/>
        </w:rPr>
      </w:pPr>
    </w:p>
    <w:p>
      <w:pPr>
        <w:jc w:val="both"/>
        <w:ind w:left="780" w:right="160" w:hanging="513"/>
        <w:spacing w:after="0" w:line="264" w:lineRule="auto"/>
        <w:tabs>
          <w:tab w:leader="none" w:pos="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3"/>
        <w:spacing w:after="0" w:line="308" w:lineRule="auto"/>
        <w:tabs>
          <w:tab w:leader="none" w:pos="7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3"/>
        <w:spacing w:after="0" w:line="264" w:lineRule="auto"/>
        <w:tabs>
          <w:tab w:leader="none" w:pos="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280" w:right="120" w:hanging="496"/>
        <w:spacing w:after="0" w:line="264" w:lineRule="auto"/>
        <w:tabs>
          <w:tab w:leader="none" w:pos="12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80" w:right="260" w:hanging="496"/>
        <w:spacing w:after="0" w:line="264" w:lineRule="auto"/>
        <w:tabs>
          <w:tab w:leader="none" w:pos="12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280" w:right="420" w:hanging="496"/>
        <w:spacing w:after="0" w:line="342" w:lineRule="auto"/>
        <w:tabs>
          <w:tab w:leader="none" w:pos="128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80" w:right="280" w:hanging="496"/>
        <w:spacing w:after="0" w:line="264" w:lineRule="auto"/>
        <w:tabs>
          <w:tab w:leader="none" w:pos="12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60" w:hanging="513"/>
        <w:spacing w:after="0" w:line="342" w:lineRule="auto"/>
        <w:tabs>
          <w:tab w:leader="none" w:pos="7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80" w:right="660" w:hanging="496"/>
        <w:spacing w:after="0" w:line="342" w:lineRule="auto"/>
        <w:tabs>
          <w:tab w:leader="none" w:pos="128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80" w:right="360" w:hanging="496"/>
        <w:spacing w:after="0" w:line="277" w:lineRule="auto"/>
        <w:tabs>
          <w:tab w:leader="none" w:pos="12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2015</w:t>
      </w:r>
    </w:p>
    <w:p>
      <w:pPr>
        <w:spacing w:after="0" w:line="252" w:lineRule="exact"/>
        <w:rPr>
          <w:sz w:val="20"/>
          <w:szCs w:val="20"/>
          <w:color w:val="auto"/>
        </w:rPr>
      </w:pPr>
    </w:p>
    <w:p>
      <w:pPr>
        <w:jc w:val="center"/>
        <w:ind w:left="3140"/>
        <w:spacing w:after="0"/>
        <w:tabs>
          <w:tab w:leader="none" w:pos="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w:t>
      </w:r>
      <w:r>
        <w:rPr>
          <w:rFonts w:ascii="Arial" w:cs="Arial" w:eastAsia="Arial" w:hAnsi="Arial"/>
          <w:sz w:val="12"/>
          <w:szCs w:val="12"/>
          <w:color w:val="auto"/>
        </w:rPr>
        <w:t>S</w:t>
      </w:r>
      <w:r>
        <w:rPr>
          <w:rFonts w:ascii="Arial" w:cs="Arial" w:eastAsia="Arial" w:hAnsi="Arial"/>
          <w:sz w:val="17"/>
          <w:szCs w:val="17"/>
          <w:color w:val="auto"/>
        </w:rPr>
        <w:t>/ J</w:t>
      </w:r>
      <w:r>
        <w:rPr>
          <w:rFonts w:ascii="Arial" w:cs="Arial" w:eastAsia="Arial" w:hAnsi="Arial"/>
          <w:sz w:val="12"/>
          <w:szCs w:val="12"/>
          <w:color w:val="auto"/>
        </w:rPr>
        <w:t>OSHUA</w:t>
      </w:r>
      <w:r>
        <w:rPr>
          <w:rFonts w:ascii="Arial" w:cs="Arial" w:eastAsia="Arial" w:hAnsi="Arial"/>
          <w:sz w:val="17"/>
          <w:szCs w:val="17"/>
          <w:color w:val="auto"/>
        </w:rPr>
        <w:t xml:space="preserve"> E</w:t>
      </w:r>
      <w:r>
        <w:rPr>
          <w:rFonts w:ascii="Arial" w:cs="Arial" w:eastAsia="Arial" w:hAnsi="Arial"/>
          <w:sz w:val="12"/>
          <w:szCs w:val="12"/>
          <w:color w:val="auto"/>
        </w:rPr>
        <w:t>ASTERLY</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-130810</wp:posOffset>
            </wp:positionV>
            <wp:extent cx="29756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420"/>
          </w:cols>
          <w:pgMar w:left="240" w:top="337"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Alan Kirshenbaum, certify that:</w:t>
      </w:r>
    </w:p>
    <w:p>
      <w:pPr>
        <w:spacing w:after="0" w:line="117" w:lineRule="exact"/>
        <w:rPr>
          <w:sz w:val="20"/>
          <w:szCs w:val="20"/>
          <w:color w:val="auto"/>
        </w:rPr>
      </w:pPr>
    </w:p>
    <w:p>
      <w:pPr>
        <w:ind w:left="780" w:hanging="513"/>
        <w:spacing w:after="0"/>
        <w:tabs>
          <w:tab w:leader="none" w:pos="7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2014, of TPG Specialty Lending, Inc.;</w:t>
      </w:r>
    </w:p>
    <w:p>
      <w:pPr>
        <w:spacing w:after="0" w:line="117" w:lineRule="exact"/>
        <w:rPr>
          <w:rFonts w:ascii="Arial" w:cs="Arial" w:eastAsia="Arial" w:hAnsi="Arial"/>
          <w:sz w:val="18"/>
          <w:szCs w:val="18"/>
          <w:color w:val="auto"/>
        </w:rPr>
      </w:pPr>
    </w:p>
    <w:p>
      <w:pPr>
        <w:jc w:val="both"/>
        <w:ind w:left="780" w:right="160" w:hanging="513"/>
        <w:spacing w:after="0" w:line="264" w:lineRule="auto"/>
        <w:tabs>
          <w:tab w:leader="none" w:pos="7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3"/>
        <w:spacing w:after="0" w:line="308" w:lineRule="auto"/>
        <w:tabs>
          <w:tab w:leader="none" w:pos="7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3"/>
        <w:spacing w:after="0" w:line="264" w:lineRule="auto"/>
        <w:tabs>
          <w:tab w:leader="none" w:pos="7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280" w:right="120" w:hanging="496"/>
        <w:spacing w:after="0" w:line="264" w:lineRule="auto"/>
        <w:tabs>
          <w:tab w:leader="none" w:pos="12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80" w:right="260" w:hanging="496"/>
        <w:spacing w:after="0" w:line="264" w:lineRule="auto"/>
        <w:tabs>
          <w:tab w:leader="none" w:pos="12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280" w:right="420" w:hanging="496"/>
        <w:spacing w:after="0" w:line="342" w:lineRule="auto"/>
        <w:tabs>
          <w:tab w:leader="none" w:pos="128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80" w:right="280" w:hanging="496"/>
        <w:spacing w:after="0" w:line="264" w:lineRule="auto"/>
        <w:tabs>
          <w:tab w:leader="none" w:pos="12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60" w:hanging="513"/>
        <w:spacing w:after="0" w:line="342" w:lineRule="auto"/>
        <w:tabs>
          <w:tab w:leader="none" w:pos="7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80" w:right="660" w:hanging="496"/>
        <w:spacing w:after="0" w:line="342" w:lineRule="auto"/>
        <w:tabs>
          <w:tab w:leader="none" w:pos="128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80" w:right="360" w:hanging="496"/>
        <w:spacing w:after="0" w:line="277" w:lineRule="auto"/>
        <w:tabs>
          <w:tab w:leader="none" w:pos="12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2015</w:t>
      </w:r>
    </w:p>
    <w:p>
      <w:pPr>
        <w:spacing w:after="0" w:line="225" w:lineRule="exact"/>
        <w:rPr>
          <w:sz w:val="20"/>
          <w:szCs w:val="20"/>
          <w:color w:val="auto"/>
        </w:rPr>
      </w:pPr>
    </w:p>
    <w:p>
      <w:pPr>
        <w:jc w:val="center"/>
        <w:ind w:left="3660"/>
        <w:spacing w:after="0"/>
        <w:rPr>
          <w:sz w:val="20"/>
          <w:szCs w:val="20"/>
          <w:color w:val="auto"/>
        </w:rPr>
      </w:pPr>
      <w:r>
        <w:rPr>
          <w:rFonts w:ascii="Arial" w:cs="Arial" w:eastAsia="Arial" w:hAnsi="Arial"/>
          <w:sz w:val="18"/>
          <w:szCs w:val="18"/>
          <w:color w:val="auto"/>
        </w:rPr>
        <w:t>By: /</w:t>
      </w:r>
      <w:r>
        <w:rPr>
          <w:rFonts w:ascii="Arial" w:cs="Arial" w:eastAsia="Arial" w:hAnsi="Arial"/>
          <w:sz w:val="13"/>
          <w:szCs w:val="13"/>
          <w:color w:val="auto"/>
        </w:rPr>
        <w:t>S</w:t>
      </w:r>
      <w:r>
        <w:rPr>
          <w:rFonts w:ascii="Arial" w:cs="Arial" w:eastAsia="Arial" w:hAnsi="Arial"/>
          <w:sz w:val="18"/>
          <w:szCs w:val="18"/>
          <w:color w:val="auto"/>
        </w:rPr>
        <w:t>/ A</w:t>
      </w:r>
      <w:r>
        <w:rPr>
          <w:rFonts w:ascii="Arial" w:cs="Arial" w:eastAsia="Arial" w:hAnsi="Arial"/>
          <w:sz w:val="13"/>
          <w:szCs w:val="13"/>
          <w:color w:val="auto"/>
        </w:rPr>
        <w:t>LAN</w:t>
      </w:r>
      <w:r>
        <w:rPr>
          <w:rFonts w:ascii="Arial" w:cs="Arial" w:eastAsia="Arial" w:hAnsi="Arial"/>
          <w:sz w:val="18"/>
          <w:szCs w:val="18"/>
          <w:color w:val="auto"/>
        </w:rPr>
        <w:t xml:space="preserve"> K</w:t>
      </w:r>
      <w:r>
        <w:rPr>
          <w:rFonts w:ascii="Arial" w:cs="Arial" w:eastAsia="Arial" w:hAnsi="Arial"/>
          <w:sz w:val="13"/>
          <w:szCs w:val="13"/>
          <w:color w:val="auto"/>
        </w:rPr>
        <w:t>IRSHENBAUM</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8898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connection with the annual report on Form 10-K of TPG Specialty Lending, Inc. (the “Company”) for the annual period ended December 31, 2014, as filed with the Securities and Exchange Commission on the date hereof (the “Report”), Michael Fishman, as Co-Chief Executive Officer of the Company, Joshua Easterly, as Co-Chief Executive Officer of the Company and Alan Kirshenbaum, as Chief Financial Officer of the Company, each hereby certifies, pursuant to 18 U.S.C. § 1350, as adopted pursuant to § 906 of the Sarbanes-Oxley Act of 2002, that, to such officer’s knowledge:</w:t>
      </w:r>
    </w:p>
    <w:p>
      <w:pPr>
        <w:spacing w:after="0" w:line="63" w:lineRule="exact"/>
        <w:rPr>
          <w:sz w:val="20"/>
          <w:szCs w:val="20"/>
          <w:color w:val="auto"/>
        </w:rPr>
      </w:pPr>
    </w:p>
    <w:p>
      <w:pPr>
        <w:ind w:left="780" w:hanging="513"/>
        <w:spacing w:after="0"/>
        <w:tabs>
          <w:tab w:leader="none" w:pos="7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780" w:hanging="513"/>
        <w:spacing w:after="0"/>
        <w:tabs>
          <w:tab w:leader="none" w:pos="7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M</w:t>
      </w:r>
      <w:r>
        <w:rPr>
          <w:rFonts w:ascii="Arial" w:cs="Arial" w:eastAsia="Arial" w:hAnsi="Arial"/>
          <w:sz w:val="13"/>
          <w:szCs w:val="13"/>
          <w:color w:val="auto"/>
        </w:rPr>
        <w:t>ICHAEL</w:t>
      </w:r>
      <w:r>
        <w:rPr>
          <w:rFonts w:ascii="Arial" w:cs="Arial" w:eastAsia="Arial" w:hAnsi="Arial"/>
          <w:sz w:val="18"/>
          <w:szCs w:val="18"/>
          <w:color w:val="auto"/>
        </w:rPr>
        <w:t xml:space="preserve"> F</w:t>
      </w:r>
      <w:r>
        <w:rPr>
          <w:rFonts w:ascii="Arial" w:cs="Arial" w:eastAsia="Arial" w:hAnsi="Arial"/>
          <w:sz w:val="13"/>
          <w:szCs w:val="13"/>
          <w:color w:val="auto"/>
        </w:rPr>
        <w:t>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46" w:lineRule="exact"/>
        <w:rPr>
          <w:sz w:val="20"/>
          <w:szCs w:val="20"/>
          <w:color w:val="auto"/>
        </w:rPr>
      </w:pPr>
    </w:p>
    <w:p>
      <w:pPr>
        <w:ind w:left="6860"/>
        <w:spacing w:after="0"/>
        <w:tabs>
          <w:tab w:leader="none" w:pos="75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Fishman</w:t>
      </w:r>
    </w:p>
    <w:p>
      <w:pPr>
        <w:spacing w:after="0" w:line="23" w:lineRule="exact"/>
        <w:rPr>
          <w:sz w:val="20"/>
          <w:szCs w:val="20"/>
          <w:color w:val="auto"/>
        </w:rPr>
      </w:pPr>
    </w:p>
    <w:p>
      <w:pPr>
        <w:ind w:left="6860"/>
        <w:spacing w:after="0"/>
        <w:tabs>
          <w:tab w:leader="none" w:pos="7500" w:val="left"/>
        </w:tabs>
        <w:rPr>
          <w:sz w:val="20"/>
          <w:szCs w:val="20"/>
          <w:color w:val="auto"/>
        </w:rPr>
      </w:pPr>
      <w:r>
        <w:rPr>
          <w:rFonts w:ascii="Arial" w:cs="Arial" w:eastAsia="Arial" w:hAnsi="Arial"/>
          <w:sz w:val="18"/>
          <w:szCs w:val="18"/>
          <w:color w:val="auto"/>
        </w:rPr>
        <w:t>Title:</w:t>
        <w:tab/>
        <w:t>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J</w:t>
      </w:r>
      <w:r>
        <w:rPr>
          <w:rFonts w:ascii="Arial" w:cs="Arial" w:eastAsia="Arial" w:hAnsi="Arial"/>
          <w:sz w:val="13"/>
          <w:szCs w:val="13"/>
          <w:color w:val="auto"/>
        </w:rPr>
        <w:t>OSHUA</w:t>
      </w:r>
      <w:r>
        <w:rPr>
          <w:rFonts w:ascii="Arial" w:cs="Arial" w:eastAsia="Arial" w:hAnsi="Arial"/>
          <w:sz w:val="18"/>
          <w:szCs w:val="18"/>
          <w:color w:val="auto"/>
        </w:rPr>
        <w:t xml:space="preserve"> E</w:t>
      </w:r>
      <w:r>
        <w:rPr>
          <w:rFonts w:ascii="Arial" w:cs="Arial" w:eastAsia="Arial" w:hAnsi="Arial"/>
          <w:sz w:val="13"/>
          <w:szCs w:val="13"/>
          <w:color w:val="auto"/>
        </w:rPr>
        <w:t>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Joshua Easterly</w:t>
      </w:r>
    </w:p>
    <w:p>
      <w:pPr>
        <w:spacing w:after="0" w:line="23"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A</w:t>
      </w:r>
      <w:r>
        <w:rPr>
          <w:rFonts w:ascii="Arial" w:cs="Arial" w:eastAsia="Arial" w:hAnsi="Arial"/>
          <w:sz w:val="13"/>
          <w:szCs w:val="13"/>
          <w:color w:val="auto"/>
        </w:rPr>
        <w:t>LAN</w:t>
      </w:r>
      <w:r>
        <w:rPr>
          <w:rFonts w:ascii="Arial" w:cs="Arial" w:eastAsia="Arial" w:hAnsi="Arial"/>
          <w:sz w:val="18"/>
          <w:szCs w:val="18"/>
          <w:color w:val="auto"/>
        </w:rPr>
        <w:t xml:space="preserve"> K</w:t>
      </w:r>
      <w:r>
        <w:rPr>
          <w:rFonts w:ascii="Arial" w:cs="Arial" w:eastAsia="Arial" w:hAnsi="Arial"/>
          <w:sz w:val="13"/>
          <w:szCs w:val="13"/>
          <w:color w:val="auto"/>
        </w:rPr>
        <w:t>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46" w:lineRule="exact"/>
        <w:rPr>
          <w:sz w:val="20"/>
          <w:szCs w:val="20"/>
          <w:color w:val="auto"/>
        </w:rPr>
      </w:pPr>
    </w:p>
    <w:p>
      <w:pPr>
        <w:ind w:left="6860"/>
        <w:spacing w:after="0"/>
        <w:tabs>
          <w:tab w:leader="none" w:pos="75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Alan Kirshenbaum</w:t>
      </w:r>
    </w:p>
    <w:p>
      <w:pPr>
        <w:spacing w:after="0" w:line="23" w:lineRule="exact"/>
        <w:rPr>
          <w:sz w:val="20"/>
          <w:szCs w:val="20"/>
          <w:color w:val="auto"/>
        </w:rPr>
      </w:pPr>
    </w:p>
    <w:p>
      <w:pPr>
        <w:ind w:left="6860"/>
        <w:spacing w:after="0"/>
        <w:tabs>
          <w:tab w:leader="none" w:pos="750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2015</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lvl w:ilvl="1">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1)"/>
      <w:numFmt w:val="decimal"/>
      <w:start w:val="1"/>
    </w:lvl>
  </w:abstractNum>
  <w:abstractNum w:abstractNumId="14">
    <w:nsid w:val="7E0C57B1"/>
    <w:multiLevelType w:val="hybridMultilevel"/>
    <w:lvl w:ilvl="0">
      <w:lvlJc w:val="left"/>
      <w:lvlText w:val="(%1)"/>
      <w:numFmt w:val="decimal"/>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1)"/>
      <w:numFmt w:val="lowerRoman"/>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1)"/>
      <w:numFmt w:val="decimal"/>
    </w:lvl>
    <w:lvl w:ilvl="1">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lvl w:ilvl="1">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lvl w:ilvl="1">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1)"/>
      <w:numFmt w:val="decimal"/>
      <w:start w:val="1"/>
    </w:lvl>
  </w:abstractNum>
  <w:abstractNum w:abstractNumId="50">
    <w:nsid w:val="4962813B"/>
    <w:multiLevelType w:val="hybridMultilevel"/>
    <w:lvl w:ilvl="0">
      <w:lvlJc w:val="left"/>
      <w:lvlText w:val="(%1)"/>
      <w:numFmt w:val="decimal"/>
      <w:start w:val="1"/>
    </w:lvl>
  </w:abstractNum>
  <w:abstractNum w:abstractNumId="51">
    <w:nsid w:val="60B6DF70"/>
    <w:multiLevelType w:val="hybridMultilevel"/>
    <w:lvl w:ilvl="0">
      <w:lvlJc w:val="left"/>
      <w:lvlText w:val="(%1)"/>
      <w:numFmt w:val="decimal"/>
      <w:start w:val="1"/>
    </w:lvl>
  </w:abstractNum>
  <w:abstractNum w:abstractNumId="52">
    <w:nsid w:val="6A5EE64"/>
    <w:multiLevelType w:val="hybridMultilevel"/>
    <w:lvl w:ilvl="0">
      <w:lvlJc w:val="left"/>
      <w:lvlText w:val="(%1)"/>
      <w:numFmt w:val="decimal"/>
      <w:start w:val="1"/>
    </w:lvl>
  </w:abstractNum>
  <w:abstractNum w:abstractNumId="53">
    <w:nsid w:val="14330624"/>
    <w:multiLevelType w:val="hybridMultilevel"/>
    <w:lvl w:ilvl="0">
      <w:lvlJc w:val="left"/>
      <w:lvlText w:val="(%1)"/>
      <w:numFmt w:val="decimal"/>
      <w:start w:val="4"/>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
      <w:numFmt w:val="bullet"/>
      <w:start w:val="1"/>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1)"/>
      <w:numFmt w:val="decimal"/>
      <w:start w:val="1"/>
    </w:lvl>
  </w:abstractNum>
  <w:abstractNum w:abstractNumId="58">
    <w:nsid w:val="7FB7E0AA"/>
    <w:multiLevelType w:val="hybridMultilevel"/>
    <w:lvl w:ilvl="0">
      <w:lvlJc w:val="left"/>
      <w:lvlText w:val="·"/>
      <w:numFmt w:val="bullet"/>
      <w:start w:val="1"/>
    </w:lvl>
  </w:abstractNum>
  <w:abstractNum w:abstractNumId="59">
    <w:nsid w:val="6EB5BD4"/>
    <w:multiLevelType w:val="hybridMultilevel"/>
    <w:lvl w:ilvl="0">
      <w:lvlJc w:val="left"/>
      <w:lvlText w:val="·"/>
      <w:numFmt w:val="bullet"/>
      <w:start w:val="1"/>
    </w:lvl>
  </w:abstractNum>
  <w:abstractNum w:abstractNumId="60">
    <w:nsid w:val="6F6DD9AC"/>
    <w:multiLevelType w:val="hybridMultilevel"/>
    <w:lvl w:ilvl="0">
      <w:lvlJc w:val="left"/>
      <w:lvlText w:val="·"/>
      <w:numFmt w:val="bullet"/>
      <w:start w:val="1"/>
    </w:lvl>
  </w:abstractNum>
  <w:abstractNum w:abstractNumId="61">
    <w:nsid w:val="94211F2"/>
    <w:multiLevelType w:val="hybridMultilevel"/>
    <w:lvl w:ilvl="0">
      <w:lvlJc w:val="left"/>
      <w:lvlText w:val="·"/>
      <w:numFmt w:val="bullet"/>
      <w:start w:val="1"/>
    </w:lvl>
  </w:abstractNum>
  <w:abstractNum w:abstractNumId="62">
    <w:nsid w:val="885E1B"/>
    <w:multiLevelType w:val="hybridMultilevel"/>
    <w:lvl w:ilvl="0">
      <w:lvlJc w:val="left"/>
      <w:lvlText w:val="(%1)"/>
      <w:numFmt w:val="decimal"/>
      <w:start w:val="1"/>
    </w:lvl>
  </w:abstractNum>
  <w:abstractNum w:abstractNumId="63">
    <w:nsid w:val="76272110"/>
    <w:multiLevelType w:val="hybridMultilevel"/>
    <w:lvl w:ilvl="0">
      <w:lvlJc w:val="left"/>
      <w:lvlText w:val="·"/>
      <w:numFmt w:val="bullet"/>
      <w:start w:val="1"/>
    </w:lvl>
    <w:lvl w:ilvl="1">
      <w:lvlJc w:val="left"/>
      <w:lvlText w:val="·"/>
      <w:numFmt w:val="bullet"/>
      <w:start w:val="1"/>
    </w:lvl>
  </w:abstractNum>
  <w:abstractNum w:abstractNumId="64">
    <w:nsid w:val="4C04A8AF"/>
    <w:multiLevelType w:val="hybridMultilevel"/>
    <w:lvl w:ilvl="0">
      <w:lvlJc w:val="left"/>
      <w:lvlText w:val="·"/>
      <w:numFmt w:val="bullet"/>
      <w:start w:val="1"/>
    </w:lvl>
  </w:abstractNum>
  <w:abstractNum w:abstractNumId="65">
    <w:nsid w:val="1716703B"/>
    <w:multiLevelType w:val="hybridMultilevel"/>
    <w:lvl w:ilvl="0">
      <w:lvlJc w:val="left"/>
      <w:lvlText w:val="·"/>
      <w:numFmt w:val="bullet"/>
      <w:start w:val="1"/>
    </w:lvl>
  </w:abstractNum>
  <w:abstractNum w:abstractNumId="66">
    <w:nsid w:val="14E17E33"/>
    <w:multiLevelType w:val="hybridMultilevel"/>
    <w:lvl w:ilvl="0">
      <w:lvlJc w:val="left"/>
      <w:lvlText w:val="·"/>
      <w:numFmt w:val="bullet"/>
      <w:start w:val="1"/>
    </w:lvl>
  </w:abstractNum>
  <w:abstractNum w:abstractNumId="67">
    <w:nsid w:val="3222E7CD"/>
    <w:multiLevelType w:val="hybridMultilevel"/>
    <w:lvl w:ilvl="0">
      <w:lvlJc w:val="left"/>
      <w:lvlText w:val="·"/>
      <w:numFmt w:val="bullet"/>
      <w:start w:val="1"/>
    </w:lvl>
  </w:abstractNum>
  <w:abstractNum w:abstractNumId="68">
    <w:nsid w:val="74DE0EE3"/>
    <w:multiLevelType w:val="hybridMultilevel"/>
    <w:lvl w:ilvl="0">
      <w:lvlJc w:val="left"/>
      <w:lvlText w:val="·"/>
      <w:numFmt w:val="bullet"/>
      <w:start w:val="1"/>
    </w:lvl>
  </w:abstractNum>
  <w:abstractNum w:abstractNumId="69">
    <w:nsid w:val="68EBC550"/>
    <w:multiLevelType w:val="hybridMultilevel"/>
    <w:lvl w:ilvl="0">
      <w:lvlJc w:val="left"/>
      <w:lvlText w:val="·"/>
      <w:numFmt w:val="bullet"/>
      <w:start w:val="1"/>
    </w:lvl>
  </w:abstractNum>
  <w:abstractNum w:abstractNumId="70">
    <w:nsid w:val="2DF6D648"/>
    <w:multiLevelType w:val="hybridMultilevel"/>
    <w:lvl w:ilvl="0">
      <w:lvlJc w:val="left"/>
      <w:lvlText w:val="·"/>
      <w:numFmt w:val="bullet"/>
      <w:start w:val="1"/>
    </w:lvl>
  </w:abstractNum>
  <w:abstractNum w:abstractNumId="71">
    <w:nsid w:val="46B7D447"/>
    <w:multiLevelType w:val="hybridMultilevel"/>
    <w:lvl w:ilvl="0">
      <w:lvlJc w:val="left"/>
      <w:lvlText w:val="·"/>
      <w:numFmt w:val="bullet"/>
      <w:start w:val="1"/>
    </w:lvl>
  </w:abstractNum>
  <w:abstractNum w:abstractNumId="72">
    <w:nsid w:val="4A2AC315"/>
    <w:multiLevelType w:val="hybridMultilevel"/>
    <w:lvl w:ilvl="0">
      <w:lvlJc w:val="left"/>
      <w:lvlText w:val="·"/>
      <w:numFmt w:val="bullet"/>
      <w:start w:val="1"/>
    </w:lvl>
  </w:abstractNum>
  <w:abstractNum w:abstractNumId="73">
    <w:nsid w:val="39EE015C"/>
    <w:multiLevelType w:val="hybridMultilevel"/>
    <w:lvl w:ilvl="0">
      <w:lvlJc w:val="left"/>
      <w:lvlText w:val="·"/>
      <w:numFmt w:val="bullet"/>
      <w:start w:val="1"/>
    </w:lvl>
  </w:abstractNum>
  <w:abstractNum w:abstractNumId="74">
    <w:nsid w:val="57FC4FBB"/>
    <w:multiLevelType w:val="hybridMultilevel"/>
    <w:lvl w:ilvl="0">
      <w:lvlJc w:val="left"/>
      <w:lvlText w:val="(%1)"/>
      <w:numFmt w:val="decimal"/>
      <w:start w:val="1"/>
    </w:lvl>
  </w:abstractNum>
  <w:abstractNum w:abstractNumId="75">
    <w:nsid w:val="CC1016F"/>
    <w:multiLevelType w:val="hybridMultilevel"/>
    <w:lvl w:ilvl="0">
      <w:lvlJc w:val="left"/>
      <w:lvlText w:val="(%1)"/>
      <w:numFmt w:val="decimal"/>
      <w:start w:val="1"/>
    </w:lvl>
  </w:abstractNum>
  <w:abstractNum w:abstractNumId="76">
    <w:nsid w:val="43F18422"/>
    <w:multiLevelType w:val="hybridMultilevel"/>
    <w:lvl w:ilvl="0">
      <w:lvlJc w:val="left"/>
      <w:lvlText w:val="(%1)"/>
      <w:numFmt w:val="decimal"/>
      <w:start w:val="7"/>
    </w:lvl>
  </w:abstractNum>
  <w:abstractNum w:abstractNumId="77">
    <w:nsid w:val="60EF0119"/>
    <w:multiLevelType w:val="hybridMultilevel"/>
    <w:lvl w:ilvl="0">
      <w:lvlJc w:val="left"/>
      <w:lvlText w:val="(%1)"/>
      <w:numFmt w:val="lowerLetter"/>
      <w:start w:val="1"/>
    </w:lvl>
  </w:abstractNum>
  <w:abstractNum w:abstractNumId="78">
    <w:nsid w:val="26F324BA"/>
    <w:multiLevelType w:val="hybridMultilevel"/>
    <w:lvl w:ilvl="0">
      <w:lvlJc w:val="left"/>
      <w:lvlText w:val="(%1)"/>
      <w:numFmt w:val="decimal"/>
      <w:start w:val="1"/>
    </w:lvl>
  </w:abstractNum>
  <w:abstractNum w:abstractNumId="79">
    <w:nsid w:val="7F01579B"/>
    <w:multiLevelType w:val="hybridMultilevel"/>
    <w:lvl w:ilvl="0">
      <w:lvlJc w:val="left"/>
      <w:lvlText w:val="·"/>
      <w:numFmt w:val="bullet"/>
      <w:start w:val="1"/>
    </w:lvl>
  </w:abstractNum>
  <w:abstractNum w:abstractNumId="80">
    <w:nsid w:val="49DA307D"/>
    <w:multiLevelType w:val="hybridMultilevel"/>
    <w:lvl w:ilvl="0">
      <w:lvlJc w:val="left"/>
      <w:lvlText w:val="·"/>
      <w:numFmt w:val="bullet"/>
      <w:start w:val="1"/>
    </w:lvl>
  </w:abstractNum>
  <w:abstractNum w:abstractNumId="81">
    <w:nsid w:val="7055A5F5"/>
    <w:multiLevelType w:val="hybridMultilevel"/>
    <w:lvl w:ilvl="0">
      <w:lvlJc w:val="left"/>
      <w:lvlText w:val="·"/>
      <w:numFmt w:val="bullet"/>
      <w:start w:val="1"/>
    </w:lvl>
  </w:abstractNum>
  <w:abstractNum w:abstractNumId="82">
    <w:nsid w:val="5FB8370B"/>
    <w:multiLevelType w:val="hybridMultilevel"/>
    <w:lvl w:ilvl="0">
      <w:lvlJc w:val="left"/>
      <w:lvlText w:val="(%1)"/>
      <w:numFmt w:val="lowerRoman"/>
      <w:start w:val="1"/>
    </w:lvl>
  </w:abstractNum>
  <w:abstractNum w:abstractNumId="83">
    <w:nsid w:val="50801EE1"/>
    <w:multiLevelType w:val="hybridMultilevel"/>
    <w:lvl w:ilvl="0">
      <w:lvlJc w:val="left"/>
      <w:lvlText w:val="(%1)"/>
      <w:numFmt w:val="lowerRoman"/>
      <w:start w:val="2"/>
    </w:lvl>
  </w:abstractNum>
  <w:abstractNum w:abstractNumId="84">
    <w:nsid w:val="488AC1A"/>
    <w:multiLevelType w:val="hybridMultilevel"/>
    <w:lvl w:ilvl="0">
      <w:lvlJc w:val="left"/>
      <w:lvlText w:val="·"/>
      <w:numFmt w:val="bullet"/>
      <w:start w:val="1"/>
    </w:lvl>
  </w:abstractNum>
  <w:abstractNum w:abstractNumId="85">
    <w:nsid w:val="5FB8011C"/>
    <w:multiLevelType w:val="hybridMultilevel"/>
    <w:lvl w:ilvl="0">
      <w:lvlJc w:val="left"/>
      <w:lvlText w:val="(%1)"/>
      <w:numFmt w:val="decimal"/>
      <w:start w:val="1"/>
    </w:lvl>
  </w:abstractNum>
  <w:abstractNum w:abstractNumId="86">
    <w:nsid w:val="6AA78F7F"/>
    <w:multiLevelType w:val="hybridMultilevel"/>
    <w:lvl w:ilvl="0">
      <w:lvlJc w:val="left"/>
      <w:lvlText w:val="(%1)"/>
      <w:numFmt w:val="decimal"/>
      <w:start w:val="1"/>
    </w:lvl>
  </w:abstractNum>
  <w:abstractNum w:abstractNumId="87">
    <w:nsid w:val="7672BD23"/>
    <w:multiLevelType w:val="hybridMultilevel"/>
    <w:lvl w:ilvl="0">
      <w:lvlJc w:val="left"/>
      <w:lvlText w:val="(%1)"/>
      <w:numFmt w:val="decimal"/>
      <w:start w:val="1"/>
    </w:lvl>
  </w:abstractNum>
  <w:abstractNum w:abstractNumId="88">
    <w:nsid w:val="6FC75AF8"/>
    <w:multiLevelType w:val="hybridMultilevel"/>
    <w:lvl w:ilvl="0">
      <w:lvlJc w:val="left"/>
      <w:lvlText w:val="·"/>
      <w:numFmt w:val="bullet"/>
      <w:start w:val="1"/>
    </w:lvl>
    <w:lvl w:ilvl="1">
      <w:lvlJc w:val="left"/>
      <w:lvlText w:val="·"/>
      <w:numFmt w:val="bullet"/>
      <w:start w:val="1"/>
    </w:lvl>
  </w:abstractNum>
  <w:abstractNum w:abstractNumId="89">
    <w:nsid w:val="6A5F7029"/>
    <w:multiLevelType w:val="hybridMultilevel"/>
    <w:lvl w:ilvl="0">
      <w:lvlJc w:val="left"/>
      <w:lvlText w:val="·"/>
      <w:numFmt w:val="bullet"/>
      <w:start w:val="1"/>
    </w:lvl>
  </w:abstractNum>
  <w:abstractNum w:abstractNumId="90">
    <w:nsid w:val="7D5E18F8"/>
    <w:multiLevelType w:val="hybridMultilevel"/>
    <w:lvl w:ilvl="0">
      <w:lvlJc w:val="left"/>
      <w:lvlText w:val="·"/>
      <w:numFmt w:val="bullet"/>
      <w:start w:val="1"/>
    </w:lvl>
  </w:abstractNum>
  <w:abstractNum w:abstractNumId="91">
    <w:nsid w:val="5F3534A4"/>
    <w:multiLevelType w:val="hybridMultilevel"/>
    <w:lvl w:ilvl="0">
      <w:lvlJc w:val="left"/>
      <w:lvlText w:val="·"/>
      <w:numFmt w:val="bullet"/>
      <w:start w:val="1"/>
    </w:lvl>
  </w:abstractNum>
  <w:abstractNum w:abstractNumId="92">
    <w:nsid w:val="73A1821B"/>
    <w:multiLevelType w:val="hybridMultilevel"/>
    <w:lvl w:ilvl="0">
      <w:lvlJc w:val="left"/>
      <w:lvlText w:val="(%1)"/>
      <w:numFmt w:val="decimal"/>
      <w:start w:val="3"/>
    </w:lvl>
  </w:abstractNum>
  <w:abstractNum w:abstractNumId="93">
    <w:nsid w:val="7DE67713"/>
    <w:multiLevelType w:val="hybridMultilevel"/>
    <w:lvl w:ilvl="0">
      <w:lvlJc w:val="left"/>
      <w:lvlText w:val="(%1)"/>
      <w:numFmt w:val="decimal"/>
      <w:start w:val="1"/>
    </w:lvl>
  </w:abstractNum>
  <w:abstractNum w:abstractNumId="94">
    <w:nsid w:val="555C55B5"/>
    <w:multiLevelType w:val="hybridMultilevel"/>
    <w:lvl w:ilvl="0">
      <w:lvlJc w:val="left"/>
      <w:lvlText w:val="(%1)"/>
      <w:numFmt w:val="decimal"/>
      <w:start w:val="1"/>
    </w:lvl>
  </w:abstractNum>
  <w:abstractNum w:abstractNumId="95">
    <w:nsid w:val="3FA62ACA"/>
    <w:multiLevelType w:val="hybridMultilevel"/>
    <w:lvl w:ilvl="0">
      <w:lvlJc w:val="left"/>
      <w:lvlText w:val="%1."/>
      <w:numFmt w:val="decimal"/>
      <w:start w:val="10"/>
    </w:lvl>
  </w:abstractNum>
  <w:abstractNum w:abstractNumId="96">
    <w:nsid w:val="14FCE74E"/>
    <w:multiLevelType w:val="hybridMultilevel"/>
    <w:lvl w:ilvl="0">
      <w:lvlJc w:val="left"/>
      <w:lvlText w:val="(%1)"/>
      <w:numFmt w:val="decimal"/>
      <w:start w:val="1"/>
    </w:lvl>
  </w:abstractNum>
  <w:abstractNum w:abstractNumId="97">
    <w:nsid w:val="6A3DD3E8"/>
    <w:multiLevelType w:val="hybridMultilevel"/>
    <w:lvl w:ilvl="0">
      <w:lvlJc w:val="left"/>
      <w:lvlText w:val="%1."/>
      <w:numFmt w:val="decimal"/>
      <w:start w:val="11"/>
    </w:lvl>
  </w:abstractNum>
  <w:abstractNum w:abstractNumId="98">
    <w:nsid w:val="71C91298"/>
    <w:multiLevelType w:val="hybridMultilevel"/>
    <w:lvl w:ilvl="0">
      <w:lvlJc w:val="left"/>
      <w:lvlText w:val="(%1)"/>
      <w:numFmt w:val="decimal"/>
      <w:start w:val="1"/>
    </w:lvl>
  </w:abstractNum>
  <w:abstractNum w:abstractNumId="99">
    <w:nsid w:val="9DAF632"/>
    <w:multiLevelType w:val="hybridMultilevel"/>
    <w:lvl w:ilvl="0">
      <w:lvlJc w:val="left"/>
      <w:lvlText w:val="%1."/>
      <w:numFmt w:val="decimal"/>
      <w:start w:val="12"/>
    </w:lvl>
  </w:abstractNum>
  <w:abstractNum w:abstractNumId="100">
    <w:nsid w:val="53299938"/>
    <w:multiLevelType w:val="hybridMultilevel"/>
    <w:lvl w:ilvl="0">
      <w:lvlJc w:val="left"/>
      <w:lvlText w:val="(%1)"/>
      <w:numFmt w:val="decimal"/>
      <w:start w:val="1"/>
    </w:lvl>
  </w:abstractNum>
  <w:abstractNum w:abstractNumId="101">
    <w:nsid w:val="1FBFE8E0"/>
    <w:multiLevelType w:val="hybridMultilevel"/>
    <w:lvl w:ilvl="0">
      <w:lvlJc w:val="left"/>
      <w:lvlText w:val="(%1)"/>
      <w:numFmt w:val="decimal"/>
      <w:start w:val="1"/>
    </w:lvl>
  </w:abstractNum>
  <w:abstractNum w:abstractNumId="102">
    <w:nsid w:val="5092CA79"/>
    <w:multiLevelType w:val="hybridMultilevel"/>
    <w:lvl w:ilvl="0">
      <w:lvlJc w:val="left"/>
      <w:lvlText w:val="(%1)"/>
      <w:numFmt w:val="decimal"/>
      <w:start w:val="5"/>
    </w:lvl>
  </w:abstractNum>
  <w:abstractNum w:abstractNumId="103">
    <w:nsid w:val="1D545C4D"/>
    <w:multiLevelType w:val="hybridMultilevel"/>
    <w:lvl w:ilvl="0">
      <w:lvlJc w:val="left"/>
      <w:lvlText w:val="(%1)"/>
      <w:numFmt w:val="decimal"/>
      <w:start w:val="1"/>
    </w:lvl>
  </w:abstractNum>
  <w:abstractNum w:abstractNumId="104">
    <w:nsid w:val="59ADEA3D"/>
    <w:multiLevelType w:val="hybridMultilevel"/>
    <w:lvl w:ilvl="0">
      <w:lvlJc w:val="left"/>
      <w:lvlText w:val="(%1)"/>
      <w:numFmt w:val="decimal"/>
      <w:start w:val="1"/>
    </w:lvl>
  </w:abstractNum>
  <w:abstractNum w:abstractNumId="105">
    <w:nsid w:val="288F1A34"/>
    <w:multiLevelType w:val="hybridMultilevel"/>
    <w:lvl w:ilvl="0">
      <w:lvlJc w:val="left"/>
      <w:lvlText w:val="%1"/>
      <w:numFmt w:val="decimal"/>
      <w:start w:val="32"/>
    </w:lvl>
  </w:abstractNum>
  <w:abstractNum w:abstractNumId="106">
    <w:nsid w:val="2A155DBC"/>
    <w:multiLevelType w:val="hybridMultilevel"/>
    <w:lvl w:ilvl="0">
      <w:lvlJc w:val="left"/>
      <w:lvlText w:val="(%1)"/>
      <w:numFmt w:val="decimal"/>
      <w:start w:val="1"/>
    </w:lvl>
    <w:lvl w:ilvl="1">
      <w:lvlJc w:val="left"/>
      <w:lvlText w:val="(%2)"/>
      <w:numFmt w:val="lowerLetter"/>
      <w:start w:val="1"/>
    </w:lvl>
  </w:abstractNum>
  <w:abstractNum w:abstractNumId="107">
    <w:nsid w:val="1D9F6E5F"/>
    <w:multiLevelType w:val="hybridMultilevel"/>
    <w:lvl w:ilvl="0">
      <w:lvlJc w:val="left"/>
      <w:lvlText w:val="(%1)"/>
      <w:numFmt w:val="decimal"/>
      <w:start w:val="1"/>
    </w:lvl>
    <w:lvl w:ilvl="1">
      <w:lvlJc w:val="left"/>
      <w:lvlText w:val="(%2)"/>
      <w:numFmt w:val="lowerLetter"/>
      <w:start w:val="1"/>
    </w:lvl>
  </w:abstractNum>
  <w:abstractNum w:abstractNumId="108">
    <w:nsid w:val="97E1B4E"/>
    <w:multiLevelType w:val="hybridMultilevel"/>
    <w:lvl w:ilvl="0">
      <w:lvlJc w:val="left"/>
      <w:lvlText w:val="(%1)"/>
      <w:numFmt w:val="decimal"/>
      <w:start w:val="1"/>
    </w:lvl>
    <w:lvl w:ilvl="1">
      <w:lvlJc w:val="left"/>
      <w:lvlText w:val="(%2)"/>
      <w:numFmt w:val="lowerLetter"/>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2019-12-29T18:01:56Z</dcterms:created>
  <dcterms:modified xsi:type="dcterms:W3CDTF">2019-12-29T18:01:56Z</dcterms:modified>
</cp:coreProperties>
</file>