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7)</w:t>
      </w:r>
    </w:p>
    <w:p>
      <w:pPr>
        <w:spacing w:after="0" w:line="252"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18,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right="640" w:firstLine="324"/>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197" w:lineRule="exact"/>
        <w:rPr>
          <w:sz w:val="24"/>
          <w:szCs w:val="24"/>
          <w:color w:val="auto"/>
        </w:rPr>
      </w:pPr>
    </w:p>
    <w:p>
      <w:pPr>
        <w:ind w:left="340" w:right="66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2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4921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4921885"/>
                    </a:xfrm>
                    <a:prstGeom prst="rect">
                      <a:avLst/>
                    </a:prstGeom>
                    <a:noFill/>
                  </pic:spPr>
                </pic:pic>
              </a:graphicData>
            </a:graphic>
          </wp:anchor>
        </w:drawing>
      </w:r>
    </w:p>
    <w:p>
      <w:pPr>
        <w:spacing w:after="0" w:line="233" w:lineRule="exact"/>
        <w:rPr>
          <w:sz w:val="20"/>
          <w:szCs w:val="20"/>
          <w:color w:val="auto"/>
        </w:rPr>
      </w:pPr>
    </w:p>
    <w:p>
      <w:pPr>
        <w:ind w:left="1520" w:right="6800" w:hanging="900"/>
        <w:spacing w:after="0" w:line="342" w:lineRule="auto"/>
        <w:tabs>
          <w:tab w:leader="none" w:pos="1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spacing w:after="0" w:line="2" w:lineRule="exact"/>
        <w:rPr>
          <w:sz w:val="20"/>
          <w:szCs w:val="20"/>
          <w:color w:val="auto"/>
        </w:rPr>
      </w:pPr>
    </w:p>
    <w:p>
      <w:pPr>
        <w:ind w:left="1520" w:right="4920" w:hanging="900"/>
        <w:spacing w:after="0" w:line="258" w:lineRule="auto"/>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40" w:right="1940" w:hanging="1220"/>
        <w:spacing w:after="0" w:line="277" w:lineRule="auto"/>
        <w:tabs>
          <w:tab w:leader="none" w:pos="152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49" w:lineRule="exact"/>
        <w:rPr>
          <w:sz w:val="20"/>
          <w:szCs w:val="20"/>
          <w:color w:val="auto"/>
        </w:rPr>
      </w:pPr>
    </w:p>
    <w:p>
      <w:pPr>
        <w:ind w:left="1520" w:right="6220" w:hanging="900"/>
        <w:spacing w:after="0" w:line="277" w:lineRule="auto"/>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21,571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21,571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21,571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6.3%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05" w:lineRule="exact"/>
        <w:rPr>
          <w:sz w:val="20"/>
          <w:szCs w:val="20"/>
          <w:color w:val="auto"/>
        </w:rPr>
      </w:pPr>
    </w:p>
    <w:p>
      <w:pPr>
        <w:ind w:left="1520" w:right="40" w:hanging="902"/>
        <w:spacing w:after="0" w:line="277"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calculation assumes that there are 344,685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June 18, 2012.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3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59320" cy="5243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5243830"/>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342" w:lineRule="auto"/>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spacing w:after="0" w:line="2" w:lineRule="exact"/>
        <w:rPr>
          <w:sz w:val="20"/>
          <w:szCs w:val="20"/>
          <w:color w:val="auto"/>
        </w:rPr>
      </w:pPr>
    </w:p>
    <w:p>
      <w:pPr>
        <w:ind w:left="1520" w:right="4920" w:hanging="900"/>
        <w:spacing w:after="0" w:line="258"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8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21,757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21,757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21,757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6.3%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05" w:lineRule="exact"/>
        <w:rPr>
          <w:sz w:val="20"/>
          <w:szCs w:val="20"/>
          <w:color w:val="auto"/>
        </w:rPr>
      </w:pPr>
    </w:p>
    <w:p>
      <w:pPr>
        <w:ind w:left="5020" w:right="420" w:hanging="4406"/>
        <w:spacing w:after="0" w:line="794" w:lineRule="auto"/>
        <w:tabs>
          <w:tab w:leader="none" w:pos="15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calculation assumes that there are 344,685 shares of Common Stock of the Issuer outstanding as of June 18, 2012. See Item 5. Page 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4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99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489902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49" w:lineRule="exact"/>
        <w:rPr>
          <w:sz w:val="20"/>
          <w:szCs w:val="20"/>
          <w:color w:val="auto"/>
        </w:rPr>
      </w:pPr>
    </w:p>
    <w:p>
      <w:pPr>
        <w:ind w:left="1520" w:right="4920" w:hanging="900"/>
        <w:spacing w:after="0" w:line="258"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25,690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25,690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25,690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w:t>
      </w:r>
    </w:p>
    <w:p>
      <w:pPr>
        <w:spacing w:after="0" w:line="23" w:lineRule="exact"/>
        <w:rPr>
          <w:sz w:val="20"/>
          <w:szCs w:val="20"/>
          <w:color w:val="auto"/>
        </w:rPr>
      </w:pPr>
    </w:p>
    <w:p>
      <w:pPr>
        <w:ind w:left="1520"/>
        <w:spacing w:after="0"/>
        <w:tabs>
          <w:tab w:leader="none" w:pos="384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7.5%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260" w:hanging="4402"/>
        <w:spacing w:after="0" w:line="794" w:lineRule="auto"/>
        <w:tabs>
          <w:tab w:leader="none" w:pos="167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calculation assumes that there are 344,685 shares of Common Stock of the Issuer outstanding as of June 18, 2012. See Item 5. Page 4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5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99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489902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49" w:lineRule="exact"/>
        <w:rPr>
          <w:sz w:val="20"/>
          <w:szCs w:val="20"/>
          <w:color w:val="auto"/>
        </w:rPr>
      </w:pPr>
    </w:p>
    <w:p>
      <w:pPr>
        <w:ind w:left="1520" w:right="4920" w:hanging="900"/>
        <w:spacing w:after="0" w:line="258"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25,690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25,690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25,690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8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7.5%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420" w:hanging="4402"/>
        <w:spacing w:after="0" w:line="794" w:lineRule="auto"/>
        <w:tabs>
          <w:tab w:leader="none" w:pos="15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calculation assumes that there are 344,685 shares of Common Stock of the Issuer outstanding as of June 18, 2012. See Item 5. Page 5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73"/>
        </w:trPr>
        <w:tc>
          <w:tcPr>
            <w:tcW w:w="288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00" w:type="dxa"/>
            <w:vAlign w:val="bottom"/>
            <w:tcBorders>
              <w:right w:val="single" w:sz="8" w:color="auto"/>
            </w:tcBorders>
          </w:tcPr>
          <w:p>
            <w:pPr>
              <w:ind w:left="268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6 of 17 Pages</w:t>
            </w:r>
          </w:p>
        </w:tc>
      </w:tr>
      <w:tr>
        <w:trPr>
          <w:trHeight w:val="37"/>
        </w:trPr>
        <w:tc>
          <w:tcPr>
            <w:tcW w:w="288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48525" cy="4899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4899025"/>
                    </a:xfrm>
                    <a:prstGeom prst="rect">
                      <a:avLst/>
                    </a:prstGeom>
                    <a:noFill/>
                  </pic:spPr>
                </pic:pic>
              </a:graphicData>
            </a:graphic>
          </wp:anchor>
        </w:drawing>
      </w:r>
    </w:p>
    <w:p>
      <w:pPr>
        <w:spacing w:after="0" w:line="233" w:lineRule="exact"/>
        <w:rPr>
          <w:sz w:val="20"/>
          <w:szCs w:val="20"/>
          <w:color w:val="auto"/>
        </w:rPr>
      </w:pPr>
    </w:p>
    <w:p>
      <w:pPr>
        <w:ind w:left="1520" w:right="7120" w:hanging="900"/>
        <w:spacing w:after="0" w:line="277" w:lineRule="auto"/>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49" w:lineRule="exact"/>
        <w:rPr>
          <w:sz w:val="20"/>
          <w:szCs w:val="20"/>
          <w:color w:val="auto"/>
        </w:rPr>
      </w:pPr>
    </w:p>
    <w:p>
      <w:pPr>
        <w:ind w:left="1520" w:right="4920" w:hanging="900"/>
        <w:spacing w:after="0" w:line="258" w:lineRule="auto"/>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(a) o</w:t>
      </w:r>
    </w:p>
    <w:p>
      <w:pPr>
        <w:spacing w:after="0" w:line="55"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(b) o</w:t>
      </w:r>
    </w:p>
    <w:p>
      <w:pPr>
        <w:spacing w:after="0" w:line="152" w:lineRule="exact"/>
        <w:rPr>
          <w:sz w:val="20"/>
          <w:szCs w:val="20"/>
          <w:color w:val="auto"/>
        </w:rPr>
      </w:pPr>
    </w:p>
    <w:p>
      <w:pPr>
        <w:ind w:left="1520" w:hanging="900"/>
        <w:spacing w:after="0"/>
        <w:tabs>
          <w:tab w:leader="none" w:pos="1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1520" w:right="7000" w:hanging="900"/>
        <w:spacing w:after="0" w:line="277" w:lineRule="auto"/>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0"/>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6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6220" w:hanging="900"/>
        <w:spacing w:after="0" w:line="277" w:lineRule="auto"/>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7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3"/>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6"/>
              </w:rPr>
              <w:t>NUMBER OF</w:t>
            </w:r>
          </w:p>
        </w:tc>
        <w:tc>
          <w:tcPr>
            <w:tcW w:w="740" w:type="dxa"/>
            <w:vAlign w:val="bottom"/>
          </w:tcPr>
          <w:p>
            <w:pPr>
              <w:spacing w:after="0"/>
              <w:rPr>
                <w:sz w:val="21"/>
                <w:szCs w:val="21"/>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21,571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7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4"/>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20" w:type="dxa"/>
            <w:vAlign w:val="bottom"/>
          </w:tcPr>
          <w:p>
            <w:pPr>
              <w:ind w:left="260"/>
              <w:spacing w:after="0"/>
              <w:rPr>
                <w:sz w:val="20"/>
                <w:szCs w:val="20"/>
                <w:color w:val="auto"/>
              </w:rPr>
            </w:pPr>
            <w:r>
              <w:rPr>
                <w:rFonts w:ascii="Arial" w:cs="Arial" w:eastAsia="Arial" w:hAnsi="Arial"/>
                <w:sz w:val="18"/>
                <w:szCs w:val="18"/>
                <w:color w:val="auto"/>
              </w:rPr>
              <w:t>21,571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40" w:hanging="941"/>
        <w:spacing w:after="0" w:line="277"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21,571 (See Items 3, 4 and 5)</w:t>
      </w:r>
    </w:p>
    <w:p>
      <w:pPr>
        <w:spacing w:after="0" w:line="48" w:lineRule="exact"/>
        <w:rPr>
          <w:rFonts w:ascii="Arial" w:cs="Arial" w:eastAsia="Arial" w:hAnsi="Arial"/>
          <w:sz w:val="18"/>
          <w:szCs w:val="18"/>
          <w:color w:val="auto"/>
        </w:rPr>
      </w:pPr>
    </w:p>
    <w:p>
      <w:pPr>
        <w:ind w:left="1520" w:hanging="945"/>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42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9" w:lineRule="exact"/>
        <w:rPr>
          <w:sz w:val="20"/>
          <w:szCs w:val="20"/>
          <w:color w:val="auto"/>
        </w:rPr>
      </w:pPr>
    </w:p>
    <w:p>
      <w:pPr>
        <w:ind w:left="1520" w:right="4880" w:hanging="945"/>
        <w:spacing w:after="0" w:line="277"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6.3% (See Item 5)*</w:t>
      </w:r>
    </w:p>
    <w:p>
      <w:pPr>
        <w:spacing w:after="0" w:line="44" w:lineRule="exact"/>
        <w:rPr>
          <w:rFonts w:ascii="Arial" w:cs="Arial" w:eastAsia="Arial" w:hAnsi="Arial"/>
          <w:sz w:val="18"/>
          <w:szCs w:val="18"/>
          <w:color w:val="auto"/>
        </w:rPr>
      </w:pPr>
    </w:p>
    <w:p>
      <w:pPr>
        <w:ind w:left="1520" w:hanging="945"/>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5" w:lineRule="exact"/>
        <w:rPr>
          <w:sz w:val="20"/>
          <w:szCs w:val="20"/>
          <w:color w:val="auto"/>
        </w:rPr>
      </w:pPr>
    </w:p>
    <w:p>
      <w:pPr>
        <w:ind w:left="5020" w:right="420" w:hanging="4402"/>
        <w:spacing w:after="0" w:line="794" w:lineRule="auto"/>
        <w:tabs>
          <w:tab w:leader="none" w:pos="15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calculation assumes that there are 344,685 shares of Common Stock of the Issuer outstanding as of June 18, 2012. See Item 5. Page 6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-236220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p>
      <w:pPr>
        <w:jc w:val="both"/>
        <w:spacing w:after="0" w:line="273" w:lineRule="auto"/>
        <w:rPr>
          <w:sz w:val="20"/>
          <w:szCs w:val="20"/>
          <w:color w:val="auto"/>
        </w:rPr>
      </w:pPr>
      <w:r>
        <w:rPr>
          <w:rFonts w:ascii="Arial" w:cs="Arial" w:eastAsia="Arial" w:hAnsi="Arial"/>
          <w:sz w:val="17"/>
          <w:szCs w:val="17"/>
          <w:color w:val="auto"/>
        </w:rPr>
        <w:t>This Amendment No. 7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restates in its entirety the Schedule 13D filed on June 27, 2011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filed on August 2, 2011 (“</w:t>
      </w:r>
      <w:r>
        <w:rPr>
          <w:rFonts w:ascii="Arial" w:cs="Arial" w:eastAsia="Arial" w:hAnsi="Arial"/>
          <w:sz w:val="17"/>
          <w:szCs w:val="17"/>
          <w:u w:val="single" w:color="auto"/>
          <w:color w:val="auto"/>
        </w:rPr>
        <w:t>Amendment No. 1</w:t>
      </w:r>
      <w:r>
        <w:rPr>
          <w:rFonts w:ascii="Arial" w:cs="Arial" w:eastAsia="Arial" w:hAnsi="Arial"/>
          <w:sz w:val="17"/>
          <w:szCs w:val="17"/>
          <w:color w:val="auto"/>
        </w:rPr>
        <w:t>”), Amendment No. 2 filed on December 2, 2011 (“</w:t>
      </w:r>
      <w:r>
        <w:rPr>
          <w:rFonts w:ascii="Arial" w:cs="Arial" w:eastAsia="Arial" w:hAnsi="Arial"/>
          <w:sz w:val="17"/>
          <w:szCs w:val="17"/>
          <w:u w:val="single" w:color="auto"/>
          <w:color w:val="auto"/>
        </w:rPr>
        <w:t>Amendment No. 2</w:t>
      </w:r>
      <w:r>
        <w:rPr>
          <w:rFonts w:ascii="Arial" w:cs="Arial" w:eastAsia="Arial" w:hAnsi="Arial"/>
          <w:sz w:val="17"/>
          <w:szCs w:val="17"/>
          <w:color w:val="auto"/>
        </w:rPr>
        <w:t>”), Amendment No. 3 filed on December 20, 2011 (“</w:t>
      </w:r>
      <w:r>
        <w:rPr>
          <w:rFonts w:ascii="Arial" w:cs="Arial" w:eastAsia="Arial" w:hAnsi="Arial"/>
          <w:sz w:val="17"/>
          <w:szCs w:val="17"/>
          <w:u w:val="single" w:color="auto"/>
          <w:color w:val="auto"/>
        </w:rPr>
        <w:t>Amendment No. 3</w:t>
      </w:r>
      <w:r>
        <w:rPr>
          <w:rFonts w:ascii="Arial" w:cs="Arial" w:eastAsia="Arial" w:hAnsi="Arial"/>
          <w:sz w:val="17"/>
          <w:szCs w:val="17"/>
          <w:color w:val="auto"/>
        </w:rPr>
        <w:t>”), Amendment No. 4 filed on February 3, 2012 (“</w:t>
      </w:r>
      <w:r>
        <w:rPr>
          <w:rFonts w:ascii="Arial" w:cs="Arial" w:eastAsia="Arial" w:hAnsi="Arial"/>
          <w:sz w:val="17"/>
          <w:szCs w:val="17"/>
          <w:u w:val="single" w:color="auto"/>
          <w:color w:val="auto"/>
        </w:rPr>
        <w:t>Amendment No. 4</w:t>
      </w:r>
      <w:r>
        <w:rPr>
          <w:rFonts w:ascii="Arial" w:cs="Arial" w:eastAsia="Arial" w:hAnsi="Arial"/>
          <w:sz w:val="17"/>
          <w:szCs w:val="17"/>
          <w:color w:val="auto"/>
        </w:rPr>
        <w:t>”), Amendment No. 5 filed on February 8, 2012 (“</w:t>
      </w:r>
      <w:r>
        <w:rPr>
          <w:rFonts w:ascii="Arial" w:cs="Arial" w:eastAsia="Arial" w:hAnsi="Arial"/>
          <w:sz w:val="17"/>
          <w:szCs w:val="17"/>
          <w:u w:val="single" w:color="auto"/>
          <w:color w:val="auto"/>
        </w:rPr>
        <w:t>Amendment No. 5</w:t>
      </w:r>
      <w:r>
        <w:rPr>
          <w:rFonts w:ascii="Arial" w:cs="Arial" w:eastAsia="Arial" w:hAnsi="Arial"/>
          <w:sz w:val="17"/>
          <w:szCs w:val="17"/>
          <w:color w:val="auto"/>
        </w:rPr>
        <w:t>”) and Amendment No. 6 filed on March 20, 2012 (“</w:t>
      </w:r>
      <w:r>
        <w:rPr>
          <w:rFonts w:ascii="Arial" w:cs="Arial" w:eastAsia="Arial" w:hAnsi="Arial"/>
          <w:sz w:val="17"/>
          <w:szCs w:val="17"/>
          <w:u w:val="single" w:color="auto"/>
          <w:color w:val="auto"/>
        </w:rPr>
        <w:t>Amendment No. 6</w:t>
      </w:r>
      <w:r>
        <w:rPr>
          <w:rFonts w:ascii="Arial" w:cs="Arial" w:eastAsia="Arial" w:hAnsi="Arial"/>
          <w:sz w:val="17"/>
          <w:szCs w:val="17"/>
          <w:color w:val="auto"/>
        </w:rPr>
        <w:t>” and, as amended and restated by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 by TPG Group Holdings (SBS) Advisors, Inc., Tarrant Capital Advisors, Inc. and Messrs. David Bonderman, James G. Coulter and Alan Waxman with respect to the common stock of the Issuer.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Global, LLC, 301 Commerce Street, Suite 3300, Fort Worth, TX 76102.</w:t>
      </w:r>
    </w:p>
    <w:p>
      <w:pPr>
        <w:spacing w:after="0" w:line="2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21,571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0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which is the general partner of TPG Holdings II Sub, L.P., a Delaware limited partnership (“</w:t>
      </w:r>
      <w:r>
        <w:rPr>
          <w:rFonts w:ascii="Arial" w:cs="Arial" w:eastAsia="Arial" w:hAnsi="Arial"/>
          <w:sz w:val="16"/>
          <w:szCs w:val="16"/>
          <w:u w:val="single" w:color="auto"/>
          <w:color w:val="auto"/>
        </w:rPr>
        <w:t>Holdings II Sub</w:t>
      </w:r>
      <w:r>
        <w:rPr>
          <w:rFonts w:ascii="Arial" w:cs="Arial" w:eastAsia="Arial" w:hAnsi="Arial"/>
          <w:sz w:val="16"/>
          <w:szCs w:val="16"/>
          <w:color w:val="auto"/>
        </w:rPr>
        <w:t>”), which is a member of TSL Advisers. Because of the relationship between Holdings II Sub and TSL Advisers, Group Advisors may be deemed to beneficially own the TSL Shares.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17,638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4,118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21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ind w:right="16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present principal occupation of David Bonderman is Chairman of the Board and President of Group Advisors and Tarrant Capital and officer, director or manager of other affiliated entities.</w:t>
      </w:r>
    </w:p>
    <w:p>
      <w:pPr>
        <w:spacing w:after="0" w:line="1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present principal occupation of James G. Coulter is director and Senior Vice President of Group Advisors, director and Executive Vice President of Tarrant Capital and officer, director or manager of other affiliated entities.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Pursuant to the Subscription Agreement, dated as of April 15, 2011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 as amended by the Amendment to the Subscription Agreement, dated as of January 31, 2012 (the “</w:t>
      </w:r>
      <w:r>
        <w:rPr>
          <w:rFonts w:ascii="Arial" w:cs="Arial" w:eastAsia="Arial" w:hAnsi="Arial"/>
          <w:sz w:val="16"/>
          <w:szCs w:val="16"/>
          <w:u w:val="single" w:color="auto"/>
          <w:color w:val="auto"/>
        </w:rPr>
        <w:t>Amendment to the Subscription Agreement</w:t>
      </w:r>
      <w:r>
        <w:rPr>
          <w:rFonts w:ascii="Arial" w:cs="Arial" w:eastAsia="Arial" w:hAnsi="Arial"/>
          <w:sz w:val="16"/>
          <w:szCs w:val="16"/>
          <w:color w:val="auto"/>
        </w:rPr>
        <w:t>” and, together with the Original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by and between the Issuer and TSL Advisers, on June 17, 2011, the Issuer delivered a capital drawdown notice to TSL Advisers relating to the issuance of TSL Shares for a cash purchase price of $1,000 per share in a private placement, for an aggregate purchase price of $2,868,000 (the “</w:t>
      </w:r>
      <w:r>
        <w:rPr>
          <w:rFonts w:ascii="Arial" w:cs="Arial" w:eastAsia="Arial" w:hAnsi="Arial"/>
          <w:sz w:val="16"/>
          <w:szCs w:val="16"/>
          <w:u w:val="single" w:color="auto"/>
          <w:color w:val="auto"/>
        </w:rPr>
        <w:t>April 15, 2011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94"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additional TSL Shares for a cash purchase price of $960.56 per share in a private placement, for an aggregate purchase price of $4,355,172 (the “</w:t>
      </w:r>
      <w:r>
        <w:rPr>
          <w:rFonts w:ascii="Arial" w:cs="Arial" w:eastAsia="Arial" w:hAnsi="Arial"/>
          <w:sz w:val="17"/>
          <w:szCs w:val="17"/>
          <w:u w:val="single" w:color="auto"/>
          <w:color w:val="auto"/>
        </w:rPr>
        <w:t>August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2011 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firstLine="648"/>
        <w:spacing w:after="0" w:line="255"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TSL FOF Shares for a cash purchase price of $988.56 per share in a private placement, for an aggregate purchase price of $2,100,693 (the “</w:t>
      </w:r>
      <w:r>
        <w:rPr>
          <w:rFonts w:ascii="Arial" w:cs="Arial" w:eastAsia="Arial" w:hAnsi="Arial"/>
          <w:sz w:val="18"/>
          <w:szCs w:val="18"/>
          <w:u w:val="single" w:color="auto"/>
          <w:color w:val="auto"/>
        </w:rPr>
        <w:t>December 2, 2011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Subscription Agreement, on December 16, 2011, the Issuer delivered a capital drawdown notice to TSL Advisers relating to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of additional TSL Shares for a cash purchase price of $981.57 per share in a private placement, for an aggregate purchase price of $562,438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December 16, 2011 TSL Advisers Purchase Price</w:t>
      </w:r>
      <w:r>
        <w:rPr>
          <w:rFonts w:ascii="Arial" w:cs="Arial" w:eastAsia="Arial" w:hAnsi="Arial"/>
          <w:sz w:val="16"/>
          <w:szCs w:val="16"/>
          <w:color w:val="auto"/>
        </w:rPr>
        <w:t>”). The Subscription Agreement sets forth the terms and conditions of the private placement, and contains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representations and warranties from the Issuer and TSL Advisers with respect to the qualifications and ability of each to enter into and complete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private placement. The December 16, 2011 TSL Advisers Purchase Price was funded by equity contributions from Equity Partners and Holdings II.</w:t>
      </w:r>
    </w:p>
    <w:p>
      <w:pPr>
        <w:spacing w:after="0" w:line="24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TSL FOF Subscription Agreement, on December 16, 2011, the Issuer delivered a capital drawdown notice to TSL FOF relating to the issuance of additional TSL FOF Shares for a cash purchase price of $985.37 per share in a private placement, for an aggregate purchase price of $163,571 (the “</w:t>
      </w:r>
      <w:r>
        <w:rPr>
          <w:rFonts w:ascii="Arial" w:cs="Arial" w:eastAsia="Arial" w:hAnsi="Arial"/>
          <w:sz w:val="16"/>
          <w:szCs w:val="16"/>
          <w:u w:val="single" w:color="auto"/>
          <w:color w:val="auto"/>
        </w:rPr>
        <w:t>December 16, 2011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1, 2012, the Issuer delivered a capital drawdown notice to TSL Advisers relating to the issuance of additional TSL Shares for a cash purchase price of $985.21 per share in a private placement, for an aggregate purchase price of $3,685,680 (the “</w:t>
      </w:r>
      <w:r>
        <w:rPr>
          <w:rFonts w:ascii="Arial" w:cs="Arial" w:eastAsia="Arial" w:hAnsi="Arial"/>
          <w:sz w:val="16"/>
          <w:szCs w:val="16"/>
          <w:u w:val="single" w:color="auto"/>
          <w:color w:val="auto"/>
        </w:rPr>
        <w:t>February 1,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1, 2012 TSL Advisers Purchase Price was funded by equity contributions from Equity Partners.</w:t>
      </w:r>
    </w:p>
    <w:p>
      <w:pPr>
        <w:spacing w:after="0" w:line="18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Pursuant to the Subscription Agreement, on February 8, 2012, the Issuer delivered a capital drawdown notice to TSL Advisers relating to the issuance of additional TSL Shares for a cash purchase price of $985.12 per share in a private placement, for an aggregate purchase price of $2,237,213 (the “</w:t>
      </w:r>
      <w:r>
        <w:rPr>
          <w:rFonts w:ascii="Arial" w:cs="Arial" w:eastAsia="Arial" w:hAnsi="Arial"/>
          <w:sz w:val="16"/>
          <w:szCs w:val="16"/>
          <w:u w:val="single" w:color="auto"/>
          <w:color w:val="auto"/>
        </w:rPr>
        <w:t>February 8, 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8, 2012 TSL Advisers Purchase Price was funded by equity contributions from Equity Partners and Holdings II Sub.</w:t>
      </w:r>
    </w:p>
    <w:p>
      <w:pPr>
        <w:spacing w:after="0" w:line="18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Pursuant to the TSL FOF Subscription Agreement, on February 8, 2012, the Issuer delivered a capital drawdown notice to TSL FOF relating to the issuance of additional TSL FOF Shares for a cash purchase price of $985.70 per share in a private placement, for an aggregate purchase price of $441,592 (the “</w:t>
      </w:r>
      <w:r>
        <w:rPr>
          <w:rFonts w:ascii="Arial" w:cs="Arial" w:eastAsia="Arial" w:hAnsi="Arial"/>
          <w:sz w:val="16"/>
          <w:szCs w:val="16"/>
          <w:u w:val="single" w:color="auto"/>
          <w:color w:val="auto"/>
        </w:rPr>
        <w:t>February 8,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February 8, 2012 TSL FOF Purchase Price was funded by equity contributions from TSL FOF.</w:t>
      </w:r>
    </w:p>
    <w:p>
      <w:pPr>
        <w:spacing w:after="0" w:line="18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Pursuant to the Subscription Agreement, on March 16, 2012, the Issuer delivered a capital drawdown notice to TSL Advisers relating to the issuance of additional TSL Shares for a cash purchase price of $985.01 per share in a private placement, for an aggregate purchase price of $4,794,027 (the “</w:t>
      </w:r>
      <w:r>
        <w:rPr>
          <w:rFonts w:ascii="Arial" w:cs="Arial" w:eastAsia="Arial" w:hAnsi="Arial"/>
          <w:sz w:val="16"/>
          <w:szCs w:val="16"/>
          <w:u w:val="single" w:color="auto"/>
          <w:color w:val="auto"/>
        </w:rPr>
        <w:t>March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March 16, 2012 TSL Advisers Purchase Price was funded by equity contributions from Equity Partners and Holdings II Sub.</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9" w:name="page10"/>
    <w:bookmarkEnd w:id="9"/>
    <w:p>
      <w:pPr>
        <w:ind w:right="280" w:firstLine="648"/>
        <w:spacing w:after="0" w:line="297" w:lineRule="auto"/>
        <w:rPr>
          <w:sz w:val="20"/>
          <w:szCs w:val="20"/>
          <w:color w:val="auto"/>
        </w:rPr>
      </w:pPr>
      <w:r>
        <w:rPr>
          <w:rFonts w:ascii="Arial" w:cs="Arial" w:eastAsia="Arial" w:hAnsi="Arial"/>
          <w:sz w:val="16"/>
          <w:szCs w:val="16"/>
          <w:color w:val="auto"/>
        </w:rPr>
        <w:t>Pursuant to the TSL FOF Subscription Agreement, on March 16, 2012, the Issuer delivered a capital drawdown notice to TSL FOF relating to the issuance of the TSL FOF Shares for a cash purchase price of $985.70 per share in a private placement, for an aggregate purchase price of $946,268 (the “</w:t>
      </w:r>
      <w:r>
        <w:rPr>
          <w:rFonts w:ascii="Arial" w:cs="Arial" w:eastAsia="Arial" w:hAnsi="Arial"/>
          <w:sz w:val="16"/>
          <w:szCs w:val="16"/>
          <w:u w:val="single" w:color="auto"/>
          <w:color w:val="auto"/>
        </w:rPr>
        <w:t>March 16, 2012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March 16, 2012 TSL FOF Purchase Price was funded by equity contributions from TSL FOF.</w:t>
      </w:r>
    </w:p>
    <w:p>
      <w:pPr>
        <w:spacing w:after="0" w:line="18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Issuer’s dividend reinvestment plan (the “</w:t>
      </w:r>
      <w:r>
        <w:rPr>
          <w:rFonts w:ascii="Arial" w:cs="Arial" w:eastAsia="Arial" w:hAnsi="Arial"/>
          <w:sz w:val="17"/>
          <w:szCs w:val="17"/>
          <w:u w:val="single" w:color="auto"/>
          <w:color w:val="auto"/>
        </w:rPr>
        <w:t>DRIP</w:t>
      </w:r>
      <w:r>
        <w:rPr>
          <w:rFonts w:ascii="Arial" w:cs="Arial" w:eastAsia="Arial" w:hAnsi="Arial"/>
          <w:sz w:val="17"/>
          <w:szCs w:val="17"/>
          <w:color w:val="auto"/>
        </w:rPr>
        <w:t>”), on March 20, 2012, the Issuer issued additional TSL Shares to TSL Advisers equal to $28,435, the dividend payable on the TSL Shares, divided by $980.51, the net asset value per share of the Common Stock on the declaration date of the dividend (December 31, 2011). No fractional TSL Shares were issued and TSL Advisers received cash in lieu of fractional Common Stock.</w:t>
      </w:r>
    </w:p>
    <w:p>
      <w:pPr>
        <w:spacing w:after="0" w:line="193"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Pursuant to the Subscription Agreement, on May 16, 2012, the Issuer delivered a capital drawdown notice to TSL Advisers relating to the issuance of additional TSL Shares for a cash purchase price of $1,005.79 per share in a private placement, for an aggregate purchase price of $506,919 (the “</w:t>
      </w:r>
      <w:r>
        <w:rPr>
          <w:rFonts w:ascii="Arial" w:cs="Arial" w:eastAsia="Arial" w:hAnsi="Arial"/>
          <w:sz w:val="16"/>
          <w:szCs w:val="16"/>
          <w:u w:val="single" w:color="auto"/>
          <w:color w:val="auto"/>
        </w:rPr>
        <w:t>May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May 16, 2012 TSL Advisers Purchase Price was funded by equity contributions from Equity Partners and Holdings II Sub.</w:t>
      </w:r>
    </w:p>
    <w:p>
      <w:pPr>
        <w:spacing w:after="0" w:line="18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Pursuant to the Subscription Agreement, on June 18, 2012, the Issuer delivered a capital drawdown notice to TSL Advisers relating to the issuance of additional TSL Shares for a cash purchase price of $1,005.67 per share in a private placement, for an aggregate purchase price of $2,196,380 (the “</w:t>
      </w:r>
      <w:r>
        <w:rPr>
          <w:rFonts w:ascii="Arial" w:cs="Arial" w:eastAsia="Arial" w:hAnsi="Arial"/>
          <w:sz w:val="16"/>
          <w:szCs w:val="16"/>
          <w:u w:val="single" w:color="auto"/>
          <w:color w:val="auto"/>
        </w:rPr>
        <w:t>June 18,</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2012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June 18, 2012 TSL Advisers Purchase Price will be funded by equity contributions from Equity Partners and Holdings II Sub.</w:t>
      </w:r>
    </w:p>
    <w:p>
      <w:pPr>
        <w:spacing w:after="0" w:line="18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Pursuant to the TSL FOF Subscription Agreement, on June 18, 2012, the Issuer delivered a capital drawdown notice to TSL FOF relating to the issuance of additional TSL FOF Shares for a cash purchase price of $1,007.09 per share in a private placement, for an aggregate purchase price of $421,971 (the “</w:t>
      </w:r>
      <w:r>
        <w:rPr>
          <w:rFonts w:ascii="Arial" w:cs="Arial" w:eastAsia="Arial" w:hAnsi="Arial"/>
          <w:sz w:val="17"/>
          <w:szCs w:val="17"/>
          <w:u w:val="single" w:color="auto"/>
          <w:color w:val="auto"/>
        </w:rPr>
        <w:t>June 18, 2012 TSL FOF Purchase Price</w:t>
      </w:r>
      <w:r>
        <w:rPr>
          <w:rFonts w:ascii="Arial" w:cs="Arial" w:eastAsia="Arial" w:hAnsi="Arial"/>
          <w:sz w:val="17"/>
          <w:szCs w:val="17"/>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June 18, 2012 TSL FOF Purchase Price will be funded by equity contributions from TSL FOF.</w:t>
      </w:r>
    </w:p>
    <w:p>
      <w:pPr>
        <w:spacing w:after="0" w:line="2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Original Subscription Agreement, the Amendment to the Subscription Agreement and the TSL FOF Subscription Agreement which are attached as Exhibit 2, Exhibit 3 and Exhibit 5, respectively, hereto and incorporated herein by this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25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20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ind w:right="20" w:firstLine="648"/>
        <w:spacing w:after="0" w:line="259"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21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20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97" w:lineRule="exact"/>
        <w:rPr>
          <w:sz w:val="20"/>
          <w:szCs w:val="20"/>
          <w:color w:val="auto"/>
        </w:rPr>
      </w:pPr>
    </w:p>
    <w:p>
      <w:pPr>
        <w:jc w:val="both"/>
        <w:ind w:right="360" w:firstLine="648"/>
        <w:spacing w:after="0" w:line="288" w:lineRule="auto"/>
        <w:rPr>
          <w:sz w:val="20"/>
          <w:szCs w:val="20"/>
          <w:color w:val="auto"/>
        </w:rPr>
      </w:pPr>
      <w:r>
        <w:rPr>
          <w:rFonts w:ascii="Arial" w:cs="Arial" w:eastAsia="Arial" w:hAnsi="Arial"/>
          <w:sz w:val="16"/>
          <w:szCs w:val="16"/>
          <w:color w:val="auto"/>
        </w:rPr>
        <w:t>(a)-(b) The following disclosure assumes that there are a total of 344,685 shares of Common Stock of the Issuer outstanding as of June 18, 2012 (including 34,789 shares of Common Stock of the Issuer that shall be issued on June 29, 2012 pursuant to the June 18, 2012 capital call), which figure is based on information provided to the Reporting Persons by the Issuer. Pursuant to Rule 13d-3 of the Act, (i) through TSL Advisers and Tarrant, Messrs.</w:t>
      </w:r>
    </w:p>
    <w:p>
      <w:pPr>
        <w:spacing w:after="0" w:line="271" w:lineRule="auto"/>
        <w:rPr>
          <w:sz w:val="20"/>
          <w:szCs w:val="20"/>
          <w:color w:val="auto"/>
        </w:rPr>
      </w:pPr>
      <w:r>
        <w:rPr>
          <w:rFonts w:ascii="Arial" w:cs="Arial" w:eastAsia="Arial" w:hAnsi="Arial"/>
          <w:sz w:val="17"/>
          <w:szCs w:val="17"/>
          <w:color w:val="auto"/>
        </w:rPr>
        <w:t>Bonderman and Coulter may be deemed to beneficially own 25,690 shares of Common Stock, which constitute approximately 7.5% of outstanding Common Stock; (ii) through TSL Advisers, Mr. Waxman may be deemed to beneficially own 21,571 shares of Common Stock, which constitute approximately 6.3% of the outstanding Common Stock; (iii) through TSL Advisers, Group Advisors may be deemed to beneficially own 21,571 shares of Common Stock, which constitute approximately 6.3% of the outstanding Common Stock; and (iv) through Tarrant, Tarrant Capital may be deemed to beneficially own 21,757 shares of Common Stock, which constitute approximately 6.3% of the outstanding Common Stock.</w:t>
      </w:r>
    </w:p>
    <w:p>
      <w:pPr>
        <w:spacing w:after="0" w:line="206" w:lineRule="exact"/>
        <w:rPr>
          <w:sz w:val="20"/>
          <w:szCs w:val="20"/>
          <w:color w:val="auto"/>
        </w:rPr>
      </w:pPr>
    </w:p>
    <w:p>
      <w:pPr>
        <w:ind w:right="60" w:firstLine="656"/>
        <w:spacing w:after="0" w:line="277" w:lineRule="auto"/>
        <w:tabs>
          <w:tab w:leader="none" w:pos="9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97" w:lineRule="exact"/>
        <w:rPr>
          <w:rFonts w:ascii="Arial" w:cs="Arial" w:eastAsia="Arial" w:hAnsi="Arial"/>
          <w:sz w:val="18"/>
          <w:szCs w:val="18"/>
          <w:color w:val="auto"/>
        </w:rPr>
      </w:pPr>
    </w:p>
    <w:p>
      <w:pPr>
        <w:ind w:right="60" w:firstLine="656"/>
        <w:spacing w:after="0" w:line="277" w:lineRule="auto"/>
        <w:tabs>
          <w:tab w:leader="none" w:pos="9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(e) 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20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of the Issuer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w:t>
      </w:r>
    </w:p>
    <w:p>
      <w:pPr>
        <w:spacing w:after="0" w:line="19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9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6" w:lineRule="exact"/>
        <w:rPr>
          <w:sz w:val="20"/>
          <w:szCs w:val="20"/>
          <w:color w:val="auto"/>
        </w:rPr>
      </w:pPr>
    </w:p>
    <w:p>
      <w:pPr>
        <w:ind w:left="340" w:right="4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50" w:lineRule="exact"/>
        <w:rPr>
          <w:rFonts w:ascii="Arial" w:cs="Arial" w:eastAsia="Arial" w:hAnsi="Arial"/>
          <w:sz w:val="16"/>
          <w:szCs w:val="16"/>
          <w:color w:val="auto"/>
        </w:rPr>
      </w:pPr>
    </w:p>
    <w:p>
      <w:pPr>
        <w:ind w:left="340" w:right="28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97"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 (previously filed with Amendment No. 4).</w:t>
      </w:r>
    </w:p>
    <w:p>
      <w:pPr>
        <w:spacing w:after="0" w:line="197"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97"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June 20, 2012</w:t>
      </w:r>
    </w:p>
    <w:p>
      <w:pPr>
        <w:spacing w:after="0" w:line="200" w:lineRule="exact"/>
        <w:rPr>
          <w:sz w:val="20"/>
          <w:szCs w:val="20"/>
          <w:color w:val="auto"/>
        </w:rPr>
      </w:pPr>
    </w:p>
    <w:p>
      <w:pPr>
        <w:spacing w:after="0" w:line="2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9429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70" w:right="319" w:bottom="1440" w:gutter="0" w:footer="0" w:header="0"/>
        </w:sectPr>
      </w:pPr>
    </w:p>
    <w:bookmarkStart w:id="13" w:name="page14"/>
    <w:bookmarkEnd w:id="13"/>
    <w:p>
      <w:pPr>
        <w:ind w:left="332" w:right="120" w:hanging="332"/>
        <w:spacing w:after="0" w:line="342"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0" w:lineRule="exact"/>
        <w:rPr>
          <w:rFonts w:ascii="Arial" w:cs="Arial" w:eastAsia="Arial" w:hAnsi="Arial"/>
          <w:sz w:val="16"/>
          <w:szCs w:val="16"/>
          <w:color w:val="auto"/>
        </w:rPr>
      </w:pPr>
    </w:p>
    <w:p>
      <w:pPr>
        <w:ind w:left="332" w:hanging="332"/>
        <w:spacing w:after="0" w:line="308" w:lineRule="auto"/>
        <w:tabs>
          <w:tab w:leader="none" w:pos="332" w:val="left"/>
        </w:tabs>
        <w:numPr>
          <w:ilvl w:val="0"/>
          <w:numId w:val="48"/>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73" w:lineRule="exact"/>
        <w:rPr>
          <w:rFonts w:ascii="Arial" w:cs="Arial" w:eastAsia="Arial" w:hAnsi="Arial"/>
          <w:sz w:val="17"/>
          <w:szCs w:val="17"/>
          <w:color w:val="auto"/>
        </w:rPr>
      </w:pPr>
    </w:p>
    <w:p>
      <w:pPr>
        <w:ind w:left="332" w:right="20" w:hanging="332"/>
        <w:spacing w:after="0" w:line="342"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Page 14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92"/>
          </w:cols>
          <w:pgMar w:left="248" w:top="1003" w:right="359" w:bottom="1440" w:gutter="0" w:footer="0" w:header="0"/>
        </w:sectPr>
      </w:pPr>
    </w:p>
    <w:bookmarkStart w:id="14" w:name="page15"/>
    <w:bookmarkEnd w:id="14"/>
    <w:p>
      <w:pPr>
        <w:ind w:left="498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All addresses are c/o TPG Global, LLC, 301 Commerce Street, Suite 3300, Fort Worth, TX 76102.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220" w:type="dxa"/>
            <w:vAlign w:val="bottom"/>
          </w:tcPr>
          <w:p>
            <w:pPr>
              <w:spacing w:after="0"/>
              <w:rPr>
                <w:sz w:val="17"/>
                <w:szCs w:val="17"/>
                <w:color w:val="auto"/>
              </w:rPr>
            </w:pP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Title</w:t>
            </w:r>
          </w:p>
        </w:tc>
      </w:tr>
      <w:tr>
        <w:trPr>
          <w:trHeight w:val="20"/>
        </w:trPr>
        <w:tc>
          <w:tcPr>
            <w:tcW w:w="4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4"/>
        </w:trPr>
        <w:tc>
          <w:tcPr>
            <w:tcW w:w="166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President and Chairman of the Board</w:t>
            </w:r>
          </w:p>
        </w:tc>
      </w:tr>
      <w:tr>
        <w:trPr>
          <w:trHeight w:val="243"/>
        </w:trPr>
        <w:tc>
          <w:tcPr>
            <w:tcW w:w="166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Senior Vice President and Director</w:t>
            </w:r>
          </w:p>
        </w:tc>
      </w:tr>
      <w:tr>
        <w:trPr>
          <w:trHeight w:val="243"/>
        </w:trPr>
        <w:tc>
          <w:tcPr>
            <w:tcW w:w="166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Vice President and Treasurer</w:t>
            </w:r>
          </w:p>
        </w:tc>
      </w:tr>
      <w:tr>
        <w:trPr>
          <w:trHeight w:val="243"/>
        </w:trPr>
        <w:tc>
          <w:tcPr>
            <w:tcW w:w="166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Vice President and Secretary</w:t>
            </w:r>
          </w:p>
        </w:tc>
      </w:tr>
      <w:tr>
        <w:trPr>
          <w:trHeight w:val="243"/>
        </w:trPr>
        <w:tc>
          <w:tcPr>
            <w:tcW w:w="166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w w:val="90"/>
              </w:rPr>
              <w:t>Chief Compliance Officer and Assistant Secretary</w:t>
            </w:r>
          </w:p>
        </w:tc>
      </w:tr>
      <w:tr>
        <w:trPr>
          <w:trHeight w:val="243"/>
        </w:trPr>
        <w:tc>
          <w:tcPr>
            <w:tcW w:w="166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Assistant Treasurer</w:t>
            </w:r>
          </w:p>
        </w:tc>
      </w:tr>
      <w:tr>
        <w:trPr>
          <w:trHeight w:val="243"/>
        </w:trPr>
        <w:tc>
          <w:tcPr>
            <w:tcW w:w="166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3800" w:type="dxa"/>
            <w:vAlign w:val="bottom"/>
            <w:gridSpan w:val="3"/>
          </w:tcPr>
          <w:p>
            <w:pPr>
              <w:ind w:left="200"/>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Page 15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270"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1260" w:type="dxa"/>
            <w:vAlign w:val="bottom"/>
          </w:tcPr>
          <w:p>
            <w:pPr>
              <w:spacing w:after="0"/>
              <w:rPr>
                <w:sz w:val="17"/>
                <w:szCs w:val="17"/>
                <w:color w:val="auto"/>
              </w:rPr>
            </w:pP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Title</w:t>
            </w:r>
          </w:p>
        </w:tc>
      </w:tr>
      <w:tr>
        <w:trPr>
          <w:trHeight w:val="20"/>
        </w:trPr>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President and Chairman of the Board</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Director</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 and Treasurer</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 and Secretary</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Eugene J. Frantz</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w w:val="97"/>
              </w:rPr>
              <w:t>Jerome C. Vascellaro</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Vice President</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Chief Compliance Officer and Assistant Secretary</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Assistant Treasurer</w:t>
            </w:r>
          </w:p>
        </w:tc>
      </w:tr>
      <w:tr>
        <w:trPr>
          <w:trHeight w:val="243"/>
        </w:trPr>
        <w:tc>
          <w:tcPr>
            <w:tcW w:w="34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9380" w:type="dxa"/>
            <w:vAlign w:val="bottom"/>
            <w:gridSpan w:val="3"/>
          </w:tcPr>
          <w:p>
            <w:pPr>
              <w:ind w:left="160"/>
              <w:spacing w:after="0"/>
              <w:rPr>
                <w:sz w:val="20"/>
                <w:szCs w:val="20"/>
                <w:color w:val="auto"/>
              </w:rPr>
            </w:pPr>
            <w:r>
              <w:rPr>
                <w:rFonts w:ascii="Arial" w:cs="Arial" w:eastAsia="Arial" w:hAnsi="Arial"/>
                <w:sz w:val="18"/>
                <w:szCs w:val="18"/>
                <w:color w:val="auto"/>
              </w:rPr>
              <w:t>Assistant Treasurer</w:t>
            </w:r>
          </w:p>
        </w:tc>
      </w:tr>
      <w:tr>
        <w:trPr>
          <w:trHeight w:val="810"/>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tcPr>
          <w:p>
            <w:pPr>
              <w:ind w:left="2460"/>
              <w:spacing w:after="0"/>
              <w:rPr>
                <w:sz w:val="20"/>
                <w:szCs w:val="20"/>
                <w:color w:val="auto"/>
              </w:rPr>
            </w:pPr>
            <w:r>
              <w:rPr>
                <w:rFonts w:ascii="Arial" w:cs="Arial" w:eastAsia="Arial" w:hAnsi="Arial"/>
                <w:sz w:val="18"/>
                <w:szCs w:val="18"/>
                <w:color w:val="auto"/>
              </w:rPr>
              <w:t>Page 16 of 17 Pages</w:t>
            </w:r>
          </w:p>
        </w:tc>
      </w:tr>
      <w:tr>
        <w:trPr>
          <w:trHeight w:val="118"/>
        </w:trPr>
        <w:tc>
          <w:tcPr>
            <w:tcW w:w="3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0300" w:type="dxa"/>
            <w:vAlign w:val="bottom"/>
          </w:tcPr>
          <w:p>
            <w:pPr>
              <w:ind w:left="3700"/>
              <w:spacing w:after="0"/>
              <w:rPr>
                <w:sz w:val="20"/>
                <w:szCs w:val="20"/>
                <w:color w:val="auto"/>
              </w:rPr>
            </w:pPr>
            <w:r>
              <w:rPr>
                <w:rFonts w:ascii="Arial" w:cs="Arial" w:eastAsia="Arial" w:hAnsi="Arial"/>
                <w:sz w:val="18"/>
                <w:szCs w:val="18"/>
                <w:b w:val="1"/>
                <w:bCs w:val="1"/>
                <w:color w:val="auto"/>
              </w:rPr>
              <w:t>INDEX TO EXHIBITS</w:t>
            </w:r>
          </w:p>
        </w:tc>
      </w:tr>
      <w:tr>
        <w:trPr>
          <w:trHeight w:val="441"/>
        </w:trPr>
        <w:tc>
          <w:tcPr>
            <w:tcW w:w="112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0300" w:type="dxa"/>
            <w:vAlign w:val="bottom"/>
          </w:tcPr>
          <w:p>
            <w:pPr>
              <w:spacing w:after="0"/>
              <w:rPr>
                <w:sz w:val="24"/>
                <w:szCs w:val="24"/>
                <w:color w:val="auto"/>
              </w:rPr>
            </w:pPr>
          </w:p>
        </w:tc>
      </w:tr>
      <w:tr>
        <w:trPr>
          <w:trHeight w:val="234"/>
        </w:trPr>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103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Description of Exhibits</w:t>
            </w:r>
          </w:p>
        </w:tc>
      </w:tr>
      <w:tr>
        <w:trPr>
          <w:trHeight w:val="195"/>
        </w:trPr>
        <w:tc>
          <w:tcPr>
            <w:tcW w:w="1120" w:type="dxa"/>
            <w:vAlign w:val="bottom"/>
          </w:tcPr>
          <w:p>
            <w:pPr>
              <w:spacing w:after="0"/>
              <w:rPr>
                <w:sz w:val="16"/>
                <w:szCs w:val="16"/>
                <w:color w:val="auto"/>
              </w:rPr>
            </w:pPr>
          </w:p>
        </w:tc>
        <w:tc>
          <w:tcPr>
            <w:tcW w:w="10300" w:type="dxa"/>
            <w:vAlign w:val="bottom"/>
          </w:tcPr>
          <w:p>
            <w:pPr>
              <w:ind w:left="380"/>
              <w:spacing w:after="0" w:line="195" w:lineRule="exact"/>
              <w:rPr>
                <w:sz w:val="20"/>
                <w:szCs w:val="20"/>
                <w:color w:val="auto"/>
              </w:rPr>
            </w:pPr>
            <w:r>
              <w:rPr>
                <w:rFonts w:ascii="Arial" w:cs="Arial" w:eastAsia="Arial" w:hAnsi="Arial"/>
                <w:sz w:val="18"/>
                <w:szCs w:val="18"/>
                <w:color w:val="auto"/>
                <w:w w:val="91"/>
              </w:rPr>
              <w:t>Agreement of Joint Filing, as required by Rule 13d-1(k)(1) under the Act, dated as of June 27, 2011, by and among TPG Group Holdings</w:t>
            </w:r>
          </w:p>
        </w:tc>
      </w:tr>
      <w:tr>
        <w:trPr>
          <w:trHeight w:val="216"/>
        </w:trPr>
        <w:tc>
          <w:tcPr>
            <w:tcW w:w="1120" w:type="dxa"/>
            <w:vAlign w:val="bottom"/>
          </w:tcPr>
          <w:p>
            <w:pPr>
              <w:ind w:left="100"/>
              <w:spacing w:after="0"/>
              <w:rPr>
                <w:sz w:val="20"/>
                <w:szCs w:val="20"/>
                <w:color w:val="auto"/>
              </w:rPr>
            </w:pPr>
            <w:r>
              <w:rPr>
                <w:rFonts w:ascii="Arial" w:cs="Arial" w:eastAsia="Arial" w:hAnsi="Arial"/>
                <w:sz w:val="18"/>
                <w:szCs w:val="18"/>
                <w:color w:val="auto"/>
              </w:rPr>
              <w:t>1.</w:t>
            </w:r>
          </w:p>
        </w:tc>
        <w:tc>
          <w:tcPr>
            <w:tcW w:w="10300" w:type="dxa"/>
            <w:vAlign w:val="bottom"/>
          </w:tcPr>
          <w:p>
            <w:pPr>
              <w:ind w:left="380"/>
              <w:spacing w:after="0"/>
              <w:rPr>
                <w:sz w:val="20"/>
                <w:szCs w:val="20"/>
                <w:color w:val="auto"/>
              </w:rPr>
            </w:pPr>
            <w:r>
              <w:rPr>
                <w:rFonts w:ascii="Arial" w:cs="Arial" w:eastAsia="Arial" w:hAnsi="Arial"/>
                <w:sz w:val="18"/>
                <w:szCs w:val="18"/>
                <w:color w:val="auto"/>
                <w:w w:val="93"/>
              </w:rPr>
              <w:t>(SBS) Advisors, Inc., Tarrant Capital Advisors, Inc., David Bonderman, James G. Coulter and Alan Waxman (previously filed with the</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Original Schedule 13D).</w:t>
            </w:r>
          </w:p>
        </w:tc>
      </w:tr>
      <w:tr>
        <w:trPr>
          <w:trHeight w:val="418"/>
        </w:trPr>
        <w:tc>
          <w:tcPr>
            <w:tcW w:w="1120" w:type="dxa"/>
            <w:vAlign w:val="bottom"/>
          </w:tcPr>
          <w:p>
            <w:pPr>
              <w:ind w:left="100"/>
              <w:spacing w:after="0"/>
              <w:rPr>
                <w:sz w:val="20"/>
                <w:szCs w:val="20"/>
                <w:color w:val="auto"/>
              </w:rPr>
            </w:pPr>
            <w:r>
              <w:rPr>
                <w:rFonts w:ascii="Arial" w:cs="Arial" w:eastAsia="Arial" w:hAnsi="Arial"/>
                <w:sz w:val="18"/>
                <w:szCs w:val="18"/>
                <w:color w:val="auto"/>
              </w:rPr>
              <w:t>2.</w:t>
            </w:r>
          </w:p>
        </w:tc>
        <w:tc>
          <w:tcPr>
            <w:tcW w:w="10300" w:type="dxa"/>
            <w:vAlign w:val="bottom"/>
          </w:tcPr>
          <w:p>
            <w:pPr>
              <w:ind w:left="380"/>
              <w:spacing w:after="0"/>
              <w:rPr>
                <w:sz w:val="20"/>
                <w:szCs w:val="20"/>
                <w:color w:val="auto"/>
              </w:rPr>
            </w:pPr>
            <w:r>
              <w:rPr>
                <w:rFonts w:ascii="Arial" w:cs="Arial" w:eastAsia="Arial" w:hAnsi="Arial"/>
                <w:sz w:val="18"/>
                <w:szCs w:val="18"/>
                <w:color w:val="auto"/>
                <w:w w:val="92"/>
              </w:rPr>
              <w:t>Subscription Agreement, dated as of April 15, 2011, between TPG Specialty Lending, Inc. and TSL Advisers, LLC (previously filed with</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the Original Schedule 13D).</w:t>
            </w:r>
          </w:p>
        </w:tc>
      </w:tr>
      <w:tr>
        <w:trPr>
          <w:trHeight w:val="418"/>
        </w:trPr>
        <w:tc>
          <w:tcPr>
            <w:tcW w:w="1120" w:type="dxa"/>
            <w:vAlign w:val="bottom"/>
          </w:tcPr>
          <w:p>
            <w:pPr>
              <w:ind w:left="100"/>
              <w:spacing w:after="0"/>
              <w:rPr>
                <w:sz w:val="20"/>
                <w:szCs w:val="20"/>
                <w:color w:val="auto"/>
              </w:rPr>
            </w:pPr>
            <w:r>
              <w:rPr>
                <w:rFonts w:ascii="Arial" w:cs="Arial" w:eastAsia="Arial" w:hAnsi="Arial"/>
                <w:sz w:val="18"/>
                <w:szCs w:val="18"/>
                <w:color w:val="auto"/>
              </w:rPr>
              <w:t>3.</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Amendment to the Subscription Agreement, dated as of January 31, 2012, between TPG Specialty Lending, Inc. and TSL Advisers, LLC</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(previously filed with Amendment No. 4).</w:t>
            </w:r>
          </w:p>
        </w:tc>
      </w:tr>
      <w:tr>
        <w:trPr>
          <w:trHeight w:val="418"/>
        </w:trPr>
        <w:tc>
          <w:tcPr>
            <w:tcW w:w="1120" w:type="dxa"/>
            <w:vAlign w:val="bottom"/>
          </w:tcPr>
          <w:p>
            <w:pPr>
              <w:ind w:left="100"/>
              <w:spacing w:after="0"/>
              <w:rPr>
                <w:sz w:val="20"/>
                <w:szCs w:val="20"/>
                <w:color w:val="auto"/>
              </w:rPr>
            </w:pPr>
            <w:r>
              <w:rPr>
                <w:rFonts w:ascii="Arial" w:cs="Arial" w:eastAsia="Arial" w:hAnsi="Arial"/>
                <w:sz w:val="18"/>
                <w:szCs w:val="18"/>
                <w:color w:val="auto"/>
              </w:rPr>
              <w:t>4.</w:t>
            </w:r>
          </w:p>
        </w:tc>
        <w:tc>
          <w:tcPr>
            <w:tcW w:w="10300" w:type="dxa"/>
            <w:vAlign w:val="bottom"/>
          </w:tcPr>
          <w:p>
            <w:pPr>
              <w:ind w:left="380"/>
              <w:spacing w:after="0"/>
              <w:rPr>
                <w:sz w:val="20"/>
                <w:szCs w:val="20"/>
                <w:color w:val="auto"/>
              </w:rPr>
            </w:pPr>
            <w:r>
              <w:rPr>
                <w:rFonts w:ascii="Arial" w:cs="Arial" w:eastAsia="Arial" w:hAnsi="Arial"/>
                <w:sz w:val="18"/>
                <w:szCs w:val="18"/>
                <w:color w:val="auto"/>
                <w:w w:val="91"/>
              </w:rPr>
              <w:t>Agreement to Tender, dated as of March 13, 2011, between TPG Specialty Lending, Inc. and Tarrant Advisors, Inc. (previously filed with</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the Original Schedule 13D).</w:t>
            </w:r>
          </w:p>
        </w:tc>
      </w:tr>
      <w:tr>
        <w:trPr>
          <w:trHeight w:val="418"/>
        </w:trPr>
        <w:tc>
          <w:tcPr>
            <w:tcW w:w="1120" w:type="dxa"/>
            <w:vAlign w:val="bottom"/>
          </w:tcPr>
          <w:p>
            <w:pPr>
              <w:ind w:left="100"/>
              <w:spacing w:after="0"/>
              <w:rPr>
                <w:sz w:val="20"/>
                <w:szCs w:val="20"/>
                <w:color w:val="auto"/>
              </w:rPr>
            </w:pPr>
            <w:r>
              <w:rPr>
                <w:rFonts w:ascii="Arial" w:cs="Arial" w:eastAsia="Arial" w:hAnsi="Arial"/>
                <w:sz w:val="18"/>
                <w:szCs w:val="18"/>
                <w:color w:val="auto"/>
              </w:rPr>
              <w:t>5.</w:t>
            </w:r>
          </w:p>
        </w:tc>
        <w:tc>
          <w:tcPr>
            <w:tcW w:w="10300" w:type="dxa"/>
            <w:vAlign w:val="bottom"/>
          </w:tcPr>
          <w:p>
            <w:pPr>
              <w:ind w:left="380"/>
              <w:spacing w:after="0"/>
              <w:rPr>
                <w:sz w:val="20"/>
                <w:szCs w:val="20"/>
                <w:color w:val="auto"/>
              </w:rPr>
            </w:pPr>
            <w:r>
              <w:rPr>
                <w:rFonts w:ascii="Arial" w:cs="Arial" w:eastAsia="Arial" w:hAnsi="Arial"/>
                <w:sz w:val="18"/>
                <w:szCs w:val="18"/>
                <w:color w:val="auto"/>
                <w:w w:val="93"/>
              </w:rPr>
              <w:t>Subscription Agreement, dated as of December 2, 2011 between TPG Specialty Lending, Inc.,TSL FOF, L.P. and TSL Advisers, LLC</w:t>
            </w:r>
          </w:p>
        </w:tc>
      </w:tr>
      <w:tr>
        <w:trPr>
          <w:trHeight w:val="230"/>
        </w:trPr>
        <w:tc>
          <w:tcPr>
            <w:tcW w:w="1120" w:type="dxa"/>
            <w:vAlign w:val="bottom"/>
          </w:tcPr>
          <w:p>
            <w:pPr>
              <w:spacing w:after="0"/>
              <w:rPr>
                <w:sz w:val="20"/>
                <w:szCs w:val="20"/>
                <w:color w:val="auto"/>
              </w:rPr>
            </w:pPr>
          </w:p>
        </w:tc>
        <w:tc>
          <w:tcPr>
            <w:tcW w:w="10300" w:type="dxa"/>
            <w:vAlign w:val="bottom"/>
          </w:tcPr>
          <w:p>
            <w:pPr>
              <w:ind w:left="380"/>
              <w:spacing w:after="0"/>
              <w:rPr>
                <w:sz w:val="20"/>
                <w:szCs w:val="20"/>
                <w:color w:val="auto"/>
              </w:rPr>
            </w:pPr>
            <w:r>
              <w:rPr>
                <w:rFonts w:ascii="Arial" w:cs="Arial" w:eastAsia="Arial" w:hAnsi="Arial"/>
                <w:sz w:val="18"/>
                <w:szCs w:val="18"/>
                <w:color w:val="auto"/>
              </w:rPr>
              <w:t>(previously filed with Amendment No. 2).</w:t>
            </w:r>
          </w:p>
        </w:tc>
      </w:tr>
    </w:tbl>
    <w:p>
      <w:pPr>
        <w:spacing w:after="0" w:line="1" w:lineRule="exact"/>
        <w:rPr>
          <w:sz w:val="20"/>
          <w:szCs w:val="20"/>
          <w:color w:val="auto"/>
        </w:rPr>
      </w:pPr>
    </w:p>
    <w:sectPr>
      <w:pgSz w:w="11900" w:h="16838" w:orient="portrait"/>
      <w:cols w:equalWidth="0" w:num="1">
        <w:col w:w="11420"/>
      </w:cols>
      <w:pgMar w:left="240" w:top="9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bullet"/>
      <w:start w:val="1"/>
    </w:lvl>
  </w:abstractNum>
  <w:abstractNum w:abstractNumId="1">
    <w:nsid w:val="79838CB2"/>
    <w:multiLevelType w:val="hybridMultilevel"/>
    <w:lvl w:ilvl="0">
      <w:lvlJc w:val="left"/>
      <w:lvlText w:val="2"/>
      <w:numFmt w:val="bullet"/>
      <w:start w:val="1"/>
    </w:lvl>
  </w:abstractNum>
  <w:abstractNum w:abstractNumId="2">
    <w:nsid w:val="4353D0CD"/>
    <w:multiLevelType w:val="hybridMultilevel"/>
    <w:lvl w:ilvl="0">
      <w:lvlJc w:val="left"/>
      <w:lvlText w:val="3"/>
      <w:numFmt w:val="bullet"/>
      <w:start w:val="1"/>
    </w:lvl>
  </w:abstractNum>
  <w:abstractNum w:abstractNumId="3">
    <w:nsid w:val="B03E0C6"/>
    <w:multiLevelType w:val="hybridMultilevel"/>
    <w:lvl w:ilvl="0">
      <w:lvlJc w:val="left"/>
      <w:lvlText w:val="4"/>
      <w:numFmt w:val="bullet"/>
      <w:start w:val="1"/>
    </w:lvl>
  </w:abstractNum>
  <w:abstractNum w:abstractNumId="4">
    <w:nsid w:val="189A769B"/>
    <w:multiLevelType w:val="hybridMultilevel"/>
    <w:lvl w:ilvl="0">
      <w:lvlJc w:val="left"/>
      <w:lvlText w:val="5"/>
      <w:numFmt w:val="bullet"/>
      <w:start w:val="1"/>
    </w:lvl>
  </w:abstractNum>
  <w:abstractNum w:abstractNumId="5">
    <w:nsid w:val="54E49EB4"/>
    <w:multiLevelType w:val="hybridMultilevel"/>
    <w:lvl w:ilvl="0">
      <w:lvlJc w:val="left"/>
      <w:lvlText w:val="6"/>
      <w:numFmt w:val="bullet"/>
      <w:start w:val="1"/>
    </w:lvl>
  </w:abstractNum>
  <w:abstractNum w:abstractNumId="6">
    <w:nsid w:val="71F32454"/>
    <w:multiLevelType w:val="hybridMultilevel"/>
    <w:lvl w:ilvl="0">
      <w:lvlJc w:val="left"/>
      <w:lvlText w:val="%1"/>
      <w:numFmt w:val="decimal"/>
      <w:start w:val="11"/>
    </w:lvl>
  </w:abstractNum>
  <w:abstractNum w:abstractNumId="7">
    <w:nsid w:val="2CA88611"/>
    <w:multiLevelType w:val="hybridMultilevel"/>
    <w:lvl w:ilvl="0">
      <w:lvlJc w:val="left"/>
      <w:lvlText w:val="%1"/>
      <w:numFmt w:val="decimal"/>
      <w:start w:val="13"/>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bullet"/>
      <w:start w:val="1"/>
    </w:lvl>
  </w:abstractNum>
  <w:abstractNum w:abstractNumId="10">
    <w:nsid w:val="3A95F874"/>
    <w:multiLevelType w:val="hybridMultilevel"/>
    <w:lvl w:ilvl="0">
      <w:lvlJc w:val="left"/>
      <w:lvlText w:val="2"/>
      <w:numFmt w:val="bullet"/>
      <w:start w:val="1"/>
    </w:lvl>
  </w:abstractNum>
  <w:abstractNum w:abstractNumId="11">
    <w:nsid w:val="8138641"/>
    <w:multiLevelType w:val="hybridMultilevel"/>
    <w:lvl w:ilvl="0">
      <w:lvlJc w:val="left"/>
      <w:lvlText w:val="3"/>
      <w:numFmt w:val="bullet"/>
      <w:start w:val="1"/>
    </w:lvl>
  </w:abstractNum>
  <w:abstractNum w:abstractNumId="12">
    <w:nsid w:val="1E7FF521"/>
    <w:multiLevelType w:val="hybridMultilevel"/>
    <w:lvl w:ilvl="0">
      <w:lvlJc w:val="left"/>
      <w:lvlText w:val="4"/>
      <w:numFmt w:val="bullet"/>
      <w:start w:val="1"/>
    </w:lvl>
  </w:abstractNum>
  <w:abstractNum w:abstractNumId="13">
    <w:nsid w:val="7C3DBD3D"/>
    <w:multiLevelType w:val="hybridMultilevel"/>
    <w:lvl w:ilvl="0">
      <w:lvlJc w:val="left"/>
      <w:lvlText w:val="5"/>
      <w:numFmt w:val="bullet"/>
      <w:start w:val="1"/>
    </w:lvl>
  </w:abstractNum>
  <w:abstractNum w:abstractNumId="14">
    <w:nsid w:val="737B8DDC"/>
    <w:multiLevelType w:val="hybridMultilevel"/>
    <w:lvl w:ilvl="0">
      <w:lvlJc w:val="left"/>
      <w:lvlText w:val="6"/>
      <w:numFmt w:val="bullet"/>
      <w:start w:val="1"/>
    </w:lvl>
  </w:abstractNum>
  <w:abstractNum w:abstractNumId="15">
    <w:nsid w:val="6CEAF087"/>
    <w:multiLevelType w:val="hybridMultilevel"/>
    <w:lvl w:ilvl="0">
      <w:lvlJc w:val="left"/>
      <w:lvlText w:val="%1"/>
      <w:numFmt w:val="decimal"/>
      <w:start w:val="11"/>
    </w:lvl>
  </w:abstractNum>
  <w:abstractNum w:abstractNumId="16">
    <w:nsid w:val="22221A70"/>
    <w:multiLevelType w:val="hybridMultilevel"/>
    <w:lvl w:ilvl="0">
      <w:lvlJc w:val="left"/>
      <w:lvlText w:val="%1"/>
      <w:numFmt w:val="decimal"/>
      <w:start w:val="13"/>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2"/>
      <w:numFmt w:val="bullet"/>
      <w:start w:val="1"/>
    </w:lvl>
  </w:abstractNum>
  <w:abstractNum w:abstractNumId="20">
    <w:nsid w:val="419AC241"/>
    <w:multiLevelType w:val="hybridMultilevel"/>
    <w:lvl w:ilvl="0">
      <w:lvlJc w:val="left"/>
      <w:lvlText w:val="3"/>
      <w:numFmt w:val="bullet"/>
      <w:start w:val="1"/>
    </w:lvl>
  </w:abstractNum>
  <w:abstractNum w:abstractNumId="21">
    <w:nsid w:val="5577F8E1"/>
    <w:multiLevelType w:val="hybridMultilevel"/>
    <w:lvl w:ilvl="0">
      <w:lvlJc w:val="left"/>
      <w:lvlText w:val="4"/>
      <w:numFmt w:val="bullet"/>
      <w:start w:val="1"/>
    </w:lvl>
  </w:abstractNum>
  <w:abstractNum w:abstractNumId="22">
    <w:nsid w:val="440BADFC"/>
    <w:multiLevelType w:val="hybridMultilevel"/>
    <w:lvl w:ilvl="0">
      <w:lvlJc w:val="left"/>
      <w:lvlText w:val="5"/>
      <w:numFmt w:val="bullet"/>
      <w:start w:val="1"/>
    </w:lvl>
  </w:abstractNum>
  <w:abstractNum w:abstractNumId="23">
    <w:nsid w:val="5072367"/>
    <w:multiLevelType w:val="hybridMultilevel"/>
    <w:lvl w:ilvl="0">
      <w:lvlJc w:val="left"/>
      <w:lvlText w:val="6"/>
      <w:numFmt w:val="bullet"/>
      <w:start w:val="1"/>
    </w:lvl>
  </w:abstractNum>
  <w:abstractNum w:abstractNumId="24">
    <w:nsid w:val="3804823E"/>
    <w:multiLevelType w:val="hybridMultilevel"/>
    <w:lvl w:ilvl="0">
      <w:lvlJc w:val="left"/>
      <w:lvlText w:val="%1"/>
      <w:numFmt w:val="decimal"/>
      <w:start w:val="11"/>
    </w:lvl>
  </w:abstractNum>
  <w:abstractNum w:abstractNumId="25">
    <w:nsid w:val="77465F01"/>
    <w:multiLevelType w:val="hybridMultilevel"/>
    <w:lvl w:ilvl="0">
      <w:lvlJc w:val="left"/>
      <w:lvlText w:val="%1"/>
      <w:numFmt w:val="decimal"/>
      <w:start w:val="13"/>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bullet"/>
      <w:start w:val="1"/>
    </w:lvl>
  </w:abstractNum>
  <w:abstractNum w:abstractNumId="28">
    <w:nsid w:val="2463B9EA"/>
    <w:multiLevelType w:val="hybridMultilevel"/>
    <w:lvl w:ilvl="0">
      <w:lvlJc w:val="left"/>
      <w:lvlText w:val="2"/>
      <w:numFmt w:val="bullet"/>
      <w:start w:val="1"/>
    </w:lvl>
  </w:abstractNum>
  <w:abstractNum w:abstractNumId="29">
    <w:nsid w:val="5E884ADC"/>
    <w:multiLevelType w:val="hybridMultilevel"/>
    <w:lvl w:ilvl="0">
      <w:lvlJc w:val="left"/>
      <w:lvlText w:val="3"/>
      <w:numFmt w:val="bullet"/>
      <w:start w:val="1"/>
    </w:lvl>
  </w:abstractNum>
  <w:abstractNum w:abstractNumId="30">
    <w:nsid w:val="51EAD36B"/>
    <w:multiLevelType w:val="hybridMultilevel"/>
    <w:lvl w:ilvl="0">
      <w:lvlJc w:val="left"/>
      <w:lvlText w:val="4"/>
      <w:numFmt w:val="bullet"/>
      <w:start w:val="1"/>
    </w:lvl>
  </w:abstractNum>
  <w:abstractNum w:abstractNumId="31">
    <w:nsid w:val="2D517796"/>
    <w:multiLevelType w:val="hybridMultilevel"/>
    <w:lvl w:ilvl="0">
      <w:lvlJc w:val="left"/>
      <w:lvlText w:val="5"/>
      <w:numFmt w:val="bullet"/>
      <w:start w:val="1"/>
    </w:lvl>
  </w:abstractNum>
  <w:abstractNum w:abstractNumId="32">
    <w:nsid w:val="580BD78F"/>
    <w:multiLevelType w:val="hybridMultilevel"/>
    <w:lvl w:ilvl="0">
      <w:lvlJc w:val="left"/>
      <w:lvlText w:val="6"/>
      <w:numFmt w:val="bullet"/>
      <w:start w:val="1"/>
    </w:lvl>
  </w:abstractNum>
  <w:abstractNum w:abstractNumId="33">
    <w:nsid w:val="153EA438"/>
    <w:multiLevelType w:val="hybridMultilevel"/>
    <w:lvl w:ilvl="0">
      <w:lvlJc w:val="left"/>
      <w:lvlText w:val="%1"/>
      <w:numFmt w:val="decimal"/>
      <w:start w:val="11"/>
    </w:lvl>
  </w:abstractNum>
  <w:abstractNum w:abstractNumId="34">
    <w:nsid w:val="3855585C"/>
    <w:multiLevelType w:val="hybridMultilevel"/>
    <w:lvl w:ilvl="0">
      <w:lvlJc w:val="left"/>
      <w:lvlText w:val="%1"/>
      <w:numFmt w:val="decimal"/>
      <w:start w:val="13"/>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bullet"/>
      <w:start w:val="1"/>
    </w:lvl>
  </w:abstractNum>
  <w:abstractNum w:abstractNumId="37">
    <w:nsid w:val="2A487CB0"/>
    <w:multiLevelType w:val="hybridMultilevel"/>
    <w:lvl w:ilvl="0">
      <w:lvlJc w:val="left"/>
      <w:lvlText w:val="2"/>
      <w:numFmt w:val="bullet"/>
      <w:start w:val="1"/>
    </w:lvl>
  </w:abstractNum>
  <w:abstractNum w:abstractNumId="38">
    <w:nsid w:val="1D4ED43B"/>
    <w:multiLevelType w:val="hybridMultilevel"/>
    <w:lvl w:ilvl="0">
      <w:lvlJc w:val="left"/>
      <w:lvlText w:val="3"/>
      <w:numFmt w:val="bullet"/>
      <w:start w:val="1"/>
    </w:lvl>
  </w:abstractNum>
  <w:abstractNum w:abstractNumId="39">
    <w:nsid w:val="725A06FB"/>
    <w:multiLevelType w:val="hybridMultilevel"/>
    <w:lvl w:ilvl="0">
      <w:lvlJc w:val="left"/>
      <w:lvlText w:val="4"/>
      <w:numFmt w:val="bullet"/>
      <w:start w:val="1"/>
    </w:lvl>
  </w:abstractNum>
  <w:abstractNum w:abstractNumId="40">
    <w:nsid w:val="2CD89A32"/>
    <w:multiLevelType w:val="hybridMultilevel"/>
    <w:lvl w:ilvl="0">
      <w:lvlJc w:val="left"/>
      <w:lvlText w:val="5"/>
      <w:numFmt w:val="bullet"/>
      <w:start w:val="1"/>
    </w:lvl>
  </w:abstractNum>
  <w:abstractNum w:abstractNumId="41">
    <w:nsid w:val="57E4CCAF"/>
    <w:multiLevelType w:val="hybridMultilevel"/>
    <w:lvl w:ilvl="0">
      <w:lvlJc w:val="left"/>
      <w:lvlText w:val="6"/>
      <w:numFmt w:val="bullet"/>
      <w:start w:val="1"/>
    </w:lvl>
  </w:abstractNum>
  <w:abstractNum w:abstractNumId="42">
    <w:nsid w:val="7A6D8D3C"/>
    <w:multiLevelType w:val="hybridMultilevel"/>
    <w:lvl w:ilvl="0">
      <w:lvlJc w:val="left"/>
      <w:lvlText w:val="%1"/>
      <w:numFmt w:val="decimal"/>
      <w:start w:val="11"/>
    </w:lvl>
  </w:abstractNum>
  <w:abstractNum w:abstractNumId="43">
    <w:nsid w:val="4B588F54"/>
    <w:multiLevelType w:val="hybridMultilevel"/>
    <w:lvl w:ilvl="0">
      <w:lvlJc w:val="left"/>
      <w:lvlText w:val="%1"/>
      <w:numFmt w:val="decimal"/>
      <w:start w:val="13"/>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lowerLetter"/>
      <w:start w:val="3"/>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2019-12-09T20:30:58Z</dcterms:created>
  <dcterms:modified xsi:type="dcterms:W3CDTF">2019-12-09T20:30:58Z</dcterms:modified>
</cp:coreProperties>
</file>