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3760" w:type="dxa"/>
            <w:vAlign w:val="bottom"/>
          </w:tcPr>
          <w:p>
            <w:pPr>
              <w:jc w:val="center"/>
              <w:ind w:right="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2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4"/>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71120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43"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0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0"/>
        </w:trPr>
        <w:tc>
          <w:tcPr>
            <w:tcW w:w="350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TSLX</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34225" cy="216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216535"/>
                    </a:xfrm>
                    <a:prstGeom prst="rect">
                      <a:avLst/>
                    </a:prstGeom>
                    <a:noFill/>
                  </pic:spPr>
                </pic:pic>
              </a:graphicData>
            </a:graphic>
          </wp:anchor>
        </w:drawing>
      </w:r>
    </w:p>
    <w:p>
      <w:pPr>
        <w:spacing w:after="0" w:line="80" w:lineRule="exact"/>
        <w:rPr>
          <w:sz w:val="24"/>
          <w:szCs w:val="24"/>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February 12, 2026, Sixth Street Specialty Lending, Inc. (the “Company”) issued a press release announcing its financial results for the year ended December 31, 2025. The text of the press release is included as Exhibit 99.1 to this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12, 2026, the Company issued a press release, included herewith as Exhibit 99.1, announcing the declaration of a first quarter 2026 base dividend per share of $0.46 to shareholders of record as of March 16, 2026, payable on March 31, 2026, and a fourth quarter 2025 supplemental dividend per share of $0.01 to shareholders of record as of February 27, 2026, payable on March 20, 2026.</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9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Borders>
              <w:right w:val="single" w:sz="8" w:color="auto"/>
            </w:tcBorders>
            <w:shd w:val="clear" w:color="auto" w:fill="000000"/>
          </w:tcPr>
          <w:p>
            <w:pPr>
              <w:spacing w:after="0" w:line="20" w:lineRule="exact"/>
              <w:rPr>
                <w:sz w:val="1"/>
                <w:szCs w:val="1"/>
                <w:color w:val="auto"/>
              </w:rPr>
            </w:pPr>
          </w:p>
        </w:tc>
        <w:tc>
          <w:tcPr>
            <w:tcW w:w="7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February 12, 2026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1627"/>
        </w:trPr>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SIXTH STREET SPECIALTY LENDING, INC.</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2026</w:t>
            </w: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160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FULL YEAR AND FOURTH QUARTER 2025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Sixth Street Specialty Lending, Inc. Reports Full Year and Fourth Quarter Earnings Results; Declares a First Quarter Base Dividend Per Share of $0.46, and a Fourth Quarter Supplemental Dividend Per Share of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-20955</wp:posOffset>
            </wp:positionV>
            <wp:extent cx="169735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355" cy="17145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 YORK—February 12, 2026— Sixth Street Specialty Lending, Inc. (NYSE: TSLX, or the “Company”) today reported net investment income of $2.23 per share and net income of $1.81 per share, for the year ended December 31, 2025. For the quarter ended December 31, 2025 net investment income and net income per share were $0.53 and $0.32, respectively. The Company’s net investment income for Q4 continues to reflect the impact from the elevated interest rate environment combined with strong activity-based fee income. Return on equity (ROE) for the full year 2025 was 13.1% and 10.6% on a net investment income and a net income basis, respectively. Annualized ROE for the fourth quarter 2025 was 12.5% and 7.4% on a net investment income and a net income basis, respectively.</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Both net investment income per share and net income per share for the year include approximately $0.05 per share of unwind of previously accrued capital gains incentive fee expenses. Excluding the impact of the accrued capital gains incentive fee expenses, the Company’s adjusted net investment income and adjusted net income for the year ended December 31, 2025 were $2.18 per share and $1.76 per share, respectively. For the quarter ended December 31, 2025, adjusted net investment income per share was $0.52 and adjusted net income per share was $0.30. Return on equity (ROE) for the full year 2025 was 12.7% and 10.3% on an adjusted net investment income and an adjusted net income basis, respectively. Annualized ROE for the fourth quarter 2025 was 12.0% and 7.0% on an adjusted net investment income and an adjusted net income basis, respectively.</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Reported net asset value (NAV) per share was $16.98 at December 31, 2025 as compared to $17.14 at September 30, 2025. The Company’s base dividend remained well covered with adjusted net investment income of $0.52 per share exceeding the base quarterly dividend by $0.06 per share. The Company announced that its Board of Directors has declared a first quarter 2026 base dividend of $0.46 per share to shareholders of record as of March 16, 2026 and payable on March 31, 2026. The Board also announced a fourth quarter supplemental dividend of $0.01 per share to shareholders of record as of February 27, 2026, payable on March 20, 2026. The primary drivers of this year’s change in NAV were the over-earning of the base dividend through net investment income, offset by the reversal of net unrealized gains from investment realizations during the year and portfolio company specific events. The Company’s economic return for 2025, calculated as change in net asset value plus dividends paid in the year, was 10.9%.</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4"/>
          <w:szCs w:val="14"/>
          <w:b w:val="1"/>
          <w:bCs w:val="1"/>
          <w:color w:val="FFFFFF"/>
        </w:rPr>
        <w:t>Net Investment Income Per Share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2025</w:t>
            </w:r>
            <w:r>
              <w:rPr>
                <w:rFonts w:ascii="Arial" w:cs="Arial" w:eastAsia="Arial" w:hAnsi="Arial"/>
                <w:sz w:val="14"/>
                <w:szCs w:val="14"/>
                <w:color w:val="auto"/>
              </w:rPr>
              <w:t>:</w:t>
            </w:r>
          </w:p>
        </w:tc>
        <w:tc>
          <w:tcPr>
            <w:tcW w:w="1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$2.23</w:t>
            </w:r>
          </w:p>
        </w:tc>
      </w:tr>
      <w:tr>
        <w:trPr>
          <w:trHeight w:val="216"/>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$0.53</w:t>
            </w:r>
          </w:p>
        </w:tc>
      </w:tr>
      <w:tr>
        <w:trPr>
          <w:trHeight w:val="29"/>
        </w:trPr>
        <w:tc>
          <w:tcPr>
            <w:tcW w:w="2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4"/>
        </w:trPr>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2025 (adjusted):</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$2.18</w:t>
            </w:r>
          </w:p>
        </w:tc>
      </w:tr>
      <w:tr>
        <w:trPr>
          <w:trHeight w:val="216"/>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(adjusted):</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$0.52</w:t>
            </w:r>
          </w:p>
        </w:tc>
      </w:tr>
      <w:tr>
        <w:trPr>
          <w:trHeight w:val="191"/>
        </w:trPr>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0"/>
        </w:trPr>
        <w:tc>
          <w:tcPr>
            <w:tcW w:w="240" w:type="dxa"/>
            <w:vAlign w:val="bottom"/>
            <w:tcBorders>
              <w:bottom w:val="single" w:sz="8" w:color="0F2F50"/>
            </w:tcBorders>
            <w:shd w:val="clear" w:color="auto" w:fill="0F2F50"/>
          </w:tcPr>
          <w:p>
            <w:pPr>
              <w:spacing w:after="0"/>
              <w:rPr>
                <w:sz w:val="21"/>
                <w:szCs w:val="21"/>
                <w:color w:val="auto"/>
              </w:rPr>
            </w:pPr>
          </w:p>
        </w:tc>
        <w:tc>
          <w:tcPr>
            <w:tcW w:w="340" w:type="dxa"/>
            <w:vAlign w:val="bottom"/>
            <w:tcBorders>
              <w:bottom w:val="single" w:sz="8" w:color="0F2F50"/>
            </w:tcBorders>
            <w:shd w:val="clear" w:color="auto" w:fill="0F2F50"/>
          </w:tcPr>
          <w:p>
            <w:pPr>
              <w:spacing w:after="0"/>
              <w:rPr>
                <w:sz w:val="21"/>
                <w:szCs w:val="21"/>
                <w:color w:val="auto"/>
              </w:rPr>
            </w:pPr>
          </w:p>
        </w:tc>
        <w:tc>
          <w:tcPr>
            <w:tcW w:w="1520" w:type="dxa"/>
            <w:vAlign w:val="bottom"/>
            <w:tcBorders>
              <w:bottom w:val="single" w:sz="8" w:color="0F2F50"/>
            </w:tcBorders>
            <w:shd w:val="clear" w:color="auto" w:fill="0F2F50"/>
          </w:tcPr>
          <w:p>
            <w:pPr>
              <w:ind w:left="20"/>
              <w:spacing w:after="0"/>
              <w:rPr>
                <w:sz w:val="20"/>
                <w:szCs w:val="20"/>
                <w:color w:val="auto"/>
              </w:rPr>
            </w:pPr>
            <w:r>
              <w:rPr>
                <w:rFonts w:ascii="Arial" w:cs="Arial" w:eastAsia="Arial" w:hAnsi="Arial"/>
                <w:sz w:val="14"/>
                <w:szCs w:val="14"/>
                <w:b w:val="1"/>
                <w:bCs w:val="1"/>
                <w:color w:val="FFFFFF"/>
              </w:rPr>
              <w:t>Net Income Per Share</w:t>
            </w:r>
          </w:p>
        </w:tc>
        <w:tc>
          <w:tcPr>
            <w:tcW w:w="580" w:type="dxa"/>
            <w:vAlign w:val="bottom"/>
            <w:tcBorders>
              <w:bottom w:val="single" w:sz="8" w:color="0F2F50"/>
            </w:tcBorders>
            <w:shd w:val="clear" w:color="auto" w:fill="0F2F50"/>
          </w:tcPr>
          <w:p>
            <w:pPr>
              <w:spacing w:after="0"/>
              <w:rPr>
                <w:sz w:val="21"/>
                <w:szCs w:val="21"/>
                <w:color w:val="auto"/>
              </w:rPr>
            </w:pPr>
          </w:p>
        </w:tc>
      </w:tr>
      <w:tr>
        <w:trPr>
          <w:trHeight w:val="241"/>
        </w:trPr>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2025:</w:t>
            </w:r>
          </w:p>
        </w:tc>
        <w:tc>
          <w:tcPr>
            <w:tcW w:w="1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$1.81</w:t>
            </w:r>
          </w:p>
        </w:tc>
      </w:tr>
      <w:tr>
        <w:trPr>
          <w:trHeight w:val="216"/>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$0.32</w:t>
            </w:r>
          </w:p>
        </w:tc>
      </w:tr>
      <w:tr>
        <w:trPr>
          <w:trHeight w:val="29"/>
        </w:trPr>
        <w:tc>
          <w:tcPr>
            <w:tcW w:w="2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4"/>
        </w:trPr>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2025 (adjusted):</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$1.76</w:t>
            </w:r>
          </w:p>
        </w:tc>
      </w:tr>
      <w:tr>
        <w:trPr>
          <w:trHeight w:val="216"/>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(adjusted):</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$0.30</w:t>
            </w:r>
          </w:p>
        </w:tc>
      </w:tr>
      <w:tr>
        <w:trPr>
          <w:trHeight w:val="191"/>
        </w:trPr>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0"/>
        </w:trPr>
        <w:tc>
          <w:tcPr>
            <w:tcW w:w="240" w:type="dxa"/>
            <w:vAlign w:val="bottom"/>
            <w:tcBorders>
              <w:bottom w:val="single" w:sz="8" w:color="0F2F50"/>
            </w:tcBorders>
            <w:shd w:val="clear" w:color="auto" w:fill="0F2F50"/>
          </w:tcPr>
          <w:p>
            <w:pPr>
              <w:spacing w:after="0"/>
              <w:rPr>
                <w:sz w:val="21"/>
                <w:szCs w:val="21"/>
                <w:color w:val="auto"/>
              </w:rPr>
            </w:pPr>
          </w:p>
        </w:tc>
        <w:tc>
          <w:tcPr>
            <w:tcW w:w="340" w:type="dxa"/>
            <w:vAlign w:val="bottom"/>
            <w:tcBorders>
              <w:bottom w:val="single" w:sz="8" w:color="0F2F50"/>
            </w:tcBorders>
            <w:shd w:val="clear" w:color="auto" w:fill="0F2F50"/>
          </w:tcPr>
          <w:p>
            <w:pPr>
              <w:spacing w:after="0"/>
              <w:rPr>
                <w:sz w:val="21"/>
                <w:szCs w:val="21"/>
                <w:color w:val="auto"/>
              </w:rPr>
            </w:pPr>
          </w:p>
        </w:tc>
        <w:tc>
          <w:tcPr>
            <w:tcW w:w="1520" w:type="dxa"/>
            <w:vAlign w:val="bottom"/>
            <w:tcBorders>
              <w:bottom w:val="single" w:sz="8" w:color="0F2F50"/>
            </w:tcBorders>
            <w:shd w:val="clear" w:color="auto" w:fill="0F2F50"/>
          </w:tcPr>
          <w:p>
            <w:pPr>
              <w:ind w:left="180"/>
              <w:spacing w:after="0"/>
              <w:rPr>
                <w:sz w:val="20"/>
                <w:szCs w:val="20"/>
                <w:color w:val="auto"/>
              </w:rPr>
            </w:pPr>
            <w:r>
              <w:rPr>
                <w:rFonts w:ascii="Arial" w:cs="Arial" w:eastAsia="Arial" w:hAnsi="Arial"/>
                <w:sz w:val="14"/>
                <w:szCs w:val="14"/>
                <w:b w:val="1"/>
                <w:bCs w:val="1"/>
                <w:color w:val="FFFFFF"/>
              </w:rPr>
              <w:t>Return on Equity</w:t>
            </w:r>
          </w:p>
        </w:tc>
        <w:tc>
          <w:tcPr>
            <w:tcW w:w="580" w:type="dxa"/>
            <w:vAlign w:val="bottom"/>
            <w:tcBorders>
              <w:bottom w:val="single" w:sz="8" w:color="0F2F50"/>
            </w:tcBorders>
            <w:shd w:val="clear" w:color="auto" w:fill="0F2F50"/>
          </w:tcPr>
          <w:p>
            <w:pPr>
              <w:spacing w:after="0"/>
              <w:rPr>
                <w:sz w:val="21"/>
                <w:szCs w:val="21"/>
                <w:color w:val="auto"/>
              </w:rPr>
            </w:pPr>
          </w:p>
        </w:tc>
      </w:tr>
      <w:tr>
        <w:trPr>
          <w:trHeight w:val="241"/>
        </w:trPr>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2025 (NII):</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13.1%</w:t>
            </w:r>
          </w:p>
        </w:tc>
      </w:tr>
      <w:tr>
        <w:trPr>
          <w:trHeight w:val="216"/>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(NII):</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12.5%</w:t>
            </w:r>
          </w:p>
        </w:tc>
      </w:tr>
      <w:tr>
        <w:trPr>
          <w:trHeight w:val="29"/>
        </w:trPr>
        <w:tc>
          <w:tcPr>
            <w:tcW w:w="2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4"/>
        </w:trPr>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2025 (NI):</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r>
        <w:trPr>
          <w:trHeight w:val="216"/>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(NI):</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29"/>
        </w:trPr>
        <w:tc>
          <w:tcPr>
            <w:tcW w:w="2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5"/>
        </w:trPr>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2025 (Adj. NII):</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12.7%</w:t>
            </w:r>
          </w:p>
        </w:tc>
      </w:tr>
      <w:tr>
        <w:trPr>
          <w:trHeight w:val="216"/>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(Adj. NII):</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12.0%</w:t>
            </w:r>
          </w:p>
        </w:tc>
      </w:tr>
      <w:tr>
        <w:trPr>
          <w:trHeight w:val="29"/>
        </w:trPr>
        <w:tc>
          <w:tcPr>
            <w:tcW w:w="2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5"/>
        </w:trPr>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2025 (Adj. NI):</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10.3%</w:t>
            </w:r>
          </w:p>
        </w:tc>
      </w:tr>
      <w:tr>
        <w:trPr>
          <w:trHeight w:val="216"/>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(Adj. NI):</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r>
        <w:trPr>
          <w:trHeight w:val="191"/>
        </w:trPr>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0"/>
        </w:trPr>
        <w:tc>
          <w:tcPr>
            <w:tcW w:w="240" w:type="dxa"/>
            <w:vAlign w:val="bottom"/>
            <w:tcBorders>
              <w:bottom w:val="single" w:sz="8" w:color="0F2F50"/>
            </w:tcBorders>
            <w:shd w:val="clear" w:color="auto" w:fill="0F2F50"/>
          </w:tcPr>
          <w:p>
            <w:pPr>
              <w:spacing w:after="0"/>
              <w:rPr>
                <w:sz w:val="21"/>
                <w:szCs w:val="21"/>
                <w:color w:val="auto"/>
              </w:rPr>
            </w:pPr>
          </w:p>
        </w:tc>
        <w:tc>
          <w:tcPr>
            <w:tcW w:w="340" w:type="dxa"/>
            <w:vAlign w:val="bottom"/>
            <w:tcBorders>
              <w:bottom w:val="single" w:sz="8" w:color="0F2F50"/>
            </w:tcBorders>
            <w:shd w:val="clear" w:color="auto" w:fill="0F2F50"/>
          </w:tcPr>
          <w:p>
            <w:pPr>
              <w:spacing w:after="0"/>
              <w:rPr>
                <w:sz w:val="21"/>
                <w:szCs w:val="21"/>
                <w:color w:val="auto"/>
              </w:rPr>
            </w:pPr>
          </w:p>
        </w:tc>
        <w:tc>
          <w:tcPr>
            <w:tcW w:w="1520" w:type="dxa"/>
            <w:vAlign w:val="bottom"/>
            <w:tcBorders>
              <w:bottom w:val="single" w:sz="8" w:color="0F2F50"/>
            </w:tcBorders>
            <w:shd w:val="clear" w:color="auto" w:fill="0F2F50"/>
          </w:tcPr>
          <w:p>
            <w:pPr>
              <w:ind w:left="600"/>
              <w:spacing w:after="0"/>
              <w:rPr>
                <w:sz w:val="20"/>
                <w:szCs w:val="20"/>
                <w:color w:val="auto"/>
              </w:rPr>
            </w:pPr>
            <w:r>
              <w:rPr>
                <w:rFonts w:ascii="Arial" w:cs="Arial" w:eastAsia="Arial" w:hAnsi="Arial"/>
                <w:sz w:val="14"/>
                <w:szCs w:val="14"/>
                <w:b w:val="1"/>
                <w:bCs w:val="1"/>
                <w:color w:val="FFFFFF"/>
              </w:rPr>
              <w:t>NAV</w:t>
            </w:r>
          </w:p>
        </w:tc>
        <w:tc>
          <w:tcPr>
            <w:tcW w:w="580" w:type="dxa"/>
            <w:vAlign w:val="bottom"/>
            <w:tcBorders>
              <w:bottom w:val="single" w:sz="8" w:color="0F2F50"/>
            </w:tcBorders>
            <w:shd w:val="clear" w:color="auto" w:fill="0F2F50"/>
          </w:tcPr>
          <w:p>
            <w:pPr>
              <w:spacing w:after="0"/>
              <w:rPr>
                <w:sz w:val="21"/>
                <w:szCs w:val="21"/>
                <w:color w:val="auto"/>
              </w:rPr>
            </w:pPr>
          </w:p>
        </w:tc>
      </w:tr>
      <w:tr>
        <w:trPr>
          <w:trHeight w:val="241"/>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($MM):</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$1,607.7</w:t>
            </w:r>
          </w:p>
        </w:tc>
      </w:tr>
      <w:tr>
        <w:trPr>
          <w:trHeight w:val="29"/>
        </w:trPr>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5"/>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(per share):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$16.98</w:t>
            </w:r>
          </w:p>
        </w:tc>
      </w:tr>
      <w:tr>
        <w:trPr>
          <w:trHeight w:val="29"/>
        </w:trPr>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5"/>
        </w:trPr>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Q4</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2025</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(per share, adj):</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$16.97</w:t>
            </w:r>
          </w:p>
        </w:tc>
      </w:tr>
    </w:tbl>
    <w:p>
      <w:pPr>
        <w:spacing w:after="0" w:line="1" w:lineRule="exact"/>
        <w:rPr>
          <w:sz w:val="20"/>
          <w:szCs w:val="20"/>
          <w:color w:val="auto"/>
        </w:rPr>
      </w:pPr>
    </w:p>
    <w:p>
      <w:pPr>
        <w:sectPr>
          <w:pgSz w:w="11900" w:h="16838" w:orient="portrait"/>
          <w:cols w:equalWidth="0" w:num="2">
            <w:col w:w="8440" w:space="120"/>
            <w:col w:w="2680"/>
          </w:cols>
          <w:pgMar w:left="320" w:top="769" w:right="339" w:bottom="1440" w:gutter="0" w:footer="0" w:header="0"/>
          <w:type w:val="continuous"/>
        </w:sectPr>
      </w:pPr>
    </w:p>
    <w:p>
      <w:pPr>
        <w:jc w:val="both"/>
        <w:spacing w:after="0" w:line="238" w:lineRule="auto"/>
        <w:rPr>
          <w:sz w:val="20"/>
          <w:szCs w:val="20"/>
          <w:color w:val="auto"/>
        </w:rPr>
      </w:pPr>
      <w:r>
        <w:rPr>
          <w:rFonts w:ascii="Arial" w:cs="Arial" w:eastAsia="Arial" w:hAnsi="Arial"/>
          <w:sz w:val="18"/>
          <w:szCs w:val="18"/>
          <w:color w:val="auto"/>
        </w:rPr>
        <w:t>During Q4, affiliates of Sixth Street, including TSLX, formed Structured Credit Partners JV, LLC (“SCP”), a joint venture between TSLX, Sixth Street Lending Partners and two BDCs managed by Carlyle Group Inc. (“Carlyle”). SCP is focused on investing in broadly syndicated first lien senior secured loans, financed with long-term, non-mark-to-market, and predominantly investment grade rated CLO debt managed by affiliates of Sixth Street or Carlyle on a no fee basis. TSLX’s total commitment to the joint venture is $200 million. As of December 31, 2025, SCP had not commenced operations and no capital had been contributed to SCP.</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Dividends Declared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69735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7355" cy="17145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Q4 2025 (Base):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$0.46</w:t>
            </w:r>
          </w:p>
        </w:tc>
      </w:tr>
      <w:tr>
        <w:trPr>
          <w:trHeight w:val="29"/>
        </w:trPr>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5"/>
        </w:trPr>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(Base):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$1.84</w:t>
            </w:r>
          </w:p>
        </w:tc>
      </w:tr>
      <w:tr>
        <w:trPr>
          <w:trHeight w:val="29"/>
        </w:trPr>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5"/>
        </w:trPr>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(Supplemental):</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$0.21</w:t>
            </w:r>
          </w:p>
        </w:tc>
      </w:tr>
      <w:tr>
        <w:trPr>
          <w:trHeight w:val="29"/>
        </w:trPr>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5"/>
        </w:trPr>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$2.05</w:t>
            </w:r>
          </w:p>
        </w:tc>
      </w:tr>
    </w:tbl>
    <w:p>
      <w:pPr>
        <w:spacing w:after="0" w:line="200" w:lineRule="exact"/>
        <w:rPr>
          <w:sz w:val="20"/>
          <w:szCs w:val="20"/>
          <w:color w:val="auto"/>
        </w:rPr>
      </w:pPr>
    </w:p>
    <w:p>
      <w:pPr>
        <w:sectPr>
          <w:pgSz w:w="11900" w:h="16838" w:orient="portrait"/>
          <w:cols w:equalWidth="0" w:num="2">
            <w:col w:w="8440" w:space="120"/>
            <w:col w:w="2680"/>
          </w:cols>
          <w:pgMar w:left="320" w:top="769" w:right="339" w:bottom="1440" w:gutter="0" w:footer="0" w:header="0"/>
          <w:type w:val="continuous"/>
        </w:sectPr>
      </w:pPr>
    </w:p>
    <w:p>
      <w:pPr>
        <w:spacing w:after="0" w:line="33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 w:name="page5"/>
    <w:bookmarkEnd w:id="4"/>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year ended December 31, 2025, new investment commitments totaled $1,082.2 million. This compares to $1,242.9 million for the year ended December 31, 2024.</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year ended December 31, 2025, the principal amount of new investments funded was $894.0 million in 20 new portfolio companies, 16 existing portfolio companies and several structured credit investments. For this period, the Company had $1,196.1 million aggregate principal amount in exits and repayments.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2024, the principal amount of new investments funded was $838.9 million in 34 new portfolio companies and 21 existing portfolio companies. For this period, the Company had $793.7 million aggregate principal amount in exits and repayments.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quarter ended December 31, 2025, new investment commitments totaled $242.4 million. This compares to $387.7 million for the quarter ended September 30, 2025.</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quarter ended December 31, 2025, the principal amount of new investments funded was $196.7 million across five new portfolio companies and four upsizes to existing portfolio companies. For this period, the Company had $234.9 million aggregate principal amount in exits and repayments. For the quarter ended September 30, 2025, the principal amount of new investments funded was $351.8 million across four new portfolio companies, five upsizes to existing portfolio companies and several structured credit investments. For this period, the Company had $302.8 million aggregate principal amount in exits and repayments.</w:t>
      </w:r>
    </w:p>
    <w:p>
      <w:pPr>
        <w:spacing w:after="0" w:line="15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As of December 31, 2025 and September 30, 2025, the Company had investments in 143</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145</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portfolio companies, respectively, with an aggregate fair value of $3,347.3 million and $3,376.3 million, respectively. As of December 31, 2025, the average investment size in each portfolio company was $23.4</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million based on fair value.</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December 31, 2025, our portfolio based on fair value consisted of 89.2% first-lien debt investments, 0.9% second-lien debt investments, 1.8% mezzanine debt investments, 5.2% equity and other investments and 2.9% structured credit investments. As of September 30, 2025, the Company’s portfolio based on fair value consisted of 89.2% first-lien debt investments, 0.9% second-lien debt investments, 1.8% mezzanine debt investments, 5.2% equity investments and 2.9% structured credit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FFFFFF"/>
        </w:rPr>
        <w:t>2025 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185166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1660" cy="12890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tcPr>
          <w:p>
            <w:pPr>
              <w:ind w:left="20"/>
              <w:spacing w:after="0"/>
              <w:rPr>
                <w:sz w:val="20"/>
                <w:szCs w:val="20"/>
                <w:color w:val="auto"/>
              </w:rPr>
            </w:pPr>
            <w:r>
              <w:rPr>
                <w:rFonts w:ascii="Arial" w:cs="Arial" w:eastAsia="Arial" w:hAnsi="Arial"/>
                <w:sz w:val="15"/>
                <w:szCs w:val="15"/>
                <w:b w:val="1"/>
                <w:bCs w:val="1"/>
                <w:color w:val="auto"/>
              </w:rPr>
              <w:t>Commitments:</w:t>
            </w:r>
          </w:p>
        </w:tc>
        <w:tc>
          <w:tcPr>
            <w:tcW w:w="1320" w:type="dxa"/>
            <w:vAlign w:val="bottom"/>
          </w:tcPr>
          <w:p>
            <w:pPr>
              <w:jc w:val="center"/>
              <w:ind w:left="104"/>
              <w:spacing w:after="0"/>
              <w:rPr>
                <w:sz w:val="20"/>
                <w:szCs w:val="20"/>
                <w:color w:val="auto"/>
              </w:rPr>
            </w:pPr>
            <w:r>
              <w:rPr>
                <w:rFonts w:ascii="Arial" w:cs="Arial" w:eastAsia="Arial" w:hAnsi="Arial"/>
                <w:sz w:val="15"/>
                <w:szCs w:val="15"/>
                <w:b w:val="1"/>
                <w:bCs w:val="1"/>
                <w:color w:val="auto"/>
              </w:rPr>
              <w:t>$1,082.2MM</w:t>
            </w:r>
          </w:p>
        </w:tc>
      </w:tr>
      <w:tr>
        <w:trPr>
          <w:trHeight w:val="203"/>
        </w:trPr>
        <w:tc>
          <w:tcPr>
            <w:tcW w:w="1600" w:type="dxa"/>
            <w:vAlign w:val="bottom"/>
          </w:tcPr>
          <w:p>
            <w:pPr>
              <w:ind w:left="20"/>
              <w:spacing w:after="0"/>
              <w:rPr>
                <w:sz w:val="20"/>
                <w:szCs w:val="20"/>
                <w:color w:val="auto"/>
              </w:rPr>
            </w:pPr>
            <w:r>
              <w:rPr>
                <w:rFonts w:ascii="Arial" w:cs="Arial" w:eastAsia="Arial" w:hAnsi="Arial"/>
                <w:sz w:val="15"/>
                <w:szCs w:val="15"/>
                <w:b w:val="1"/>
                <w:bCs w:val="1"/>
                <w:color w:val="auto"/>
              </w:rPr>
              <w:t>Fundings:</w:t>
            </w:r>
          </w:p>
        </w:tc>
        <w:tc>
          <w:tcPr>
            <w:tcW w:w="1320" w:type="dxa"/>
            <w:vAlign w:val="bottom"/>
          </w:tcPr>
          <w:p>
            <w:pPr>
              <w:jc w:val="center"/>
              <w:ind w:left="124"/>
              <w:spacing w:after="0"/>
              <w:rPr>
                <w:sz w:val="20"/>
                <w:szCs w:val="20"/>
                <w:color w:val="auto"/>
              </w:rPr>
            </w:pPr>
            <w:r>
              <w:rPr>
                <w:rFonts w:ascii="Arial" w:cs="Arial" w:eastAsia="Arial" w:hAnsi="Arial"/>
                <w:sz w:val="15"/>
                <w:szCs w:val="15"/>
                <w:b w:val="1"/>
                <w:bCs w:val="1"/>
                <w:color w:val="auto"/>
              </w:rPr>
              <w:t>$894.0MM</w:t>
            </w:r>
          </w:p>
        </w:tc>
      </w:tr>
      <w:tr>
        <w:trPr>
          <w:trHeight w:val="208"/>
        </w:trPr>
        <w:tc>
          <w:tcPr>
            <w:tcW w:w="1600" w:type="dxa"/>
            <w:vAlign w:val="bottom"/>
          </w:tcPr>
          <w:p>
            <w:pPr>
              <w:ind w:left="20"/>
              <w:spacing w:after="0"/>
              <w:rPr>
                <w:sz w:val="20"/>
                <w:szCs w:val="20"/>
                <w:color w:val="auto"/>
              </w:rPr>
            </w:pPr>
            <w:r>
              <w:rPr>
                <w:rFonts w:ascii="Arial" w:cs="Arial" w:eastAsia="Arial" w:hAnsi="Arial"/>
                <w:sz w:val="15"/>
                <w:szCs w:val="15"/>
                <w:b w:val="1"/>
                <w:bCs w:val="1"/>
                <w:color w:val="auto"/>
              </w:rPr>
              <w:t>Net Repayments:</w:t>
            </w:r>
          </w:p>
        </w:tc>
        <w:tc>
          <w:tcPr>
            <w:tcW w:w="1320" w:type="dxa"/>
            <w:vAlign w:val="bottom"/>
          </w:tcPr>
          <w:p>
            <w:pPr>
              <w:jc w:val="center"/>
              <w:ind w:left="124"/>
              <w:spacing w:after="0"/>
              <w:rPr>
                <w:sz w:val="20"/>
                <w:szCs w:val="20"/>
                <w:color w:val="auto"/>
              </w:rPr>
            </w:pPr>
            <w:r>
              <w:rPr>
                <w:rFonts w:ascii="Arial" w:cs="Arial" w:eastAsia="Arial" w:hAnsi="Arial"/>
                <w:sz w:val="15"/>
                <w:szCs w:val="15"/>
                <w:b w:val="1"/>
                <w:bCs w:val="1"/>
                <w:color w:val="auto"/>
              </w:rPr>
              <w:t>$302.1MM</w:t>
            </w:r>
          </w:p>
        </w:tc>
      </w:tr>
      <w:tr>
        <w:trPr>
          <w:trHeight w:val="203"/>
        </w:trPr>
        <w:tc>
          <w:tcPr>
            <w:tcW w:w="2920" w:type="dxa"/>
            <w:vAlign w:val="bottom"/>
            <w:gridSpan w:val="2"/>
            <w:shd w:val="clear" w:color="auto" w:fill="0F2F50"/>
          </w:tcPr>
          <w:p>
            <w:pPr>
              <w:ind w:left="440"/>
              <w:spacing w:after="0"/>
              <w:rPr>
                <w:sz w:val="20"/>
                <w:szCs w:val="20"/>
                <w:color w:val="auto"/>
              </w:rPr>
            </w:pPr>
            <w:r>
              <w:rPr>
                <w:rFonts w:ascii="Arial" w:cs="Arial" w:eastAsia="Arial" w:hAnsi="Arial"/>
                <w:sz w:val="15"/>
                <w:szCs w:val="15"/>
                <w:b w:val="1"/>
                <w:bCs w:val="1"/>
                <w:color w:val="FFFFFF"/>
              </w:rPr>
              <w:t>Q4 2025 Origination Activity</w:t>
            </w:r>
          </w:p>
        </w:tc>
      </w:tr>
      <w:tr>
        <w:trPr>
          <w:trHeight w:val="197"/>
        </w:trPr>
        <w:tc>
          <w:tcPr>
            <w:tcW w:w="1600" w:type="dxa"/>
            <w:vAlign w:val="bottom"/>
          </w:tcPr>
          <w:p>
            <w:pPr>
              <w:ind w:left="20"/>
              <w:spacing w:after="0"/>
              <w:rPr>
                <w:sz w:val="20"/>
                <w:szCs w:val="20"/>
                <w:color w:val="auto"/>
              </w:rPr>
            </w:pPr>
            <w:r>
              <w:rPr>
                <w:rFonts w:ascii="Arial" w:cs="Arial" w:eastAsia="Arial" w:hAnsi="Arial"/>
                <w:sz w:val="15"/>
                <w:szCs w:val="15"/>
                <w:b w:val="1"/>
                <w:bCs w:val="1"/>
                <w:color w:val="auto"/>
              </w:rPr>
              <w:t>Commitments:</w:t>
            </w:r>
          </w:p>
        </w:tc>
        <w:tc>
          <w:tcPr>
            <w:tcW w:w="1320" w:type="dxa"/>
            <w:vAlign w:val="bottom"/>
          </w:tcPr>
          <w:p>
            <w:pPr>
              <w:jc w:val="center"/>
              <w:ind w:left="124"/>
              <w:spacing w:after="0"/>
              <w:rPr>
                <w:sz w:val="20"/>
                <w:szCs w:val="20"/>
                <w:color w:val="auto"/>
              </w:rPr>
            </w:pPr>
            <w:r>
              <w:rPr>
                <w:rFonts w:ascii="Arial" w:cs="Arial" w:eastAsia="Arial" w:hAnsi="Arial"/>
                <w:sz w:val="15"/>
                <w:szCs w:val="15"/>
                <w:b w:val="1"/>
                <w:bCs w:val="1"/>
                <w:color w:val="auto"/>
              </w:rPr>
              <w:t>$242.4MM</w:t>
            </w:r>
          </w:p>
        </w:tc>
      </w:tr>
      <w:tr>
        <w:trPr>
          <w:trHeight w:val="203"/>
        </w:trPr>
        <w:tc>
          <w:tcPr>
            <w:tcW w:w="1600" w:type="dxa"/>
            <w:vAlign w:val="bottom"/>
          </w:tcPr>
          <w:p>
            <w:pPr>
              <w:ind w:left="20"/>
              <w:spacing w:after="0"/>
              <w:rPr>
                <w:sz w:val="20"/>
                <w:szCs w:val="20"/>
                <w:color w:val="auto"/>
              </w:rPr>
            </w:pPr>
            <w:r>
              <w:rPr>
                <w:rFonts w:ascii="Arial" w:cs="Arial" w:eastAsia="Arial" w:hAnsi="Arial"/>
                <w:sz w:val="15"/>
                <w:szCs w:val="15"/>
                <w:b w:val="1"/>
                <w:bCs w:val="1"/>
                <w:color w:val="auto"/>
              </w:rPr>
              <w:t>Fundings:</w:t>
            </w:r>
          </w:p>
        </w:tc>
        <w:tc>
          <w:tcPr>
            <w:tcW w:w="1320" w:type="dxa"/>
            <w:vAlign w:val="bottom"/>
          </w:tcPr>
          <w:p>
            <w:pPr>
              <w:jc w:val="center"/>
              <w:ind w:left="124"/>
              <w:spacing w:after="0"/>
              <w:rPr>
                <w:sz w:val="20"/>
                <w:szCs w:val="20"/>
                <w:color w:val="auto"/>
              </w:rPr>
            </w:pPr>
            <w:r>
              <w:rPr>
                <w:rFonts w:ascii="Arial" w:cs="Arial" w:eastAsia="Arial" w:hAnsi="Arial"/>
                <w:sz w:val="15"/>
                <w:szCs w:val="15"/>
                <w:b w:val="1"/>
                <w:bCs w:val="1"/>
                <w:color w:val="auto"/>
              </w:rPr>
              <w:t>$196.7MM</w:t>
            </w:r>
          </w:p>
        </w:tc>
      </w:tr>
      <w:tr>
        <w:trPr>
          <w:trHeight w:val="197"/>
        </w:trPr>
        <w:tc>
          <w:tcPr>
            <w:tcW w:w="1600" w:type="dxa"/>
            <w:vAlign w:val="bottom"/>
          </w:tcPr>
          <w:p>
            <w:pPr>
              <w:ind w:left="20"/>
              <w:spacing w:after="0"/>
              <w:rPr>
                <w:sz w:val="20"/>
                <w:szCs w:val="20"/>
                <w:color w:val="auto"/>
              </w:rPr>
            </w:pPr>
            <w:r>
              <w:rPr>
                <w:rFonts w:ascii="Arial" w:cs="Arial" w:eastAsia="Arial" w:hAnsi="Arial"/>
                <w:sz w:val="15"/>
                <w:szCs w:val="15"/>
                <w:b w:val="1"/>
                <w:bCs w:val="1"/>
                <w:color w:val="auto"/>
              </w:rPr>
              <w:t>Net Repayments:</w:t>
            </w:r>
          </w:p>
        </w:tc>
        <w:tc>
          <w:tcPr>
            <w:tcW w:w="1320" w:type="dxa"/>
            <w:vAlign w:val="bottom"/>
          </w:tcPr>
          <w:p>
            <w:pPr>
              <w:jc w:val="center"/>
              <w:ind w:left="124"/>
              <w:spacing w:after="0"/>
              <w:rPr>
                <w:sz w:val="20"/>
                <w:szCs w:val="20"/>
                <w:color w:val="auto"/>
              </w:rPr>
            </w:pPr>
            <w:r>
              <w:rPr>
                <w:rFonts w:ascii="Arial" w:cs="Arial" w:eastAsia="Arial" w:hAnsi="Arial"/>
                <w:sz w:val="15"/>
                <w:szCs w:val="15"/>
                <w:b w:val="1"/>
                <w:bCs w:val="1"/>
                <w:color w:val="auto"/>
              </w:rPr>
              <w:t>$38.2MM</w:t>
            </w:r>
          </w:p>
        </w:tc>
      </w:tr>
    </w:tbl>
    <w:p>
      <w:pPr>
        <w:jc w:val="center"/>
        <w:spacing w:after="0" w:line="234" w:lineRule="auto"/>
        <w:rPr>
          <w:sz w:val="20"/>
          <w:szCs w:val="20"/>
          <w:color w:val="auto"/>
        </w:rPr>
      </w:pPr>
      <w:r>
        <w:rPr>
          <w:rFonts w:ascii="Arial" w:cs="Arial" w:eastAsia="Arial" w:hAnsi="Arial"/>
          <w:sz w:val="15"/>
          <w:szCs w:val="15"/>
          <w:b w:val="1"/>
          <w:bCs w:val="1"/>
          <w:color w:val="FFFFFF"/>
        </w:rPr>
        <w:t>Average Investment Size</w:t>
      </w:r>
      <w:r>
        <w:rPr>
          <w:rFonts w:ascii="Arial" w:cs="Arial" w:eastAsia="Arial" w:hAnsi="Arial"/>
          <w:sz w:val="20"/>
          <w:szCs w:val="20"/>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185166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1660" cy="1282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b w:val="1"/>
          <w:bCs w:val="1"/>
          <w:color w:val="auto"/>
        </w:rPr>
        <w:t>$23.4MM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(0.7% of the portfolio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185166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12890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1021080</wp:posOffset>
            </wp:positionV>
            <wp:extent cx="185166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FFFFFF"/>
        </w:rPr>
        <w:t>Floating Rate Debt Investments</w:t>
      </w:r>
      <w:r>
        <w:rPr>
          <w:rFonts w:ascii="Arial" w:cs="Arial" w:eastAsia="Arial" w:hAnsi="Arial"/>
          <w:sz w:val="20"/>
          <w:szCs w:val="20"/>
          <w:b w:val="1"/>
          <w:bCs w:val="1"/>
          <w:color w:val="FFFFFF"/>
          <w:vertAlign w:val="superscript"/>
        </w:rPr>
        <w:t>3</w:t>
      </w:r>
    </w:p>
    <w:p>
      <w:pPr>
        <w:jc w:val="center"/>
        <w:spacing w:after="0"/>
        <w:rPr>
          <w:sz w:val="20"/>
          <w:szCs w:val="20"/>
          <w:color w:val="auto"/>
        </w:rPr>
      </w:pPr>
      <w:r>
        <w:rPr>
          <w:rFonts w:ascii="Arial" w:cs="Arial" w:eastAsia="Arial" w:hAnsi="Arial"/>
          <w:sz w:val="15"/>
          <w:szCs w:val="15"/>
          <w:b w:val="1"/>
          <w:bCs w:val="1"/>
          <w:color w:val="FFFFFF"/>
        </w:rPr>
        <w:t>(% FV)</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96.3%</w:t>
      </w:r>
    </w:p>
    <w:p>
      <w:pPr>
        <w:spacing w:after="0" w:line="840" w:lineRule="exact"/>
        <w:rPr>
          <w:sz w:val="20"/>
          <w:szCs w:val="20"/>
          <w:color w:val="auto"/>
        </w:rPr>
      </w:pPr>
    </w:p>
    <w:p>
      <w:pPr>
        <w:sectPr>
          <w:pgSz w:w="11900" w:h="16838" w:orient="portrait"/>
          <w:cols w:equalWidth="0" w:num="2">
            <w:col w:w="8200" w:space="120"/>
            <w:col w:w="2920"/>
          </w:cols>
          <w:pgMar w:left="320" w:top="1440" w:right="339" w:bottom="1440" w:gutter="0" w:footer="0" w:header="0"/>
        </w:sectPr>
      </w:pPr>
    </w:p>
    <w:p>
      <w:pPr>
        <w:spacing w:after="0" w:line="8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As of December 31, 2025, 96.3% of debt investments</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the period ended December 31, 2025 and September 30, 2025, the weighted average total yield of debt and income-producing securities at fair value (which includes interest income and amortization of fees and discounts) was 11.1% and 11.4%, respectively, and the weighted average total yield of debt and income-producing securities at amortized cost (which includes interest income and amortization of fees and discounts) was 11.3% and 11.7%, respectively.</w:t>
      </w:r>
    </w:p>
    <w:p>
      <w:pPr>
        <w:spacing w:after="0" w:line="16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One new investment, representing 0.01% of the portfolio by fair value, was added to non-accrual status during the quarter. As of December 31, 2025, non-accrual investments represented 0.6%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912495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right="180" w:hanging="203"/>
        <w:spacing w:after="0" w:line="245" w:lineRule="auto"/>
        <w:rPr>
          <w:sz w:val="20"/>
          <w:szCs w:val="20"/>
          <w:color w:val="auto"/>
        </w:rPr>
      </w:pPr>
      <w:r>
        <w:rPr>
          <w:rFonts w:ascii="Arial" w:cs="Arial" w:eastAsia="Arial" w:hAnsi="Arial"/>
          <w:sz w:val="15"/>
          <w:szCs w:val="15"/>
          <w:b w:val="1"/>
          <w:bCs w:val="1"/>
          <w:color w:val="FFFFFF"/>
        </w:rPr>
        <w:t>Weighted Average Yield of Debt and Incoming-Producing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-210820</wp:posOffset>
            </wp:positionV>
            <wp:extent cx="185166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166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Yield at Fair Value:</w:t>
            </w: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11.1%</w:t>
            </w:r>
          </w:p>
        </w:tc>
      </w:tr>
      <w:tr>
        <w:trPr>
          <w:trHeight w:val="204"/>
        </w:trPr>
        <w:tc>
          <w:tcPr>
            <w:tcW w:w="1960" w:type="dxa"/>
            <w:vAlign w:val="bottom"/>
          </w:tcPr>
          <w:p>
            <w:pPr>
              <w:ind w:left="20"/>
              <w:spacing w:after="0"/>
              <w:rPr>
                <w:sz w:val="20"/>
                <w:szCs w:val="20"/>
                <w:color w:val="auto"/>
              </w:rPr>
            </w:pPr>
            <w:r>
              <w:rPr>
                <w:rFonts w:ascii="Arial" w:cs="Arial" w:eastAsia="Arial" w:hAnsi="Arial"/>
                <w:sz w:val="15"/>
                <w:szCs w:val="15"/>
                <w:b w:val="1"/>
                <w:bCs w:val="1"/>
                <w:color w:val="auto"/>
              </w:rPr>
              <w:t>Yield at Amortized Cost:</w:t>
            </w:r>
          </w:p>
        </w:tc>
        <w:tc>
          <w:tcPr>
            <w:tcW w:w="960" w:type="dxa"/>
            <w:vAlign w:val="bottom"/>
          </w:tcPr>
          <w:p>
            <w:pPr>
              <w:jc w:val="right"/>
              <w:ind w:right="264"/>
              <w:spacing w:after="0"/>
              <w:rPr>
                <w:sz w:val="20"/>
                <w:szCs w:val="20"/>
                <w:color w:val="auto"/>
              </w:rPr>
            </w:pPr>
            <w:r>
              <w:rPr>
                <w:rFonts w:ascii="Arial" w:cs="Arial" w:eastAsia="Arial" w:hAnsi="Arial"/>
                <w:sz w:val="15"/>
                <w:szCs w:val="15"/>
                <w:b w:val="1"/>
                <w:bCs w:val="1"/>
                <w:color w:val="auto"/>
              </w:rPr>
              <w:t>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60" w:right="20" w:hanging="57"/>
        <w:spacing w:after="0" w:line="262" w:lineRule="auto"/>
        <w:rPr>
          <w:sz w:val="20"/>
          <w:szCs w:val="20"/>
          <w:color w:val="auto"/>
        </w:rPr>
      </w:pPr>
      <w:r>
        <w:rPr>
          <w:rFonts w:ascii="Times New Roman" w:cs="Times New Roman" w:eastAsia="Times New Roman" w:hAnsi="Times New Roman"/>
          <w:sz w:val="14"/>
          <w:szCs w:val="14"/>
          <w:color w:val="auto"/>
        </w:rPr>
        <w:t>1</w:t>
      </w:r>
      <w:r>
        <w:rPr>
          <w:rFonts w:ascii="Arial" w:cs="Arial" w:eastAsia="Arial" w:hAnsi="Arial"/>
          <w:sz w:val="14"/>
          <w:szCs w:val="14"/>
          <w:color w:val="auto"/>
        </w:rPr>
        <w:t>As</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of December 31, 2025, includes 36</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structured credit investments with a total fair value of $97.9 million.</w:t>
      </w:r>
    </w:p>
    <w:p>
      <w:pPr>
        <w:spacing w:after="0" w:line="65" w:lineRule="exact"/>
        <w:rPr>
          <w:sz w:val="20"/>
          <w:szCs w:val="20"/>
          <w:color w:val="auto"/>
        </w:rPr>
      </w:pPr>
    </w:p>
    <w:p>
      <w:pPr>
        <w:jc w:val="both"/>
        <w:ind w:left="60" w:right="20" w:hanging="57"/>
        <w:spacing w:after="0" w:line="262" w:lineRule="auto"/>
        <w:rPr>
          <w:sz w:val="20"/>
          <w:szCs w:val="20"/>
          <w:color w:val="auto"/>
        </w:rPr>
      </w:pPr>
      <w:r>
        <w:rPr>
          <w:rFonts w:ascii="Times New Roman" w:cs="Times New Roman" w:eastAsia="Times New Roman" w:hAnsi="Times New Roman"/>
          <w:sz w:val="14"/>
          <w:szCs w:val="14"/>
          <w:color w:val="auto"/>
        </w:rPr>
        <w:t>2</w:t>
      </w:r>
      <w:r>
        <w:rPr>
          <w:rFonts w:ascii="Arial" w:cs="Arial" w:eastAsia="Arial" w:hAnsi="Arial"/>
          <w:sz w:val="14"/>
          <w:szCs w:val="14"/>
          <w:color w:val="auto"/>
        </w:rPr>
        <w:t>As</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of September 30, 2025, includes 37</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structured credit investments with a total fair value of $99.3 million.</w:t>
      </w:r>
    </w:p>
    <w:p>
      <w:pPr>
        <w:spacing w:after="0" w:line="65" w:lineRule="exact"/>
        <w:rPr>
          <w:sz w:val="20"/>
          <w:szCs w:val="20"/>
          <w:color w:val="auto"/>
        </w:rPr>
      </w:pPr>
    </w:p>
    <w:p>
      <w:pPr>
        <w:jc w:val="both"/>
        <w:ind w:left="80" w:right="20" w:hanging="80"/>
        <w:spacing w:after="0" w:line="283" w:lineRule="auto"/>
        <w:rPr>
          <w:sz w:val="20"/>
          <w:szCs w:val="20"/>
          <w:color w:val="auto"/>
        </w:rPr>
      </w:pPr>
      <w:r>
        <w:rPr>
          <w:rFonts w:ascii="Times New Roman" w:cs="Times New Roman" w:eastAsia="Times New Roman" w:hAnsi="Times New Roman"/>
          <w:sz w:val="14"/>
          <w:szCs w:val="14"/>
          <w:color w:val="auto"/>
        </w:rPr>
        <w:t>3.</w:t>
      </w:r>
      <w:r>
        <w:rPr>
          <w:rFonts w:ascii="Arial" w:cs="Arial" w:eastAsia="Arial" w:hAnsi="Arial"/>
          <w:sz w:val="14"/>
          <w:szCs w:val="14"/>
          <w:color w:val="auto"/>
        </w:rPr>
        <w:t>Calculation includes income earning debt</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investments only.</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8200" w:space="120"/>
            <w:col w:w="2920"/>
          </w:cols>
          <w:pgMar w:left="320" w:top="1440" w:right="339" w:bottom="1440" w:gutter="0" w:footer="0" w:header="0"/>
          <w:type w:val="continuous"/>
        </w:sectPr>
      </w:pPr>
    </w:p>
    <w:bookmarkStart w:id="5" w:name="page6"/>
    <w:bookmarkEnd w:id="5"/>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auto"/>
        </w:rPr>
        <w:t>RESULTS OF OPERATIONS FOR THE FULL YEAR AND THREE MONTHS ENDED DECEMBER 31, 2025</w:t>
      </w:r>
    </w:p>
    <w:p>
      <w:pPr>
        <w:sectPr>
          <w:pgSz w:w="11900" w:h="16838" w:orient="portrait"/>
          <w:cols w:equalWidth="0" w:num="1">
            <w:col w:w="11240"/>
          </w:cols>
          <w:pgMar w:left="320" w:top="1440" w:right="3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Year</w:t>
      </w:r>
    </w:p>
    <w:p>
      <w:pPr>
        <w:spacing w:after="0" w:line="2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years ended December 31, 2025 and 2024, investment income totaled $449.1 million and $482.5 million, respectively. The decrease in investment income was primarily the result of a decrease in reference rates for the year ended December 31, 2025 compared to 2024.</w:t>
      </w:r>
    </w:p>
    <w:p>
      <w:pPr>
        <w:spacing w:after="0" w:line="15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Net expenses totaled $233.7 million and $258.6 million for the years ended December 31, 2025 and 2024, respectively. The decrease in net expenses was primarily due to a decrease in the average interest rate on our debt outstanding. The average interest rate on our debt outstanding decreased from 7.5% for the year ended December 31, 2024 to 6.2% for the year ended December 31, 2025 due to a change in SOFR rates and the mix of our debt financing 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3"/>
        </w:trPr>
        <w:tc>
          <w:tcPr>
            <w:tcW w:w="20" w:type="dxa"/>
            <w:vAlign w:val="bottom"/>
          </w:tcPr>
          <w:p>
            <w:pPr>
              <w:spacing w:after="0"/>
              <w:rPr>
                <w:sz w:val="24"/>
                <w:szCs w:val="24"/>
                <w:color w:val="auto"/>
              </w:rPr>
            </w:pPr>
          </w:p>
        </w:tc>
        <w:tc>
          <w:tcPr>
            <w:tcW w:w="1440" w:type="dxa"/>
            <w:vAlign w:val="bottom"/>
            <w:shd w:val="clear" w:color="auto" w:fill="0F2F50"/>
          </w:tcPr>
          <w:p>
            <w:pPr>
              <w:spacing w:after="0"/>
              <w:rPr>
                <w:sz w:val="24"/>
                <w:szCs w:val="24"/>
                <w:color w:val="auto"/>
              </w:rPr>
            </w:pPr>
          </w:p>
        </w:tc>
        <w:tc>
          <w:tcPr>
            <w:tcW w:w="1900" w:type="dxa"/>
            <w:vAlign w:val="bottom"/>
            <w:shd w:val="clear" w:color="auto" w:fill="0F2F50"/>
          </w:tcPr>
          <w:p>
            <w:pPr>
              <w:jc w:val="right"/>
              <w:ind w:right="1444"/>
              <w:spacing w:after="0"/>
              <w:rPr>
                <w:sz w:val="20"/>
                <w:szCs w:val="20"/>
                <w:color w:val="auto"/>
              </w:rPr>
            </w:pPr>
            <w:r>
              <w:rPr>
                <w:rFonts w:ascii="Arial" w:cs="Arial" w:eastAsia="Arial" w:hAnsi="Arial"/>
                <w:sz w:val="15"/>
                <w:szCs w:val="15"/>
                <w:b w:val="1"/>
                <w:bCs w:val="1"/>
                <w:color w:val="FFFFFF"/>
              </w:rPr>
              <w:t>2025</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440" w:type="dxa"/>
            <w:vAlign w:val="bottom"/>
            <w:shd w:val="clear" w:color="auto" w:fill="0F2F50"/>
          </w:tcPr>
          <w:p>
            <w:pPr>
              <w:spacing w:after="0"/>
              <w:rPr>
                <w:sz w:val="8"/>
                <w:szCs w:val="8"/>
                <w:color w:val="auto"/>
              </w:rPr>
            </w:pPr>
          </w:p>
        </w:tc>
        <w:tc>
          <w:tcPr>
            <w:tcW w:w="1900" w:type="dxa"/>
            <w:vAlign w:val="bottom"/>
            <w:shd w:val="clear" w:color="auto" w:fill="0F2F50"/>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440" w:type="dxa"/>
            <w:vAlign w:val="bottom"/>
          </w:tcPr>
          <w:p>
            <w:pPr>
              <w:spacing w:after="0"/>
              <w:rPr>
                <w:sz w:val="20"/>
                <w:szCs w:val="20"/>
                <w:color w:val="auto"/>
              </w:rPr>
            </w:pPr>
            <w:r>
              <w:rPr>
                <w:rFonts w:ascii="Arial" w:cs="Arial" w:eastAsia="Arial" w:hAnsi="Arial"/>
                <w:sz w:val="15"/>
                <w:szCs w:val="15"/>
                <w:b w:val="1"/>
                <w:bCs w:val="1"/>
                <w:color w:val="auto"/>
              </w:rPr>
              <w:t>Investment Income:</w:t>
            </w:r>
          </w:p>
        </w:tc>
        <w:tc>
          <w:tcPr>
            <w:tcW w:w="1900" w:type="dxa"/>
            <w:vAlign w:val="bottom"/>
          </w:tcPr>
          <w:p>
            <w:pPr>
              <w:ind w:left="1080"/>
              <w:spacing w:after="0"/>
              <w:rPr>
                <w:sz w:val="20"/>
                <w:szCs w:val="20"/>
                <w:color w:val="auto"/>
              </w:rPr>
            </w:pPr>
            <w:r>
              <w:rPr>
                <w:rFonts w:ascii="Arial" w:cs="Arial" w:eastAsia="Arial" w:hAnsi="Arial"/>
                <w:sz w:val="15"/>
                <w:szCs w:val="15"/>
                <w:b w:val="1"/>
                <w:bCs w:val="1"/>
                <w:color w:val="auto"/>
              </w:rPr>
              <w:t>$449.1MM</w:t>
            </w:r>
          </w:p>
        </w:tc>
        <w:tc>
          <w:tcPr>
            <w:tcW w:w="0" w:type="dxa"/>
            <w:vAlign w:val="bottom"/>
          </w:tcPr>
          <w:p>
            <w:pPr>
              <w:spacing w:after="0"/>
              <w:rPr>
                <w:sz w:val="1"/>
                <w:szCs w:val="1"/>
                <w:color w:val="auto"/>
              </w:rPr>
            </w:pPr>
          </w:p>
        </w:tc>
      </w:tr>
      <w:tr>
        <w:trPr>
          <w:trHeight w:val="210"/>
        </w:trPr>
        <w:tc>
          <w:tcPr>
            <w:tcW w:w="1460" w:type="dxa"/>
            <w:vAlign w:val="bottom"/>
            <w:gridSpan w:val="2"/>
          </w:tcPr>
          <w:p>
            <w:pPr>
              <w:spacing w:after="0"/>
              <w:rPr>
                <w:sz w:val="20"/>
                <w:szCs w:val="20"/>
                <w:color w:val="auto"/>
              </w:rPr>
            </w:pPr>
            <w:r>
              <w:rPr>
                <w:rFonts w:ascii="Arial" w:cs="Arial" w:eastAsia="Arial" w:hAnsi="Arial"/>
                <w:sz w:val="15"/>
                <w:szCs w:val="15"/>
                <w:b w:val="1"/>
                <w:bCs w:val="1"/>
                <w:color w:val="auto"/>
              </w:rPr>
              <w:t>Net Expenses:</w:t>
            </w:r>
          </w:p>
        </w:tc>
        <w:tc>
          <w:tcPr>
            <w:tcW w:w="1900" w:type="dxa"/>
            <w:vAlign w:val="bottom"/>
          </w:tcPr>
          <w:p>
            <w:pPr>
              <w:ind w:left="1080"/>
              <w:spacing w:after="0"/>
              <w:rPr>
                <w:sz w:val="20"/>
                <w:szCs w:val="20"/>
                <w:color w:val="auto"/>
              </w:rPr>
            </w:pPr>
            <w:r>
              <w:rPr>
                <w:rFonts w:ascii="Arial" w:cs="Arial" w:eastAsia="Arial" w:hAnsi="Arial"/>
                <w:sz w:val="15"/>
                <w:szCs w:val="15"/>
                <w:b w:val="1"/>
                <w:bCs w:val="1"/>
                <w:color w:val="auto"/>
              </w:rPr>
              <w:t>$233.7MM</w:t>
            </w:r>
          </w:p>
        </w:tc>
        <w:tc>
          <w:tcPr>
            <w:tcW w:w="0" w:type="dxa"/>
            <w:vAlign w:val="bottom"/>
          </w:tcPr>
          <w:p>
            <w:pPr>
              <w:spacing w:after="0"/>
              <w:rPr>
                <w:sz w:val="1"/>
                <w:szCs w:val="1"/>
                <w:color w:val="auto"/>
              </w:rPr>
            </w:pPr>
          </w:p>
        </w:tc>
      </w:tr>
    </w:tbl>
    <w:p>
      <w:pPr>
        <w:spacing w:after="0" w:line="1447" w:lineRule="exact"/>
        <w:rPr>
          <w:sz w:val="20"/>
          <w:szCs w:val="20"/>
          <w:color w:val="auto"/>
        </w:rPr>
      </w:pPr>
    </w:p>
    <w:p>
      <w:pPr>
        <w:sectPr>
          <w:pgSz w:w="11900" w:h="16838" w:orient="portrait"/>
          <w:cols w:equalWidth="0" w:num="2">
            <w:col w:w="7740" w:space="140"/>
            <w:col w:w="336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Fourth Quarter</w:t>
      </w:r>
    </w:p>
    <w:p>
      <w:pPr>
        <w:spacing w:after="0" w:line="2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three months ended December 31, 2025 and 2024, total investment income was $108.2 million and $123.7 million, respectively. The decrease in total investment income was primarily from a decrease in total interest from investments and other income.</w:t>
      </w:r>
    </w:p>
    <w:p>
      <w:pPr>
        <w:spacing w:after="0" w:line="6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Net expenses totaled $56.4 million and $64.9 million for the three months ended December 31, 2025 and 2024, respectively. The decrease in expenses was primarily driven a decrease in the average interest rate on our debt outstanding.</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200" w:type="dxa"/>
            <w:vAlign w:val="bottom"/>
            <w:shd w:val="clear" w:color="auto" w:fill="0F2F50"/>
          </w:tcPr>
          <w:p>
            <w:pPr>
              <w:ind w:left="1360"/>
              <w:spacing w:after="0"/>
              <w:rPr>
                <w:sz w:val="20"/>
                <w:szCs w:val="20"/>
                <w:color w:val="auto"/>
              </w:rPr>
            </w:pPr>
            <w:r>
              <w:rPr>
                <w:rFonts w:ascii="Arial" w:cs="Arial" w:eastAsia="Arial" w:hAnsi="Arial"/>
                <w:sz w:val="15"/>
                <w:szCs w:val="15"/>
                <w:b w:val="1"/>
                <w:bCs w:val="1"/>
                <w:color w:val="FFFFFF"/>
              </w:rPr>
              <w:t>Q4 2025</w:t>
            </w:r>
          </w:p>
        </w:tc>
        <w:tc>
          <w:tcPr>
            <w:tcW w:w="1140" w:type="dxa"/>
            <w:vAlign w:val="bottom"/>
            <w:shd w:val="clear" w:color="auto" w:fill="0F2F50"/>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200" w:type="dxa"/>
            <w:vAlign w:val="bottom"/>
            <w:shd w:val="clear" w:color="auto" w:fill="0F2F50"/>
          </w:tcPr>
          <w:p>
            <w:pPr>
              <w:spacing w:after="0"/>
              <w:rPr>
                <w:sz w:val="10"/>
                <w:szCs w:val="10"/>
                <w:color w:val="auto"/>
              </w:rPr>
            </w:pPr>
          </w:p>
        </w:tc>
        <w:tc>
          <w:tcPr>
            <w:tcW w:w="1140" w:type="dxa"/>
            <w:vAlign w:val="bottom"/>
            <w:shd w:val="clear" w:color="auto" w:fill="0F2F50"/>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200" w:type="dxa"/>
            <w:vAlign w:val="bottom"/>
          </w:tcPr>
          <w:p>
            <w:pPr>
              <w:spacing w:after="0"/>
              <w:rPr>
                <w:sz w:val="20"/>
                <w:szCs w:val="20"/>
                <w:color w:val="auto"/>
              </w:rPr>
            </w:pPr>
            <w:r>
              <w:rPr>
                <w:rFonts w:ascii="Arial" w:cs="Arial" w:eastAsia="Arial" w:hAnsi="Arial"/>
                <w:sz w:val="15"/>
                <w:szCs w:val="15"/>
                <w:b w:val="1"/>
                <w:bCs w:val="1"/>
                <w:color w:val="auto"/>
              </w:rPr>
              <w:t>Investment Income:</w:t>
            </w:r>
          </w:p>
        </w:tc>
        <w:tc>
          <w:tcPr>
            <w:tcW w:w="1140" w:type="dxa"/>
            <w:vAlign w:val="bottom"/>
          </w:tcPr>
          <w:p>
            <w:pPr>
              <w:ind w:left="400"/>
              <w:spacing w:after="0"/>
              <w:rPr>
                <w:sz w:val="20"/>
                <w:szCs w:val="20"/>
                <w:color w:val="auto"/>
              </w:rPr>
            </w:pPr>
            <w:r>
              <w:rPr>
                <w:rFonts w:ascii="Arial" w:cs="Arial" w:eastAsia="Arial" w:hAnsi="Arial"/>
                <w:sz w:val="15"/>
                <w:szCs w:val="15"/>
                <w:b w:val="1"/>
                <w:bCs w:val="1"/>
                <w:color w:val="auto"/>
              </w:rPr>
              <w:t>$108.2MM</w:t>
            </w:r>
          </w:p>
        </w:tc>
        <w:tc>
          <w:tcPr>
            <w:tcW w:w="0" w:type="dxa"/>
            <w:vAlign w:val="bottom"/>
          </w:tcPr>
          <w:p>
            <w:pPr>
              <w:spacing w:after="0"/>
              <w:rPr>
                <w:sz w:val="1"/>
                <w:szCs w:val="1"/>
                <w:color w:val="auto"/>
              </w:rPr>
            </w:pPr>
          </w:p>
        </w:tc>
      </w:tr>
      <w:tr>
        <w:trPr>
          <w:trHeight w:val="210"/>
        </w:trPr>
        <w:tc>
          <w:tcPr>
            <w:tcW w:w="2220" w:type="dxa"/>
            <w:vAlign w:val="bottom"/>
            <w:gridSpan w:val="2"/>
          </w:tcPr>
          <w:p>
            <w:pPr>
              <w:spacing w:after="0"/>
              <w:rPr>
                <w:sz w:val="20"/>
                <w:szCs w:val="20"/>
                <w:color w:val="auto"/>
              </w:rPr>
            </w:pPr>
            <w:r>
              <w:rPr>
                <w:rFonts w:ascii="Arial" w:cs="Arial" w:eastAsia="Arial" w:hAnsi="Arial"/>
                <w:sz w:val="15"/>
                <w:szCs w:val="15"/>
                <w:b w:val="1"/>
                <w:bCs w:val="1"/>
                <w:color w:val="auto"/>
              </w:rPr>
              <w:t>Net Expenses:</w:t>
            </w:r>
          </w:p>
        </w:tc>
        <w:tc>
          <w:tcPr>
            <w:tcW w:w="1140" w:type="dxa"/>
            <w:vAlign w:val="bottom"/>
          </w:tcPr>
          <w:p>
            <w:pPr>
              <w:ind w:left="240"/>
              <w:spacing w:after="0"/>
              <w:rPr>
                <w:sz w:val="20"/>
                <w:szCs w:val="20"/>
                <w:color w:val="auto"/>
              </w:rPr>
            </w:pPr>
            <w:r>
              <w:rPr>
                <w:rFonts w:ascii="Arial" w:cs="Arial" w:eastAsia="Arial" w:hAnsi="Arial"/>
                <w:sz w:val="15"/>
                <w:szCs w:val="15"/>
                <w:b w:val="1"/>
                <w:bCs w:val="1"/>
                <w:color w:val="auto"/>
              </w:rPr>
              <w:t>$56.4MM</w:t>
            </w:r>
          </w:p>
        </w:tc>
        <w:tc>
          <w:tcPr>
            <w:tcW w:w="0" w:type="dxa"/>
            <w:vAlign w:val="bottom"/>
          </w:tcPr>
          <w:p>
            <w:pPr>
              <w:spacing w:after="0"/>
              <w:rPr>
                <w:sz w:val="1"/>
                <w:szCs w:val="1"/>
                <w:color w:val="auto"/>
              </w:rPr>
            </w:pPr>
          </w:p>
        </w:tc>
      </w:tr>
    </w:tbl>
    <w:p>
      <w:pPr>
        <w:spacing w:after="0" w:line="948" w:lineRule="exact"/>
        <w:rPr>
          <w:sz w:val="20"/>
          <w:szCs w:val="20"/>
          <w:color w:val="auto"/>
        </w:rPr>
      </w:pPr>
    </w:p>
    <w:p>
      <w:pPr>
        <w:sectPr>
          <w:pgSz w:w="11900" w:h="16838" w:orient="portrait"/>
          <w:cols w:equalWidth="0" w:num="2">
            <w:col w:w="7620" w:space="260"/>
            <w:col w:w="33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880" w:type="dxa"/>
            <w:vAlign w:val="bottom"/>
          </w:tcPr>
          <w:p>
            <w:pPr>
              <w:spacing w:after="0"/>
              <w:rPr>
                <w:sz w:val="20"/>
                <w:szCs w:val="20"/>
                <w:color w:val="auto"/>
              </w:rPr>
            </w:pPr>
            <w:r>
              <w:rPr>
                <w:rFonts w:ascii="Arial" w:cs="Arial" w:eastAsia="Arial" w:hAnsi="Arial"/>
                <w:sz w:val="17"/>
                <w:szCs w:val="17"/>
                <w:b w:val="1"/>
                <w:bCs w:val="1"/>
                <w:color w:val="auto"/>
              </w:rPr>
              <w:t>Debt and Capital Resources</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7880" w:type="dxa"/>
            <w:vAlign w:val="bottom"/>
            <w:vMerge w:val="restart"/>
          </w:tcPr>
          <w:p>
            <w:pPr>
              <w:spacing w:after="0"/>
              <w:rPr>
                <w:sz w:val="20"/>
                <w:szCs w:val="20"/>
                <w:color w:val="auto"/>
              </w:rPr>
            </w:pPr>
            <w:r>
              <w:rPr>
                <w:rFonts w:ascii="Arial" w:cs="Arial" w:eastAsia="Arial" w:hAnsi="Arial"/>
                <w:sz w:val="18"/>
                <w:szCs w:val="18"/>
                <w:color w:val="auto"/>
              </w:rPr>
              <w:t>As of December 31, 2025, the Company had $19.7 million in cash and cash equivalents</w:t>
            </w: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880" w:type="dxa"/>
            <w:vAlign w:val="bottom"/>
            <w:vMerge w:val="continue"/>
          </w:tcPr>
          <w:p>
            <w:pPr>
              <w:spacing w:after="0"/>
              <w:rPr>
                <w:sz w:val="17"/>
                <w:szCs w:val="17"/>
                <w:color w:val="auto"/>
              </w:rPr>
            </w:pPr>
          </w:p>
        </w:tc>
        <w:tc>
          <w:tcPr>
            <w:tcW w:w="3360" w:type="dxa"/>
            <w:vAlign w:val="bottom"/>
            <w:shd w:val="clear" w:color="auto" w:fill="0F2F50"/>
          </w:tcPr>
          <w:p>
            <w:pPr>
              <w:jc w:val="center"/>
              <w:spacing w:after="0"/>
              <w:rPr>
                <w:sz w:val="20"/>
                <w:szCs w:val="20"/>
                <w:color w:val="auto"/>
              </w:rPr>
            </w:pPr>
            <w:r>
              <w:rPr>
                <w:rFonts w:ascii="Arial" w:cs="Arial" w:eastAsia="Arial" w:hAnsi="Arial"/>
                <w:sz w:val="15"/>
                <w:szCs w:val="15"/>
                <w:b w:val="1"/>
                <w:bCs w:val="1"/>
                <w:color w:val="FFFFFF"/>
              </w:rPr>
              <w:t>Total Principal Debt Outstanding</w:t>
            </w:r>
          </w:p>
        </w:tc>
        <w:tc>
          <w:tcPr>
            <w:tcW w:w="0" w:type="dxa"/>
            <w:vAlign w:val="bottom"/>
          </w:tcPr>
          <w:p>
            <w:pPr>
              <w:spacing w:after="0"/>
              <w:rPr>
                <w:sz w:val="1"/>
                <w:szCs w:val="1"/>
                <w:color w:val="auto"/>
              </w:rPr>
            </w:pPr>
          </w:p>
        </w:tc>
      </w:tr>
      <w:tr>
        <w:trPr>
          <w:trHeight w:val="184"/>
        </w:trPr>
        <w:tc>
          <w:tcPr>
            <w:tcW w:w="7880" w:type="dxa"/>
            <w:vAlign w:val="bottom"/>
          </w:tcPr>
          <w:p>
            <w:pPr>
              <w:spacing w:after="0" w:line="183" w:lineRule="exact"/>
              <w:rPr>
                <w:sz w:val="20"/>
                <w:szCs w:val="20"/>
                <w:color w:val="auto"/>
              </w:rPr>
            </w:pPr>
            <w:r>
              <w:rPr>
                <w:rFonts w:ascii="Arial" w:cs="Arial" w:eastAsia="Arial" w:hAnsi="Arial"/>
                <w:sz w:val="18"/>
                <w:szCs w:val="18"/>
                <w:color w:val="auto"/>
              </w:rPr>
              <w:t>(including $16.7 million of restricted cash), total principal value of debt outstanding of $1,763.9</w:t>
            </w:r>
          </w:p>
        </w:tc>
        <w:tc>
          <w:tcPr>
            <w:tcW w:w="3360" w:type="dxa"/>
            <w:vAlign w:val="bottom"/>
          </w:tcPr>
          <w:p>
            <w:pPr>
              <w:jc w:val="center"/>
              <w:spacing w:after="0"/>
              <w:rPr>
                <w:sz w:val="20"/>
                <w:szCs w:val="20"/>
                <w:color w:val="auto"/>
              </w:rPr>
            </w:pPr>
            <w:r>
              <w:rPr>
                <w:rFonts w:ascii="Arial" w:cs="Arial" w:eastAsia="Arial" w:hAnsi="Arial"/>
                <w:sz w:val="15"/>
                <w:szCs w:val="15"/>
                <w:b w:val="1"/>
                <w:bCs w:val="1"/>
                <w:color w:val="auto"/>
              </w:rPr>
              <w:t>$1,763.9MM</w:t>
            </w:r>
          </w:p>
        </w:tc>
        <w:tc>
          <w:tcPr>
            <w:tcW w:w="0" w:type="dxa"/>
            <w:vAlign w:val="bottom"/>
          </w:tcPr>
          <w:p>
            <w:pPr>
              <w:spacing w:after="0"/>
              <w:rPr>
                <w:sz w:val="1"/>
                <w:szCs w:val="1"/>
                <w:color w:val="auto"/>
              </w:rPr>
            </w:pPr>
          </w:p>
        </w:tc>
      </w:tr>
      <w:tr>
        <w:trPr>
          <w:trHeight w:val="202"/>
        </w:trPr>
        <w:tc>
          <w:tcPr>
            <w:tcW w:w="7880" w:type="dxa"/>
            <w:vAlign w:val="bottom"/>
          </w:tcPr>
          <w:p>
            <w:pPr>
              <w:spacing w:after="0" w:line="202" w:lineRule="exact"/>
              <w:rPr>
                <w:sz w:val="20"/>
                <w:szCs w:val="20"/>
                <w:color w:val="auto"/>
              </w:rPr>
            </w:pPr>
            <w:r>
              <w:rPr>
                <w:rFonts w:ascii="Arial" w:cs="Arial" w:eastAsia="Arial" w:hAnsi="Arial"/>
                <w:sz w:val="18"/>
                <w:szCs w:val="18"/>
                <w:color w:val="auto"/>
              </w:rPr>
              <w:t>million, and $1,139.3 million of undrawn capacity on its revolving credit facility, subject to</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borrowing base and other limitations. At year end, aggregate commitments under the Company’s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880" w:type="dxa"/>
            <w:vAlign w:val="bottom"/>
          </w:tcPr>
          <w:p>
            <w:pPr>
              <w:spacing w:after="0"/>
              <w:rPr>
                <w:sz w:val="20"/>
                <w:szCs w:val="20"/>
                <w:color w:val="auto"/>
              </w:rPr>
            </w:pPr>
            <w:r>
              <w:rPr>
                <w:rFonts w:ascii="Arial" w:cs="Arial" w:eastAsia="Arial" w:hAnsi="Arial"/>
                <w:sz w:val="18"/>
                <w:szCs w:val="18"/>
                <w:color w:val="auto"/>
              </w:rPr>
              <w:t>revolving credit facility were $1,675 million, in accordance with the accordion feature.</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44" w:lineRule="auto"/>
        <w:rPr>
          <w:sz w:val="20"/>
          <w:szCs w:val="20"/>
          <w:color w:val="auto"/>
        </w:rPr>
      </w:pPr>
      <w:r>
        <w:rPr>
          <w:rFonts w:ascii="Arial" w:cs="Arial" w:eastAsia="Arial" w:hAnsi="Arial"/>
          <w:sz w:val="18"/>
          <w:szCs w:val="18"/>
          <w:color w:val="auto"/>
        </w:rPr>
        <w:t>The Company’s weighted average interest rate on debt outstanding was 6.0% and 6.3% for the three months ended December 31, 2025 and September 30, 2025, respectively. At December 31, 2025, the Company’s debt to equity ratio was 1.10x, compared to 1.15x at September 30, 2025. Average debt to equity was 1.17x and 1.10x during the three months ended December 31, 2025 and September 30, 2025, respectively.</w:t>
      </w:r>
    </w:p>
    <w:p>
      <w:pPr>
        <w:spacing w:after="0" w:line="78" w:lineRule="exact"/>
        <w:rPr>
          <w:sz w:val="20"/>
          <w:szCs w:val="20"/>
          <w:color w:val="auto"/>
        </w:rPr>
      </w:pPr>
    </w:p>
    <w:p>
      <w:pPr>
        <w:ind w:left="160" w:right="160" w:hanging="152"/>
        <w:spacing w:after="0" w:line="255" w:lineRule="auto"/>
        <w:tabs>
          <w:tab w:leader="none" w:pos="160" w:val="left"/>
        </w:tabs>
        <w:numPr>
          <w:ilvl w:val="0"/>
          <w:numId w:val="2"/>
        </w:numPr>
        <w:rPr>
          <w:rFonts w:ascii="Calibri" w:cs="Calibri" w:eastAsia="Calibri" w:hAnsi="Calibri"/>
          <w:sz w:val="14"/>
          <w:szCs w:val="14"/>
          <w:color w:val="auto"/>
        </w:rPr>
      </w:pPr>
      <w:r>
        <w:rPr>
          <w:rFonts w:ascii="Arial" w:cs="Arial" w:eastAsia="Arial" w:hAnsi="Arial"/>
          <w:sz w:val="14"/>
          <w:szCs w:val="14"/>
          <w:color w:val="auto"/>
        </w:rPr>
        <w:t>Daily average debt outstanding during the quarter divided by the average net assets during the quarter.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20" w:type="dxa"/>
            <w:vAlign w:val="bottom"/>
            <w:shd w:val="clear" w:color="auto" w:fill="0F2F50"/>
          </w:tcPr>
          <w:p>
            <w:pPr>
              <w:spacing w:after="0"/>
              <w:rPr>
                <w:sz w:val="17"/>
                <w:szCs w:val="17"/>
                <w:color w:val="auto"/>
              </w:rPr>
            </w:pPr>
          </w:p>
        </w:tc>
        <w:tc>
          <w:tcPr>
            <w:tcW w:w="2060" w:type="dxa"/>
            <w:vAlign w:val="bottom"/>
            <w:shd w:val="clear" w:color="auto" w:fill="0F2F50"/>
          </w:tcPr>
          <w:p>
            <w:pPr>
              <w:ind w:left="320"/>
              <w:spacing w:after="0"/>
              <w:rPr>
                <w:sz w:val="20"/>
                <w:szCs w:val="20"/>
                <w:color w:val="auto"/>
              </w:rPr>
            </w:pPr>
            <w:r>
              <w:rPr>
                <w:rFonts w:ascii="Arial" w:cs="Arial" w:eastAsia="Arial" w:hAnsi="Arial"/>
                <w:sz w:val="15"/>
                <w:szCs w:val="15"/>
                <w:b w:val="1"/>
                <w:bCs w:val="1"/>
                <w:color w:val="FFFFFF"/>
              </w:rPr>
              <w:t>Debt-to-Equity Ratio</w:t>
            </w:r>
          </w:p>
        </w:tc>
        <w:tc>
          <w:tcPr>
            <w:tcW w:w="680" w:type="dxa"/>
            <w:vAlign w:val="bottom"/>
            <w:shd w:val="clear" w:color="auto" w:fill="0F2F50"/>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Q4 2025</w:t>
            </w:r>
          </w:p>
        </w:tc>
        <w:tc>
          <w:tcPr>
            <w:tcW w:w="20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Quarter End:</w:t>
            </w:r>
          </w:p>
        </w:tc>
        <w:tc>
          <w:tcPr>
            <w:tcW w:w="680" w:type="dxa"/>
            <w:vAlign w:val="bottom"/>
          </w:tcPr>
          <w:p>
            <w:pPr>
              <w:ind w:left="280"/>
              <w:spacing w:after="0"/>
              <w:rPr>
                <w:sz w:val="20"/>
                <w:szCs w:val="20"/>
                <w:color w:val="auto"/>
              </w:rPr>
            </w:pPr>
            <w:r>
              <w:rPr>
                <w:rFonts w:ascii="Arial" w:cs="Arial" w:eastAsia="Arial" w:hAnsi="Arial"/>
                <w:sz w:val="15"/>
                <w:szCs w:val="15"/>
                <w:b w:val="1"/>
                <w:bCs w:val="1"/>
                <w:color w:val="auto"/>
              </w:rPr>
              <w:t>1.10x</w:t>
            </w:r>
          </w:p>
        </w:tc>
        <w:tc>
          <w:tcPr>
            <w:tcW w:w="0" w:type="dxa"/>
            <w:vAlign w:val="bottom"/>
          </w:tcPr>
          <w:p>
            <w:pPr>
              <w:spacing w:after="0"/>
              <w:rPr>
                <w:sz w:val="1"/>
                <w:szCs w:val="1"/>
                <w:color w:val="auto"/>
              </w:rPr>
            </w:pPr>
          </w:p>
        </w:tc>
      </w:tr>
      <w:tr>
        <w:trPr>
          <w:trHeight w:val="56"/>
        </w:trPr>
        <w:tc>
          <w:tcPr>
            <w:tcW w:w="620" w:type="dxa"/>
            <w:vAlign w:val="bottom"/>
            <w:vMerge w:val="continue"/>
          </w:tcPr>
          <w:p>
            <w:pPr>
              <w:spacing w:after="0"/>
              <w:rPr>
                <w:sz w:val="4"/>
                <w:szCs w:val="4"/>
                <w:color w:val="auto"/>
              </w:rPr>
            </w:pPr>
          </w:p>
        </w:tc>
        <w:tc>
          <w:tcPr>
            <w:tcW w:w="20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680" w:type="dxa"/>
            <w:vAlign w:val="bottom"/>
            <w:gridSpan w:val="2"/>
          </w:tcPr>
          <w:p>
            <w:pPr>
              <w:ind w:left="20"/>
              <w:spacing w:after="0" w:line="192" w:lineRule="exact"/>
              <w:rPr>
                <w:sz w:val="20"/>
                <w:szCs w:val="20"/>
                <w:color w:val="auto"/>
              </w:rPr>
            </w:pPr>
            <w:r>
              <w:rPr>
                <w:rFonts w:ascii="Arial" w:cs="Arial" w:eastAsia="Arial" w:hAnsi="Arial"/>
                <w:sz w:val="15"/>
                <w:szCs w:val="15"/>
                <w:b w:val="1"/>
                <w:bCs w:val="1"/>
                <w:color w:val="auto"/>
              </w:rPr>
              <w:t>2025 Average</w:t>
            </w:r>
            <w:r>
              <w:rPr>
                <w:rFonts w:ascii="Arial" w:cs="Arial" w:eastAsia="Arial" w:hAnsi="Arial"/>
                <w:sz w:val="20"/>
                <w:szCs w:val="20"/>
                <w:b w:val="1"/>
                <w:bCs w:val="1"/>
                <w:color w:val="auto"/>
                <w:vertAlign w:val="superscript"/>
              </w:rPr>
              <w:t>1</w:t>
            </w:r>
            <w:r>
              <w:rPr>
                <w:rFonts w:ascii="Arial" w:cs="Arial" w:eastAsia="Arial" w:hAnsi="Arial"/>
                <w:sz w:val="15"/>
                <w:szCs w:val="15"/>
                <w:b w:val="1"/>
                <w:bCs w:val="1"/>
                <w:color w:val="auto"/>
              </w:rPr>
              <w:t>:</w:t>
            </w:r>
          </w:p>
        </w:tc>
        <w:tc>
          <w:tcPr>
            <w:tcW w:w="680" w:type="dxa"/>
            <w:vAlign w:val="bottom"/>
          </w:tcPr>
          <w:p>
            <w:pPr>
              <w:ind w:left="280"/>
              <w:spacing w:after="0"/>
              <w:rPr>
                <w:sz w:val="20"/>
                <w:szCs w:val="20"/>
                <w:color w:val="auto"/>
              </w:rPr>
            </w:pPr>
            <w:r>
              <w:rPr>
                <w:rFonts w:ascii="Arial" w:cs="Arial" w:eastAsia="Arial" w:hAnsi="Arial"/>
                <w:sz w:val="15"/>
                <w:szCs w:val="15"/>
                <w:b w:val="1"/>
                <w:bCs w:val="1"/>
                <w:color w:val="auto"/>
              </w:rPr>
              <w:t>1.17x</w:t>
            </w:r>
          </w:p>
        </w:tc>
        <w:tc>
          <w:tcPr>
            <w:tcW w:w="0" w:type="dxa"/>
            <w:vAlign w:val="bottom"/>
          </w:tcPr>
          <w:p>
            <w:pPr>
              <w:spacing w:after="0"/>
              <w:rPr>
                <w:sz w:val="1"/>
                <w:szCs w:val="1"/>
                <w:color w:val="auto"/>
              </w:rPr>
            </w:pPr>
          </w:p>
        </w:tc>
      </w:tr>
      <w:tr>
        <w:trPr>
          <w:trHeight w:val="280"/>
        </w:trPr>
        <w:tc>
          <w:tcPr>
            <w:tcW w:w="620" w:type="dxa"/>
            <w:vAlign w:val="bottom"/>
          </w:tcPr>
          <w:p>
            <w:pPr>
              <w:ind w:left="20"/>
              <w:spacing w:after="0"/>
              <w:rPr>
                <w:sz w:val="20"/>
                <w:szCs w:val="20"/>
                <w:color w:val="auto"/>
              </w:rPr>
            </w:pPr>
            <w:r>
              <w:rPr>
                <w:rFonts w:ascii="Arial" w:cs="Arial" w:eastAsia="Arial" w:hAnsi="Arial"/>
                <w:sz w:val="15"/>
                <w:szCs w:val="15"/>
                <w:b w:val="1"/>
                <w:bCs w:val="1"/>
                <w:color w:val="auto"/>
              </w:rPr>
              <w:t>Q4 2025</w:t>
            </w:r>
          </w:p>
        </w:tc>
        <w:tc>
          <w:tcPr>
            <w:tcW w:w="2060" w:type="dxa"/>
            <w:vAlign w:val="bottom"/>
          </w:tcPr>
          <w:p>
            <w:pPr>
              <w:ind w:left="20"/>
              <w:spacing w:after="0"/>
              <w:rPr>
                <w:sz w:val="20"/>
                <w:szCs w:val="20"/>
                <w:color w:val="auto"/>
              </w:rPr>
            </w:pPr>
            <w:r>
              <w:rPr>
                <w:rFonts w:ascii="Arial" w:cs="Arial" w:eastAsia="Arial" w:hAnsi="Arial"/>
                <w:sz w:val="15"/>
                <w:szCs w:val="15"/>
                <w:b w:val="1"/>
                <w:bCs w:val="1"/>
                <w:color w:val="auto"/>
              </w:rPr>
              <w:t>Average</w:t>
            </w:r>
            <w:r>
              <w:rPr>
                <w:rFonts w:ascii="Arial" w:cs="Arial" w:eastAsia="Arial" w:hAnsi="Arial"/>
                <w:sz w:val="20"/>
                <w:szCs w:val="20"/>
                <w:b w:val="1"/>
                <w:bCs w:val="1"/>
                <w:color w:val="auto"/>
                <w:vertAlign w:val="superscript"/>
              </w:rPr>
              <w:t>1</w:t>
            </w:r>
            <w:r>
              <w:rPr>
                <w:rFonts w:ascii="Arial" w:cs="Arial" w:eastAsia="Arial" w:hAnsi="Arial"/>
                <w:sz w:val="15"/>
                <w:szCs w:val="15"/>
                <w:b w:val="1"/>
                <w:bCs w:val="1"/>
                <w:color w:val="auto"/>
              </w:rPr>
              <w:t>:</w:t>
            </w:r>
          </w:p>
        </w:tc>
        <w:tc>
          <w:tcPr>
            <w:tcW w:w="680" w:type="dxa"/>
            <w:vAlign w:val="bottom"/>
          </w:tcPr>
          <w:p>
            <w:pPr>
              <w:ind w:left="280"/>
              <w:spacing w:after="0"/>
              <w:rPr>
                <w:sz w:val="20"/>
                <w:szCs w:val="20"/>
                <w:color w:val="auto"/>
              </w:rPr>
            </w:pPr>
            <w:r>
              <w:rPr>
                <w:rFonts w:ascii="Arial" w:cs="Arial" w:eastAsia="Arial" w:hAnsi="Arial"/>
                <w:sz w:val="15"/>
                <w:szCs w:val="15"/>
                <w:b w:val="1"/>
                <w:bCs w:val="1"/>
                <w:color w:val="auto"/>
              </w:rPr>
              <w:t>1.17x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700" w:space="180"/>
            <w:col w:w="3360"/>
          </w:cols>
          <w:pgMar w:left="320" w:top="1440" w:right="339" w:bottom="1440" w:gutter="0" w:footer="0" w:header="0"/>
          <w:type w:val="continuous"/>
        </w:sectPr>
      </w:pPr>
    </w:p>
    <w:bookmarkStart w:id="6" w:name="page7"/>
    <w:bookmarkEnd w:id="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LIQUIDITY AND FUNDING PROFILE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0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tables summarize the Company’s liquidity at December 31, 2025 and changes to unfunded commitments since September 30, 2025.</w:t>
      </w:r>
    </w:p>
    <w:p>
      <w:pPr>
        <w:sectPr>
          <w:pgSz w:w="11900" w:h="16838" w:orient="portrait"/>
          <w:cols w:equalWidth="0" w:num="1">
            <w:col w:w="11240"/>
          </w:cols>
          <w:pgMar w:left="320" w:top="1440" w:right="33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Millions</w:t>
      </w:r>
    </w:p>
    <w:p>
      <w:pPr>
        <w:ind w:left="1700"/>
        <w:spacing w:after="0" w:line="233" w:lineRule="auto"/>
        <w:rPr>
          <w:sz w:val="20"/>
          <w:szCs w:val="20"/>
          <w:color w:val="auto"/>
        </w:rPr>
      </w:pPr>
      <w:r>
        <w:rPr>
          <w:rFonts w:ascii="Arial" w:cs="Arial" w:eastAsia="Arial" w:hAnsi="Arial"/>
          <w:sz w:val="18"/>
          <w:szCs w:val="18"/>
          <w:b w:val="1"/>
          <w:bCs w:val="1"/>
          <w:color w:val="FFFFFF"/>
        </w:rPr>
        <w:t>Revolving Credit Facility</w:t>
      </w:r>
      <w:r>
        <w:rPr>
          <w:rFonts w:ascii="Arial" w:cs="Arial" w:eastAsia="Arial" w:hAnsi="Arial"/>
          <w:sz w:val="24"/>
          <w:szCs w:val="24"/>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53187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3187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464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Revolver Capacity</w:t>
            </w:r>
          </w:p>
        </w:tc>
        <w:tc>
          <w:tcPr>
            <w:tcW w:w="92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$1,675</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Drawn on Revolver</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($514)</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Unrestricted Cash Balance</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$3</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Issued Letters of Credit</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($22)</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b w:val="1"/>
                <w:bCs w:val="1"/>
                <w:color w:val="auto"/>
              </w:rPr>
              <w:t>Total Liquidity (Pre-Unfunded Commitments)</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b w:val="1"/>
                <w:bCs w:val="1"/>
                <w:color w:val="auto"/>
              </w:rPr>
              <w:t>$1,142</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color w:val="auto"/>
              </w:rPr>
              <w:t>Available Unfunded Commitments</w:t>
            </w:r>
            <w:r>
              <w:rPr>
                <w:rFonts w:ascii="Arial" w:cs="Arial" w:eastAsia="Arial" w:hAnsi="Arial"/>
                <w:sz w:val="21"/>
                <w:szCs w:val="21"/>
                <w:color w:val="auto"/>
                <w:vertAlign w:val="superscript"/>
              </w:rPr>
              <w:t>2</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($199)</w:t>
            </w:r>
          </w:p>
        </w:tc>
      </w:tr>
      <w:tr>
        <w:trPr>
          <w:trHeight w:val="183"/>
        </w:trPr>
        <w:tc>
          <w:tcPr>
            <w:tcW w:w="4640" w:type="dxa"/>
            <w:vAlign w:val="bottom"/>
            <w:tcBorders>
              <w:bottom w:val="single" w:sz="8" w:color="ECEEF0"/>
            </w:tcBorders>
          </w:tcPr>
          <w:p>
            <w:pPr>
              <w:ind w:left="20"/>
              <w:spacing w:after="0" w:line="183" w:lineRule="exact"/>
              <w:rPr>
                <w:sz w:val="20"/>
                <w:szCs w:val="20"/>
                <w:color w:val="auto"/>
              </w:rPr>
            </w:pPr>
            <w:r>
              <w:rPr>
                <w:rFonts w:ascii="Arial" w:cs="Arial" w:eastAsia="Arial" w:hAnsi="Arial"/>
                <w:sz w:val="16"/>
                <w:szCs w:val="16"/>
                <w:b w:val="1"/>
                <w:bCs w:val="1"/>
                <w:color w:val="auto"/>
              </w:rPr>
              <w:t>Total Liquidity (Burdened for Unfunded Commitments)</w:t>
            </w:r>
          </w:p>
        </w:tc>
        <w:tc>
          <w:tcPr>
            <w:tcW w:w="92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b w:val="1"/>
                <w:bCs w:val="1"/>
                <w:color w:val="auto"/>
              </w:rPr>
              <w:t>$943</w:t>
            </w:r>
          </w:p>
        </w:tc>
      </w:tr>
    </w:tbl>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FFFFFF"/>
        </w:rPr>
        <w:t>Unfunded Commitment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345440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54400" cy="16319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0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Unfunded Commitments (See Note 8 in 9/30/25 10-Q)</w:t>
            </w:r>
          </w:p>
        </w:tc>
        <w:tc>
          <w:tcPr>
            <w:tcW w:w="960" w:type="dxa"/>
            <w:vAlign w:val="bottom"/>
            <w:tcBorders>
              <w:bottom w:val="single" w:sz="8" w:color="ECEEF0"/>
            </w:tcBorders>
            <w:gridSpan w:val="2"/>
          </w:tcPr>
          <w:p>
            <w:pPr>
              <w:jc w:val="right"/>
              <w:ind w:right="20"/>
              <w:spacing w:after="0"/>
              <w:rPr>
                <w:sz w:val="20"/>
                <w:szCs w:val="20"/>
                <w:color w:val="auto"/>
              </w:rPr>
            </w:pPr>
            <w:r>
              <w:rPr>
                <w:rFonts w:ascii="Arial" w:cs="Arial" w:eastAsia="Arial" w:hAnsi="Arial"/>
                <w:sz w:val="16"/>
                <w:szCs w:val="16"/>
                <w:b w:val="1"/>
                <w:bCs w:val="1"/>
                <w:color w:val="auto"/>
              </w:rPr>
              <w:t>$337</w:t>
            </w:r>
          </w:p>
        </w:tc>
        <w:tc>
          <w:tcPr>
            <w:tcW w:w="20" w:type="dxa"/>
            <w:vAlign w:val="bottom"/>
          </w:tcPr>
          <w:p>
            <w:pPr>
              <w:spacing w:after="0"/>
              <w:rPr>
                <w:sz w:val="16"/>
                <w:szCs w:val="16"/>
                <w:color w:val="auto"/>
              </w:rPr>
            </w:pPr>
          </w:p>
        </w:tc>
      </w:tr>
      <w:tr>
        <w:trPr>
          <w:trHeight w:val="183"/>
        </w:trPr>
        <w:tc>
          <w:tcPr>
            <w:tcW w:w="450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color w:val="auto"/>
              </w:rPr>
              <w:t>Extinguished Unfunded Commitments</w:t>
            </w:r>
          </w:p>
        </w:tc>
        <w:tc>
          <w:tcPr>
            <w:tcW w:w="960" w:type="dxa"/>
            <w:vAlign w:val="bottom"/>
            <w:tcBorders>
              <w:bottom w:val="single" w:sz="8" w:color="ECEEF0"/>
            </w:tcBorders>
            <w:gridSpan w:val="2"/>
          </w:tcPr>
          <w:p>
            <w:pPr>
              <w:jc w:val="right"/>
              <w:ind w:right="20"/>
              <w:spacing w:after="0" w:line="183" w:lineRule="exact"/>
              <w:rPr>
                <w:sz w:val="20"/>
                <w:szCs w:val="20"/>
                <w:color w:val="auto"/>
              </w:rPr>
            </w:pPr>
            <w:r>
              <w:rPr>
                <w:rFonts w:ascii="Arial" w:cs="Arial" w:eastAsia="Arial" w:hAnsi="Arial"/>
                <w:sz w:val="16"/>
                <w:szCs w:val="16"/>
                <w:color w:val="auto"/>
              </w:rPr>
              <w:t>($17)</w:t>
            </w:r>
          </w:p>
        </w:tc>
        <w:tc>
          <w:tcPr>
            <w:tcW w:w="20" w:type="dxa"/>
            <w:vAlign w:val="bottom"/>
          </w:tcPr>
          <w:p>
            <w:pPr>
              <w:spacing w:after="0"/>
              <w:rPr>
                <w:sz w:val="15"/>
                <w:szCs w:val="15"/>
                <w:color w:val="auto"/>
              </w:rPr>
            </w:pPr>
          </w:p>
        </w:tc>
      </w:tr>
      <w:tr>
        <w:trPr>
          <w:trHeight w:val="183"/>
        </w:trPr>
        <w:tc>
          <w:tcPr>
            <w:tcW w:w="450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color w:val="auto"/>
              </w:rPr>
              <w:t>New Unfunded Commitments</w:t>
            </w:r>
          </w:p>
        </w:tc>
        <w:tc>
          <w:tcPr>
            <w:tcW w:w="960" w:type="dxa"/>
            <w:vAlign w:val="bottom"/>
            <w:tcBorders>
              <w:bottom w:val="single" w:sz="8" w:color="ECEEF0"/>
            </w:tcBorders>
            <w:gridSpan w:val="2"/>
          </w:tcPr>
          <w:p>
            <w:pPr>
              <w:jc w:val="right"/>
              <w:ind w:right="20"/>
              <w:spacing w:after="0" w:line="183" w:lineRule="exact"/>
              <w:rPr>
                <w:sz w:val="20"/>
                <w:szCs w:val="20"/>
                <w:color w:val="auto"/>
              </w:rPr>
            </w:pPr>
            <w:r>
              <w:rPr>
                <w:rFonts w:ascii="Arial" w:cs="Arial" w:eastAsia="Arial" w:hAnsi="Arial"/>
                <w:sz w:val="16"/>
                <w:szCs w:val="16"/>
                <w:color w:val="auto"/>
              </w:rPr>
              <w:t>$55</w:t>
            </w:r>
          </w:p>
        </w:tc>
        <w:tc>
          <w:tcPr>
            <w:tcW w:w="20" w:type="dxa"/>
            <w:vAlign w:val="bottom"/>
          </w:tcPr>
          <w:p>
            <w:pPr>
              <w:spacing w:after="0"/>
              <w:rPr>
                <w:sz w:val="15"/>
                <w:szCs w:val="15"/>
                <w:color w:val="auto"/>
              </w:rPr>
            </w:pPr>
          </w:p>
        </w:tc>
      </w:tr>
      <w:tr>
        <w:trPr>
          <w:trHeight w:val="183"/>
        </w:trPr>
        <w:tc>
          <w:tcPr>
            <w:tcW w:w="450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color w:val="auto"/>
              </w:rPr>
              <w:t>Net Drawdown of Unfunded Commitments</w:t>
            </w:r>
          </w:p>
        </w:tc>
        <w:tc>
          <w:tcPr>
            <w:tcW w:w="960" w:type="dxa"/>
            <w:vAlign w:val="bottom"/>
            <w:tcBorders>
              <w:bottom w:val="single" w:sz="8" w:color="ECEEF0"/>
            </w:tcBorders>
            <w:gridSpan w:val="2"/>
          </w:tcPr>
          <w:p>
            <w:pPr>
              <w:jc w:val="right"/>
              <w:ind w:right="20"/>
              <w:spacing w:after="0" w:line="183" w:lineRule="exact"/>
              <w:rPr>
                <w:sz w:val="20"/>
                <w:szCs w:val="20"/>
                <w:color w:val="auto"/>
              </w:rPr>
            </w:pPr>
            <w:r>
              <w:rPr>
                <w:rFonts w:ascii="Arial" w:cs="Arial" w:eastAsia="Arial" w:hAnsi="Arial"/>
                <w:sz w:val="16"/>
                <w:szCs w:val="16"/>
                <w:color w:val="auto"/>
              </w:rPr>
              <w:t>($36)</w:t>
            </w:r>
          </w:p>
        </w:tc>
        <w:tc>
          <w:tcPr>
            <w:tcW w:w="20" w:type="dxa"/>
            <w:vAlign w:val="bottom"/>
          </w:tcPr>
          <w:p>
            <w:pPr>
              <w:spacing w:after="0"/>
              <w:rPr>
                <w:sz w:val="15"/>
                <w:szCs w:val="15"/>
                <w:color w:val="auto"/>
              </w:rPr>
            </w:pPr>
          </w:p>
        </w:tc>
      </w:tr>
      <w:tr>
        <w:trPr>
          <w:trHeight w:val="183"/>
        </w:trPr>
        <w:tc>
          <w:tcPr>
            <w:tcW w:w="4500" w:type="dxa"/>
            <w:vAlign w:val="bottom"/>
          </w:tcPr>
          <w:p>
            <w:pPr>
              <w:spacing w:after="0" w:line="183" w:lineRule="exact"/>
              <w:rPr>
                <w:sz w:val="20"/>
                <w:szCs w:val="20"/>
                <w:color w:val="auto"/>
              </w:rPr>
            </w:pPr>
            <w:r>
              <w:rPr>
                <w:rFonts w:ascii="Arial" w:cs="Arial" w:eastAsia="Arial" w:hAnsi="Arial"/>
                <w:sz w:val="16"/>
                <w:szCs w:val="16"/>
                <w:b w:val="1"/>
                <w:bCs w:val="1"/>
                <w:color w:val="auto"/>
              </w:rPr>
              <w:t>Total Unfunded Commitments</w:t>
            </w:r>
          </w:p>
        </w:tc>
        <w:tc>
          <w:tcPr>
            <w:tcW w:w="9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$339</w:t>
            </w:r>
          </w:p>
        </w:tc>
        <w:tc>
          <w:tcPr>
            <w:tcW w:w="20" w:type="dxa"/>
            <w:vAlign w:val="bottom"/>
          </w:tcPr>
          <w:p>
            <w:pPr>
              <w:spacing w:after="0"/>
              <w:rPr>
                <w:sz w:val="15"/>
                <w:szCs w:val="15"/>
                <w:color w:val="auto"/>
              </w:rPr>
            </w:pPr>
          </w:p>
        </w:tc>
      </w:tr>
      <w:tr>
        <w:trPr>
          <w:trHeight w:val="183"/>
        </w:trPr>
        <w:tc>
          <w:tcPr>
            <w:tcW w:w="4500" w:type="dxa"/>
            <w:vAlign w:val="bottom"/>
            <w:tcBorders>
              <w:top w:val="single" w:sz="8" w:color="ECEEF0"/>
              <w:bottom w:val="single" w:sz="8" w:color="ECEEF0"/>
            </w:tcBorders>
          </w:tcPr>
          <w:p>
            <w:pPr>
              <w:spacing w:after="0" w:line="183" w:lineRule="exact"/>
              <w:rPr>
                <w:sz w:val="20"/>
                <w:szCs w:val="20"/>
                <w:color w:val="auto"/>
              </w:rPr>
            </w:pPr>
            <w:r>
              <w:rPr>
                <w:rFonts w:ascii="Arial" w:cs="Arial" w:eastAsia="Arial" w:hAnsi="Arial"/>
                <w:sz w:val="16"/>
                <w:szCs w:val="16"/>
                <w:color w:val="auto"/>
              </w:rPr>
              <w:t>Unavailable Unfunded Commitments</w:t>
            </w:r>
            <w:r>
              <w:rPr>
                <w:rFonts w:ascii="Arial" w:cs="Arial" w:eastAsia="Arial" w:hAnsi="Arial"/>
                <w:sz w:val="21"/>
                <w:szCs w:val="21"/>
                <w:color w:val="auto"/>
                <w:vertAlign w:val="superscript"/>
              </w:rPr>
              <w:t>2</w:t>
            </w:r>
          </w:p>
        </w:tc>
        <w:tc>
          <w:tcPr>
            <w:tcW w:w="940" w:type="dxa"/>
            <w:vAlign w:val="bottom"/>
            <w:tcBorders>
              <w:top w:val="single" w:sz="8" w:color="ECEEF0"/>
              <w:bottom w:val="single" w:sz="8" w:color="ECEEF0"/>
            </w:tcBorders>
          </w:tcPr>
          <w:p>
            <w:pPr>
              <w:jc w:val="right"/>
              <w:spacing w:after="0" w:line="183" w:lineRule="exact"/>
              <w:rPr>
                <w:sz w:val="20"/>
                <w:szCs w:val="20"/>
                <w:color w:val="auto"/>
              </w:rPr>
            </w:pPr>
            <w:r>
              <w:rPr>
                <w:rFonts w:ascii="Arial" w:cs="Arial" w:eastAsia="Arial" w:hAnsi="Arial"/>
                <w:sz w:val="16"/>
                <w:szCs w:val="16"/>
                <w:color w:val="auto"/>
              </w:rPr>
              <w:t>($139)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500" w:type="dxa"/>
            <w:vAlign w:val="bottom"/>
            <w:tcBorders>
              <w:bottom w:val="single" w:sz="8" w:color="ECEEF0"/>
            </w:tcBorders>
          </w:tcPr>
          <w:p>
            <w:pPr>
              <w:spacing w:after="0" w:line="183" w:lineRule="exact"/>
              <w:rPr>
                <w:sz w:val="20"/>
                <w:szCs w:val="20"/>
                <w:color w:val="auto"/>
              </w:rPr>
            </w:pPr>
            <w:r>
              <w:rPr>
                <w:rFonts w:ascii="Arial" w:cs="Arial" w:eastAsia="Arial" w:hAnsi="Arial"/>
                <w:sz w:val="16"/>
                <w:szCs w:val="16"/>
                <w:b w:val="1"/>
                <w:bCs w:val="1"/>
                <w:color w:val="auto"/>
              </w:rPr>
              <w:t>Available Unfunded Commitments</w:t>
            </w:r>
            <w:r>
              <w:rPr>
                <w:rFonts w:ascii="Arial" w:cs="Arial" w:eastAsia="Arial" w:hAnsi="Arial"/>
                <w:sz w:val="21"/>
                <w:szCs w:val="21"/>
                <w:color w:val="auto"/>
                <w:vertAlign w:val="superscript"/>
              </w:rPr>
              <w:t>2</w:t>
            </w:r>
          </w:p>
        </w:tc>
        <w:tc>
          <w:tcPr>
            <w:tcW w:w="940" w:type="dxa"/>
            <w:vAlign w:val="bottom"/>
            <w:tcBorders>
              <w:bottom w:val="single" w:sz="8" w:color="ECEEF0"/>
            </w:tcBorders>
          </w:tcPr>
          <w:p>
            <w:pPr>
              <w:jc w:val="right"/>
              <w:spacing w:after="0" w:line="183" w:lineRule="exact"/>
              <w:rPr>
                <w:sz w:val="20"/>
                <w:szCs w:val="20"/>
                <w:color w:val="auto"/>
              </w:rPr>
            </w:pPr>
            <w:r>
              <w:rPr>
                <w:rFonts w:ascii="Arial" w:cs="Arial" w:eastAsia="Arial" w:hAnsi="Arial"/>
                <w:sz w:val="16"/>
                <w:szCs w:val="16"/>
                <w:b w:val="1"/>
                <w:bCs w:val="1"/>
                <w:color w:val="auto"/>
              </w:rPr>
              <w:t>$199</w:t>
            </w:r>
          </w:p>
        </w:tc>
        <w:tc>
          <w:tcPr>
            <w:tcW w:w="20" w:type="dxa"/>
            <w:vAlign w:val="bottom"/>
            <w:tcBorders>
              <w:bottom w:val="single" w:sz="8" w:color="ECEEF0"/>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117" w:lineRule="exact"/>
        <w:rPr>
          <w:sz w:val="20"/>
          <w:szCs w:val="20"/>
          <w:color w:val="auto"/>
        </w:rPr>
      </w:pPr>
    </w:p>
    <w:p>
      <w:pPr>
        <w:sectPr>
          <w:pgSz w:w="11900" w:h="16838" w:orient="portrait"/>
          <w:cols w:equalWidth="0" w:num="2">
            <w:col w:w="5560" w:space="240"/>
            <w:col w:w="5440"/>
          </w:cols>
          <w:pgMar w:left="320" w:top="1440" w:right="339" w:bottom="1440" w:gutter="0" w:footer="0" w:header="0"/>
          <w:type w:val="continuous"/>
        </w:sectPr>
      </w:pPr>
    </w:p>
    <w:p>
      <w:pPr>
        <w:ind w:left="380" w:hanging="372"/>
        <w:spacing w:after="0"/>
        <w:tabs>
          <w:tab w:leader="none" w:pos="380" w:val="left"/>
        </w:tabs>
        <w:numPr>
          <w:ilvl w:val="0"/>
          <w:numId w:val="3"/>
        </w:numPr>
        <w:rPr>
          <w:rFonts w:ascii="Calibri" w:cs="Calibri" w:eastAsia="Calibri" w:hAnsi="Calibri"/>
          <w:sz w:val="13"/>
          <w:szCs w:val="13"/>
          <w:color w:val="auto"/>
        </w:rPr>
      </w:pPr>
      <w:r>
        <w:rPr>
          <w:rFonts w:ascii="Arial" w:cs="Arial" w:eastAsia="Arial" w:hAnsi="Arial"/>
          <w:sz w:val="13"/>
          <w:szCs w:val="13"/>
          <w:color w:val="auto"/>
        </w:rPr>
        <w:t>Includes $150 million of non-extending commitments with a maturity of April 23, 2027 and a revolving period ending April 24, 2026.</w:t>
      </w:r>
    </w:p>
    <w:p>
      <w:pPr>
        <w:spacing w:after="0" w:line="1" w:lineRule="exact"/>
        <w:rPr>
          <w:rFonts w:ascii="Calibri" w:cs="Calibri" w:eastAsia="Calibri" w:hAnsi="Calibri"/>
          <w:sz w:val="13"/>
          <w:szCs w:val="13"/>
          <w:color w:val="auto"/>
        </w:rPr>
      </w:pPr>
    </w:p>
    <w:p>
      <w:pPr>
        <w:ind w:left="380" w:hanging="372"/>
        <w:spacing w:after="0" w:line="210" w:lineRule="auto"/>
        <w:tabs>
          <w:tab w:leader="none" w:pos="380" w:val="left"/>
        </w:tabs>
        <w:numPr>
          <w:ilvl w:val="0"/>
          <w:numId w:val="3"/>
        </w:numPr>
        <w:rPr>
          <w:rFonts w:ascii="Calibri" w:cs="Calibri" w:eastAsia="Calibri" w:hAnsi="Calibri"/>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rPr>
          <w:sz w:val="20"/>
          <w:szCs w:val="20"/>
          <w:color w:val="auto"/>
        </w:rPr>
      </w:pPr>
      <w:r>
        <w:rPr>
          <w:rFonts w:ascii="Arial" w:cs="Arial" w:eastAsia="Arial" w:hAnsi="Arial"/>
          <w:sz w:val="13"/>
          <w:szCs w:val="13"/>
          <w:color w:val="auto"/>
        </w:rPr>
        <w:t>Note: May not sum due to rounding.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2025, the Company’s funding mix was comprised of 71% unsecured and 29% secured debt. As illustrated below, the Company’s nearest debt maturity is in August 2026 at $300 million, and the weighted average remaining life of investments funded with debt is ~2.6 years, compared to a weighted average remaining maturity on debt of ~3.4</w:t>
      </w:r>
      <w:r>
        <w:rPr>
          <w:rFonts w:ascii="Arial" w:cs="Arial" w:eastAsia="Arial" w:hAnsi="Arial"/>
          <w:sz w:val="24"/>
          <w:szCs w:val="24"/>
          <w:color w:val="auto"/>
          <w:vertAlign w:val="superscript"/>
        </w:rPr>
        <w:t>2</w:t>
      </w:r>
      <w:r>
        <w:rPr>
          <w:rFonts w:ascii="Arial" w:cs="Arial" w:eastAsia="Arial" w:hAnsi="Arial"/>
          <w:sz w:val="18"/>
          <w:szCs w:val="18"/>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795010" cy="1663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501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hanging="292"/>
        <w:spacing w:after="0" w:line="219" w:lineRule="auto"/>
        <w:tabs>
          <w:tab w:leader="none" w:pos="300" w:val="left"/>
        </w:tabs>
        <w:numPr>
          <w:ilvl w:val="0"/>
          <w:numId w:val="4"/>
        </w:numPr>
        <w:rPr>
          <w:rFonts w:ascii="Calibri" w:cs="Calibri" w:eastAsia="Calibri" w:hAnsi="Calibri"/>
          <w:sz w:val="13"/>
          <w:szCs w:val="13"/>
          <w:color w:val="auto"/>
        </w:rPr>
      </w:pPr>
      <w:r>
        <w:rPr>
          <w:rFonts w:ascii="Arial" w:cs="Arial" w:eastAsia="Arial" w:hAnsi="Arial"/>
          <w:sz w:val="13"/>
          <w:szCs w:val="13"/>
          <w:color w:val="auto"/>
        </w:rPr>
        <w:t>Includes $150 million of remaining non-extending commitments with a maturity of April 23, 2027 and a revolving period ending April 24, 2026. The amount available may be subject to limitations related to the borrowing base under the Revolving Credit Facility, outstanding letters of credit and asset coverage requirements</w:t>
      </w:r>
    </w:p>
    <w:p>
      <w:pPr>
        <w:ind w:left="300" w:hanging="292"/>
        <w:spacing w:after="0" w:line="232" w:lineRule="auto"/>
        <w:tabs>
          <w:tab w:leader="none" w:pos="300" w:val="left"/>
        </w:tabs>
        <w:numPr>
          <w:ilvl w:val="0"/>
          <w:numId w:val="4"/>
        </w:numPr>
        <w:rPr>
          <w:rFonts w:ascii="Calibri" w:cs="Calibri" w:eastAsia="Calibri" w:hAnsi="Calibri"/>
          <w:sz w:val="13"/>
          <w:szCs w:val="13"/>
          <w:color w:val="auto"/>
        </w:rPr>
      </w:pPr>
      <w:r>
        <w:rPr>
          <w:rFonts w:ascii="Arial" w:cs="Arial" w:eastAsia="Arial" w:hAnsi="Arial"/>
          <w:sz w:val="13"/>
          <w:szCs w:val="13"/>
          <w:color w:val="auto"/>
        </w:rPr>
        <w:t>Weighted by gross commitment amount.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Note: Numbers may not sum due to rounding.</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auto"/>
        </w:rPr>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2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 conference call to discuss the Company’s financial results will be held at 8:30 a.m. Eastern Time on February 13, 2026.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analysts who wish to participate in the conference call must first register at https://register-conf.media-server.com/register/BI8fd4599053f14d4783d578bde7c7c0be. Upon registration, all telephone participants will receive a confirmation email detailing how to join the conference call, including the dial-in number along with a unique passcode and registrant ID that can be used to access the call.</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 recorded version will be available under the same webcast link (</w:t>
      </w:r>
      <w:r>
        <w:rPr>
          <w:rFonts w:ascii="Arial" w:cs="Arial" w:eastAsia="Arial" w:hAnsi="Arial"/>
          <w:sz w:val="18"/>
          <w:szCs w:val="18"/>
          <w:color w:val="0563C1"/>
        </w:rPr>
        <w:t>https://sixthstreetspecialtylending.gcs-web.com/events-and-presentations</w:t>
      </w:r>
      <w:r>
        <w:rPr>
          <w:rFonts w:ascii="Arial" w:cs="Arial" w:eastAsia="Arial" w:hAnsi="Arial"/>
          <w:sz w:val="18"/>
          <w:szCs w:val="18"/>
          <w:color w:val="auto"/>
        </w:rPr>
        <w:t>) following the conclusion of the conference call.</w:t>
      </w: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3,376.3</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8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3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4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w:t>
            </w:r>
            <w:r>
              <w:rPr>
                <w:rFonts w:ascii="Times New Roman" w:cs="Times New Roman" w:eastAsia="Times New Roman" w:hAnsi="Times New Roman"/>
                <w:sz w:val="24"/>
                <w:szCs w:val="24"/>
                <w:color w:val="auto"/>
                <w:vertAlign w:val="superscript"/>
              </w:rPr>
              <w:t>(2)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 Per Share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4"/>
                <w:szCs w:val="24"/>
                <w:color w:val="auto"/>
                <w:vertAlign w:val="superscript"/>
              </w:rPr>
              <w:t>(2)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Per Share </w:t>
            </w:r>
            <w:r>
              <w:rPr>
                <w:rFonts w:ascii="Times New Roman" w:cs="Times New Roman" w:eastAsia="Times New Roman" w:hAnsi="Times New Roman"/>
                <w:sz w:val="24"/>
                <w:szCs w:val="24"/>
                <w:color w:val="auto"/>
                <w:vertAlign w:val="superscript"/>
              </w:rPr>
              <w:t>(2)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(Net Investment Income) </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(Net Income) </w:t>
            </w:r>
            <w:r>
              <w:rPr>
                <w:rFonts w:ascii="Times New Roman" w:cs="Times New Roman" w:eastAsia="Times New Roman" w:hAnsi="Times New Roman"/>
                <w:sz w:val="24"/>
                <w:szCs w:val="24"/>
                <w:color w:val="auto"/>
                <w:vertAlign w:val="superscript"/>
              </w:rPr>
              <w:t>(3)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Annualized Return on Equity (Adjusted Net Investment Income) </w:t>
            </w:r>
            <w:r>
              <w:rPr>
                <w:rFonts w:ascii="Times New Roman" w:cs="Times New Roman" w:eastAsia="Times New Roman" w:hAnsi="Times New Roman"/>
                <w:sz w:val="18"/>
                <w:szCs w:val="18"/>
                <w:color w:val="auto"/>
                <w:vertAlign w:val="superscript"/>
              </w:rPr>
              <w:t>(2)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Income) </w:t>
            </w:r>
            <w:r>
              <w:rPr>
                <w:rFonts w:ascii="Times New Roman" w:cs="Times New Roman" w:eastAsia="Times New Roman" w:hAnsi="Times New Roman"/>
                <w:sz w:val="24"/>
                <w:szCs w:val="24"/>
                <w:color w:val="auto"/>
                <w:vertAlign w:val="superscript"/>
              </w:rPr>
              <w:t>(2)(3)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 Securities</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at Fair Value</w:t>
            </w: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90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6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vMerge w:val="continue"/>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 Securities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at Amortized Cost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 Rates</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60" w:hanging="378"/>
        <w:spacing w:after="0"/>
        <w:tabs>
          <w:tab w:leader="none" w:pos="760" w:val="left"/>
        </w:tabs>
        <w:numPr>
          <w:ilvl w:val="0"/>
          <w:numId w:val="5"/>
        </w:numPr>
        <w:rPr>
          <w:rFonts w:ascii="Calibri" w:cs="Calibri" w:eastAsia="Calibri" w:hAnsi="Calibri"/>
          <w:sz w:val="14"/>
          <w:szCs w:val="14"/>
          <w:color w:val="auto"/>
        </w:rPr>
      </w:pPr>
      <w:r>
        <w:rPr>
          <w:rFonts w:ascii="Arial" w:cs="Arial" w:eastAsia="Arial" w:hAnsi="Arial"/>
          <w:sz w:val="14"/>
          <w:szCs w:val="14"/>
          <w:color w:val="auto"/>
        </w:rPr>
        <w:t>Adjusted net asset value per share gives effect to the supplemental dividend declared related to earnings or special dividend in the applicable period.</w:t>
      </w:r>
    </w:p>
    <w:p>
      <w:pPr>
        <w:spacing w:after="0" w:line="19" w:lineRule="exact"/>
        <w:rPr>
          <w:rFonts w:ascii="Calibri" w:cs="Calibri" w:eastAsia="Calibri" w:hAnsi="Calibri"/>
          <w:sz w:val="14"/>
          <w:szCs w:val="14"/>
          <w:color w:val="auto"/>
        </w:rPr>
      </w:pPr>
    </w:p>
    <w:p>
      <w:pPr>
        <w:ind w:left="760" w:right="20" w:hanging="378"/>
        <w:spacing w:after="0" w:line="243" w:lineRule="auto"/>
        <w:tabs>
          <w:tab w:leader="none" w:pos="760" w:val="left"/>
        </w:tabs>
        <w:numPr>
          <w:ilvl w:val="0"/>
          <w:numId w:val="5"/>
        </w:numPr>
        <w:rPr>
          <w:rFonts w:ascii="Calibri" w:cs="Calibri" w:eastAsia="Calibri" w:hAnsi="Calibri"/>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760" w:hanging="378"/>
        <w:spacing w:after="0"/>
        <w:tabs>
          <w:tab w:leader="none" w:pos="760" w:val="left"/>
        </w:tabs>
        <w:numPr>
          <w:ilvl w:val="0"/>
          <w:numId w:val="5"/>
        </w:numPr>
        <w:rPr>
          <w:rFonts w:ascii="Calibri" w:cs="Calibri" w:eastAsia="Calibri" w:hAnsi="Calibri"/>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auto"/>
        </w:rPr>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jc w:val="center"/>
        <w:spacing w:after="0" w:line="234" w:lineRule="auto"/>
        <w:rPr>
          <w:sz w:val="20"/>
          <w:szCs w:val="20"/>
          <w:color w:val="auto"/>
        </w:rPr>
      </w:pPr>
      <w:r>
        <w:rPr>
          <w:rFonts w:ascii="Arial" w:cs="Arial" w:eastAsia="Arial" w:hAnsi="Arial"/>
          <w:sz w:val="20"/>
          <w:szCs w:val="20"/>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60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 of $3,244,762 and $3,450,644, respectively)</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3,288,945</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3,453,317</w:t>
            </w:r>
          </w:p>
        </w:tc>
        <w:tc>
          <w:tcPr>
            <w:tcW w:w="0" w:type="dxa"/>
            <w:vAlign w:val="bottom"/>
          </w:tcPr>
          <w:p>
            <w:pPr>
              <w:spacing w:after="0"/>
              <w:rPr>
                <w:sz w:val="1"/>
                <w:szCs w:val="1"/>
                <w:color w:val="auto"/>
              </w:rPr>
            </w:pPr>
          </w:p>
        </w:tc>
      </w:tr>
      <w:tr>
        <w:trPr>
          <w:trHeight w:val="148"/>
        </w:trPr>
        <w:tc>
          <w:tcPr>
            <w:tcW w:w="7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 (amortized cost of $78,520 and $88,509, respectively)</w:t>
            </w:r>
          </w:p>
        </w:tc>
        <w:tc>
          <w:tcPr>
            <w:tcW w:w="26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58,372</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65,095</w:t>
            </w: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investments at fair value (amortized cost of $3,323,282 and $3,539,153, respectively)</w:t>
            </w:r>
          </w:p>
        </w:tc>
        <w:tc>
          <w:tcPr>
            <w:tcW w:w="26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3,347,317</w:t>
            </w:r>
          </w:p>
        </w:tc>
        <w:tc>
          <w:tcPr>
            <w:tcW w:w="30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5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3,518,412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(restricted cash of $16,727 and $22,362, respectively)</w:t>
            </w:r>
          </w:p>
        </w:tc>
        <w:tc>
          <w:tcPr>
            <w:tcW w:w="26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19,662</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27,328</w:t>
            </w: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26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34,132</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30,518</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20,544</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5,967</w:t>
            </w:r>
          </w:p>
        </w:tc>
        <w:tc>
          <w:tcPr>
            <w:tcW w:w="0" w:type="dxa"/>
            <w:vAlign w:val="bottom"/>
          </w:tcPr>
          <w:p>
            <w:pPr>
              <w:spacing w:after="0"/>
              <w:rPr>
                <w:sz w:val="1"/>
                <w:szCs w:val="1"/>
                <w:color w:val="auto"/>
              </w:rPr>
            </w:pPr>
          </w:p>
        </w:tc>
      </w:tr>
      <w:tr>
        <w:trPr>
          <w:trHeight w:val="18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top w:val="single" w:sz="8" w:color="auto"/>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3,421,655</w:t>
            </w:r>
          </w:p>
        </w:tc>
        <w:tc>
          <w:tcPr>
            <w:tcW w:w="3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3,582,225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3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(net of deferred financing costs of $24,411 and $23,837, respectively)</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1,743,234</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1,901,142</w:t>
            </w: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26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12,794</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12,953</w:t>
            </w: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6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10,336</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12,013</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6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5,071</w:t>
            </w: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payables to affiliate</w:t>
            </w:r>
          </w:p>
        </w:tc>
        <w:tc>
          <w:tcPr>
            <w:tcW w:w="26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3,166</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3,635</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44,404</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39,882</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1,813,934</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1,974,696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2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$0.01 par value; 100,000,000 shares authorized; no shares</w:t>
            </w:r>
          </w:p>
        </w:tc>
        <w:tc>
          <w:tcPr>
            <w:tcW w:w="260" w:type="dxa"/>
            <w:vAlign w:val="bottom"/>
          </w:tcPr>
          <w:p>
            <w:pPr>
              <w:spacing w:after="0"/>
              <w:rPr>
                <w:sz w:val="10"/>
                <w:szCs w:val="10"/>
                <w:color w:val="auto"/>
              </w:rPr>
            </w:pPr>
          </w:p>
        </w:tc>
        <w:tc>
          <w:tcPr>
            <w:tcW w:w="1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6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w:t>
            </w:r>
          </w:p>
        </w:tc>
        <w:tc>
          <w:tcPr>
            <w:tcW w:w="2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400,000,000 shares authorized, 95,369,400</w:t>
            </w:r>
          </w:p>
        </w:tc>
        <w:tc>
          <w:tcPr>
            <w:tcW w:w="26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94,325,686 shares issued, respectively; and 94,705,150 and 93,661,436</w:t>
            </w:r>
          </w:p>
        </w:tc>
        <w:tc>
          <w:tcPr>
            <w:tcW w:w="260" w:type="dxa"/>
            <w:vAlign w:val="bottom"/>
            <w:shd w:val="clear" w:color="auto" w:fill="CFF0FC"/>
          </w:tcPr>
          <w:p>
            <w:pPr>
              <w:spacing w:after="0"/>
              <w:rPr>
                <w:sz w:val="12"/>
                <w:szCs w:val="12"/>
                <w:color w:val="auto"/>
              </w:rPr>
            </w:pPr>
          </w:p>
        </w:tc>
        <w:tc>
          <w:tcPr>
            <w:tcW w:w="18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954</w:t>
            </w:r>
          </w:p>
        </w:tc>
        <w:tc>
          <w:tcPr>
            <w:tcW w:w="26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171"/>
        </w:trPr>
        <w:tc>
          <w:tcPr>
            <w:tcW w:w="7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260" w:type="dxa"/>
            <w:vAlign w:val="bottom"/>
            <w:shd w:val="clear" w:color="auto" w:fill="CFF0FC"/>
          </w:tcPr>
          <w:p>
            <w:pPr>
              <w:spacing w:after="0"/>
              <w:rPr>
                <w:sz w:val="14"/>
                <w:szCs w:val="14"/>
                <w:color w:val="auto"/>
              </w:rPr>
            </w:pPr>
          </w:p>
        </w:tc>
        <w:tc>
          <w:tcPr>
            <w:tcW w:w="182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1,535,583</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1,519,337</w:t>
            </w: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Treasury stock at cost; 664,250 and 664,250 shares held, respectively</w:t>
            </w:r>
          </w:p>
        </w:tc>
        <w:tc>
          <w:tcPr>
            <w:tcW w:w="26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Distributable earnings</w:t>
            </w:r>
          </w:p>
        </w:tc>
        <w:tc>
          <w:tcPr>
            <w:tcW w:w="260" w:type="dxa"/>
            <w:vAlign w:val="bottom"/>
          </w:tcPr>
          <w:p>
            <w:pPr>
              <w:spacing w:after="0"/>
              <w:rPr>
                <w:sz w:val="12"/>
                <w:szCs w:val="12"/>
                <w:color w:val="auto"/>
              </w:rPr>
            </w:pPr>
          </w:p>
        </w:tc>
        <w:tc>
          <w:tcPr>
            <w:tcW w:w="1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81,643</w:t>
            </w:r>
          </w:p>
        </w:tc>
        <w:tc>
          <w:tcPr>
            <w:tcW w:w="260" w:type="dxa"/>
            <w:vAlign w:val="bottom"/>
          </w:tcPr>
          <w:p>
            <w:pPr>
              <w:spacing w:after="0"/>
              <w:rPr>
                <w:sz w:val="12"/>
                <w:szCs w:val="12"/>
                <w:color w:val="auto"/>
              </w:rPr>
            </w:pPr>
          </w:p>
        </w:tc>
        <w:tc>
          <w:tcPr>
            <w:tcW w:w="160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97,708</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1,607,721</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1,607,529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3,421,655</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3,582,225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00" w:type="dxa"/>
            <w:vAlign w:val="bottom"/>
            <w:shd w:val="clear" w:color="auto" w:fill="CFF0FC"/>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60" w:type="dxa"/>
            <w:vAlign w:val="bottom"/>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FF0FC"/>
          </w:tcPr>
          <w:p>
            <w:pPr>
              <w:jc w:val="right"/>
              <w:ind w:right="300"/>
              <w:spacing w:after="0" w:line="129" w:lineRule="exact"/>
              <w:rPr>
                <w:sz w:val="20"/>
                <w:szCs w:val="20"/>
                <w:color w:val="auto"/>
              </w:rPr>
            </w:pPr>
            <w:r>
              <w:rPr>
                <w:rFonts w:ascii="Times New Roman" w:cs="Times New Roman" w:eastAsia="Times New Roman" w:hAnsi="Times New Roman"/>
                <w:sz w:val="14"/>
                <w:szCs w:val="14"/>
                <w:color w:val="auto"/>
              </w:rPr>
              <w:t>16.98</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shd w:val="clear" w:color="auto" w:fill="CFF0FC"/>
          </w:tcPr>
          <w:p>
            <w:pPr>
              <w:jc w:val="right"/>
              <w:ind w:right="10"/>
              <w:spacing w:after="0" w:line="129" w:lineRule="exact"/>
              <w:rPr>
                <w:sz w:val="20"/>
                <w:szCs w:val="20"/>
                <w:color w:val="auto"/>
              </w:rPr>
            </w:pPr>
            <w:r>
              <w:rPr>
                <w:rFonts w:ascii="Times New Roman" w:cs="Times New Roman" w:eastAsia="Times New Roman" w:hAnsi="Times New Roman"/>
                <w:sz w:val="14"/>
                <w:szCs w:val="14"/>
                <w:color w:val="auto"/>
              </w:rPr>
              <w:t>17.16</w:t>
            </w:r>
          </w:p>
        </w:tc>
        <w:tc>
          <w:tcPr>
            <w:tcW w:w="0" w:type="dxa"/>
            <w:vAlign w:val="bottom"/>
          </w:tcPr>
          <w:p>
            <w:pPr>
              <w:spacing w:after="0"/>
              <w:rPr>
                <w:sz w:val="1"/>
                <w:szCs w:val="1"/>
                <w:color w:val="auto"/>
              </w:rPr>
            </w:pPr>
          </w:p>
        </w:tc>
      </w:tr>
      <w:tr>
        <w:trPr>
          <w:trHeight w:val="416"/>
        </w:trPr>
        <w:tc>
          <w:tcPr>
            <w:tcW w:w="7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948"/>
        </w:trPr>
        <w:tc>
          <w:tcPr>
            <w:tcW w:w="7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-2982595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-2965450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-2193925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-1139190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-916305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-899795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jc w:val="center"/>
        <w:spacing w:after="0" w:line="234" w:lineRule="auto"/>
        <w:rPr>
          <w:sz w:val="20"/>
          <w:szCs w:val="20"/>
          <w:color w:val="auto"/>
        </w:rPr>
      </w:pPr>
      <w:r>
        <w:rPr>
          <w:rFonts w:ascii="Arial" w:cs="Arial" w:eastAsia="Arial" w:hAnsi="Arial"/>
          <w:sz w:val="20"/>
          <w:szCs w:val="20"/>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6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390,428</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413,547</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391,343</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Paid-in-kind interest income</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29,335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19,679</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4,181</w:t>
            </w:r>
          </w:p>
        </w:tc>
        <w:tc>
          <w:tcPr>
            <w:tcW w:w="100" w:type="dxa"/>
            <w:vAlign w:val="bottom"/>
            <w:shd w:val="clear" w:color="auto" w:fill="CFF0FC"/>
          </w:tcPr>
          <w:p>
            <w:pPr>
              <w:spacing w:after="0"/>
              <w:rPr>
                <w:sz w:val="12"/>
                <w:szCs w:val="12"/>
                <w:color w:val="auto"/>
              </w:rPr>
            </w:pPr>
          </w:p>
        </w:tc>
      </w:tr>
      <w:tr>
        <w:trPr>
          <w:trHeight w:val="149"/>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15,122</w:t>
            </w:r>
          </w:p>
        </w:tc>
        <w:tc>
          <w:tcPr>
            <w:tcW w:w="100" w:type="dxa"/>
            <w:vAlign w:val="bottom"/>
          </w:tcPr>
          <w:p>
            <w:pPr>
              <w:spacing w:after="0"/>
              <w:rPr>
                <w:sz w:val="12"/>
                <w:szCs w:val="12"/>
                <w:color w:val="auto"/>
              </w:rPr>
            </w:pPr>
          </w:p>
        </w:tc>
      </w:tr>
      <w:tr>
        <w:trPr>
          <w:trHeight w:val="142"/>
        </w:trPr>
        <w:tc>
          <w:tcPr>
            <w:tcW w:w="6080" w:type="dxa"/>
            <w:vAlign w:val="bottom"/>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438,697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473,085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430,325</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9,428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7,756</w:t>
            </w:r>
          </w:p>
        </w:tc>
        <w:tc>
          <w:tcPr>
            <w:tcW w:w="100" w:type="dxa"/>
            <w:vAlign w:val="bottom"/>
            <w:shd w:val="clear" w:color="auto" w:fill="CFF0FC"/>
          </w:tcPr>
          <w:p>
            <w:pPr>
              <w:spacing w:after="0"/>
              <w:rPr>
                <w:sz w:val="12"/>
                <w:szCs w:val="12"/>
                <w:color w:val="auto"/>
              </w:rPr>
            </w:pPr>
          </w:p>
        </w:tc>
      </w:tr>
      <w:tr>
        <w:trPr>
          <w:trHeight w:val="149"/>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r>
      <w:tr>
        <w:trPr>
          <w:trHeight w:val="142"/>
        </w:trPr>
        <w:tc>
          <w:tcPr>
            <w:tcW w:w="6080" w:type="dxa"/>
            <w:vAlign w:val="bottom"/>
            <w:tcBorders>
              <w:bottom w:val="single" w:sz="8" w:color="CFF0FC"/>
            </w:tcBorders>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14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10,358</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9,441</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7,762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08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449,055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482,526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438,087</w:t>
            </w:r>
          </w:p>
        </w:tc>
        <w:tc>
          <w:tcPr>
            <w:tcW w:w="100" w:type="dxa"/>
            <w:vAlign w:val="bottom"/>
          </w:tcPr>
          <w:p>
            <w:pPr>
              <w:spacing w:after="0"/>
              <w:rPr>
                <w:sz w:val="12"/>
                <w:szCs w:val="12"/>
                <w:color w:val="auto"/>
              </w:rPr>
            </w:pPr>
          </w:p>
        </w:tc>
      </w:tr>
      <w:tr>
        <w:trPr>
          <w:trHeight w:val="142"/>
        </w:trPr>
        <w:tc>
          <w:tcPr>
            <w:tcW w:w="6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154,145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133,731</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52,176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51,786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46,382</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42,590</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w:t>
            </w:r>
          </w:p>
        </w:tc>
        <w:tc>
          <w:tcPr>
            <w:tcW w:w="1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(5,071)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(5,375)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4,382</w:t>
            </w:r>
          </w:p>
        </w:tc>
        <w:tc>
          <w:tcPr>
            <w:tcW w:w="100" w:type="dxa"/>
            <w:vAlign w:val="bottom"/>
            <w:shd w:val="clear" w:color="auto" w:fill="CFF0FC"/>
          </w:tcPr>
          <w:p>
            <w:pPr>
              <w:spacing w:after="0"/>
              <w:rPr>
                <w:sz w:val="12"/>
                <w:szCs w:val="12"/>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7,323</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Directors’ fees</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5,280</w:t>
            </w:r>
          </w:p>
        </w:tc>
        <w:tc>
          <w:tcPr>
            <w:tcW w:w="100" w:type="dxa"/>
            <w:vAlign w:val="bottom"/>
          </w:tcPr>
          <w:p>
            <w:pPr>
              <w:spacing w:after="0"/>
              <w:rPr>
                <w:sz w:val="12"/>
                <w:szCs w:val="12"/>
                <w:color w:val="auto"/>
              </w:rPr>
            </w:pPr>
          </w:p>
        </w:tc>
      </w:tr>
      <w:tr>
        <w:trPr>
          <w:trHeight w:val="142"/>
        </w:trPr>
        <w:tc>
          <w:tcPr>
            <w:tcW w:w="6080" w:type="dxa"/>
            <w:vAlign w:val="bottom"/>
            <w:tcBorders>
              <w:bottom w:val="single" w:sz="8" w:color="CFF0FC"/>
            </w:tcBorders>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235,032</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260,031</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240,494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140" w:type="dxa"/>
            <w:vAlign w:val="bottom"/>
          </w:tcPr>
          <w:p>
            <w:pPr>
              <w:spacing w:after="0"/>
              <w:rPr>
                <w:sz w:val="12"/>
                <w:szCs w:val="12"/>
                <w:color w:val="auto"/>
              </w:rPr>
            </w:pPr>
          </w:p>
        </w:tc>
        <w:tc>
          <w:tcPr>
            <w:tcW w:w="16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(1,171)</w:t>
            </w:r>
          </w:p>
        </w:tc>
      </w:tr>
      <w:tr>
        <w:trPr>
          <w:trHeight w:val="142"/>
        </w:trPr>
        <w:tc>
          <w:tcPr>
            <w:tcW w:w="6080" w:type="dxa"/>
            <w:vAlign w:val="bottom"/>
            <w:tcBorders>
              <w:bottom w:val="single" w:sz="8" w:color="CFF0FC"/>
            </w:tcBorders>
            <w:shd w:val="clear" w:color="auto" w:fill="CFF0FC"/>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233,741</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258,565</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239,323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0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14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215,314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223,961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198,764</w:t>
            </w:r>
          </w:p>
        </w:tc>
        <w:tc>
          <w:tcPr>
            <w:tcW w:w="100" w:type="dxa"/>
            <w:vAlign w:val="bottom"/>
          </w:tcPr>
          <w:p>
            <w:pPr>
              <w:spacing w:after="0"/>
              <w:rPr>
                <w:sz w:val="12"/>
                <w:szCs w:val="12"/>
                <w:color w:val="auto"/>
              </w:rPr>
            </w:pPr>
          </w:p>
        </w:tc>
      </w:tr>
      <w:tr>
        <w:trPr>
          <w:trHeight w:val="148"/>
        </w:trPr>
        <w:tc>
          <w:tcPr>
            <w:tcW w:w="60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taxes, including excise taxes</w:t>
            </w:r>
          </w:p>
        </w:tc>
        <w:tc>
          <w:tcPr>
            <w:tcW w:w="14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5,319</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0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14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209,995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196,399</w:t>
            </w:r>
          </w:p>
        </w:tc>
        <w:tc>
          <w:tcPr>
            <w:tcW w:w="100" w:type="dxa"/>
            <w:vAlign w:val="bottom"/>
          </w:tcPr>
          <w:p>
            <w:pPr>
              <w:spacing w:after="0"/>
              <w:rPr>
                <w:sz w:val="12"/>
                <w:szCs w:val="12"/>
                <w:color w:val="auto"/>
              </w:rPr>
            </w:pPr>
          </w:p>
        </w:tc>
      </w:tr>
      <w:tr>
        <w:trPr>
          <w:trHeight w:val="149"/>
        </w:trPr>
        <w:tc>
          <w:tcPr>
            <w:tcW w:w="6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41,511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(47,625)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40,571</w:t>
            </w:r>
          </w:p>
        </w:tc>
        <w:tc>
          <w:tcPr>
            <w:tcW w:w="100" w:type="dxa"/>
            <w:vAlign w:val="bottom"/>
            <w:shd w:val="clear" w:color="auto" w:fill="CFF0FC"/>
          </w:tcPr>
          <w:p>
            <w:pPr>
              <w:spacing w:after="0"/>
              <w:rPr>
                <w:sz w:val="12"/>
                <w:szCs w:val="12"/>
                <w:color w:val="auto"/>
              </w:rPr>
            </w:pPr>
          </w:p>
        </w:tc>
      </w:tr>
      <w:tr>
        <w:trPr>
          <w:trHeight w:val="149"/>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(21,717)</w:t>
            </w: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1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(35,915)</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(6,393)</w:t>
            </w:r>
          </w:p>
        </w:tc>
      </w:tr>
      <w:tr>
        <w:trPr>
          <w:trHeight w:val="149"/>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2"/>
                <w:szCs w:val="12"/>
                <w:color w:val="auto"/>
              </w:rPr>
            </w:pPr>
          </w:p>
        </w:tc>
        <w:tc>
          <w:tcPr>
            <w:tcW w:w="1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(2,609)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FF0FC"/>
          </w:tcPr>
          <w:p>
            <w:pPr>
              <w:spacing w:after="0"/>
              <w:rPr>
                <w:sz w:val="12"/>
                <w:szCs w:val="12"/>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08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14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13,191</w:t>
            </w:r>
          </w:p>
        </w:tc>
        <w:tc>
          <w:tcPr>
            <w:tcW w:w="100" w:type="dxa"/>
            <w:vAlign w:val="bottom"/>
          </w:tcPr>
          <w:p>
            <w:pPr>
              <w:spacing w:after="0"/>
              <w:rPr>
                <w:sz w:val="12"/>
                <w:szCs w:val="12"/>
                <w:color w:val="auto"/>
              </w:rPr>
            </w:pPr>
          </w:p>
        </w:tc>
      </w:tr>
      <w:tr>
        <w:trPr>
          <w:trHeight w:val="142"/>
        </w:trPr>
        <w:tc>
          <w:tcPr>
            <w:tcW w:w="6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Realized gains (losses):</w:t>
            </w:r>
          </w:p>
        </w:tc>
        <w:tc>
          <w:tcPr>
            <w:tcW w:w="14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(31,106)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12,095</w:t>
            </w:r>
          </w:p>
        </w:tc>
        <w:tc>
          <w:tcPr>
            <w:tcW w:w="100" w:type="dxa"/>
            <w:vAlign w:val="bottom"/>
          </w:tcPr>
          <w:p>
            <w:pPr>
              <w:spacing w:after="0"/>
              <w:rPr>
                <w:sz w:val="12"/>
                <w:szCs w:val="12"/>
                <w:color w:val="auto"/>
              </w:rPr>
            </w:pP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w:t>
            </w:r>
          </w:p>
        </w:tc>
        <w:tc>
          <w:tcPr>
            <w:tcW w:w="1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FF0FC"/>
          </w:tcPr>
          <w:p>
            <w:pPr>
              <w:spacing w:after="0"/>
              <w:rPr>
                <w:sz w:val="12"/>
                <w:szCs w:val="12"/>
                <w:color w:val="auto"/>
              </w:rPr>
            </w:pPr>
          </w:p>
        </w:tc>
      </w:tr>
      <w:tr>
        <w:trPr>
          <w:trHeight w:val="149"/>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w:t>
            </w:r>
          </w:p>
        </w:tc>
        <w:tc>
          <w:tcPr>
            <w:tcW w:w="14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transactions</w:t>
            </w:r>
          </w:p>
        </w:tc>
        <w:tc>
          <w:tcPr>
            <w:tcW w:w="1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FF0FC"/>
          </w:tcPr>
          <w:p>
            <w:pPr>
              <w:spacing w:after="0"/>
              <w:rPr>
                <w:sz w:val="12"/>
                <w:szCs w:val="12"/>
                <w:color w:val="auto"/>
              </w:rPr>
            </w:pPr>
          </w:p>
        </w:tc>
      </w:tr>
      <w:tr>
        <w:trPr>
          <w:trHeight w:val="148"/>
        </w:trPr>
        <w:tc>
          <w:tcPr>
            <w:tcW w:w="6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4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080" w:type="dxa"/>
            <w:vAlign w:val="bottom"/>
            <w:shd w:val="clear" w:color="auto" w:fill="CFF0FC"/>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1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(48,860)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8,573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12,433</w:t>
            </w:r>
          </w:p>
        </w:tc>
        <w:tc>
          <w:tcPr>
            <w:tcW w:w="100" w:type="dxa"/>
            <w:vAlign w:val="bottom"/>
            <w:shd w:val="clear" w:color="auto" w:fill="CFF0FC"/>
          </w:tcPr>
          <w:p>
            <w:pPr>
              <w:spacing w:after="0"/>
              <w:rPr>
                <w:sz w:val="12"/>
                <w:szCs w:val="12"/>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08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140" w:type="dxa"/>
            <w:vAlign w:val="bottom"/>
          </w:tcPr>
          <w:p>
            <w:pPr>
              <w:spacing w:after="0"/>
              <w:rPr>
                <w:sz w:val="12"/>
                <w:szCs w:val="12"/>
                <w:color w:val="auto"/>
              </w:rPr>
            </w:pPr>
          </w:p>
        </w:tc>
        <w:tc>
          <w:tcPr>
            <w:tcW w:w="16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(39,478)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(33,451)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25,624</w:t>
            </w:r>
          </w:p>
        </w:tc>
        <w:tc>
          <w:tcPr>
            <w:tcW w:w="100" w:type="dxa"/>
            <w:vAlign w:val="bottom"/>
          </w:tcPr>
          <w:p>
            <w:pPr>
              <w:spacing w:after="0"/>
              <w:rPr>
                <w:sz w:val="12"/>
                <w:szCs w:val="12"/>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6080" w:type="dxa"/>
            <w:vAlign w:val="bottom"/>
            <w:shd w:val="clear" w:color="auto" w:fill="CFF0FC"/>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170,517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186,566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222,023</w:t>
            </w:r>
          </w:p>
        </w:tc>
        <w:tc>
          <w:tcPr>
            <w:tcW w:w="100" w:type="dxa"/>
            <w:vAlign w:val="bottom"/>
            <w:shd w:val="clear" w:color="auto" w:fill="CFF0FC"/>
          </w:tcPr>
          <w:p>
            <w:pPr>
              <w:spacing w:after="0"/>
              <w:rPr>
                <w:sz w:val="14"/>
                <w:szCs w:val="14"/>
                <w:color w:val="auto"/>
              </w:rPr>
            </w:pP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60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1.81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2.03</w:t>
            </w:r>
          </w:p>
        </w:tc>
        <w:tc>
          <w:tcPr>
            <w:tcW w:w="120" w:type="dxa"/>
            <w:vAlign w:val="bottom"/>
          </w:tcPr>
          <w:p>
            <w:pPr>
              <w:spacing w:after="0"/>
              <w:rPr>
                <w:sz w:val="11"/>
                <w:szCs w:val="11"/>
                <w:color w:val="auto"/>
              </w:rPr>
            </w:pPr>
          </w:p>
        </w:tc>
        <w:tc>
          <w:tcPr>
            <w:tcW w:w="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1"/>
                <w:szCs w:val="11"/>
                <w:color w:val="auto"/>
              </w:rPr>
            </w:pPr>
          </w:p>
        </w:tc>
      </w:tr>
      <w:tr>
        <w:trPr>
          <w:trHeight w:val="142"/>
        </w:trPr>
        <w:tc>
          <w:tcPr>
            <w:tcW w:w="60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94,098,870</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92,035,165</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85,131,264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429"/>
        </w:trPr>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948"/>
        </w:trPr>
        <w:tc>
          <w:tcPr>
            <w:tcW w:w="6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-4242435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-4242435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-3274060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-3274060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-3068320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-3068320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-2870835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-2870835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-2108200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-2108200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-1328420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-1328420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-1122045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-1105535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-1122045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-1105535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-899795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-899795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71" w:lineRule="auto"/>
        <w:rPr>
          <w:sz w:val="20"/>
          <w:szCs w:val="20"/>
          <w:color w:val="auto"/>
        </w:rPr>
      </w:pPr>
      <w:r>
        <w:rPr>
          <w:rFonts w:ascii="Arial" w:cs="Arial" w:eastAsia="Arial" w:hAnsi="Arial"/>
          <w:sz w:val="18"/>
          <w:szCs w:val="18"/>
          <w:color w:val="auto"/>
        </w:rPr>
        <w:t>The Company’s investment activity for the years ended December 31, 2025, 2024 and 2023 is presented below (information presented herein is at par value unless otherwise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2"/>
                <w:szCs w:val="12"/>
                <w:color w:val="auto"/>
              </w:rPr>
            </w:pPr>
          </w:p>
        </w:tc>
        <w:tc>
          <w:tcPr>
            <w:tcW w:w="13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2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15,354.7</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6,036.0</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14,111.8</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2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2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Second-lien</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Mezzanine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Equity and other</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Structured Credit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First-lien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Second-lien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Mezzanine</w:t>
            </w: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and other</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Structured Credit</w:t>
            </w: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2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2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080" w:type="dxa"/>
            <w:vAlign w:val="bottom"/>
            <w:shd w:val="clear" w:color="auto" w:fill="CFF0FC"/>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new portfolio companies </w:t>
            </w:r>
            <w:r>
              <w:rPr>
                <w:rFonts w:ascii="Times New Roman" w:cs="Times New Roman" w:eastAsia="Times New Roman" w:hAnsi="Times New Roman"/>
                <w:sz w:val="24"/>
                <w:szCs w:val="24"/>
                <w:b w:val="1"/>
                <w:bCs w:val="1"/>
                <w:color w:val="auto"/>
                <w:vertAlign w:val="superscript"/>
              </w:rPr>
              <w:t>(2)</w:t>
            </w:r>
          </w:p>
        </w:tc>
        <w:tc>
          <w:tcPr>
            <w:tcW w:w="1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60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080" w:type="dxa"/>
            <w:vAlign w:val="bottom"/>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new portfolio companies </w:t>
            </w:r>
            <w:r>
              <w:rPr>
                <w:rFonts w:ascii="Times New Roman" w:cs="Times New Roman" w:eastAsia="Times New Roman" w:hAnsi="Times New Roman"/>
                <w:sz w:val="24"/>
                <w:szCs w:val="24"/>
                <w:b w:val="1"/>
                <w:bCs w:val="1"/>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0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080" w:type="dxa"/>
            <w:vAlign w:val="bottom"/>
            <w:shd w:val="clear" w:color="auto" w:fill="CFF0FC"/>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(in years) </w:t>
            </w:r>
            <w:r>
              <w:rPr>
                <w:rFonts w:ascii="Times New Roman" w:cs="Times New Roman" w:eastAsia="Times New Roman" w:hAnsi="Times New Roman"/>
                <w:sz w:val="24"/>
                <w:szCs w:val="24"/>
                <w:b w:val="1"/>
                <w:bCs w:val="1"/>
                <w:color w:val="auto"/>
                <w:vertAlign w:val="superscript"/>
              </w:rPr>
              <w:t>(2)</w:t>
            </w:r>
          </w:p>
        </w:tc>
        <w:tc>
          <w:tcPr>
            <w:tcW w:w="1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2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194"/>
        </w:trPr>
        <w:tc>
          <w:tcPr>
            <w:tcW w:w="60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94"/>
        </w:trPr>
        <w:tc>
          <w:tcPr>
            <w:tcW w:w="6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2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4"/>
        </w:trPr>
        <w:tc>
          <w:tcPr>
            <w:tcW w:w="60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4"/>
        </w:trPr>
        <w:tc>
          <w:tcPr>
            <w:tcW w:w="6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12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-4422775</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-4422775</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-4422775</wp:posOffset>
            </wp:positionV>
            <wp:extent cx="1117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-2485390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-2485390</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-2485390</wp:posOffset>
            </wp:positionV>
            <wp:extent cx="1117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92" w:lineRule="exact"/>
        <w:rPr>
          <w:sz w:val="20"/>
          <w:szCs w:val="20"/>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Arial" w:cs="Arial" w:eastAsia="Arial" w:hAnsi="Arial"/>
          <w:sz w:val="14"/>
          <w:szCs w:val="14"/>
          <w:color w:val="auto"/>
        </w:rPr>
        <w:t>Includes affiliates of Sixth Street.</w:t>
      </w:r>
    </w:p>
    <w:p>
      <w:pPr>
        <w:spacing w:after="0" w:line="19" w:lineRule="exact"/>
        <w:rPr>
          <w:rFonts w:ascii="Calibri" w:cs="Calibri" w:eastAsia="Calibri" w:hAnsi="Calibri"/>
          <w:sz w:val="14"/>
          <w:szCs w:val="14"/>
          <w:color w:val="auto"/>
        </w:rPr>
      </w:pPr>
    </w:p>
    <w:p>
      <w:pPr>
        <w:ind w:left="760" w:right="2360" w:hanging="378"/>
        <w:spacing w:after="0" w:line="268" w:lineRule="auto"/>
        <w:tabs>
          <w:tab w:leader="none" w:pos="760" w:val="left"/>
        </w:tabs>
        <w:numPr>
          <w:ilvl w:val="0"/>
          <w:numId w:val="6"/>
        </w:numPr>
        <w:rPr>
          <w:rFonts w:ascii="Calibri" w:cs="Calibri" w:eastAsia="Calibri" w:hAnsi="Calibri"/>
          <w:sz w:val="14"/>
          <w:szCs w:val="14"/>
          <w:color w:val="auto"/>
        </w:rPr>
      </w:pPr>
      <w:r>
        <w:rPr>
          <w:rFonts w:ascii="Arial" w:cs="Arial" w:eastAsia="Arial" w:hAnsi="Arial"/>
          <w:sz w:val="14"/>
          <w:szCs w:val="14"/>
          <w:color w:val="auto"/>
        </w:rPr>
        <w:t>For the year ended December 31, 2025, includes 45 structured credit investments with a total principal amount of $114.9 million and a weighted average term of 12.3 years.</w:t>
      </w:r>
    </w:p>
    <w:p>
      <w:pPr>
        <w:spacing w:after="0" w:line="15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$125 billion in assets under management and committed capital. For more information, visit the Company’s website at </w:t>
      </w:r>
      <w:r>
        <w:rPr>
          <w:rFonts w:ascii="Arial" w:cs="Arial" w:eastAsia="Arial" w:hAnsi="Arial"/>
          <w:sz w:val="18"/>
          <w:szCs w:val="18"/>
          <w:color w:val="0563C1"/>
        </w:rPr>
        <w:t>https://sixthstreetspecialtylending.com</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Sixth Street is a global investment firm with over $125 billion in assets under management and committed capital. The firm uses its long-term flexible capital, data-enabled capabilities, and One Team culture to develop themes and offer solutions to companies across all stages of growth. Founded in 2009, Sixth Street has more than 740 team members including over 300 investment professionals around the world. For more information, visit https://sixthstreet.com or follow Sixth Street on LinkedIn.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Statements included herein may constitute “forward-looking statements,” within the meaning of the federal securities laws and the Private Securities Litigation Reform Act of 1995, which relate to future events or the Company’s future performance or financial condition. These forward-looking statements can be identified by the use of forward-looking terminology, such as “outlook,” “indicator,” “believes,” “expects,” “potential,” “continues,” “may,” “can,” “will,” “should,” “seeks,” “approximately,” “predicts,” “intends,” “plans,” “estimates,” “anticipates”, “confident,” “conviction,” “identified” or the negative versions of these words or other comparable words thereof.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which are accessible on the SEC’s website at www.sec.gov. Except as otherwise required by federal securities laws, the Company assumes no obligation to update any such forward-looking statements, whether as a result of new information, future developments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rPr>
          <w:sz w:val="20"/>
          <w:szCs w:val="20"/>
          <w:color w:val="auto"/>
        </w:rPr>
      </w:pPr>
      <w:r>
        <w:rPr>
          <w:rFonts w:ascii="Arial" w:cs="Arial" w:eastAsia="Arial" w:hAnsi="Arial"/>
          <w:sz w:val="18"/>
          <w:szCs w:val="18"/>
          <w:color w:val="auto"/>
        </w:rPr>
        <w:t>IRTSLX@sixthstreet.com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234" w:lineRule="auto"/>
        <w:rPr>
          <w:sz w:val="20"/>
          <w:szCs w:val="20"/>
          <w:color w:val="auto"/>
        </w:rPr>
      </w:pPr>
      <w:r>
        <w:rPr>
          <w:rFonts w:ascii="Arial" w:cs="Arial" w:eastAsia="Arial" w:hAnsi="Arial"/>
          <w:sz w:val="18"/>
          <w:szCs w:val="18"/>
          <w:color w:val="auto"/>
        </w:rPr>
        <w:t>PClifford@sixthstreet.com</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2026-02-12T15:14:03Z</dcterms:created>
  <dcterms:modified xsi:type="dcterms:W3CDTF">2026-02-12T15:14:03Z</dcterms:modified>
</cp:coreProperties>
</file>