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1023620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158750</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0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165100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90805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0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Sixth Street Specialty Lending, Inc.</w:t>
      </w:r>
    </w:p>
    <w:p>
      <w:pPr>
        <w:spacing w:after="0" w:line="5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90170</wp:posOffset>
            </wp:positionV>
            <wp:extent cx="2383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tbl>
      <w:tblPr>
        <w:tblLayout w:type="fixed"/>
        <w:tblInd w:w="540" w:type="dxa"/>
        <w:tblCellMar>
          <w:top w:w="0" w:type="dxa"/>
          <w:left w:w="0" w:type="dxa"/>
          <w:bottom w:w="0" w:type="dxa"/>
          <w:right w:w="0" w:type="dxa"/>
        </w:tblCellMar>
      </w:tblPr>
      <w:tr>
        <w:trPr>
          <w:trHeight w:val="214"/>
        </w:trPr>
        <w:tc>
          <w:tcPr>
            <w:tcW w:w="3760" w:type="dxa"/>
            <w:vAlign w:val="bottom"/>
          </w:tcPr>
          <w:p>
            <w:pPr>
              <w:jc w:val="center"/>
              <w:ind w:right="93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22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001-36364</w:t>
            </w:r>
          </w:p>
        </w:tc>
        <w:tc>
          <w:tcPr>
            <w:tcW w:w="250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27-3380000</w:t>
            </w:r>
          </w:p>
        </w:tc>
      </w:tr>
      <w:tr>
        <w:trPr>
          <w:trHeight w:val="149"/>
        </w:trPr>
        <w:tc>
          <w:tcPr>
            <w:tcW w:w="3760" w:type="dxa"/>
            <w:vAlign w:val="bottom"/>
          </w:tcPr>
          <w:p>
            <w:pPr>
              <w:jc w:val="center"/>
              <w:ind w:right="9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500" w:type="dxa"/>
            <w:vAlign w:val="bottom"/>
          </w:tcPr>
          <w:p>
            <w:pPr>
              <w:jc w:val="center"/>
              <w:ind w:left="12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760" w:type="dxa"/>
            <w:vAlign w:val="bottom"/>
          </w:tcPr>
          <w:p>
            <w:pPr>
              <w:jc w:val="center"/>
              <w:ind w:right="93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220" w:type="dxa"/>
            <w:vAlign w:val="bottom"/>
          </w:tcPr>
          <w:p>
            <w:pPr>
              <w:ind w:left="10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00" w:type="dxa"/>
            <w:vAlign w:val="bottom"/>
          </w:tcPr>
          <w:p>
            <w:pPr>
              <w:jc w:val="center"/>
              <w:ind w:left="12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8"/>
        </w:trPr>
        <w:tc>
          <w:tcPr>
            <w:tcW w:w="3760" w:type="dxa"/>
            <w:vAlign w:val="bottom"/>
          </w:tcPr>
          <w:p>
            <w:pPr>
              <w:jc w:val="center"/>
              <w:ind w:right="939"/>
              <w:spacing w:after="0"/>
              <w:rPr>
                <w:sz w:val="20"/>
                <w:szCs w:val="20"/>
                <w:color w:val="auto"/>
              </w:rPr>
            </w:pPr>
            <w:r>
              <w:rPr>
                <w:rFonts w:ascii="Times New Roman" w:cs="Times New Roman" w:eastAsia="Times New Roman" w:hAnsi="Times New Roman"/>
                <w:sz w:val="18"/>
                <w:szCs w:val="18"/>
                <w:b w:val="1"/>
                <w:bCs w:val="1"/>
                <w:color w:val="auto"/>
              </w:rPr>
              <w:t>2100 McKinney Avenue, Suite 1100</w:t>
            </w:r>
          </w:p>
        </w:tc>
        <w:tc>
          <w:tcPr>
            <w:tcW w:w="32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14"/>
        </w:trPr>
        <w:tc>
          <w:tcPr>
            <w:tcW w:w="3760" w:type="dxa"/>
            <w:vAlign w:val="bottom"/>
          </w:tcPr>
          <w:p>
            <w:pPr>
              <w:jc w:val="center"/>
              <w:ind w:right="939"/>
              <w:spacing w:after="0"/>
              <w:rPr>
                <w:sz w:val="20"/>
                <w:szCs w:val="20"/>
                <w:color w:val="auto"/>
              </w:rPr>
            </w:pPr>
            <w:r>
              <w:rPr>
                <w:rFonts w:ascii="Times New Roman" w:cs="Times New Roman" w:eastAsia="Times New Roman" w:hAnsi="Times New Roman"/>
                <w:sz w:val="18"/>
                <w:szCs w:val="18"/>
                <w:b w:val="1"/>
                <w:bCs w:val="1"/>
                <w:color w:val="auto"/>
                <w:w w:val="99"/>
              </w:rPr>
              <w:t>Dallas, TX</w:t>
            </w:r>
          </w:p>
        </w:tc>
        <w:tc>
          <w:tcPr>
            <w:tcW w:w="3220" w:type="dxa"/>
            <w:vAlign w:val="bottom"/>
          </w:tcPr>
          <w:p>
            <w:pPr>
              <w:spacing w:after="0"/>
              <w:rPr>
                <w:sz w:val="18"/>
                <w:szCs w:val="18"/>
                <w:color w:val="auto"/>
              </w:rPr>
            </w:pPr>
          </w:p>
        </w:tc>
        <w:tc>
          <w:tcPr>
            <w:tcW w:w="25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75201</w:t>
            </w:r>
          </w:p>
        </w:tc>
      </w:tr>
      <w:tr>
        <w:trPr>
          <w:trHeight w:val="190"/>
        </w:trPr>
        <w:tc>
          <w:tcPr>
            <w:tcW w:w="3760" w:type="dxa"/>
            <w:vAlign w:val="bottom"/>
          </w:tcPr>
          <w:p>
            <w:pPr>
              <w:jc w:val="center"/>
              <w:ind w:right="9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20" w:type="dxa"/>
            <w:vAlign w:val="bottom"/>
          </w:tcPr>
          <w:p>
            <w:pPr>
              <w:spacing w:after="0"/>
              <w:rPr>
                <w:sz w:val="16"/>
                <w:szCs w:val="16"/>
                <w:color w:val="auto"/>
              </w:rPr>
            </w:pPr>
          </w:p>
        </w:tc>
        <w:tc>
          <w:tcPr>
            <w:tcW w:w="2500" w:type="dxa"/>
            <w:vAlign w:val="bottom"/>
          </w:tcPr>
          <w:p>
            <w:pPr>
              <w:jc w:val="center"/>
              <w:ind w:left="12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71120</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55"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143" w:lineRule="exact"/>
        <w:rPr>
          <w:sz w:val="24"/>
          <w:szCs w:val="24"/>
          <w:color w:val="auto"/>
        </w:rPr>
      </w:pPr>
    </w:p>
    <w:tbl>
      <w:tblPr>
        <w:tblLayout w:type="fixed"/>
        <w:tblInd w:w="600" w:type="dxa"/>
        <w:tblCellMar>
          <w:top w:w="0" w:type="dxa"/>
          <w:left w:w="0" w:type="dxa"/>
          <w:bottom w:w="0" w:type="dxa"/>
          <w:right w:w="0" w:type="dxa"/>
        </w:tblCellMar>
      </w:tblPr>
      <w:tr>
        <w:trPr>
          <w:trHeight w:val="162"/>
        </w:trPr>
        <w:tc>
          <w:tcPr>
            <w:tcW w:w="3500" w:type="dxa"/>
            <w:vAlign w:val="bottom"/>
          </w:tcPr>
          <w:p>
            <w:pPr>
              <w:jc w:val="center"/>
              <w:ind w:right="86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80" w:type="dxa"/>
            <w:vAlign w:val="bottom"/>
          </w:tcPr>
          <w:p>
            <w:pPr>
              <w:jc w:val="center"/>
              <w:ind w:left="82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90"/>
        </w:trPr>
        <w:tc>
          <w:tcPr>
            <w:tcW w:w="3500" w:type="dxa"/>
            <w:vAlign w:val="bottom"/>
          </w:tcPr>
          <w:p>
            <w:pPr>
              <w:jc w:val="center"/>
              <w:ind w:right="848"/>
              <w:spacing w:after="0"/>
              <w:rPr>
                <w:sz w:val="20"/>
                <w:szCs w:val="20"/>
                <w:color w:val="auto"/>
              </w:rPr>
            </w:pPr>
            <w:r>
              <w:rPr>
                <w:rFonts w:ascii="Times New Roman" w:cs="Times New Roman" w:eastAsia="Times New Roman" w:hAnsi="Times New Roman"/>
                <w:sz w:val="14"/>
                <w:szCs w:val="14"/>
                <w:b w:val="1"/>
                <w:bCs w:val="1"/>
                <w:color w:val="auto"/>
              </w:rPr>
              <w:t>Common Stock, par value $0.01 per share</w:t>
            </w:r>
          </w:p>
        </w:tc>
        <w:tc>
          <w:tcPr>
            <w:tcW w:w="3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TSLX</w:t>
            </w:r>
          </w:p>
        </w:tc>
        <w:tc>
          <w:tcPr>
            <w:tcW w:w="3580" w:type="dxa"/>
            <w:vAlign w:val="bottom"/>
          </w:tcPr>
          <w:p>
            <w:pPr>
              <w:jc w:val="center"/>
              <w:ind w:left="828"/>
              <w:spacing w:after="0"/>
              <w:rPr>
                <w:sz w:val="20"/>
                <w:szCs w:val="20"/>
                <w:color w:val="auto"/>
              </w:rPr>
            </w:pPr>
            <w:r>
              <w:rPr>
                <w:rFonts w:ascii="Times New Roman" w:cs="Times New Roman" w:eastAsia="Times New Roman" w:hAnsi="Times New Roman"/>
                <w:sz w:val="14"/>
                <w:szCs w:val="14"/>
                <w:b w:val="1"/>
                <w:bCs w:val="1"/>
                <w:color w:val="auto"/>
              </w:rPr>
              <w:t>The 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-217805</wp:posOffset>
            </wp:positionV>
            <wp:extent cx="7134225" cy="2165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216535"/>
                    </a:xfrm>
                    <a:prstGeom prst="rect">
                      <a:avLst/>
                    </a:prstGeom>
                    <a:noFill/>
                  </pic:spPr>
                </pic:pic>
              </a:graphicData>
            </a:graphic>
          </wp:anchor>
        </w:drawing>
      </w:r>
    </w:p>
    <w:p>
      <w:pPr>
        <w:spacing w:after="0" w:line="80" w:lineRule="exact"/>
        <w:rPr>
          <w:sz w:val="24"/>
          <w:szCs w:val="24"/>
          <w:color w:val="auto"/>
        </w:rPr>
      </w:pPr>
    </w:p>
    <w:p>
      <w:pPr>
        <w:jc w:val="both"/>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1101725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 Results of Operations and Financial Condition</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November 3, 2026, Sixth Street Specialty Lending, Inc. (the “Company”) issued a press release announcing its financial results for the three months ended September 30, 2026. The text of the press release is included as Exhibit 99.1 to this Form 8-K.</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disclosed under this Item 2.02,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 Regulation FD Disclosure</w:t>
      </w:r>
    </w:p>
    <w:p>
      <w:pPr>
        <w:spacing w:after="0" w:line="12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On November 3, 2026, the Company issued a press release, included herewith as Exhibit 99.1, announcing the declaration of a fourth quarter 2026 base dividend per share of $0.42 to shareholders of record as of December 15, 2026, payable on December 31, 2026, and a third quarter 2026 supplemental dividend per share of $0.01 to shareholders of record as of November 30, 2026, payable on December 21, 2026.</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3"/>
                <w:szCs w:val="13"/>
                <w:color w:val="auto"/>
              </w:rPr>
            </w:pPr>
          </w:p>
        </w:tc>
        <w:tc>
          <w:tcPr>
            <w:tcW w:w="9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5"/>
                <w:szCs w:val="15"/>
                <w:color w:val="auto"/>
              </w:rPr>
            </w:pPr>
          </w:p>
        </w:tc>
        <w:tc>
          <w:tcPr>
            <w:tcW w:w="9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60" w:type="dxa"/>
            <w:vAlign w:val="bottom"/>
            <w:tcBorders>
              <w:right w:val="single" w:sz="8" w:color="auto"/>
            </w:tcBorders>
            <w:shd w:val="clear" w:color="auto" w:fill="000000"/>
          </w:tcPr>
          <w:p>
            <w:pPr>
              <w:spacing w:after="0" w:line="20" w:lineRule="exact"/>
              <w:rPr>
                <w:sz w:val="1"/>
                <w:szCs w:val="1"/>
                <w:color w:val="auto"/>
              </w:rPr>
            </w:pPr>
          </w:p>
        </w:tc>
        <w:tc>
          <w:tcPr>
            <w:tcW w:w="7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6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November 3, 2026</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860" w:type="dxa"/>
            <w:vAlign w:val="bottom"/>
            <w:tcBorders>
              <w:right w:val="single" w:sz="8" w:color="0000EE"/>
            </w:tcBorders>
            <w:shd w:val="clear" w:color="auto" w:fill="0000FF"/>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cover page of this Current Report on Form 8-K, formatted in Inline XBRL</w:t>
            </w:r>
          </w:p>
        </w:tc>
        <w:tc>
          <w:tcPr>
            <w:tcW w:w="0" w:type="dxa"/>
            <w:vAlign w:val="bottom"/>
          </w:tcPr>
          <w:p>
            <w:pPr>
              <w:spacing w:after="0"/>
              <w:rPr>
                <w:sz w:val="1"/>
                <w:szCs w:val="1"/>
                <w:color w:val="auto"/>
              </w:rPr>
            </w:pPr>
          </w:p>
        </w:tc>
      </w:tr>
      <w:tr>
        <w:trPr>
          <w:trHeight w:val="1627"/>
        </w:trPr>
        <w:tc>
          <w:tcPr>
            <w:tcW w:w="1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7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540" w:type="dxa"/>
            <w:vAlign w:val="bottom"/>
            <w:gridSpan w:val="2"/>
          </w:tcPr>
          <w:p>
            <w:pPr>
              <w:ind w:left="1920"/>
              <w:spacing w:after="0"/>
              <w:rPr>
                <w:sz w:val="20"/>
                <w:szCs w:val="20"/>
                <w:color w:val="auto"/>
              </w:rPr>
            </w:pPr>
            <w:r>
              <w:rPr>
                <w:rFonts w:ascii="Times New Roman" w:cs="Times New Roman" w:eastAsia="Times New Roman" w:hAnsi="Times New Roman"/>
                <w:sz w:val="20"/>
                <w:szCs w:val="20"/>
                <w:color w:val="auto"/>
              </w:rPr>
              <w:t>SIXTH STREET SPECIALTY LENDING, INC.</w:t>
            </w:r>
          </w:p>
        </w:tc>
      </w:tr>
      <w:tr>
        <w:trPr>
          <w:trHeight w:val="234"/>
        </w:trPr>
        <w:tc>
          <w:tcPr>
            <w:tcW w:w="37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2026</w:t>
            </w:r>
          </w:p>
        </w:tc>
        <w:tc>
          <w:tcPr>
            <w:tcW w:w="75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/s/ Ian Simmonds</w:t>
            </w:r>
          </w:p>
        </w:tc>
      </w:tr>
      <w:tr>
        <w:trPr>
          <w:trHeight w:val="191"/>
        </w:trPr>
        <w:tc>
          <w:tcPr>
            <w:tcW w:w="37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Ian Simmonds</w:t>
            </w:r>
          </w:p>
        </w:tc>
      </w:tr>
      <w:tr>
        <w:trPr>
          <w:trHeight w:val="234"/>
        </w:trPr>
        <w:tc>
          <w:tcPr>
            <w:tcW w:w="37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627"/>
        </w:trPr>
        <w:tc>
          <w:tcPr>
            <w:tcW w:w="370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551940" cy="3771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5194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color w:val="004A48"/>
        </w:rPr>
        <w:t>Third Quarter 2026 Earnings Results</w:t>
      </w:r>
    </w:p>
    <w:p>
      <w:pPr>
        <w:spacing w:after="0" w:line="351" w:lineRule="exact"/>
        <w:rPr>
          <w:sz w:val="20"/>
          <w:szCs w:val="20"/>
          <w:color w:val="auto"/>
        </w:rPr>
      </w:pPr>
    </w:p>
    <w:p>
      <w:pPr>
        <w:ind w:right="280"/>
        <w:spacing w:after="0" w:line="257" w:lineRule="auto"/>
        <w:rPr>
          <w:sz w:val="20"/>
          <w:szCs w:val="20"/>
          <w:color w:val="auto"/>
        </w:rPr>
      </w:pPr>
      <w:r>
        <w:rPr>
          <w:rFonts w:ascii="Arial" w:cs="Arial" w:eastAsia="Arial" w:hAnsi="Arial"/>
          <w:sz w:val="20"/>
          <w:szCs w:val="20"/>
          <w:color w:val="auto"/>
        </w:rPr>
        <w:t>NEW YORK — November 3, 2026 — Sixth Street Specialty Lending, Inc. (NYSE: TSLX, or the “Company”) today announced financial results for its third quarter ended September 30, 2026.</w:t>
      </w:r>
    </w:p>
    <w:p>
      <w:pPr>
        <w:spacing w:after="0" w:line="14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Third Quarter Highlights</w:t>
      </w:r>
    </w:p>
    <w:p>
      <w:pPr>
        <w:spacing w:after="0" w:line="125" w:lineRule="exact"/>
        <w:rPr>
          <w:sz w:val="20"/>
          <w:szCs w:val="20"/>
          <w:color w:val="auto"/>
        </w:rPr>
      </w:pPr>
    </w:p>
    <w:p>
      <w:pPr>
        <w:ind w:left="680" w:hanging="372"/>
        <w:spacing w:after="0"/>
        <w:tabs>
          <w:tab w:leader="none" w:pos="68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Third quarter GAAP net investment income (“NII”) per share of $0.44 and GAAP net income (“NI”) per share of $0.36</w:t>
      </w:r>
    </w:p>
    <w:p>
      <w:pPr>
        <w:spacing w:after="0" w:line="30" w:lineRule="exact"/>
        <w:rPr>
          <w:rFonts w:ascii="Times New Roman" w:cs="Times New Roman" w:eastAsia="Times New Roman" w:hAnsi="Times New Roman"/>
          <w:sz w:val="20"/>
          <w:szCs w:val="20"/>
          <w:color w:val="auto"/>
        </w:rPr>
      </w:pPr>
    </w:p>
    <w:p>
      <w:pPr>
        <w:ind w:left="680" w:right="500" w:hanging="372"/>
        <w:spacing w:after="0" w:line="208" w:lineRule="auto"/>
        <w:tabs>
          <w:tab w:leader="none" w:pos="68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Third quarter adjusted NII and NI per share</w:t>
      </w:r>
      <w:r>
        <w:rPr>
          <w:rFonts w:ascii="Arial" w:cs="Arial" w:eastAsia="Arial" w:hAnsi="Arial"/>
          <w:sz w:val="26"/>
          <w:szCs w:val="26"/>
          <w:color w:val="auto"/>
          <w:vertAlign w:val="superscript"/>
        </w:rPr>
        <w:t>1</w:t>
      </w:r>
      <w:r>
        <w:rPr>
          <w:rFonts w:ascii="Arial" w:cs="Arial" w:eastAsia="Arial" w:hAnsi="Arial"/>
          <w:sz w:val="20"/>
          <w:szCs w:val="20"/>
          <w:color w:val="auto"/>
        </w:rPr>
        <w:t xml:space="preserve"> of $0.44 and $0.36, respectively, as compared with the prior quarter of $0.43 and $0.43, respectively</w:t>
      </w:r>
    </w:p>
    <w:p>
      <w:pPr>
        <w:ind w:left="680" w:hanging="372"/>
        <w:spacing w:after="0" w:line="238" w:lineRule="auto"/>
        <w:tabs>
          <w:tab w:leader="none" w:pos="68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Annualized return on equity (ROE) on NII and NI of 10.7% and 8.9%, respectively</w:t>
      </w:r>
    </w:p>
    <w:p>
      <w:pPr>
        <w:ind w:left="680" w:right="40" w:hanging="372"/>
        <w:spacing w:after="0" w:line="225" w:lineRule="auto"/>
        <w:tabs>
          <w:tab w:leader="none" w:pos="68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Net asset value per share of $16.19, as compared with $16.24 as of June 30, 2026. The movement was driven by the combination of (i) the impact of tightening credit spreads, (ii) a continued recovery in equity market multiples, (iii) the reversal of unrealized gains related to paydowns, most of which was recognized through net investment income, and (iv) credit-related declines in a small number of investments.</w:t>
      </w:r>
    </w:p>
    <w:p>
      <w:pPr>
        <w:ind w:left="680" w:right="320" w:hanging="372"/>
        <w:spacing w:after="0" w:line="225" w:lineRule="auto"/>
        <w:tabs>
          <w:tab w:leader="none" w:pos="68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New investment fundings for the third quarter were $247 million and paydowns and sales were $160 million, as compared with $137 million of new investment fundings and $192 million of paydowns and sales for the three months ended June 30, 2026</w:t>
      </w:r>
    </w:p>
    <w:p>
      <w:pPr>
        <w:ind w:left="680" w:right="20" w:hanging="372"/>
        <w:spacing w:after="0" w:line="239" w:lineRule="auto"/>
        <w:tabs>
          <w:tab w:leader="none" w:pos="68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Investments on non-accrual represented 1.8% and 1.1% of the portfolio at cost and fair value, respectively, as compared with 1.9% and 1.3% as of June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122555</wp:posOffset>
            </wp:positionV>
            <wp:extent cx="8255" cy="685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685800"/>
                    </a:xfrm>
                    <a:prstGeom prst="rect">
                      <a:avLst/>
                    </a:prstGeom>
                    <a:noFill/>
                  </pic:spPr>
                </pic:pic>
              </a:graphicData>
            </a:graphic>
          </wp:anchor>
        </w:drawing>
      </w:r>
    </w:p>
    <w:p>
      <w:pPr>
        <w:spacing w:after="0" w:line="205" w:lineRule="exact"/>
        <w:rPr>
          <w:sz w:val="20"/>
          <w:szCs w:val="20"/>
          <w:color w:val="auto"/>
        </w:rPr>
      </w:pPr>
    </w:p>
    <w:p>
      <w:pPr>
        <w:jc w:val="both"/>
        <w:ind w:left="1000" w:right="1020"/>
        <w:spacing w:after="0" w:line="241" w:lineRule="auto"/>
        <w:rPr>
          <w:sz w:val="20"/>
          <w:szCs w:val="20"/>
          <w:color w:val="auto"/>
        </w:rPr>
      </w:pPr>
      <w:r>
        <w:rPr>
          <w:rFonts w:ascii="Arial" w:cs="Arial" w:eastAsia="Arial" w:hAnsi="Arial"/>
          <w:sz w:val="20"/>
          <w:szCs w:val="20"/>
          <w:i w:val="1"/>
          <w:iCs w:val="1"/>
          <w:color w:val="003635"/>
        </w:rPr>
        <w:t>“Our objective is not to compete for the same investments on the same terms, but to bring a differentiated perspective to where and how we invest capital. We believe these capabilities position us well to navigate an increasingly bifurcated market and compound long-term value for our shareholders.”</w:t>
      </w:r>
    </w:p>
    <w:p>
      <w:pPr>
        <w:spacing w:after="0" w:line="63" w:lineRule="exact"/>
        <w:rPr>
          <w:sz w:val="20"/>
          <w:szCs w:val="20"/>
          <w:color w:val="auto"/>
        </w:rPr>
      </w:pPr>
    </w:p>
    <w:p>
      <w:pPr>
        <w:ind w:left="1000"/>
        <w:spacing w:after="0"/>
        <w:rPr>
          <w:sz w:val="20"/>
          <w:szCs w:val="20"/>
          <w:color w:val="auto"/>
        </w:rPr>
      </w:pPr>
      <w:r>
        <w:rPr>
          <w:rFonts w:ascii="Arial" w:cs="Arial" w:eastAsia="Arial" w:hAnsi="Arial"/>
          <w:sz w:val="20"/>
          <w:szCs w:val="20"/>
          <w:i w:val="1"/>
          <w:iCs w:val="1"/>
          <w:color w:val="003635"/>
        </w:rPr>
        <w:t>- Bo Stanley, Chief Executive Officer</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Dividend Declaration</w:t>
      </w:r>
    </w:p>
    <w:p>
      <w:pPr>
        <w:spacing w:after="0" w:line="125" w:lineRule="exact"/>
        <w:rPr>
          <w:sz w:val="20"/>
          <w:szCs w:val="20"/>
          <w:color w:val="auto"/>
        </w:rPr>
      </w:pPr>
    </w:p>
    <w:p>
      <w:pPr>
        <w:ind w:right="420"/>
        <w:spacing w:after="0" w:line="260" w:lineRule="auto"/>
        <w:rPr>
          <w:sz w:val="20"/>
          <w:szCs w:val="20"/>
          <w:color w:val="auto"/>
        </w:rPr>
      </w:pPr>
      <w:r>
        <w:rPr>
          <w:rFonts w:ascii="Arial" w:cs="Arial" w:eastAsia="Arial" w:hAnsi="Arial"/>
          <w:sz w:val="19"/>
          <w:szCs w:val="19"/>
          <w:color w:val="auto"/>
        </w:rPr>
        <w:t>The Company announced that its Board of Directors has declared a fourth quarter 2026 base dividend of $0.42 per share to shareholders of record as of December 15, 2026, payable on December 31, 2026, and a third quarter 2026 supplemental dividend per share of $0.01 to shareholders of record as of November 30, 2026, payable on December 21,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168846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308" w:lineRule="exact"/>
        <w:rPr>
          <w:sz w:val="20"/>
          <w:szCs w:val="20"/>
          <w:color w:val="auto"/>
        </w:rPr>
      </w:pPr>
    </w:p>
    <w:p>
      <w:pPr>
        <w:ind w:right="280" w:firstLine="8"/>
        <w:spacing w:after="0" w:line="222" w:lineRule="auto"/>
        <w:tabs>
          <w:tab w:leader="none" w:pos="93"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Adjusted to exclude the capital gains incentive fee that was accrued, but not paid, related to cumulative unrealized capital gains in excess of cumulative net realized capital gains less any cumulative unrealized losses and capital gains incentive fees paid inception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910590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0" w:right="339" w:bottom="1440" w:gutter="0" w:footer="0" w:header="0"/>
        </w:sectPr>
      </w:pPr>
    </w:p>
    <w:bookmarkStart w:id="4" w:name="page5"/>
    <w:bookmarkEnd w:id="4"/>
    <w:p>
      <w:pPr>
        <w:spacing w:after="0" w:line="1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406400</wp:posOffset>
            </wp:positionV>
            <wp:extent cx="840105" cy="205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840105" cy="205740"/>
                    </a:xfrm>
                    <a:prstGeom prst="rect">
                      <a:avLst/>
                    </a:prstGeom>
                    <a:noFill/>
                  </pic:spPr>
                </pic:pic>
              </a:graphicData>
            </a:graphic>
          </wp:anchor>
        </w:drawing>
      </w:r>
    </w:p>
    <w:p>
      <w:pPr>
        <w:spacing w:after="0"/>
        <w:rPr>
          <w:sz w:val="20"/>
          <w:szCs w:val="20"/>
          <w:color w:val="auto"/>
        </w:rPr>
      </w:pPr>
      <w:r>
        <w:rPr>
          <w:rFonts w:ascii="Arial" w:cs="Arial" w:eastAsia="Arial" w:hAnsi="Arial"/>
          <w:sz w:val="29"/>
          <w:szCs w:val="29"/>
          <w:b w:val="1"/>
          <w:bCs w:val="1"/>
          <w:color w:val="auto"/>
        </w:rPr>
        <w:t>Financial Highlights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12"/>
                <w:szCs w:val="12"/>
                <w:color w:val="auto"/>
              </w:rPr>
            </w:pPr>
          </w:p>
        </w:tc>
        <w:tc>
          <w:tcPr>
            <w:tcW w:w="156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c>
          <w:tcPr>
            <w:tcW w:w="1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72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5"/>
                <w:szCs w:val="15"/>
                <w:color w:val="auto"/>
              </w:rPr>
            </w:pPr>
          </w:p>
        </w:tc>
        <w:tc>
          <w:tcPr>
            <w:tcW w:w="17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GAAP Results:</w:t>
            </w:r>
          </w:p>
        </w:tc>
        <w:tc>
          <w:tcPr>
            <w:tcW w:w="12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3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82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Net Income (Loss) Per Share</w:t>
            </w:r>
          </w:p>
        </w:tc>
        <w:tc>
          <w:tcPr>
            <w:tcW w:w="120" w:type="dxa"/>
            <w:vAlign w:val="bottom"/>
          </w:tcPr>
          <w:p>
            <w:pPr>
              <w:jc w:val="right"/>
              <w:spacing w:after="0" w:line="164" w:lineRule="exact"/>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0.36</w:t>
            </w:r>
          </w:p>
        </w:tc>
        <w:tc>
          <w:tcPr>
            <w:tcW w:w="380" w:type="dxa"/>
            <w:vAlign w:val="bottom"/>
          </w:tcPr>
          <w:p>
            <w:pPr>
              <w:spacing w:after="0"/>
              <w:rPr>
                <w:sz w:val="17"/>
                <w:szCs w:val="17"/>
                <w:color w:val="auto"/>
              </w:rPr>
            </w:pPr>
          </w:p>
        </w:tc>
        <w:tc>
          <w:tcPr>
            <w:tcW w:w="1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0.32</w:t>
            </w:r>
          </w:p>
        </w:tc>
        <w:tc>
          <w:tcPr>
            <w:tcW w:w="400" w:type="dxa"/>
            <w:vAlign w:val="bottom"/>
          </w:tcPr>
          <w:p>
            <w:pPr>
              <w:spacing w:after="0"/>
              <w:rPr>
                <w:sz w:val="17"/>
                <w:szCs w:val="17"/>
                <w:color w:val="auto"/>
              </w:rPr>
            </w:pPr>
          </w:p>
        </w:tc>
        <w:tc>
          <w:tcPr>
            <w:tcW w:w="100" w:type="dxa"/>
            <w:vAlign w:val="bottom"/>
          </w:tcPr>
          <w:p>
            <w:pPr>
              <w:jc w:val="right"/>
              <w:spacing w:after="0" w:line="164" w:lineRule="exact"/>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0.47</w:t>
            </w:r>
          </w:p>
        </w:tc>
        <w:tc>
          <w:tcPr>
            <w:tcW w:w="180" w:type="dxa"/>
            <w:vAlign w:val="bottom"/>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582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 xml:space="preserve">Annualized Return on Equity (Net Investment Income) </w:t>
            </w:r>
            <w:r>
              <w:rPr>
                <w:rFonts w:ascii="Times New Roman" w:cs="Times New Roman" w:eastAsia="Times New Roman" w:hAnsi="Times New Roman"/>
                <w:sz w:val="19"/>
                <w:szCs w:val="19"/>
                <w:color w:val="auto"/>
                <w:vertAlign w:val="superscript"/>
              </w:rPr>
              <w:t>(1)</w:t>
            </w:r>
          </w:p>
        </w:tc>
        <w:tc>
          <w:tcPr>
            <w:tcW w:w="120" w:type="dxa"/>
            <w:vAlign w:val="bottom"/>
          </w:tcPr>
          <w:p>
            <w:pPr>
              <w:spacing w:after="0"/>
              <w:rPr>
                <w:sz w:val="14"/>
                <w:szCs w:val="14"/>
                <w:color w:val="auto"/>
              </w:rPr>
            </w:pPr>
          </w:p>
        </w:tc>
        <w:tc>
          <w:tcPr>
            <w:tcW w:w="1780" w:type="dxa"/>
            <w:vAlign w:val="bottom"/>
            <w:gridSpan w:val="2"/>
          </w:tcPr>
          <w:p>
            <w:pPr>
              <w:jc w:val="right"/>
              <w:ind w:right="240"/>
              <w:spacing w:after="0" w:line="164" w:lineRule="exact"/>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14"/>
                <w:szCs w:val="14"/>
                <w:color w:val="auto"/>
              </w:rPr>
            </w:pPr>
          </w:p>
        </w:tc>
        <w:tc>
          <w:tcPr>
            <w:tcW w:w="1560" w:type="dxa"/>
            <w:vAlign w:val="bottom"/>
            <w:gridSpan w:val="2"/>
          </w:tcPr>
          <w:p>
            <w:pPr>
              <w:jc w:val="right"/>
              <w:ind w:right="260"/>
              <w:spacing w:after="0" w:line="164" w:lineRule="exact"/>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4"/>
                <w:szCs w:val="14"/>
                <w:color w:val="auto"/>
              </w:rPr>
            </w:pPr>
          </w:p>
        </w:tc>
        <w:tc>
          <w:tcPr>
            <w:tcW w:w="1520" w:type="dxa"/>
            <w:vAlign w:val="bottom"/>
            <w:gridSpan w:val="2"/>
          </w:tcPr>
          <w:p>
            <w:pPr>
              <w:jc w:val="right"/>
              <w:ind w:right="20"/>
              <w:spacing w:after="0" w:line="164" w:lineRule="exact"/>
              <w:rPr>
                <w:sz w:val="20"/>
                <w:szCs w:val="20"/>
                <w:color w:val="auto"/>
              </w:rPr>
            </w:pPr>
            <w:r>
              <w:rPr>
                <w:rFonts w:ascii="Times New Roman" w:cs="Times New Roman" w:eastAsia="Times New Roman" w:hAnsi="Times New Roman"/>
                <w:sz w:val="18"/>
                <w:szCs w:val="18"/>
                <w:color w:val="auto"/>
              </w:rPr>
              <w:t>12.5%</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582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 xml:space="preserve">Annualized Return on Equity (Net Income (Loss)) </w:t>
            </w:r>
            <w:r>
              <w:rPr>
                <w:rFonts w:ascii="Times New Roman" w:cs="Times New Roman" w:eastAsia="Times New Roman" w:hAnsi="Times New Roman"/>
                <w:sz w:val="24"/>
                <w:szCs w:val="24"/>
                <w:color w:val="auto"/>
                <w:vertAlign w:val="superscript"/>
              </w:rPr>
              <w:t>(1)</w:t>
            </w:r>
          </w:p>
        </w:tc>
        <w:tc>
          <w:tcPr>
            <w:tcW w:w="120" w:type="dxa"/>
            <w:vAlign w:val="bottom"/>
          </w:tcPr>
          <w:p>
            <w:pPr>
              <w:spacing w:after="0"/>
              <w:rPr>
                <w:sz w:val="23"/>
                <w:szCs w:val="23"/>
                <w:color w:val="auto"/>
              </w:rPr>
            </w:pPr>
          </w:p>
        </w:tc>
        <w:tc>
          <w:tcPr>
            <w:tcW w:w="1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tcPr>
          <w:p>
            <w:pPr>
              <w:spacing w:after="0"/>
              <w:rPr>
                <w:sz w:val="23"/>
                <w:szCs w:val="23"/>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3"/>
                <w:szCs w:val="23"/>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582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 xml:space="preserve">Adjusted Net Investment Income Per Share </w:t>
            </w:r>
            <w:r>
              <w:rPr>
                <w:rFonts w:ascii="Times New Roman" w:cs="Times New Roman" w:eastAsia="Times New Roman" w:hAnsi="Times New Roman"/>
                <w:sz w:val="19"/>
                <w:szCs w:val="19"/>
                <w:color w:val="auto"/>
                <w:vertAlign w:val="superscript"/>
              </w:rPr>
              <w:t>(2)</w:t>
            </w:r>
          </w:p>
        </w:tc>
        <w:tc>
          <w:tcPr>
            <w:tcW w:w="120" w:type="dxa"/>
            <w:vAlign w:val="bottom"/>
          </w:tcPr>
          <w:p>
            <w:pPr>
              <w:jc w:val="right"/>
              <w:spacing w:after="0" w:line="164" w:lineRule="exact"/>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0.44</w:t>
            </w:r>
          </w:p>
        </w:tc>
        <w:tc>
          <w:tcPr>
            <w:tcW w:w="380" w:type="dxa"/>
            <w:vAlign w:val="bottom"/>
          </w:tcPr>
          <w:p>
            <w:pPr>
              <w:spacing w:after="0"/>
              <w:rPr>
                <w:sz w:val="14"/>
                <w:szCs w:val="14"/>
                <w:color w:val="auto"/>
              </w:rPr>
            </w:pPr>
          </w:p>
        </w:tc>
        <w:tc>
          <w:tcPr>
            <w:tcW w:w="1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0.52</w:t>
            </w:r>
          </w:p>
        </w:tc>
        <w:tc>
          <w:tcPr>
            <w:tcW w:w="400" w:type="dxa"/>
            <w:vAlign w:val="bottom"/>
          </w:tcPr>
          <w:p>
            <w:pPr>
              <w:spacing w:after="0"/>
              <w:rPr>
                <w:sz w:val="14"/>
                <w:szCs w:val="14"/>
                <w:color w:val="auto"/>
              </w:rPr>
            </w:pPr>
          </w:p>
        </w:tc>
        <w:tc>
          <w:tcPr>
            <w:tcW w:w="100" w:type="dxa"/>
            <w:vAlign w:val="bottom"/>
          </w:tcPr>
          <w:p>
            <w:pPr>
              <w:jc w:val="right"/>
              <w:spacing w:after="0" w:line="164" w:lineRule="exact"/>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0.53</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5820" w:type="dxa"/>
            <w:vAlign w:val="bottom"/>
            <w:vMerge w:val="restart"/>
          </w:tcPr>
          <w:p>
            <w:pPr>
              <w:spacing w:after="0" w:line="267" w:lineRule="exact"/>
              <w:rPr>
                <w:sz w:val="20"/>
                <w:szCs w:val="20"/>
                <w:color w:val="auto"/>
              </w:rPr>
            </w:pPr>
            <w:r>
              <w:rPr>
                <w:rFonts w:ascii="Times New Roman" w:cs="Times New Roman" w:eastAsia="Times New Roman" w:hAnsi="Times New Roman"/>
                <w:sz w:val="18"/>
                <w:szCs w:val="18"/>
                <w:color w:val="auto"/>
              </w:rPr>
              <w:t xml:space="preserve">Adjusted Net Income (Loss) Per Share </w:t>
            </w:r>
            <w:r>
              <w:rPr>
                <w:rFonts w:ascii="Times New Roman" w:cs="Times New Roman" w:eastAsia="Times New Roman" w:hAnsi="Times New Roman"/>
                <w:sz w:val="24"/>
                <w:szCs w:val="24"/>
                <w:color w:val="auto"/>
                <w:vertAlign w:val="superscript"/>
              </w:rPr>
              <w:t>(2)</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380" w:type="dxa"/>
            <w:vAlign w:val="bottom"/>
          </w:tcPr>
          <w:p>
            <w:pPr>
              <w:spacing w:after="0"/>
              <w:rPr>
                <w:sz w:val="4"/>
                <w:szCs w:val="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400" w:type="dxa"/>
            <w:vAlign w:val="bottom"/>
          </w:tcPr>
          <w:p>
            <w:pPr>
              <w:spacing w:after="0"/>
              <w:rPr>
                <w:sz w:val="4"/>
                <w:szCs w:val="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82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82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Annualized Return on Equity (Adjusted Net Investment Income)</w:t>
            </w:r>
          </w:p>
        </w:tc>
        <w:tc>
          <w:tcPr>
            <w:tcW w:w="120" w:type="dxa"/>
            <w:vAlign w:val="bottom"/>
          </w:tcPr>
          <w:p>
            <w:pPr>
              <w:spacing w:after="0"/>
              <w:rPr>
                <w:sz w:val="14"/>
                <w:szCs w:val="14"/>
                <w:color w:val="auto"/>
              </w:rPr>
            </w:pPr>
          </w:p>
        </w:tc>
        <w:tc>
          <w:tcPr>
            <w:tcW w:w="1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14"/>
                <w:szCs w:val="14"/>
                <w:color w:val="auto"/>
              </w:rPr>
            </w:pPr>
          </w:p>
        </w:tc>
        <w:tc>
          <w:tcPr>
            <w:tcW w:w="15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4"/>
                <w:szCs w:val="14"/>
                <w:color w:val="auto"/>
              </w:rPr>
            </w:pPr>
          </w:p>
        </w:tc>
        <w:tc>
          <w:tcPr>
            <w:tcW w:w="15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20" w:type="dxa"/>
            <w:vAlign w:val="bottom"/>
          </w:tcPr>
          <w:p>
            <w:pPr>
              <w:spacing w:after="0"/>
              <w:rPr>
                <w:sz w:val="20"/>
                <w:szCs w:val="20"/>
                <w:color w:val="auto"/>
              </w:rPr>
            </w:pPr>
            <w:r>
              <w:rPr>
                <w:rFonts w:ascii="Times New Roman" w:cs="Times New Roman" w:eastAsia="Times New Roman" w:hAnsi="Times New Roman"/>
                <w:sz w:val="12"/>
                <w:szCs w:val="12"/>
                <w:color w:val="auto"/>
              </w:rPr>
              <w:t>(1)(2)</w:t>
            </w:r>
          </w:p>
        </w:tc>
        <w:tc>
          <w:tcPr>
            <w:tcW w:w="120" w:type="dxa"/>
            <w:vAlign w:val="bottom"/>
          </w:tcPr>
          <w:p>
            <w:pPr>
              <w:spacing w:after="0"/>
              <w:rPr>
                <w:sz w:val="13"/>
                <w:szCs w:val="13"/>
                <w:color w:val="auto"/>
              </w:rPr>
            </w:pPr>
          </w:p>
        </w:tc>
        <w:tc>
          <w:tcPr>
            <w:tcW w:w="17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Annualized Return on Equity (Adjusted Net Income (Loss)) </w:t>
            </w:r>
            <w:r>
              <w:rPr>
                <w:rFonts w:ascii="Times New Roman" w:cs="Times New Roman" w:eastAsia="Times New Roman" w:hAnsi="Times New Roman"/>
                <w:sz w:val="24"/>
                <w:szCs w:val="24"/>
                <w:color w:val="auto"/>
                <w:vertAlign w:val="superscript"/>
              </w:rPr>
              <w:t>(1)(2)</w:t>
            </w:r>
          </w:p>
        </w:tc>
        <w:tc>
          <w:tcPr>
            <w:tcW w:w="120" w:type="dxa"/>
            <w:vAlign w:val="bottom"/>
          </w:tcPr>
          <w:p>
            <w:pPr>
              <w:spacing w:after="0"/>
              <w:rPr>
                <w:sz w:val="24"/>
                <w:szCs w:val="24"/>
                <w:color w:val="auto"/>
              </w:rPr>
            </w:pPr>
          </w:p>
        </w:tc>
        <w:tc>
          <w:tcPr>
            <w:tcW w:w="1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tcPr>
          <w:p>
            <w:pPr>
              <w:spacing w:after="0"/>
              <w:rPr>
                <w:sz w:val="24"/>
                <w:szCs w:val="24"/>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4"/>
                <w:szCs w:val="24"/>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3,393.0</w:t>
            </w: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3,347.3</w:t>
            </w: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3,376.3</w:t>
            </w:r>
          </w:p>
        </w:tc>
        <w:tc>
          <w:tcPr>
            <w:tcW w:w="180" w:type="dxa"/>
            <w:vAlign w:val="bottom"/>
            <w:shd w:val="clear" w:color="auto" w:fill="CFF0FC"/>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3,481.8</w:t>
            </w:r>
          </w:p>
        </w:tc>
        <w:tc>
          <w:tcPr>
            <w:tcW w:w="3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3,421.7</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 (outstanding principal)</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1,940.5</w:t>
            </w: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1,763.9</w:t>
            </w: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1,858.7</w:t>
            </w:r>
          </w:p>
        </w:tc>
        <w:tc>
          <w:tcPr>
            <w:tcW w:w="180" w:type="dxa"/>
            <w:vAlign w:val="bottom"/>
            <w:shd w:val="clear" w:color="auto" w:fill="CFF0FC"/>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Net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1,549.3</w:t>
            </w:r>
          </w:p>
        </w:tc>
        <w:tc>
          <w:tcPr>
            <w:tcW w:w="3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1,607.7</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Debt-to-equity at quarter-end</w:t>
            </w:r>
          </w:p>
        </w:tc>
        <w:tc>
          <w:tcPr>
            <w:tcW w:w="12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1.25x</w:t>
            </w:r>
          </w:p>
        </w:tc>
        <w:tc>
          <w:tcPr>
            <w:tcW w:w="1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1.10x</w:t>
            </w:r>
          </w:p>
        </w:tc>
        <w:tc>
          <w:tcPr>
            <w:tcW w:w="1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1.15x</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Asset Value Per Share</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38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400" w:type="dxa"/>
            <w:vAlign w:val="bottom"/>
          </w:tcPr>
          <w:p>
            <w:pPr>
              <w:spacing w:after="0"/>
              <w:rPr>
                <w:sz w:val="18"/>
                <w:szCs w:val="18"/>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8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40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Adjusted Net Asset Value Per Share </w:t>
            </w:r>
            <w:r>
              <w:rPr>
                <w:rFonts w:ascii="Times New Roman" w:cs="Times New Roman" w:eastAsia="Times New Roman" w:hAnsi="Times New Roman"/>
                <w:sz w:val="24"/>
                <w:szCs w:val="24"/>
                <w:color w:val="auto"/>
                <w:vertAlign w:val="superscript"/>
              </w:rPr>
              <w:t>(3)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3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Base Dividend per share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80" w:type="dxa"/>
            <w:vAlign w:val="bottom"/>
            <w:shd w:val="clear" w:color="auto" w:fill="CFF0FC"/>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Dividend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-2582545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-1648460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-2856865</wp:posOffset>
            </wp:positionV>
            <wp:extent cx="702056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2056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-2308225</wp:posOffset>
            </wp:positionV>
            <wp:extent cx="702056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2056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-2033905</wp:posOffset>
            </wp:positionV>
            <wp:extent cx="702056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2056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-551180</wp:posOffset>
            </wp:positionV>
            <wp:extent cx="702056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20560" cy="137160"/>
                    </a:xfrm>
                    <a:prstGeom prst="rect">
                      <a:avLst/>
                    </a:prstGeom>
                    <a:noFill/>
                  </pic:spPr>
                </pic:pic>
              </a:graphicData>
            </a:graphic>
          </wp:anchor>
        </w:drawing>
      </w:r>
    </w:p>
    <w:p>
      <w:pPr>
        <w:ind w:left="360" w:hanging="352"/>
        <w:spacing w:after="0"/>
        <w:tabs>
          <w:tab w:leader="none" w:pos="36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Return on equity is calculated using prior period’s ending net asset value per share.</w:t>
      </w:r>
    </w:p>
    <w:p>
      <w:pPr>
        <w:spacing w:after="0" w:line="1" w:lineRule="exact"/>
        <w:rPr>
          <w:rFonts w:ascii="Arial" w:cs="Arial" w:eastAsia="Arial" w:hAnsi="Arial"/>
          <w:sz w:val="14"/>
          <w:szCs w:val="14"/>
          <w:color w:val="auto"/>
        </w:rPr>
      </w:pPr>
    </w:p>
    <w:p>
      <w:pPr>
        <w:ind w:left="300" w:right="20" w:hanging="292"/>
        <w:spacing w:after="0" w:line="241" w:lineRule="auto"/>
        <w:tabs>
          <w:tab w:leader="none" w:pos="360" w:val="left"/>
        </w:tabs>
        <w:numPr>
          <w:ilvl w:val="0"/>
          <w:numId w:val="4"/>
        </w:numPr>
        <w:rPr>
          <w:rFonts w:ascii="Arial" w:cs="Arial" w:eastAsia="Arial" w:hAnsi="Arial"/>
          <w:sz w:val="14"/>
          <w:szCs w:val="14"/>
          <w:color w:val="auto"/>
        </w:rPr>
      </w:pPr>
      <w:r>
        <w:rPr>
          <w:rFonts w:ascii="Arial" w:cs="Arial" w:eastAsia="Arial" w:hAnsi="Arial"/>
          <w:sz w:val="14"/>
          <w:szCs w:val="14"/>
          <w:color w:val="auto"/>
        </w:rPr>
        <w:t>Adjusted to exclude the capital gains incentive fee that was accrued, but not paid, related to cumulative unrealized capital gains in excess of cumulative net realized capital gains less any cumulative unrealized losses and capital gains incentive fees paid inception to date.</w:t>
      </w:r>
    </w:p>
    <w:p>
      <w:pPr>
        <w:ind w:left="360" w:hanging="352"/>
        <w:spacing w:after="0"/>
        <w:tabs>
          <w:tab w:leader="none" w:pos="360" w:val="left"/>
        </w:tabs>
        <w:numPr>
          <w:ilvl w:val="0"/>
          <w:numId w:val="4"/>
        </w:numPr>
        <w:rPr>
          <w:rFonts w:ascii="Arial" w:cs="Arial" w:eastAsia="Arial" w:hAnsi="Arial"/>
          <w:sz w:val="14"/>
          <w:szCs w:val="14"/>
          <w:color w:val="auto"/>
        </w:rPr>
      </w:pPr>
      <w:r>
        <w:rPr>
          <w:rFonts w:ascii="Arial" w:cs="Arial" w:eastAsia="Arial" w:hAnsi="Arial"/>
          <w:sz w:val="14"/>
          <w:szCs w:val="14"/>
          <w:color w:val="auto"/>
        </w:rPr>
        <w:t>Adjusted net asset value per share gives effect to the supplemental dividend declared related to earnings or special dividend in the applicable period.</w:t>
      </w:r>
    </w:p>
    <w:p>
      <w:pPr>
        <w:spacing w:after="0" w:line="17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Portfolio and Investment Activity</w:t>
      </w:r>
    </w:p>
    <w:p>
      <w:pPr>
        <w:spacing w:after="0" w:line="125" w:lineRule="exact"/>
        <w:rPr>
          <w:sz w:val="20"/>
          <w:szCs w:val="20"/>
          <w:color w:val="auto"/>
        </w:rPr>
      </w:pPr>
    </w:p>
    <w:p>
      <w:pPr>
        <w:ind w:right="540"/>
        <w:spacing w:after="0" w:line="257" w:lineRule="auto"/>
        <w:rPr>
          <w:sz w:val="20"/>
          <w:szCs w:val="20"/>
          <w:color w:val="auto"/>
        </w:rPr>
      </w:pPr>
      <w:r>
        <w:rPr>
          <w:rFonts w:ascii="Arial" w:cs="Arial" w:eastAsia="Arial" w:hAnsi="Arial"/>
          <w:sz w:val="20"/>
          <w:szCs w:val="20"/>
          <w:color w:val="auto"/>
        </w:rPr>
        <w:t>For the quarter ended September 30, 2026, new investment commitments totaled $241.7 million. This compares to $114.6 million for the quarter ended June 30, 2026.</w:t>
      </w:r>
    </w:p>
    <w:p>
      <w:pPr>
        <w:spacing w:after="0" w:line="155" w:lineRule="exact"/>
        <w:rPr>
          <w:sz w:val="20"/>
          <w:szCs w:val="20"/>
          <w:color w:val="auto"/>
        </w:rPr>
      </w:pPr>
    </w:p>
    <w:p>
      <w:pPr>
        <w:ind w:right="40"/>
        <w:spacing w:after="0" w:line="233" w:lineRule="auto"/>
        <w:rPr>
          <w:sz w:val="20"/>
          <w:szCs w:val="20"/>
          <w:color w:val="auto"/>
        </w:rPr>
      </w:pPr>
      <w:r>
        <w:rPr>
          <w:rFonts w:ascii="Arial" w:cs="Arial" w:eastAsia="Arial" w:hAnsi="Arial"/>
          <w:sz w:val="20"/>
          <w:szCs w:val="20"/>
          <w:color w:val="auto"/>
        </w:rPr>
        <w:t>For the quarter ended September 30, 2026, the principal amount of new investments funded was $246.5 million across four new portfolio companies, five upsizes to existing portfolio companies and capital called by our joint venture, Structured Credit Partners, LLC. For this period, the Company had $159.6 million aggregate principal amount in exits and repayments. For the quarter ended June 30, 2026, the principal amount of new investments funded was $ 136.7 million across two new portfolio companies and capital called by Structured Credit Partners, LLC. For this period, the Company had $192.1 million aggregate principal amount in exits and repayments.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534035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ind w:right="240"/>
        <w:spacing w:after="0" w:line="234"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405765</wp:posOffset>
            </wp:positionV>
            <wp:extent cx="840105" cy="205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840105" cy="205740"/>
                    </a:xfrm>
                    <a:prstGeom prst="rect">
                      <a:avLst/>
                    </a:prstGeom>
                    <a:noFill/>
                  </pic:spPr>
                </pic:pic>
              </a:graphicData>
            </a:graphic>
          </wp:anchor>
        </w:drawing>
        <w:t>The Company had investments in 133</w:t>
      </w:r>
      <w:r>
        <w:rPr>
          <w:rFonts w:ascii="Arial" w:cs="Arial" w:eastAsia="Arial" w:hAnsi="Arial"/>
          <w:sz w:val="26"/>
          <w:szCs w:val="26"/>
          <w:color w:val="auto"/>
          <w:vertAlign w:val="superscript"/>
        </w:rPr>
        <w:t>1</w:t>
      </w:r>
      <w:r>
        <w:rPr>
          <w:rFonts w:ascii="Arial" w:cs="Arial" w:eastAsia="Arial" w:hAnsi="Arial"/>
          <w:sz w:val="20"/>
          <w:szCs w:val="20"/>
          <w:color w:val="auto"/>
        </w:rPr>
        <w:t xml:space="preserve"> portfolio companies as of September 30, 2026 and 137</w:t>
      </w:r>
      <w:r>
        <w:rPr>
          <w:rFonts w:ascii="Arial" w:cs="Arial" w:eastAsia="Arial" w:hAnsi="Arial"/>
          <w:sz w:val="26"/>
          <w:szCs w:val="26"/>
          <w:color w:val="auto"/>
          <w:vertAlign w:val="superscript"/>
        </w:rPr>
        <w:t>2</w:t>
      </w:r>
      <w:r>
        <w:rPr>
          <w:rFonts w:ascii="Arial" w:cs="Arial" w:eastAsia="Arial" w:hAnsi="Arial"/>
          <w:sz w:val="20"/>
          <w:szCs w:val="20"/>
          <w:color w:val="auto"/>
        </w:rPr>
        <w:t xml:space="preserve"> as of June 30, 2026 with an aggregate fair value of $3,393.0 million and $3,302.1 million, respectively. As of September 30, 2026, the average investment size in each portfolio company was $32.2</w:t>
      </w:r>
      <w:r>
        <w:rPr>
          <w:rFonts w:ascii="Arial" w:cs="Arial" w:eastAsia="Arial" w:hAnsi="Arial"/>
          <w:sz w:val="26"/>
          <w:szCs w:val="26"/>
          <w:color w:val="auto"/>
          <w:vertAlign w:val="superscript"/>
        </w:rPr>
        <w:t>1</w:t>
      </w:r>
      <w:r>
        <w:rPr>
          <w:rFonts w:ascii="Arial" w:cs="Arial" w:eastAsia="Arial" w:hAnsi="Arial"/>
          <w:sz w:val="20"/>
          <w:szCs w:val="20"/>
          <w:color w:val="auto"/>
        </w:rPr>
        <w:t xml:space="preserve"> million based on fair value.</w:t>
      </w:r>
    </w:p>
    <w:p>
      <w:pPr>
        <w:spacing w:after="0" w:line="70" w:lineRule="exact"/>
        <w:rPr>
          <w:sz w:val="20"/>
          <w:szCs w:val="20"/>
          <w:color w:val="auto"/>
        </w:rPr>
      </w:pPr>
    </w:p>
    <w:p>
      <w:pPr>
        <w:ind w:right="120"/>
        <w:spacing w:after="0" w:line="234" w:lineRule="auto"/>
        <w:rPr>
          <w:sz w:val="20"/>
          <w:szCs w:val="20"/>
          <w:color w:val="auto"/>
        </w:rPr>
      </w:pPr>
      <w:r>
        <w:rPr>
          <w:rFonts w:ascii="Arial" w:cs="Arial" w:eastAsia="Arial" w:hAnsi="Arial"/>
          <w:sz w:val="20"/>
          <w:szCs w:val="20"/>
          <w:color w:val="auto"/>
        </w:rPr>
        <w:t>As of September 30, 2026, the Company’s portfolio based on fair value consisted of 86.9% first-lien debt investments, 0.7% second-lien debt investments, 1.9% mezzanine debt investments, 5.7% equity investments, 2.4% structured credit investments and 2.4% joint venture investments. As of June 30, 2026, the Company’s portfolio based on fair value consisted of 88.3% first-lien debt investments, 0.7% second-lien debt investments, 2.0% mezzanine debt investments, 4.7% equity investments, 2.7% structured credit investments and 1.6% joint venture investments.</w:t>
      </w:r>
    </w:p>
    <w:p>
      <w:pPr>
        <w:spacing w:after="0" w:line="199" w:lineRule="exact"/>
        <w:rPr>
          <w:sz w:val="20"/>
          <w:szCs w:val="20"/>
          <w:color w:val="auto"/>
        </w:rPr>
      </w:pPr>
    </w:p>
    <w:p>
      <w:pPr>
        <w:spacing w:after="0" w:line="224" w:lineRule="auto"/>
        <w:rPr>
          <w:sz w:val="20"/>
          <w:szCs w:val="20"/>
          <w:color w:val="auto"/>
        </w:rPr>
      </w:pPr>
      <w:r>
        <w:rPr>
          <w:rFonts w:ascii="Arial" w:cs="Arial" w:eastAsia="Arial" w:hAnsi="Arial"/>
          <w:sz w:val="20"/>
          <w:szCs w:val="20"/>
          <w:color w:val="auto"/>
        </w:rPr>
        <w:t>As of September 30, 2026, 97.6% of debt investments</w:t>
      </w:r>
      <w:r>
        <w:rPr>
          <w:rFonts w:ascii="Arial" w:cs="Arial" w:eastAsia="Arial" w:hAnsi="Arial"/>
          <w:sz w:val="26"/>
          <w:szCs w:val="26"/>
          <w:color w:val="auto"/>
          <w:vertAlign w:val="superscript"/>
        </w:rPr>
        <w:t>3</w:t>
      </w:r>
      <w:r>
        <w:rPr>
          <w:rFonts w:ascii="Arial" w:cs="Arial" w:eastAsia="Arial" w:hAnsi="Arial"/>
          <w:sz w:val="20"/>
          <w:szCs w:val="20"/>
          <w:color w:val="auto"/>
        </w:rPr>
        <w:t xml:space="preserve"> based on fair value in the portfolio bore interest at floating rates with 100.0% of these subject to reference rate floors. The Company’s credit facilities also bear interest at floating rates. In connection with the Company’s Unsecured Notes, which bear interest at fixed rates, the Company has entered into fixed-to-floating interest rate swaps in order to align the nature of the interest rates of its liabilities with its investment portfolio.</w:t>
      </w:r>
    </w:p>
    <w:p>
      <w:pPr>
        <w:spacing w:after="0" w:line="173" w:lineRule="exact"/>
        <w:rPr>
          <w:sz w:val="20"/>
          <w:szCs w:val="20"/>
          <w:color w:val="auto"/>
        </w:rPr>
      </w:pPr>
    </w:p>
    <w:p>
      <w:pPr>
        <w:ind w:right="220"/>
        <w:spacing w:after="0" w:line="234" w:lineRule="auto"/>
        <w:rPr>
          <w:sz w:val="20"/>
          <w:szCs w:val="20"/>
          <w:color w:val="auto"/>
        </w:rPr>
      </w:pPr>
      <w:r>
        <w:rPr>
          <w:rFonts w:ascii="Arial" w:cs="Arial" w:eastAsia="Arial" w:hAnsi="Arial"/>
          <w:sz w:val="20"/>
          <w:szCs w:val="20"/>
          <w:color w:val="auto"/>
        </w:rPr>
        <w:t>As of September 30, 2026 and June 30, 2026, the weighted average total yield of debt and income-producing securities at fair value (which includes interest income and amortization of fees and discounts) was 11.4% and 11.1%, respectively, and the weighted average total yield of debt and income-producing securities at amortized cost (which includes interest income and amortization of fees and discounts) was 11.4% and 11.2% for the quarter ended September 30, 2026 and June 30, 2026,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3060700</wp:posOffset>
            </wp:positionV>
            <wp:extent cx="1688465"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88465" cy="51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00" w:hanging="92"/>
        <w:spacing w:after="0"/>
        <w:tabs>
          <w:tab w:leader="none" w:pos="100" w:val="left"/>
        </w:tabs>
        <w:numPr>
          <w:ilvl w:val="0"/>
          <w:numId w:val="5"/>
        </w:numPr>
        <w:rPr>
          <w:rFonts w:ascii="Times New Roman" w:cs="Times New Roman" w:eastAsia="Times New Roman" w:hAnsi="Times New Roman"/>
          <w:sz w:val="19"/>
          <w:szCs w:val="19"/>
          <w:color w:val="auto"/>
          <w:vertAlign w:val="superscript"/>
        </w:rPr>
      </w:pPr>
      <w:r>
        <w:rPr>
          <w:rFonts w:ascii="Arial" w:cs="Arial" w:eastAsia="Arial" w:hAnsi="Arial"/>
          <w:sz w:val="14"/>
          <w:szCs w:val="14"/>
          <w:color w:val="auto"/>
        </w:rPr>
        <w:t>Includes 30 structured credit investments with a total fair value of $81.6 million as of September 30, 2026.</w:t>
      </w:r>
    </w:p>
    <w:p>
      <w:pPr>
        <w:ind w:right="4800"/>
        <w:spacing w:after="0" w:line="289" w:lineRule="auto"/>
        <w:rPr>
          <w:rFonts w:ascii="Times New Roman" w:cs="Times New Roman" w:eastAsia="Times New Roman" w:hAnsi="Times New Roman"/>
          <w:sz w:val="19"/>
          <w:szCs w:val="19"/>
          <w:color w:val="auto"/>
          <w:vertAlign w:val="superscript"/>
        </w:rPr>
      </w:pPr>
      <w:r>
        <w:rPr>
          <w:rFonts w:ascii="Arial" w:cs="Arial" w:eastAsia="Arial" w:hAnsi="Arial"/>
          <w:sz w:val="19"/>
          <w:szCs w:val="19"/>
          <w:color w:val="auto"/>
          <w:vertAlign w:val="superscript"/>
        </w:rPr>
        <w:t>2</w:t>
      </w:r>
      <w:r>
        <w:rPr>
          <w:rFonts w:ascii="Arial" w:cs="Arial" w:eastAsia="Arial" w:hAnsi="Arial"/>
          <w:sz w:val="14"/>
          <w:szCs w:val="14"/>
          <w:color w:val="auto"/>
        </w:rPr>
        <w:t xml:space="preserve"> Includes 33 structured credit investments with a total fair value of $87.8 million as of June 30, 2026. </w:t>
      </w:r>
      <w:r>
        <w:rPr>
          <w:rFonts w:ascii="Arial" w:cs="Arial" w:eastAsia="Arial" w:hAnsi="Arial"/>
          <w:sz w:val="19"/>
          <w:szCs w:val="19"/>
          <w:color w:val="auto"/>
          <w:vertAlign w:val="superscript"/>
        </w:rPr>
        <w:t>3</w:t>
      </w:r>
      <w:r>
        <w:rPr>
          <w:rFonts w:ascii="Arial" w:cs="Arial" w:eastAsia="Arial" w:hAnsi="Arial"/>
          <w:sz w:val="14"/>
          <w:szCs w:val="14"/>
          <w:color w:val="auto"/>
        </w:rPr>
        <w:t xml:space="preserve"> Calculation includes income earning debt investments only.</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534035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7" w:right="35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405765</wp:posOffset>
            </wp:positionV>
            <wp:extent cx="840105" cy="205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840105" cy="20574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right="460"/>
        <w:spacing w:after="0" w:line="277" w:lineRule="auto"/>
        <w:rPr>
          <w:sz w:val="20"/>
          <w:szCs w:val="20"/>
          <w:color w:val="auto"/>
        </w:rPr>
      </w:pPr>
      <w:r>
        <w:rPr>
          <w:rFonts w:ascii="Times New Roman" w:cs="Times New Roman" w:eastAsia="Times New Roman" w:hAnsi="Times New Roman"/>
          <w:sz w:val="43"/>
          <w:szCs w:val="43"/>
          <w:color w:val="004A48"/>
        </w:rPr>
        <w:t>Results of Operations for the Three Months Ended September 30, 2026</w:t>
      </w:r>
    </w:p>
    <w:p>
      <w:pPr>
        <w:spacing w:after="0" w:line="19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Investment Income</w:t>
      </w:r>
    </w:p>
    <w:p>
      <w:pPr>
        <w:spacing w:after="0" w:line="125" w:lineRule="exact"/>
        <w:rPr>
          <w:sz w:val="20"/>
          <w:szCs w:val="20"/>
          <w:color w:val="auto"/>
        </w:rPr>
      </w:pPr>
    </w:p>
    <w:p>
      <w:pPr>
        <w:ind w:right="140"/>
        <w:spacing w:after="0" w:line="241" w:lineRule="auto"/>
        <w:rPr>
          <w:sz w:val="20"/>
          <w:szCs w:val="20"/>
          <w:color w:val="auto"/>
        </w:rPr>
      </w:pPr>
      <w:r>
        <w:rPr>
          <w:rFonts w:ascii="Arial" w:cs="Arial" w:eastAsia="Arial" w:hAnsi="Arial"/>
          <w:sz w:val="20"/>
          <w:szCs w:val="20"/>
          <w:color w:val="auto"/>
        </w:rPr>
        <w:t>For the three months ended September 30, 2026 and 2025, investment income was $99.0 million and $109.4 million, respectively. The decrease in investment income was primarily the result of a decrease in reference rates for the three months ended September 30, 2026 compared to the same period in 2025.</w:t>
      </w:r>
    </w:p>
    <w:p>
      <w:pPr>
        <w:spacing w:after="0" w:line="15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Net Expenses</w:t>
      </w:r>
    </w:p>
    <w:p>
      <w:pPr>
        <w:spacing w:after="0" w:line="125" w:lineRule="exact"/>
        <w:rPr>
          <w:sz w:val="20"/>
          <w:szCs w:val="20"/>
          <w:color w:val="auto"/>
        </w:rPr>
      </w:pPr>
    </w:p>
    <w:p>
      <w:pPr>
        <w:spacing w:after="0" w:line="237" w:lineRule="auto"/>
        <w:rPr>
          <w:sz w:val="20"/>
          <w:szCs w:val="20"/>
          <w:color w:val="auto"/>
        </w:rPr>
      </w:pPr>
      <w:r>
        <w:rPr>
          <w:rFonts w:ascii="Arial" w:cs="Arial" w:eastAsia="Arial" w:hAnsi="Arial"/>
          <w:sz w:val="20"/>
          <w:szCs w:val="20"/>
          <w:color w:val="auto"/>
        </w:rPr>
        <w:t>Net expenses totaled $56.2 million and $57.4 million for the three months ended September 30, 2026 and 2025, respectively. The decrease in net expenses was primarily due to a decrease in the average interest rate on our debt outstanding, which decreased from 6.3% for the three months ended September 30, 2025 to 5.7% for the three months ended September 30, 2026 due to a change in the mix of our debt financing sources and a change in SOFR rates.</w:t>
      </w:r>
    </w:p>
    <w:p>
      <w:pPr>
        <w:spacing w:after="0" w:line="15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Debt and Capital Resources</w:t>
      </w:r>
    </w:p>
    <w:p>
      <w:pPr>
        <w:spacing w:after="0" w:line="125" w:lineRule="exact"/>
        <w:rPr>
          <w:sz w:val="20"/>
          <w:szCs w:val="20"/>
          <w:color w:val="auto"/>
        </w:rPr>
      </w:pPr>
    </w:p>
    <w:p>
      <w:pPr>
        <w:ind w:right="20"/>
        <w:spacing w:after="0" w:line="246" w:lineRule="auto"/>
        <w:rPr>
          <w:sz w:val="20"/>
          <w:szCs w:val="20"/>
          <w:color w:val="auto"/>
        </w:rPr>
      </w:pPr>
      <w:r>
        <w:rPr>
          <w:rFonts w:ascii="Arial" w:cs="Arial" w:eastAsia="Arial" w:hAnsi="Arial"/>
          <w:sz w:val="19"/>
          <w:szCs w:val="19"/>
          <w:color w:val="auto"/>
        </w:rPr>
        <w:t>As of September 30, 2026, the Company had $40.5 million in cash and cash equivalents (including $35.4 million of restricted cash), total principal value of debt outstanding of $1,940.5 million, and $811.8 million of undrawn capacity on its revolving credit facility, subject to borrowing base and other limitations. The Company’s weighted average interest rate on debt outstanding was 5.7% and 6.3% for the three-month periods ended September 30, 2026 and 2025, respectively. At September 30, 2026, the Company’s debt to equity ratio was 1.25x, compared to 1.15x at September 30, 2025. Average debt to equity was 1.24x for the three-month period ended September 30, 2026, compared to 1.10x for the three-month period ended September 30, 2025.</w:t>
      </w:r>
    </w:p>
    <w:p>
      <w:pPr>
        <w:spacing w:after="0" w:line="200" w:lineRule="exact"/>
        <w:rPr>
          <w:sz w:val="20"/>
          <w:szCs w:val="20"/>
          <w:color w:val="auto"/>
        </w:rPr>
      </w:pPr>
    </w:p>
    <w:p>
      <w:pPr>
        <w:spacing w:after="0" w:line="37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534035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405765</wp:posOffset>
            </wp:positionV>
            <wp:extent cx="840105" cy="205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840105" cy="20574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color w:val="004A48"/>
        </w:rPr>
        <w:t>Liquidity and Funding Profile</w:t>
      </w:r>
    </w:p>
    <w:p>
      <w:pPr>
        <w:spacing w:after="0" w:line="33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Liquidity</w:t>
      </w:r>
    </w:p>
    <w:p>
      <w:pPr>
        <w:spacing w:after="0" w:line="125" w:lineRule="exact"/>
        <w:rPr>
          <w:sz w:val="20"/>
          <w:szCs w:val="20"/>
          <w:color w:val="auto"/>
        </w:rPr>
      </w:pPr>
    </w:p>
    <w:p>
      <w:pPr>
        <w:ind w:right="260"/>
        <w:spacing w:after="0" w:line="257" w:lineRule="auto"/>
        <w:rPr>
          <w:sz w:val="20"/>
          <w:szCs w:val="20"/>
          <w:color w:val="auto"/>
        </w:rPr>
      </w:pPr>
      <w:r>
        <w:rPr>
          <w:rFonts w:ascii="Arial" w:cs="Arial" w:eastAsia="Arial" w:hAnsi="Arial"/>
          <w:sz w:val="20"/>
          <w:szCs w:val="20"/>
          <w:color w:val="auto"/>
        </w:rPr>
        <w:t>The following tables summarize the Company’s liquidity at September 30, 2026 and changes to unfunded commitments since June 30, 2026.</w:t>
      </w:r>
    </w:p>
    <w:p>
      <w:pPr>
        <w:sectPr>
          <w:pgSz w:w="11900" w:h="16838" w:orient="portrait"/>
          <w:cols w:equalWidth="0" w:num="1">
            <w:col w:w="11240"/>
          </w:cols>
          <w:pgMar w:left="320" w:top="1440" w:right="339" w:bottom="1440" w:gutter="0" w:footer="0" w:header="0"/>
        </w:sectPr>
      </w:pP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134225" cy="1199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1199515"/>
                    </a:xfrm>
                    <a:prstGeom prst="rect">
                      <a:avLst/>
                    </a:prstGeom>
                    <a:noFill/>
                  </pic:spPr>
                </pic:pic>
              </a:graphicData>
            </a:graphic>
          </wp:anchor>
        </w:drawing>
      </w:r>
    </w:p>
    <w:p>
      <w:pPr>
        <w:ind w:left="1620"/>
        <w:spacing w:after="0"/>
        <w:rPr>
          <w:sz w:val="20"/>
          <w:szCs w:val="20"/>
          <w:color w:val="auto"/>
        </w:rPr>
      </w:pPr>
      <w:r>
        <w:rPr>
          <w:rFonts w:ascii="Arial" w:cs="Arial" w:eastAsia="Arial" w:hAnsi="Arial"/>
          <w:sz w:val="20"/>
          <w:szCs w:val="20"/>
          <w:b w:val="1"/>
          <w:bCs w:val="1"/>
          <w:color w:val="auto"/>
        </w:rPr>
        <w:t>Revolving Credit Facility</w:t>
      </w:r>
    </w:p>
    <w:tbl>
      <w:tblPr>
        <w:tblLayout w:type="fixed"/>
        <w:tblInd w:w="10" w:type="dxa"/>
        <w:tblCellMar>
          <w:top w:w="0" w:type="dxa"/>
          <w:left w:w="0" w:type="dxa"/>
          <w:bottom w:w="0" w:type="dxa"/>
          <w:right w:w="0" w:type="dxa"/>
        </w:tblCellMar>
      </w:tblPr>
      <w:tr>
        <w:trPr>
          <w:trHeight w:val="213"/>
        </w:trPr>
        <w:tc>
          <w:tcPr>
            <w:tcW w:w="4680" w:type="dxa"/>
            <w:vAlign w:val="bottom"/>
            <w:tcBorders>
              <w:top w:val="single" w:sz="8" w:color="A6A6A6"/>
              <w:left w:val="single" w:sz="8" w:color="A6A6A6"/>
              <w:bottom w:val="single" w:sz="8" w:color="A6A6A6"/>
              <w:right w:val="single" w:sz="8" w:color="A6A6A6"/>
            </w:tcBorders>
          </w:tcPr>
          <w:p>
            <w:pPr>
              <w:ind w:left="120"/>
              <w:spacing w:after="0"/>
              <w:rPr>
                <w:sz w:val="20"/>
                <w:szCs w:val="20"/>
                <w:color w:val="auto"/>
              </w:rPr>
            </w:pPr>
            <w:r>
              <w:rPr>
                <w:rFonts w:ascii="Arial" w:cs="Arial" w:eastAsia="Arial" w:hAnsi="Arial"/>
                <w:sz w:val="16"/>
                <w:szCs w:val="16"/>
                <w:b w:val="1"/>
                <w:bCs w:val="1"/>
                <w:color w:val="auto"/>
              </w:rPr>
              <w:t>Revolver Capacity</w:t>
            </w:r>
          </w:p>
        </w:tc>
        <w:tc>
          <w:tcPr>
            <w:tcW w:w="860" w:type="dxa"/>
            <w:vAlign w:val="bottom"/>
            <w:tcBorders>
              <w:top w:val="single" w:sz="8" w:color="A6A6A6"/>
              <w:bottom w:val="single" w:sz="8" w:color="A6A6A6"/>
              <w:right w:val="single" w:sz="8" w:color="A6A6A6"/>
            </w:tcBorders>
          </w:tcPr>
          <w:p>
            <w:pPr>
              <w:jc w:val="right"/>
              <w:ind w:right="19"/>
              <w:spacing w:after="0"/>
              <w:rPr>
                <w:sz w:val="20"/>
                <w:szCs w:val="20"/>
                <w:color w:val="auto"/>
              </w:rPr>
            </w:pPr>
            <w:r>
              <w:rPr>
                <w:rFonts w:ascii="Arial" w:cs="Arial" w:eastAsia="Arial" w:hAnsi="Arial"/>
                <w:sz w:val="16"/>
                <w:szCs w:val="16"/>
                <w:b w:val="1"/>
                <w:bCs w:val="1"/>
                <w:color w:val="auto"/>
              </w:rPr>
              <w:t>$1,525</w:t>
            </w:r>
          </w:p>
        </w:tc>
      </w:tr>
      <w:tr>
        <w:trPr>
          <w:trHeight w:val="209"/>
        </w:trPr>
        <w:tc>
          <w:tcPr>
            <w:tcW w:w="4680" w:type="dxa"/>
            <w:vAlign w:val="bottom"/>
            <w:tcBorders>
              <w:left w:val="single" w:sz="8" w:color="A6A6A6"/>
              <w:bottom w:val="single" w:sz="8" w:color="A6A6A6"/>
              <w:right w:val="single" w:sz="8" w:color="A6A6A6"/>
            </w:tcBorders>
          </w:tcPr>
          <w:p>
            <w:pPr>
              <w:ind w:left="120"/>
              <w:spacing w:after="0"/>
              <w:rPr>
                <w:sz w:val="20"/>
                <w:szCs w:val="20"/>
                <w:color w:val="auto"/>
              </w:rPr>
            </w:pPr>
            <w:r>
              <w:rPr>
                <w:rFonts w:ascii="Arial" w:cs="Arial" w:eastAsia="Arial" w:hAnsi="Arial"/>
                <w:sz w:val="16"/>
                <w:szCs w:val="16"/>
                <w:color w:val="auto"/>
              </w:rPr>
              <w:t>Drawn on Revolver</w:t>
            </w:r>
          </w:p>
        </w:tc>
        <w:tc>
          <w:tcPr>
            <w:tcW w:w="860" w:type="dxa"/>
            <w:vAlign w:val="bottom"/>
            <w:tcBorders>
              <w:bottom w:val="single" w:sz="8" w:color="A6A6A6"/>
              <w:right w:val="single" w:sz="8" w:color="A6A6A6"/>
            </w:tcBorders>
          </w:tcPr>
          <w:p>
            <w:pPr>
              <w:jc w:val="right"/>
              <w:ind w:right="19"/>
              <w:spacing w:after="0"/>
              <w:rPr>
                <w:sz w:val="20"/>
                <w:szCs w:val="20"/>
                <w:color w:val="auto"/>
              </w:rPr>
            </w:pPr>
            <w:r>
              <w:rPr>
                <w:rFonts w:ascii="Arial" w:cs="Arial" w:eastAsia="Arial" w:hAnsi="Arial"/>
                <w:sz w:val="16"/>
                <w:szCs w:val="16"/>
                <w:color w:val="auto"/>
              </w:rPr>
              <w:t>($690)</w:t>
            </w:r>
          </w:p>
        </w:tc>
      </w:tr>
      <w:tr>
        <w:trPr>
          <w:trHeight w:val="209"/>
        </w:trPr>
        <w:tc>
          <w:tcPr>
            <w:tcW w:w="4680" w:type="dxa"/>
            <w:vAlign w:val="bottom"/>
            <w:tcBorders>
              <w:left w:val="single" w:sz="8" w:color="A6A6A6"/>
              <w:bottom w:val="single" w:sz="8" w:color="A6A6A6"/>
              <w:right w:val="single" w:sz="8" w:color="A6A6A6"/>
            </w:tcBorders>
          </w:tcPr>
          <w:p>
            <w:pPr>
              <w:ind w:left="120"/>
              <w:spacing w:after="0"/>
              <w:rPr>
                <w:sz w:val="20"/>
                <w:szCs w:val="20"/>
                <w:color w:val="auto"/>
              </w:rPr>
            </w:pPr>
            <w:r>
              <w:rPr>
                <w:rFonts w:ascii="Arial" w:cs="Arial" w:eastAsia="Arial" w:hAnsi="Arial"/>
                <w:sz w:val="16"/>
                <w:szCs w:val="16"/>
                <w:color w:val="auto"/>
              </w:rPr>
              <w:t>Unrestricted Cash Balance</w:t>
            </w:r>
          </w:p>
        </w:tc>
        <w:tc>
          <w:tcPr>
            <w:tcW w:w="860" w:type="dxa"/>
            <w:vAlign w:val="bottom"/>
            <w:tcBorders>
              <w:bottom w:val="single" w:sz="8" w:color="A6A6A6"/>
              <w:right w:val="single" w:sz="8" w:color="A6A6A6"/>
            </w:tcBorders>
          </w:tcPr>
          <w:p>
            <w:pPr>
              <w:jc w:val="right"/>
              <w:ind w:right="19"/>
              <w:spacing w:after="0"/>
              <w:rPr>
                <w:sz w:val="20"/>
                <w:szCs w:val="20"/>
                <w:color w:val="auto"/>
              </w:rPr>
            </w:pPr>
            <w:r>
              <w:rPr>
                <w:rFonts w:ascii="Arial" w:cs="Arial" w:eastAsia="Arial" w:hAnsi="Arial"/>
                <w:sz w:val="16"/>
                <w:szCs w:val="16"/>
                <w:color w:val="auto"/>
              </w:rPr>
              <w:t>$5</w:t>
            </w:r>
          </w:p>
        </w:tc>
      </w:tr>
      <w:tr>
        <w:trPr>
          <w:trHeight w:val="209"/>
        </w:trPr>
        <w:tc>
          <w:tcPr>
            <w:tcW w:w="4680" w:type="dxa"/>
            <w:vAlign w:val="bottom"/>
            <w:tcBorders>
              <w:left w:val="single" w:sz="8" w:color="A6A6A6"/>
              <w:bottom w:val="single" w:sz="8" w:color="A6A6A6"/>
              <w:right w:val="single" w:sz="8" w:color="A6A6A6"/>
            </w:tcBorders>
          </w:tcPr>
          <w:p>
            <w:pPr>
              <w:ind w:left="120"/>
              <w:spacing w:after="0"/>
              <w:rPr>
                <w:sz w:val="20"/>
                <w:szCs w:val="20"/>
                <w:color w:val="auto"/>
              </w:rPr>
            </w:pPr>
            <w:r>
              <w:rPr>
                <w:rFonts w:ascii="Arial" w:cs="Arial" w:eastAsia="Arial" w:hAnsi="Arial"/>
                <w:sz w:val="16"/>
                <w:szCs w:val="16"/>
                <w:color w:val="auto"/>
              </w:rPr>
              <w:t>Issued Letters of Credit</w:t>
            </w:r>
          </w:p>
        </w:tc>
        <w:tc>
          <w:tcPr>
            <w:tcW w:w="860" w:type="dxa"/>
            <w:vAlign w:val="bottom"/>
            <w:tcBorders>
              <w:bottom w:val="single" w:sz="8" w:color="A6A6A6"/>
              <w:right w:val="single" w:sz="8" w:color="A6A6A6"/>
            </w:tcBorders>
          </w:tcPr>
          <w:p>
            <w:pPr>
              <w:jc w:val="right"/>
              <w:ind w:right="19"/>
              <w:spacing w:after="0"/>
              <w:rPr>
                <w:sz w:val="20"/>
                <w:szCs w:val="20"/>
                <w:color w:val="auto"/>
              </w:rPr>
            </w:pPr>
            <w:r>
              <w:rPr>
                <w:rFonts w:ascii="Arial" w:cs="Arial" w:eastAsia="Arial" w:hAnsi="Arial"/>
                <w:sz w:val="16"/>
                <w:szCs w:val="16"/>
                <w:color w:val="auto"/>
              </w:rPr>
              <w:t>($23)</w:t>
            </w:r>
          </w:p>
        </w:tc>
      </w:tr>
      <w:tr>
        <w:trPr>
          <w:trHeight w:val="210"/>
        </w:trPr>
        <w:tc>
          <w:tcPr>
            <w:tcW w:w="4680" w:type="dxa"/>
            <w:vAlign w:val="bottom"/>
            <w:tcBorders>
              <w:left w:val="single" w:sz="8" w:color="A6A6A6"/>
              <w:bottom w:val="single" w:sz="8" w:color="A6A6A6"/>
              <w:right w:val="single" w:sz="8" w:color="A6A6A6"/>
            </w:tcBorders>
          </w:tcPr>
          <w:p>
            <w:pPr>
              <w:ind w:left="120"/>
              <w:spacing w:after="0"/>
              <w:rPr>
                <w:sz w:val="20"/>
                <w:szCs w:val="20"/>
                <w:color w:val="auto"/>
              </w:rPr>
            </w:pPr>
            <w:r>
              <w:rPr>
                <w:rFonts w:ascii="Arial" w:cs="Arial" w:eastAsia="Arial" w:hAnsi="Arial"/>
                <w:sz w:val="16"/>
                <w:szCs w:val="16"/>
                <w:b w:val="1"/>
                <w:bCs w:val="1"/>
                <w:color w:val="auto"/>
              </w:rPr>
              <w:t>Total Liquidity (Pre-Unfunded Commitments)</w:t>
            </w:r>
          </w:p>
        </w:tc>
        <w:tc>
          <w:tcPr>
            <w:tcW w:w="860" w:type="dxa"/>
            <w:vAlign w:val="bottom"/>
            <w:tcBorders>
              <w:bottom w:val="single" w:sz="8" w:color="A6A6A6"/>
              <w:right w:val="single" w:sz="8" w:color="A6A6A6"/>
            </w:tcBorders>
          </w:tcPr>
          <w:p>
            <w:pPr>
              <w:jc w:val="right"/>
              <w:ind w:right="19"/>
              <w:spacing w:after="0"/>
              <w:rPr>
                <w:sz w:val="20"/>
                <w:szCs w:val="20"/>
                <w:color w:val="auto"/>
              </w:rPr>
            </w:pPr>
            <w:r>
              <w:rPr>
                <w:rFonts w:ascii="Arial" w:cs="Arial" w:eastAsia="Arial" w:hAnsi="Arial"/>
                <w:sz w:val="16"/>
                <w:szCs w:val="16"/>
                <w:b w:val="1"/>
                <w:bCs w:val="1"/>
                <w:color w:val="auto"/>
              </w:rPr>
              <w:t>$817</w:t>
            </w:r>
          </w:p>
        </w:tc>
      </w:tr>
      <w:tr>
        <w:trPr>
          <w:trHeight w:val="209"/>
        </w:trPr>
        <w:tc>
          <w:tcPr>
            <w:tcW w:w="4680" w:type="dxa"/>
            <w:vAlign w:val="bottom"/>
            <w:tcBorders>
              <w:left w:val="single" w:sz="8" w:color="A6A6A6"/>
              <w:bottom w:val="single" w:sz="8" w:color="A6A6A6"/>
              <w:right w:val="single" w:sz="8" w:color="A6A6A6"/>
            </w:tcBorders>
          </w:tcPr>
          <w:p>
            <w:pPr>
              <w:ind w:left="120"/>
              <w:spacing w:after="0" w:line="210" w:lineRule="exact"/>
              <w:rPr>
                <w:sz w:val="20"/>
                <w:szCs w:val="20"/>
                <w:color w:val="auto"/>
              </w:rPr>
            </w:pPr>
            <w:r>
              <w:rPr>
                <w:rFonts w:ascii="Arial" w:cs="Arial" w:eastAsia="Arial" w:hAnsi="Arial"/>
                <w:sz w:val="16"/>
                <w:szCs w:val="16"/>
                <w:color w:val="auto"/>
              </w:rPr>
              <w:t>Available Unfunded Commitments</w:t>
            </w:r>
            <w:r>
              <w:rPr>
                <w:rFonts w:ascii="Arial" w:cs="Arial" w:eastAsia="Arial" w:hAnsi="Arial"/>
                <w:sz w:val="21"/>
                <w:szCs w:val="21"/>
                <w:color w:val="auto"/>
                <w:vertAlign w:val="superscript"/>
              </w:rPr>
              <w:t>1</w:t>
            </w:r>
          </w:p>
        </w:tc>
        <w:tc>
          <w:tcPr>
            <w:tcW w:w="860" w:type="dxa"/>
            <w:vAlign w:val="bottom"/>
            <w:tcBorders>
              <w:bottom w:val="single" w:sz="8" w:color="A6A6A6"/>
              <w:right w:val="single" w:sz="8" w:color="A6A6A6"/>
            </w:tcBorders>
          </w:tcPr>
          <w:p>
            <w:pPr>
              <w:jc w:val="right"/>
              <w:ind w:right="19"/>
              <w:spacing w:after="0"/>
              <w:rPr>
                <w:sz w:val="20"/>
                <w:szCs w:val="20"/>
                <w:color w:val="auto"/>
              </w:rPr>
            </w:pPr>
            <w:r>
              <w:rPr>
                <w:rFonts w:ascii="Arial" w:cs="Arial" w:eastAsia="Arial" w:hAnsi="Arial"/>
                <w:sz w:val="16"/>
                <w:szCs w:val="16"/>
                <w:color w:val="auto"/>
              </w:rPr>
              <w:t>($219)</w:t>
            </w:r>
          </w:p>
        </w:tc>
      </w:tr>
      <w:tr>
        <w:trPr>
          <w:trHeight w:val="210"/>
        </w:trPr>
        <w:tc>
          <w:tcPr>
            <w:tcW w:w="4680" w:type="dxa"/>
            <w:vAlign w:val="bottom"/>
            <w:tcBorders>
              <w:left w:val="single" w:sz="8" w:color="A6A6A6"/>
              <w:bottom w:val="single" w:sz="8" w:color="A6A6A6"/>
              <w:right w:val="single" w:sz="8" w:color="A6A6A6"/>
            </w:tcBorders>
          </w:tcPr>
          <w:p>
            <w:pPr>
              <w:ind w:left="120"/>
              <w:spacing w:after="0"/>
              <w:rPr>
                <w:sz w:val="20"/>
                <w:szCs w:val="20"/>
                <w:color w:val="auto"/>
              </w:rPr>
            </w:pPr>
            <w:r>
              <w:rPr>
                <w:rFonts w:ascii="Arial" w:cs="Arial" w:eastAsia="Arial" w:hAnsi="Arial"/>
                <w:sz w:val="16"/>
                <w:szCs w:val="16"/>
                <w:b w:val="1"/>
                <w:bCs w:val="1"/>
                <w:color w:val="auto"/>
              </w:rPr>
              <w:t>Total Liquidity (Burdened for Unfunded Commitments)</w:t>
            </w:r>
          </w:p>
        </w:tc>
        <w:tc>
          <w:tcPr>
            <w:tcW w:w="860" w:type="dxa"/>
            <w:vAlign w:val="bottom"/>
            <w:tcBorders>
              <w:bottom w:val="single" w:sz="8" w:color="A6A6A6"/>
              <w:right w:val="single" w:sz="8" w:color="A6A6A6"/>
            </w:tcBorders>
          </w:tcPr>
          <w:p>
            <w:pPr>
              <w:jc w:val="right"/>
              <w:ind w:right="19"/>
              <w:spacing w:after="0"/>
              <w:rPr>
                <w:sz w:val="20"/>
                <w:szCs w:val="20"/>
                <w:color w:val="auto"/>
              </w:rPr>
            </w:pPr>
            <w:r>
              <w:rPr>
                <w:rFonts w:ascii="Arial" w:cs="Arial" w:eastAsia="Arial" w:hAnsi="Arial"/>
                <w:sz w:val="16"/>
                <w:szCs w:val="16"/>
                <w:b w:val="1"/>
                <w:bCs w:val="1"/>
                <w:color w:val="auto"/>
              </w:rPr>
              <w:t>$598</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Note: May not sum due to rounding.</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Unfunded Commitment Activity</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560" w:type="dxa"/>
            <w:vAlign w:val="bottom"/>
            <w:tcBorders>
              <w:top w:val="single" w:sz="8" w:color="A6A6A6"/>
              <w:bottom w:val="single" w:sz="8" w:color="A6A6A6"/>
              <w:right w:val="single" w:sz="8" w:color="A6A6A6"/>
            </w:tcBorders>
          </w:tcPr>
          <w:p>
            <w:pPr>
              <w:ind w:left="100"/>
              <w:spacing w:after="0"/>
              <w:rPr>
                <w:sz w:val="20"/>
                <w:szCs w:val="20"/>
                <w:color w:val="auto"/>
              </w:rPr>
            </w:pPr>
            <w:r>
              <w:rPr>
                <w:rFonts w:ascii="Arial" w:cs="Arial" w:eastAsia="Arial" w:hAnsi="Arial"/>
                <w:sz w:val="15"/>
                <w:szCs w:val="15"/>
                <w:b w:val="1"/>
                <w:bCs w:val="1"/>
                <w:color w:val="auto"/>
              </w:rPr>
              <w:t>Unfunded Commitments (See Note 8 in 6/30/26 10-Q)</w:t>
            </w:r>
          </w:p>
        </w:tc>
        <w:tc>
          <w:tcPr>
            <w:tcW w:w="860" w:type="dxa"/>
            <w:vAlign w:val="bottom"/>
            <w:tcBorders>
              <w:top w:val="single" w:sz="8" w:color="A6A6A6"/>
              <w:bottom w:val="single" w:sz="8" w:color="A6A6A6"/>
            </w:tcBorders>
          </w:tcPr>
          <w:p>
            <w:pPr>
              <w:jc w:val="right"/>
              <w:ind w:right="39"/>
              <w:spacing w:after="0"/>
              <w:rPr>
                <w:sz w:val="20"/>
                <w:szCs w:val="20"/>
                <w:color w:val="auto"/>
              </w:rPr>
            </w:pPr>
            <w:r>
              <w:rPr>
                <w:rFonts w:ascii="Arial" w:cs="Arial" w:eastAsia="Arial" w:hAnsi="Arial"/>
                <w:sz w:val="16"/>
                <w:szCs w:val="16"/>
                <w:b w:val="1"/>
                <w:bCs w:val="1"/>
                <w:color w:val="auto"/>
              </w:rPr>
              <w:t>$432</w:t>
            </w:r>
          </w:p>
        </w:tc>
      </w:tr>
      <w:tr>
        <w:trPr>
          <w:trHeight w:val="209"/>
        </w:trPr>
        <w:tc>
          <w:tcPr>
            <w:tcW w:w="4560" w:type="dxa"/>
            <w:vAlign w:val="bottom"/>
            <w:tcBorders>
              <w:bottom w:val="single" w:sz="8" w:color="A6A6A6"/>
              <w:right w:val="single" w:sz="8" w:color="A6A6A6"/>
            </w:tcBorders>
          </w:tcPr>
          <w:p>
            <w:pPr>
              <w:ind w:left="100"/>
              <w:spacing w:after="0"/>
              <w:rPr>
                <w:sz w:val="20"/>
                <w:szCs w:val="20"/>
                <w:color w:val="auto"/>
              </w:rPr>
            </w:pPr>
            <w:r>
              <w:rPr>
                <w:rFonts w:ascii="Arial" w:cs="Arial" w:eastAsia="Arial" w:hAnsi="Arial"/>
                <w:sz w:val="16"/>
                <w:szCs w:val="16"/>
                <w:color w:val="auto"/>
              </w:rPr>
              <w:t>Extinguished Unfunded Commitments</w:t>
            </w:r>
          </w:p>
        </w:tc>
        <w:tc>
          <w:tcPr>
            <w:tcW w:w="860" w:type="dxa"/>
            <w:vAlign w:val="bottom"/>
            <w:tcBorders>
              <w:bottom w:val="single" w:sz="8" w:color="A6A6A6"/>
            </w:tcBorders>
          </w:tcPr>
          <w:p>
            <w:pPr>
              <w:jc w:val="right"/>
              <w:ind w:right="39"/>
              <w:spacing w:after="0"/>
              <w:rPr>
                <w:sz w:val="20"/>
                <w:szCs w:val="20"/>
                <w:color w:val="auto"/>
              </w:rPr>
            </w:pPr>
            <w:r>
              <w:rPr>
                <w:rFonts w:ascii="Arial" w:cs="Arial" w:eastAsia="Arial" w:hAnsi="Arial"/>
                <w:sz w:val="16"/>
                <w:szCs w:val="16"/>
                <w:color w:val="auto"/>
              </w:rPr>
              <w:t>($38)</w:t>
            </w:r>
          </w:p>
        </w:tc>
      </w:tr>
      <w:tr>
        <w:trPr>
          <w:trHeight w:val="209"/>
        </w:trPr>
        <w:tc>
          <w:tcPr>
            <w:tcW w:w="4560" w:type="dxa"/>
            <w:vAlign w:val="bottom"/>
            <w:tcBorders>
              <w:bottom w:val="single" w:sz="8" w:color="A6A6A6"/>
              <w:right w:val="single" w:sz="8" w:color="A6A6A6"/>
            </w:tcBorders>
          </w:tcPr>
          <w:p>
            <w:pPr>
              <w:ind w:left="100"/>
              <w:spacing w:after="0"/>
              <w:rPr>
                <w:sz w:val="20"/>
                <w:szCs w:val="20"/>
                <w:color w:val="auto"/>
              </w:rPr>
            </w:pPr>
            <w:r>
              <w:rPr>
                <w:rFonts w:ascii="Arial" w:cs="Arial" w:eastAsia="Arial" w:hAnsi="Arial"/>
                <w:sz w:val="16"/>
                <w:szCs w:val="16"/>
                <w:color w:val="auto"/>
              </w:rPr>
              <w:t>New Unfunded Commitments</w:t>
            </w:r>
          </w:p>
        </w:tc>
        <w:tc>
          <w:tcPr>
            <w:tcW w:w="860" w:type="dxa"/>
            <w:vAlign w:val="bottom"/>
            <w:tcBorders>
              <w:bottom w:val="single" w:sz="8" w:color="A6A6A6"/>
            </w:tcBorders>
          </w:tcPr>
          <w:p>
            <w:pPr>
              <w:jc w:val="right"/>
              <w:ind w:right="39"/>
              <w:spacing w:after="0"/>
              <w:rPr>
                <w:sz w:val="20"/>
                <w:szCs w:val="20"/>
                <w:color w:val="auto"/>
              </w:rPr>
            </w:pPr>
            <w:r>
              <w:rPr>
                <w:rFonts w:ascii="Arial" w:cs="Arial" w:eastAsia="Arial" w:hAnsi="Arial"/>
                <w:sz w:val="16"/>
                <w:szCs w:val="16"/>
                <w:color w:val="auto"/>
              </w:rPr>
              <w:t>$37</w:t>
            </w:r>
          </w:p>
        </w:tc>
      </w:tr>
      <w:tr>
        <w:trPr>
          <w:trHeight w:val="209"/>
        </w:trPr>
        <w:tc>
          <w:tcPr>
            <w:tcW w:w="4560" w:type="dxa"/>
            <w:vAlign w:val="bottom"/>
            <w:tcBorders>
              <w:bottom w:val="single" w:sz="8" w:color="A6A6A6"/>
              <w:right w:val="single" w:sz="8" w:color="A6A6A6"/>
            </w:tcBorders>
          </w:tcPr>
          <w:p>
            <w:pPr>
              <w:ind w:left="100"/>
              <w:spacing w:after="0"/>
              <w:rPr>
                <w:sz w:val="20"/>
                <w:szCs w:val="20"/>
                <w:color w:val="auto"/>
              </w:rPr>
            </w:pPr>
            <w:r>
              <w:rPr>
                <w:rFonts w:ascii="Arial" w:cs="Arial" w:eastAsia="Arial" w:hAnsi="Arial"/>
                <w:sz w:val="16"/>
                <w:szCs w:val="16"/>
                <w:color w:val="auto"/>
              </w:rPr>
              <w:t>Net Drawdown of Unfunded Commitments</w:t>
            </w:r>
          </w:p>
        </w:tc>
        <w:tc>
          <w:tcPr>
            <w:tcW w:w="860" w:type="dxa"/>
            <w:vAlign w:val="bottom"/>
            <w:tcBorders>
              <w:bottom w:val="single" w:sz="8" w:color="A6A6A6"/>
            </w:tcBorders>
          </w:tcPr>
          <w:p>
            <w:pPr>
              <w:jc w:val="right"/>
              <w:ind w:right="39"/>
              <w:spacing w:after="0"/>
              <w:rPr>
                <w:sz w:val="20"/>
                <w:szCs w:val="20"/>
                <w:color w:val="auto"/>
              </w:rPr>
            </w:pPr>
            <w:r>
              <w:rPr>
                <w:rFonts w:ascii="Arial" w:cs="Arial" w:eastAsia="Arial" w:hAnsi="Arial"/>
                <w:sz w:val="16"/>
                <w:szCs w:val="16"/>
                <w:color w:val="auto"/>
              </w:rPr>
              <w:t>($55)</w:t>
            </w:r>
          </w:p>
        </w:tc>
      </w:tr>
      <w:tr>
        <w:trPr>
          <w:trHeight w:val="210"/>
        </w:trPr>
        <w:tc>
          <w:tcPr>
            <w:tcW w:w="4560" w:type="dxa"/>
            <w:vAlign w:val="bottom"/>
            <w:tcBorders>
              <w:bottom w:val="single" w:sz="8" w:color="A6A6A6"/>
              <w:right w:val="single" w:sz="8" w:color="A6A6A6"/>
            </w:tcBorders>
          </w:tcPr>
          <w:p>
            <w:pPr>
              <w:ind w:left="100"/>
              <w:spacing w:after="0"/>
              <w:rPr>
                <w:sz w:val="20"/>
                <w:szCs w:val="20"/>
                <w:color w:val="auto"/>
              </w:rPr>
            </w:pPr>
            <w:r>
              <w:rPr>
                <w:rFonts w:ascii="Arial" w:cs="Arial" w:eastAsia="Arial" w:hAnsi="Arial"/>
                <w:sz w:val="16"/>
                <w:szCs w:val="16"/>
                <w:b w:val="1"/>
                <w:bCs w:val="1"/>
                <w:color w:val="auto"/>
              </w:rPr>
              <w:t>Total Unfunded Commitments</w:t>
            </w:r>
          </w:p>
        </w:tc>
        <w:tc>
          <w:tcPr>
            <w:tcW w:w="860" w:type="dxa"/>
            <w:vAlign w:val="bottom"/>
            <w:tcBorders>
              <w:bottom w:val="single" w:sz="8" w:color="A6A6A6"/>
            </w:tcBorders>
          </w:tcPr>
          <w:p>
            <w:pPr>
              <w:jc w:val="right"/>
              <w:ind w:right="39"/>
              <w:spacing w:after="0"/>
              <w:rPr>
                <w:sz w:val="20"/>
                <w:szCs w:val="20"/>
                <w:color w:val="auto"/>
              </w:rPr>
            </w:pPr>
            <w:r>
              <w:rPr>
                <w:rFonts w:ascii="Arial" w:cs="Arial" w:eastAsia="Arial" w:hAnsi="Arial"/>
                <w:sz w:val="16"/>
                <w:szCs w:val="16"/>
                <w:b w:val="1"/>
                <w:bCs w:val="1"/>
                <w:color w:val="auto"/>
              </w:rPr>
              <w:t>$377</w:t>
            </w:r>
          </w:p>
        </w:tc>
      </w:tr>
      <w:tr>
        <w:trPr>
          <w:trHeight w:val="209"/>
        </w:trPr>
        <w:tc>
          <w:tcPr>
            <w:tcW w:w="4560" w:type="dxa"/>
            <w:vAlign w:val="bottom"/>
            <w:tcBorders>
              <w:bottom w:val="single" w:sz="8" w:color="A6A6A6"/>
              <w:right w:val="single" w:sz="8" w:color="A6A6A6"/>
            </w:tcBorders>
          </w:tcPr>
          <w:p>
            <w:pPr>
              <w:ind w:left="100"/>
              <w:spacing w:after="0" w:line="210" w:lineRule="exact"/>
              <w:rPr>
                <w:sz w:val="20"/>
                <w:szCs w:val="20"/>
                <w:color w:val="auto"/>
              </w:rPr>
            </w:pPr>
            <w:r>
              <w:rPr>
                <w:rFonts w:ascii="Arial" w:cs="Arial" w:eastAsia="Arial" w:hAnsi="Arial"/>
                <w:sz w:val="16"/>
                <w:szCs w:val="16"/>
                <w:color w:val="auto"/>
              </w:rPr>
              <w:t>Unavailable Unfunded Commitments</w:t>
            </w:r>
            <w:r>
              <w:rPr>
                <w:rFonts w:ascii="Arial" w:cs="Arial" w:eastAsia="Arial" w:hAnsi="Arial"/>
                <w:sz w:val="21"/>
                <w:szCs w:val="21"/>
                <w:color w:val="auto"/>
                <w:vertAlign w:val="superscript"/>
              </w:rPr>
              <w:t>1</w:t>
            </w:r>
          </w:p>
        </w:tc>
        <w:tc>
          <w:tcPr>
            <w:tcW w:w="860" w:type="dxa"/>
            <w:vAlign w:val="bottom"/>
            <w:tcBorders>
              <w:bottom w:val="single" w:sz="8" w:color="A6A6A6"/>
            </w:tcBorders>
          </w:tcPr>
          <w:p>
            <w:pPr>
              <w:jc w:val="right"/>
              <w:ind w:right="39"/>
              <w:spacing w:after="0"/>
              <w:rPr>
                <w:sz w:val="20"/>
                <w:szCs w:val="20"/>
                <w:color w:val="auto"/>
              </w:rPr>
            </w:pPr>
            <w:r>
              <w:rPr>
                <w:rFonts w:ascii="Arial" w:cs="Arial" w:eastAsia="Arial" w:hAnsi="Arial"/>
                <w:sz w:val="16"/>
                <w:szCs w:val="16"/>
                <w:color w:val="auto"/>
              </w:rPr>
              <w:t>($158)</w:t>
            </w:r>
          </w:p>
        </w:tc>
      </w:tr>
      <w:tr>
        <w:trPr>
          <w:trHeight w:val="210"/>
        </w:trPr>
        <w:tc>
          <w:tcPr>
            <w:tcW w:w="4560" w:type="dxa"/>
            <w:vAlign w:val="bottom"/>
            <w:tcBorders>
              <w:bottom w:val="single" w:sz="8" w:color="A6A6A6"/>
              <w:right w:val="single" w:sz="8" w:color="A6A6A6"/>
            </w:tcBorders>
          </w:tcPr>
          <w:p>
            <w:pPr>
              <w:ind w:left="100"/>
              <w:spacing w:after="0" w:line="210" w:lineRule="exact"/>
              <w:rPr>
                <w:sz w:val="20"/>
                <w:szCs w:val="20"/>
                <w:color w:val="auto"/>
              </w:rPr>
            </w:pPr>
            <w:r>
              <w:rPr>
                <w:rFonts w:ascii="Arial" w:cs="Arial" w:eastAsia="Arial" w:hAnsi="Arial"/>
                <w:sz w:val="16"/>
                <w:szCs w:val="16"/>
                <w:b w:val="1"/>
                <w:bCs w:val="1"/>
                <w:color w:val="auto"/>
              </w:rPr>
              <w:t>Available Unfunded Commitments</w:t>
            </w:r>
            <w:r>
              <w:rPr>
                <w:rFonts w:ascii="Arial" w:cs="Arial" w:eastAsia="Arial" w:hAnsi="Arial"/>
                <w:sz w:val="21"/>
                <w:szCs w:val="21"/>
                <w:b w:val="1"/>
                <w:bCs w:val="1"/>
                <w:color w:val="auto"/>
                <w:vertAlign w:val="superscript"/>
              </w:rPr>
              <w:t>1</w:t>
            </w:r>
          </w:p>
        </w:tc>
        <w:tc>
          <w:tcPr>
            <w:tcW w:w="860" w:type="dxa"/>
            <w:vAlign w:val="bottom"/>
            <w:tcBorders>
              <w:bottom w:val="single" w:sz="8" w:color="A6A6A6"/>
            </w:tcBorders>
          </w:tcPr>
          <w:p>
            <w:pPr>
              <w:jc w:val="right"/>
              <w:ind w:right="39"/>
              <w:spacing w:after="0"/>
              <w:rPr>
                <w:sz w:val="20"/>
                <w:szCs w:val="20"/>
                <w:color w:val="auto"/>
              </w:rPr>
            </w:pPr>
            <w:r>
              <w:rPr>
                <w:rFonts w:ascii="Arial" w:cs="Arial" w:eastAsia="Arial" w:hAnsi="Arial"/>
                <w:sz w:val="16"/>
                <w:szCs w:val="16"/>
                <w:b w:val="1"/>
                <w:bCs w:val="1"/>
                <w:color w:val="auto"/>
              </w:rPr>
              <w:t>$219</w:t>
            </w:r>
          </w:p>
        </w:tc>
      </w:tr>
    </w:tbl>
    <w:p>
      <w:pPr>
        <w:spacing w:after="0" w:line="559" w:lineRule="exact"/>
        <w:rPr>
          <w:sz w:val="20"/>
          <w:szCs w:val="20"/>
          <w:color w:val="auto"/>
        </w:rPr>
      </w:pPr>
    </w:p>
    <w:p>
      <w:pPr>
        <w:sectPr>
          <w:pgSz w:w="11900" w:h="16838" w:orient="portrait"/>
          <w:cols w:equalWidth="0" w:num="2">
            <w:col w:w="5540" w:space="280"/>
            <w:col w:w="5420"/>
          </w:cols>
          <w:pgMar w:left="320" w:top="1440" w:right="339" w:bottom="1440" w:gutter="0" w:footer="0" w:header="0"/>
          <w:type w:val="continuous"/>
        </w:sectPr>
      </w:pPr>
    </w:p>
    <w:p>
      <w:pPr>
        <w:spacing w:after="0"/>
        <w:rPr>
          <w:sz w:val="20"/>
          <w:szCs w:val="20"/>
          <w:color w:val="auto"/>
        </w:rPr>
      </w:pPr>
      <w:r>
        <w:rPr>
          <w:rFonts w:ascii="Arial" w:cs="Arial" w:eastAsia="Arial" w:hAnsi="Arial"/>
          <w:sz w:val="29"/>
          <w:szCs w:val="29"/>
          <w:b w:val="1"/>
          <w:bCs w:val="1"/>
          <w:color w:val="auto"/>
        </w:rPr>
        <w:t>Funding Profile</w:t>
      </w:r>
    </w:p>
    <w:p>
      <w:pPr>
        <w:spacing w:after="0" w:line="125" w:lineRule="exact"/>
        <w:rPr>
          <w:sz w:val="20"/>
          <w:szCs w:val="20"/>
          <w:color w:val="auto"/>
        </w:rPr>
      </w:pPr>
    </w:p>
    <w:p>
      <w:pPr>
        <w:ind w:right="80"/>
        <w:spacing w:after="0" w:line="257" w:lineRule="auto"/>
        <w:rPr>
          <w:sz w:val="20"/>
          <w:szCs w:val="20"/>
          <w:color w:val="auto"/>
        </w:rPr>
      </w:pPr>
      <w:r>
        <w:rPr>
          <w:rFonts w:ascii="Arial" w:cs="Arial" w:eastAsia="Arial" w:hAnsi="Arial"/>
          <w:sz w:val="19"/>
          <w:szCs w:val="19"/>
          <w:color w:val="auto"/>
        </w:rPr>
        <w:t>At September 30, 2026, the Company’s funding mix was comprised of approximately 64% unsecured and 36% secured debt. The Company’s nearest debt maturity is in August 2028 at $300 million, and the weighted average remaining life of investments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funded with debt was ~2.4 years, compared to a weighted average remaining maturity on debt of ~4.0 years</w:t>
      </w:r>
      <w:r>
        <w:rPr>
          <w:rFonts w:ascii="Arial" w:cs="Arial" w:eastAsia="Arial" w:hAnsi="Arial"/>
          <w:sz w:val="26"/>
          <w:szCs w:val="26"/>
          <w:color w:val="auto"/>
          <w:vertAlign w:val="superscript"/>
        </w:rPr>
        <w:t>2</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2119630</wp:posOffset>
            </wp:positionV>
            <wp:extent cx="1688465" cy="50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500" w:firstLine="8"/>
        <w:spacing w:after="0" w:line="222" w:lineRule="auto"/>
        <w:tabs>
          <w:tab w:leader="none" w:pos="93"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Commitments may be subject to limitations on borrowings set forth in the agreements between the Company and the applicable portfolio company. As a result, portfolio companies may not be eligible to borrow the full commitment amount on such date.</w:t>
      </w:r>
    </w:p>
    <w:p>
      <w:pPr>
        <w:spacing w:after="0"/>
        <w:rPr>
          <w:rFonts w:ascii="Arial" w:cs="Arial" w:eastAsia="Arial" w:hAnsi="Arial"/>
          <w:sz w:val="19"/>
          <w:szCs w:val="19"/>
          <w:color w:val="auto"/>
          <w:vertAlign w:val="superscript"/>
        </w:rPr>
      </w:pPr>
      <w:r>
        <w:rPr>
          <w:rFonts w:ascii="Arial" w:cs="Arial" w:eastAsia="Arial" w:hAnsi="Arial"/>
          <w:sz w:val="19"/>
          <w:szCs w:val="19"/>
          <w:color w:val="auto"/>
          <w:vertAlign w:val="superscript"/>
        </w:rPr>
        <w:t>2</w:t>
      </w:r>
      <w:r>
        <w:rPr>
          <w:rFonts w:ascii="Arial" w:cs="Arial" w:eastAsia="Arial" w:hAnsi="Arial"/>
          <w:sz w:val="14"/>
          <w:szCs w:val="14"/>
          <w:color w:val="auto"/>
        </w:rPr>
        <w:t xml:space="preserve"> Weighted by gross commitment amount.</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534035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405765</wp:posOffset>
            </wp:positionV>
            <wp:extent cx="840105" cy="205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840105" cy="20574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color w:val="004A48"/>
        </w:rPr>
        <w:t>Conference Call and Webcast</w:t>
      </w:r>
    </w:p>
    <w:p>
      <w:pPr>
        <w:spacing w:after="0" w:line="3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Information:</w:t>
      </w:r>
    </w:p>
    <w:p>
      <w:pPr>
        <w:spacing w:after="0" w:line="204"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A conference call to discuss the Company’s financial results will be held at 8:30 a.m. Eastern Time on November 4, 2026. The conference call will be broadcast live in listen-only mode on the Investor Resources section of TSLX’s website at https://sixthstreetspecialtylending.gcs-web.com/events-and-presentations. The Events &amp; Presentations page of the Investor Resources section of TSLX’s website also includes a slide presentation that complements the Earnings Conference Call. Please visit the website to test your connection before the webcast.</w:t>
      </w:r>
    </w:p>
    <w:p>
      <w:pPr>
        <w:spacing w:after="0" w:line="175" w:lineRule="exact"/>
        <w:rPr>
          <w:sz w:val="20"/>
          <w:szCs w:val="20"/>
          <w:color w:val="auto"/>
        </w:rPr>
      </w:pPr>
    </w:p>
    <w:p>
      <w:pPr>
        <w:ind w:right="520"/>
        <w:spacing w:after="0" w:line="237" w:lineRule="auto"/>
        <w:rPr>
          <w:sz w:val="20"/>
          <w:szCs w:val="20"/>
          <w:color w:val="auto"/>
        </w:rPr>
      </w:pPr>
      <w:r>
        <w:rPr>
          <w:rFonts w:ascii="Arial" w:cs="Arial" w:eastAsia="Arial" w:hAnsi="Arial"/>
          <w:sz w:val="20"/>
          <w:szCs w:val="20"/>
          <w:color w:val="auto"/>
        </w:rPr>
        <w:t>Research analysts who wish to participate in the conference call must first register at https://register-conf.media-server.com/register/BIb4585bf88c3e4e1eb4406768b7c46332. Upon registration, all telephone participants will receive a confirmation email detailing how to join the conference call, including the dial-in number along with a unique passcode and registrant ID that can be used to access the call.</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Replay Information:</w:t>
      </w:r>
    </w:p>
    <w:p>
      <w:pPr>
        <w:spacing w:after="0" w:line="204" w:lineRule="exact"/>
        <w:rPr>
          <w:sz w:val="20"/>
          <w:szCs w:val="20"/>
          <w:color w:val="auto"/>
        </w:rPr>
      </w:pPr>
    </w:p>
    <w:p>
      <w:pPr>
        <w:ind w:right="200"/>
        <w:spacing w:after="0" w:line="257" w:lineRule="auto"/>
        <w:rPr>
          <w:sz w:val="20"/>
          <w:szCs w:val="20"/>
          <w:color w:val="auto"/>
        </w:rPr>
      </w:pPr>
      <w:r>
        <w:rPr>
          <w:rFonts w:ascii="Arial" w:cs="Arial" w:eastAsia="Arial" w:hAnsi="Arial"/>
          <w:sz w:val="20"/>
          <w:szCs w:val="20"/>
          <w:color w:val="auto"/>
        </w:rPr>
        <w:t>A recorded version will be available under the same webcast link (https://sixthstreetspecialtylending.gcs-web.com/events-and-presentations) following the conclusion of the conference call.</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534035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405765</wp:posOffset>
            </wp:positionV>
            <wp:extent cx="840105" cy="2057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840105" cy="20574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color w:val="004A48"/>
        </w:rPr>
        <w:t>Financial Highlights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004A48"/>
        </w:rPr>
        <w:t>(Amounts in millions, except per share amounts)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173"/>
        </w:trPr>
        <w:tc>
          <w:tcPr>
            <w:tcW w:w="5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3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3,393.0</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3,347.3</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3,376.3</w:t>
            </w:r>
          </w:p>
        </w:tc>
        <w:tc>
          <w:tcPr>
            <w:tcW w:w="180" w:type="dxa"/>
            <w:vAlign w:val="bottom"/>
            <w:shd w:val="clear" w:color="auto" w:fill="CFF0FC"/>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3,481.8</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3,421.7</w:t>
            </w:r>
          </w:p>
        </w:tc>
        <w:tc>
          <w:tcPr>
            <w:tcW w:w="2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Asset Value Per Share</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2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2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80" w:type="dxa"/>
            <w:vAlign w:val="bottom"/>
            <w:shd w:val="clear" w:color="auto" w:fill="CFF0FC"/>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506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Supplemental Dividend Per Share</w:t>
            </w:r>
          </w:p>
        </w:tc>
        <w:tc>
          <w:tcPr>
            <w:tcW w:w="500" w:type="dxa"/>
            <w:vAlign w:val="bottom"/>
            <w:gridSpan w:val="2"/>
          </w:tcPr>
          <w:p>
            <w:pPr>
              <w:jc w:val="right"/>
              <w:spacing w:after="0" w:line="164"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0.01</w:t>
            </w:r>
          </w:p>
        </w:tc>
        <w:tc>
          <w:tcPr>
            <w:tcW w:w="260" w:type="dxa"/>
            <w:vAlign w:val="bottom"/>
          </w:tcPr>
          <w:p>
            <w:pPr>
              <w:spacing w:after="0"/>
              <w:rPr>
                <w:sz w:val="14"/>
                <w:szCs w:val="14"/>
                <w:color w:val="auto"/>
              </w:rPr>
            </w:pPr>
          </w:p>
        </w:tc>
        <w:tc>
          <w:tcPr>
            <w:tcW w:w="280" w:type="dxa"/>
            <w:vAlign w:val="bottom"/>
            <w:gridSpan w:val="2"/>
          </w:tcPr>
          <w:p>
            <w:pPr>
              <w:jc w:val="right"/>
              <w:spacing w:after="0" w:line="164" w:lineRule="exact"/>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0.01</w:t>
            </w:r>
          </w:p>
        </w:tc>
        <w:tc>
          <w:tcPr>
            <w:tcW w:w="260" w:type="dxa"/>
            <w:vAlign w:val="bottom"/>
          </w:tcPr>
          <w:p>
            <w:pPr>
              <w:spacing w:after="0"/>
              <w:rPr>
                <w:sz w:val="14"/>
                <w:szCs w:val="14"/>
                <w:color w:val="auto"/>
              </w:rPr>
            </w:pPr>
          </w:p>
        </w:tc>
        <w:tc>
          <w:tcPr>
            <w:tcW w:w="240" w:type="dxa"/>
            <w:vAlign w:val="bottom"/>
            <w:gridSpan w:val="2"/>
          </w:tcPr>
          <w:p>
            <w:pPr>
              <w:jc w:val="right"/>
              <w:spacing w:after="0" w:line="164"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0.03</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506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 xml:space="preserve">Adjusted Net Asset Value Per Share </w:t>
            </w:r>
            <w:r>
              <w:rPr>
                <w:rFonts w:ascii="Times New Roman" w:cs="Times New Roman" w:eastAsia="Times New Roman" w:hAnsi="Times New Roman"/>
                <w:sz w:val="24"/>
                <w:szCs w:val="24"/>
                <w:color w:val="auto"/>
                <w:vertAlign w:val="superscript"/>
              </w:rPr>
              <w:t>(1)</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260" w:type="dxa"/>
            <w:vAlign w:val="bottom"/>
          </w:tcPr>
          <w:p>
            <w:pPr>
              <w:spacing w:after="0"/>
              <w:rPr>
                <w:sz w:val="23"/>
                <w:szCs w:val="23"/>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260" w:type="dxa"/>
            <w:vAlign w:val="bottom"/>
          </w:tcPr>
          <w:p>
            <w:pPr>
              <w:spacing w:after="0"/>
              <w:rPr>
                <w:sz w:val="23"/>
                <w:szCs w:val="23"/>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060" w:type="dxa"/>
            <w:vAlign w:val="bottom"/>
          </w:tcPr>
          <w:p>
            <w:pPr>
              <w:spacing w:after="0"/>
              <w:rPr>
                <w:sz w:val="21"/>
                <w:szCs w:val="21"/>
                <w:color w:val="auto"/>
              </w:rPr>
            </w:pPr>
          </w:p>
        </w:tc>
        <w:tc>
          <w:tcPr>
            <w:tcW w:w="500" w:type="dxa"/>
            <w:vAlign w:val="bottom"/>
            <w:gridSpan w:val="2"/>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gridSpan w:val="2"/>
          </w:tcPr>
          <w:p>
            <w:pPr>
              <w:spacing w:after="0"/>
              <w:rPr>
                <w:sz w:val="21"/>
                <w:szCs w:val="21"/>
                <w:color w:val="auto"/>
              </w:rPr>
            </w:pPr>
          </w:p>
        </w:tc>
        <w:tc>
          <w:tcPr>
            <w:tcW w:w="1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gridSpan w:val="2"/>
          </w:tcPr>
          <w:p>
            <w:pPr>
              <w:spacing w:after="0"/>
              <w:rPr>
                <w:sz w:val="21"/>
                <w:szCs w:val="21"/>
                <w:color w:val="auto"/>
              </w:rPr>
            </w:pP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2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0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Accrued Capital Gains Incentive Fee Expense</w:t>
            </w:r>
          </w:p>
        </w:tc>
        <w:tc>
          <w:tcPr>
            <w:tcW w:w="50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0.0</w:t>
            </w:r>
          </w:p>
        </w:tc>
        <w:tc>
          <w:tcPr>
            <w:tcW w:w="260" w:type="dxa"/>
            <w:vAlign w:val="bottom"/>
          </w:tcPr>
          <w:p>
            <w:pPr>
              <w:spacing w:after="0"/>
              <w:rPr>
                <w:sz w:val="16"/>
                <w:szCs w:val="16"/>
                <w:color w:val="auto"/>
              </w:rPr>
            </w:pPr>
          </w:p>
        </w:tc>
        <w:tc>
          <w:tcPr>
            <w:tcW w:w="28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200"/>
              <w:spacing w:after="0" w:line="191" w:lineRule="exact"/>
              <w:rPr>
                <w:sz w:val="20"/>
                <w:szCs w:val="20"/>
                <w:color w:val="auto"/>
              </w:rPr>
            </w:pPr>
            <w:r>
              <w:rPr>
                <w:rFonts w:ascii="Times New Roman" w:cs="Times New Roman" w:eastAsia="Times New Roman" w:hAnsi="Times New Roman"/>
                <w:sz w:val="18"/>
                <w:szCs w:val="18"/>
                <w:color w:val="auto"/>
              </w:rPr>
              <w:t>(1.8)</w:t>
            </w:r>
          </w:p>
        </w:tc>
        <w:tc>
          <w:tcPr>
            <w:tcW w:w="24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20"/>
              <w:spacing w:after="0" w:line="191" w:lineRule="exact"/>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Adjusted Net Investment Income </w:t>
            </w:r>
            <w:r>
              <w:rPr>
                <w:rFonts w:ascii="Times New Roman" w:cs="Times New Roman" w:eastAsia="Times New Roman" w:hAnsi="Times New Roman"/>
                <w:sz w:val="24"/>
                <w:szCs w:val="24"/>
                <w:color w:val="auto"/>
                <w:vertAlign w:val="superscript"/>
              </w:rPr>
              <w:t>(2)</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Adjusted Net Income (Loss) </w:t>
            </w:r>
            <w:r>
              <w:rPr>
                <w:rFonts w:ascii="Times New Roman" w:cs="Times New Roman" w:eastAsia="Times New Roman" w:hAnsi="Times New Roman"/>
                <w:sz w:val="24"/>
                <w:szCs w:val="24"/>
                <w:color w:val="auto"/>
                <w:vertAlign w:val="superscript"/>
              </w:rPr>
              <w:t>(2)</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6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6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 Per Share</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26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26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2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2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0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Accrued Capital Gains Incentive Fee Expense Per Share</w:t>
            </w:r>
          </w:p>
        </w:tc>
        <w:tc>
          <w:tcPr>
            <w:tcW w:w="50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200"/>
              <w:spacing w:after="0" w:line="191" w:lineRule="exact"/>
              <w:rPr>
                <w:sz w:val="20"/>
                <w:szCs w:val="20"/>
                <w:color w:val="auto"/>
              </w:rPr>
            </w:pPr>
            <w:r>
              <w:rPr>
                <w:rFonts w:ascii="Times New Roman" w:cs="Times New Roman" w:eastAsia="Times New Roman" w:hAnsi="Times New Roman"/>
                <w:sz w:val="18"/>
                <w:szCs w:val="18"/>
                <w:color w:val="auto"/>
              </w:rPr>
              <w:t>(0.01)</w:t>
            </w:r>
          </w:p>
        </w:tc>
        <w:tc>
          <w:tcPr>
            <w:tcW w:w="24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20"/>
              <w:spacing w:after="0" w:line="191" w:lineRule="exact"/>
              <w:rPr>
                <w:sz w:val="20"/>
                <w:szCs w:val="20"/>
                <w:color w:val="auto"/>
              </w:rPr>
            </w:pPr>
            <w:r>
              <w:rPr>
                <w:rFonts w:ascii="Times New Roman" w:cs="Times New Roman" w:eastAsia="Times New Roman" w:hAnsi="Times New Roman"/>
                <w:sz w:val="18"/>
                <w:szCs w:val="18"/>
                <w:color w:val="auto"/>
              </w:rPr>
              <w:t>(0.01)</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Adjusted Net Investment Income Per Share </w:t>
            </w:r>
            <w:r>
              <w:rPr>
                <w:rFonts w:ascii="Times New Roman" w:cs="Times New Roman" w:eastAsia="Times New Roman" w:hAnsi="Times New Roman"/>
                <w:sz w:val="24"/>
                <w:szCs w:val="24"/>
                <w:color w:val="auto"/>
                <w:vertAlign w:val="superscript"/>
              </w:rPr>
              <w:t>(2)</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2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Adjusted Net Income (Loss) Per Share </w:t>
            </w:r>
            <w:r>
              <w:rPr>
                <w:rFonts w:ascii="Times New Roman" w:cs="Times New Roman" w:eastAsia="Times New Roman" w:hAnsi="Times New Roman"/>
                <w:sz w:val="24"/>
                <w:szCs w:val="24"/>
                <w:color w:val="auto"/>
                <w:vertAlign w:val="superscript"/>
              </w:rPr>
              <w:t>(2)</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26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6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Annualized Return on Equity (Net Investment Income) </w:t>
            </w:r>
            <w:r>
              <w:rPr>
                <w:rFonts w:ascii="Times New Roman" w:cs="Times New Roman" w:eastAsia="Times New Roman" w:hAnsi="Times New Roman"/>
                <w:sz w:val="24"/>
                <w:szCs w:val="24"/>
                <w:color w:val="auto"/>
                <w:vertAlign w:val="superscript"/>
              </w:rPr>
              <w:t>(3)</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506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 xml:space="preserve">Annualized Return on Equity (Net Income (Loss)) </w:t>
            </w:r>
            <w:r>
              <w:rPr>
                <w:rFonts w:ascii="Times New Roman" w:cs="Times New Roman" w:eastAsia="Times New Roman" w:hAnsi="Times New Roman"/>
                <w:sz w:val="24"/>
                <w:szCs w:val="24"/>
                <w:color w:val="auto"/>
                <w:vertAlign w:val="superscript"/>
              </w:rPr>
              <w:t>(3)</w:t>
            </w: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506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Annualized Return on Equity (Adjusted Net Investment Income)</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60" w:type="dxa"/>
            <w:vAlign w:val="bottom"/>
          </w:tcPr>
          <w:p>
            <w:pPr>
              <w:spacing w:after="0"/>
              <w:rPr>
                <w:sz w:val="20"/>
                <w:szCs w:val="20"/>
                <w:color w:val="auto"/>
              </w:rPr>
            </w:pPr>
            <w:r>
              <w:rPr>
                <w:rFonts w:ascii="Times New Roman" w:cs="Times New Roman" w:eastAsia="Times New Roman" w:hAnsi="Times New Roman"/>
                <w:sz w:val="12"/>
                <w:szCs w:val="12"/>
                <w:color w:val="auto"/>
              </w:rPr>
              <w:t>(2)(3)</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Annualized Return on Equity (Adjusted Net Income (Loss)) </w:t>
            </w:r>
            <w:r>
              <w:rPr>
                <w:rFonts w:ascii="Times New Roman" w:cs="Times New Roman" w:eastAsia="Times New Roman" w:hAnsi="Times New Roman"/>
                <w:sz w:val="24"/>
                <w:szCs w:val="24"/>
                <w:color w:val="auto"/>
                <w:vertAlign w:val="superscript"/>
              </w:rPr>
              <w:t>(2)(3)</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50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Weighted Average Yield of Debt and Income Producing</w:t>
            </w:r>
          </w:p>
        </w:tc>
        <w:tc>
          <w:tcPr>
            <w:tcW w:w="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11.4%</w:t>
            </w: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50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Securities at Fair Value</w:t>
            </w:r>
          </w:p>
        </w:tc>
        <w:tc>
          <w:tcPr>
            <w:tcW w:w="3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88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500" w:type="dxa"/>
            <w:vAlign w:val="bottom"/>
            <w:gridSpan w:val="2"/>
            <w:vMerge w:val="continue"/>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060" w:type="dxa"/>
            <w:vAlign w:val="bottom"/>
            <w:vMerge w:val="continue"/>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3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6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5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Yield of Debt and Income Producing</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11.7%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5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Securities at Amortized Cost</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0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Percentage of Debt Investment Commitments at Floating Rates</w:t>
            </w: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97.6%</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96.3%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96.3%</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-3659505</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-2802255</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-1927860</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-1636395</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-1362075</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-976630</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60" w:hanging="352"/>
        <w:spacing w:after="0"/>
        <w:tabs>
          <w:tab w:leader="none" w:pos="360" w:val="left"/>
        </w:tabs>
        <w:numPr>
          <w:ilvl w:val="0"/>
          <w:numId w:val="7"/>
        </w:numPr>
        <w:rPr>
          <w:rFonts w:ascii="Arial" w:cs="Arial" w:eastAsia="Arial" w:hAnsi="Arial"/>
          <w:sz w:val="14"/>
          <w:szCs w:val="14"/>
          <w:color w:val="auto"/>
        </w:rPr>
      </w:pPr>
      <w:r>
        <w:rPr>
          <w:rFonts w:ascii="Arial" w:cs="Arial" w:eastAsia="Arial" w:hAnsi="Arial"/>
          <w:sz w:val="14"/>
          <w:szCs w:val="14"/>
          <w:color w:val="auto"/>
        </w:rPr>
        <w:t>Adjusted net asset value per share gives effect to the supplemental dividend declared related to earnings or special dividend in the applicable period.</w:t>
      </w:r>
    </w:p>
    <w:p>
      <w:pPr>
        <w:spacing w:after="0" w:line="5" w:lineRule="exact"/>
        <w:rPr>
          <w:rFonts w:ascii="Arial" w:cs="Arial" w:eastAsia="Arial" w:hAnsi="Arial"/>
          <w:sz w:val="14"/>
          <w:szCs w:val="14"/>
          <w:color w:val="auto"/>
        </w:rPr>
      </w:pPr>
    </w:p>
    <w:p>
      <w:pPr>
        <w:ind w:left="300" w:right="20" w:hanging="292"/>
        <w:spacing w:after="0" w:line="241" w:lineRule="auto"/>
        <w:tabs>
          <w:tab w:leader="none" w:pos="360" w:val="left"/>
        </w:tabs>
        <w:numPr>
          <w:ilvl w:val="0"/>
          <w:numId w:val="7"/>
        </w:numPr>
        <w:rPr>
          <w:rFonts w:ascii="Arial" w:cs="Arial" w:eastAsia="Arial" w:hAnsi="Arial"/>
          <w:sz w:val="14"/>
          <w:szCs w:val="14"/>
          <w:color w:val="auto"/>
        </w:rPr>
      </w:pPr>
      <w:r>
        <w:rPr>
          <w:rFonts w:ascii="Arial" w:cs="Arial" w:eastAsia="Arial" w:hAnsi="Arial"/>
          <w:sz w:val="14"/>
          <w:szCs w:val="14"/>
          <w:color w:val="auto"/>
        </w:rPr>
        <w:t>Adjusted to exclude the capital gains incentive fee that was accrued, but not paid, related to cumulative unrealized capital gains in excess of cumulative net realized capital gains less any cumulative unrealized losses and capital gains incentive fees paid inception to date.</w:t>
      </w:r>
    </w:p>
    <w:p>
      <w:pPr>
        <w:ind w:left="360" w:hanging="352"/>
        <w:spacing w:after="0"/>
        <w:tabs>
          <w:tab w:leader="none" w:pos="36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Return on equity is calculated using prior period’s ending net asset value per share.</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534035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406400</wp:posOffset>
            </wp:positionV>
            <wp:extent cx="840105" cy="2057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840105" cy="20574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color w:val="004A48"/>
        </w:rPr>
        <w:t>Financial Statements and Tables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20" w:type="dxa"/>
            <w:vAlign w:val="bottom"/>
          </w:tcPr>
          <w:p>
            <w:pPr>
              <w:spacing w:after="0"/>
              <w:rPr>
                <w:sz w:val="15"/>
                <w:szCs w:val="15"/>
                <w:color w:val="auto"/>
              </w:rPr>
            </w:pPr>
          </w:p>
        </w:tc>
        <w:tc>
          <w:tcPr>
            <w:tcW w:w="17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42"/>
        </w:trPr>
        <w:tc>
          <w:tcPr>
            <w:tcW w:w="74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Borders>
              <w:top w:val="single" w:sz="8" w:color="auto"/>
            </w:tcBorders>
            <w:shd w:val="clear" w:color="auto" w:fill="CFF0FC"/>
          </w:tcPr>
          <w:p>
            <w:pPr>
              <w:spacing w:after="0"/>
              <w:rPr>
                <w:sz w:val="12"/>
                <w:szCs w:val="12"/>
                <w:color w:val="auto"/>
              </w:rPr>
            </w:pPr>
          </w:p>
        </w:tc>
        <w:tc>
          <w:tcPr>
            <w:tcW w:w="1460" w:type="dxa"/>
            <w:vAlign w:val="bottom"/>
            <w:tcBorders>
              <w:top w:val="single" w:sz="8" w:color="auto"/>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66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Investments at fair value</w:t>
            </w: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Non-controlled, non-affiliated investments (amortized cost of $3,195,950 and $3,244,762, respectively)</w:t>
            </w:r>
          </w:p>
        </w:tc>
        <w:tc>
          <w:tcPr>
            <w:tcW w:w="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3,206,959</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3,288,945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Non-controlled, affiliated investments (amortized cost of $75,641 and $0, respectively)</w:t>
            </w:r>
          </w:p>
        </w:tc>
        <w:tc>
          <w:tcPr>
            <w:tcW w:w="1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79,990</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400" w:type="dxa"/>
            <w:vAlign w:val="bottom"/>
            <w:tcBorders>
              <w:bottom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Controlled, affiliated investments (amortized cost of $136,049 and $78,520, respectively)</w:t>
            </w:r>
          </w:p>
        </w:tc>
        <w:tc>
          <w:tcPr>
            <w:tcW w:w="120" w:type="dxa"/>
            <w:vAlign w:val="bottom"/>
            <w:tcBorders>
              <w:bottom w:val="single" w:sz="8" w:color="auto"/>
            </w:tcBorders>
            <w:shd w:val="clear" w:color="auto" w:fill="CFF0FC"/>
          </w:tcPr>
          <w:p>
            <w:pPr>
              <w:spacing w:after="0"/>
              <w:rPr>
                <w:sz w:val="12"/>
                <w:szCs w:val="12"/>
                <w:color w:val="auto"/>
              </w:rPr>
            </w:pPr>
          </w:p>
        </w:tc>
        <w:tc>
          <w:tcPr>
            <w:tcW w:w="14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106,086</w:t>
            </w:r>
          </w:p>
        </w:tc>
        <w:tc>
          <w:tcPr>
            <w:tcW w:w="2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6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58,372</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investments at fair value (amortized cost of $3,407,640 and $3,323,282, respectively)</w:t>
            </w:r>
          </w:p>
        </w:tc>
        <w:tc>
          <w:tcPr>
            <w:tcW w:w="120" w:type="dxa"/>
            <w:vAlign w:val="bottom"/>
          </w:tcPr>
          <w:p>
            <w:pPr>
              <w:spacing w:after="0"/>
              <w:rPr>
                <w:sz w:val="12"/>
                <w:szCs w:val="12"/>
                <w:color w:val="auto"/>
              </w:rPr>
            </w:pPr>
          </w:p>
        </w:tc>
        <w:tc>
          <w:tcPr>
            <w:tcW w:w="1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3,393,035</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3,347,317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(restricted cash of $35,403 and $16,727, respectively)</w:t>
            </w:r>
          </w:p>
        </w:tc>
        <w:tc>
          <w:tcPr>
            <w:tcW w:w="12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40,499</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19,662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and dividends receivable</w:t>
            </w:r>
          </w:p>
        </w:tc>
        <w:tc>
          <w:tcPr>
            <w:tcW w:w="1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38,609</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34,132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Prepaid expenses and other assets</w:t>
            </w:r>
          </w:p>
        </w:tc>
        <w:tc>
          <w:tcPr>
            <w:tcW w:w="120" w:type="dxa"/>
            <w:vAlign w:val="bottom"/>
            <w:tcBorders>
              <w:bottom w:val="single" w:sz="8" w:color="auto"/>
            </w:tcBorders>
            <w:shd w:val="clear" w:color="auto" w:fill="CFF0FC"/>
          </w:tcPr>
          <w:p>
            <w:pPr>
              <w:spacing w:after="0"/>
              <w:rPr>
                <w:sz w:val="12"/>
                <w:szCs w:val="12"/>
                <w:color w:val="auto"/>
              </w:rPr>
            </w:pPr>
          </w:p>
        </w:tc>
        <w:tc>
          <w:tcPr>
            <w:tcW w:w="14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9,623</w:t>
            </w:r>
          </w:p>
        </w:tc>
        <w:tc>
          <w:tcPr>
            <w:tcW w:w="2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6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20,544</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0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3,481,766</w:t>
            </w:r>
          </w:p>
        </w:tc>
        <w:tc>
          <w:tcPr>
            <w:tcW w:w="260" w:type="dxa"/>
            <w:vAlign w:val="bottom"/>
          </w:tcPr>
          <w:p>
            <w:pPr>
              <w:spacing w:after="0"/>
              <w:rPr>
                <w:sz w:val="12"/>
                <w:szCs w:val="12"/>
                <w:color w:val="auto"/>
              </w:rPr>
            </w:pPr>
          </w:p>
        </w:tc>
        <w:tc>
          <w:tcPr>
            <w:tcW w:w="22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3,421,655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4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Debt (net of deferred financing costs of $27,234 and $24,411, respectively)</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1,871,877</w:t>
            </w:r>
          </w:p>
        </w:tc>
        <w:tc>
          <w:tcPr>
            <w:tcW w:w="260" w:type="dxa"/>
            <w:vAlign w:val="bottom"/>
          </w:tcPr>
          <w:p>
            <w:pPr>
              <w:spacing w:after="0"/>
              <w:rPr>
                <w:sz w:val="12"/>
                <w:szCs w:val="12"/>
                <w:color w:val="auto"/>
              </w:rPr>
            </w:pPr>
          </w:p>
        </w:tc>
        <w:tc>
          <w:tcPr>
            <w:tcW w:w="2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1,743,234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Management fees payable to affiliate</w:t>
            </w:r>
          </w:p>
        </w:tc>
        <w:tc>
          <w:tcPr>
            <w:tcW w:w="12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12,745</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12,794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Incentive fees on net investment income payable to affiliate</w:t>
            </w:r>
          </w:p>
        </w:tc>
        <w:tc>
          <w:tcPr>
            <w:tcW w:w="1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8,825</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10,336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Incentive fees on net capital gains accrued to affiliate</w:t>
            </w:r>
          </w:p>
        </w:tc>
        <w:tc>
          <w:tcPr>
            <w:tcW w:w="120" w:type="dxa"/>
            <w:vAlign w:val="bottom"/>
            <w:shd w:val="clear" w:color="auto" w:fill="CFF0FC"/>
          </w:tcPr>
          <w:p>
            <w:pPr>
              <w:spacing w:after="0"/>
              <w:rPr>
                <w:sz w:val="12"/>
                <w:szCs w:val="12"/>
                <w:color w:val="auto"/>
              </w:rPr>
            </w:pPr>
          </w:p>
        </w:tc>
        <w:tc>
          <w:tcPr>
            <w:tcW w:w="172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7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payables to affiliate</w:t>
            </w:r>
          </w:p>
        </w:tc>
        <w:tc>
          <w:tcPr>
            <w:tcW w:w="1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4,312</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3,166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120" w:type="dxa"/>
            <w:vAlign w:val="bottom"/>
            <w:tcBorders>
              <w:bottom w:val="single" w:sz="8" w:color="auto"/>
            </w:tcBorders>
            <w:shd w:val="clear" w:color="auto" w:fill="CFF0FC"/>
          </w:tcPr>
          <w:p>
            <w:pPr>
              <w:spacing w:after="0"/>
              <w:rPr>
                <w:sz w:val="12"/>
                <w:szCs w:val="12"/>
                <w:color w:val="auto"/>
              </w:rPr>
            </w:pPr>
          </w:p>
        </w:tc>
        <w:tc>
          <w:tcPr>
            <w:tcW w:w="14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34,717</w:t>
            </w:r>
          </w:p>
        </w:tc>
        <w:tc>
          <w:tcPr>
            <w:tcW w:w="2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6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44,404</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0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1,932,476</w:t>
            </w:r>
          </w:p>
        </w:tc>
        <w:tc>
          <w:tcPr>
            <w:tcW w:w="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1,813,934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Commitments and contingencies (Note 8)</w:t>
            </w:r>
          </w:p>
        </w:tc>
        <w:tc>
          <w:tcPr>
            <w:tcW w:w="12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Assets</w:t>
            </w: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74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Preferred stock, $0.01 par value; 100,000,000 shares authorized; no shares</w:t>
            </w:r>
          </w:p>
        </w:tc>
        <w:tc>
          <w:tcPr>
            <w:tcW w:w="120" w:type="dxa"/>
            <w:vAlign w:val="bottom"/>
            <w:shd w:val="clear" w:color="auto" w:fill="CFF0FC"/>
          </w:tcPr>
          <w:p>
            <w:pPr>
              <w:spacing w:after="0"/>
              <w:rPr>
                <w:sz w:val="10"/>
                <w:szCs w:val="10"/>
                <w:color w:val="auto"/>
              </w:rPr>
            </w:pPr>
          </w:p>
        </w:tc>
        <w:tc>
          <w:tcPr>
            <w:tcW w:w="172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7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issued and outstanding</w:t>
            </w:r>
          </w:p>
        </w:tc>
        <w:tc>
          <w:tcPr>
            <w:tcW w:w="120" w:type="dxa"/>
            <w:vAlign w:val="bottom"/>
            <w:shd w:val="clear" w:color="auto" w:fill="CFF0FC"/>
          </w:tcPr>
          <w:p>
            <w:pPr>
              <w:spacing w:after="0"/>
              <w:rPr>
                <w:sz w:val="14"/>
                <w:szCs w:val="14"/>
                <w:color w:val="auto"/>
              </w:rPr>
            </w:pPr>
          </w:p>
        </w:tc>
        <w:tc>
          <w:tcPr>
            <w:tcW w:w="1720" w:type="dxa"/>
            <w:vAlign w:val="bottom"/>
            <w:gridSpan w:val="2"/>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7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4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stock, $0.01 par value; 400,000,000 shares authorized, 96,408,347</w:t>
            </w:r>
          </w:p>
        </w:tc>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4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and 95,369,400 shares issued, respectively; and 95,713,159 and 94,705,150</w:t>
            </w:r>
          </w:p>
        </w:tc>
        <w:tc>
          <w:tcPr>
            <w:tcW w:w="12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shares outstanding, respectively</w:t>
            </w:r>
          </w:p>
        </w:tc>
        <w:tc>
          <w:tcPr>
            <w:tcW w:w="1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4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12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1,553,178</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1,535,583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Treasury stock at cost; 695,188 and 664,250 shares held, respectively</w:t>
            </w:r>
          </w:p>
        </w:tc>
        <w:tc>
          <w:tcPr>
            <w:tcW w:w="120" w:type="dxa"/>
            <w:vAlign w:val="bottom"/>
          </w:tcPr>
          <w:p>
            <w:pPr>
              <w:spacing w:after="0"/>
              <w:rPr>
                <w:sz w:val="12"/>
                <w:szCs w:val="12"/>
                <w:color w:val="auto"/>
              </w:rPr>
            </w:pPr>
          </w:p>
        </w:tc>
        <w:tc>
          <w:tcPr>
            <w:tcW w:w="17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(10,959)</w:t>
            </w:r>
          </w:p>
        </w:tc>
        <w:tc>
          <w:tcPr>
            <w:tcW w:w="220" w:type="dxa"/>
            <w:vAlign w:val="bottom"/>
          </w:tcPr>
          <w:p>
            <w:pPr>
              <w:spacing w:after="0"/>
              <w:rPr>
                <w:sz w:val="12"/>
                <w:szCs w:val="12"/>
                <w:color w:val="auto"/>
              </w:rPr>
            </w:pPr>
          </w:p>
        </w:tc>
        <w:tc>
          <w:tcPr>
            <w:tcW w:w="17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(10,459)</w:t>
            </w:r>
          </w:p>
        </w:tc>
        <w:tc>
          <w:tcPr>
            <w:tcW w:w="0" w:type="dxa"/>
            <w:vAlign w:val="bottom"/>
          </w:tcPr>
          <w:p>
            <w:pPr>
              <w:spacing w:after="0"/>
              <w:rPr>
                <w:sz w:val="1"/>
                <w:szCs w:val="1"/>
                <w:color w:val="auto"/>
              </w:rPr>
            </w:pPr>
          </w:p>
        </w:tc>
      </w:tr>
      <w:tr>
        <w:trPr>
          <w:trHeight w:val="148"/>
        </w:trPr>
        <w:tc>
          <w:tcPr>
            <w:tcW w:w="74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Distributable earnings</w:t>
            </w:r>
          </w:p>
        </w:tc>
        <w:tc>
          <w:tcPr>
            <w:tcW w:w="120" w:type="dxa"/>
            <w:vAlign w:val="bottom"/>
            <w:tcBorders>
              <w:bottom w:val="single" w:sz="8" w:color="auto"/>
            </w:tcBorders>
            <w:shd w:val="clear" w:color="auto" w:fill="CFF0FC"/>
          </w:tcPr>
          <w:p>
            <w:pPr>
              <w:spacing w:after="0"/>
              <w:rPr>
                <w:sz w:val="12"/>
                <w:szCs w:val="12"/>
                <w:color w:val="auto"/>
              </w:rPr>
            </w:pPr>
          </w:p>
        </w:tc>
        <w:tc>
          <w:tcPr>
            <w:tcW w:w="14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6,107</w:t>
            </w:r>
          </w:p>
        </w:tc>
        <w:tc>
          <w:tcPr>
            <w:tcW w:w="2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6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81,643</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0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Total Net Assets</w:t>
            </w:r>
          </w:p>
        </w:tc>
        <w:tc>
          <w:tcPr>
            <w:tcW w:w="1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1,549,290</w:t>
            </w:r>
          </w:p>
        </w:tc>
        <w:tc>
          <w:tcPr>
            <w:tcW w:w="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1,607,721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400" w:type="dxa"/>
            <w:vAlign w:val="bottom"/>
            <w:tcBorders>
              <w:bottom w:val="single" w:sz="8" w:color="CFF0FC"/>
            </w:tcBorders>
            <w:shd w:val="clear" w:color="auto" w:fill="CFF0FC"/>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Net Assets</w:t>
            </w: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3,481,766</w:t>
            </w:r>
          </w:p>
        </w:tc>
        <w:tc>
          <w:tcPr>
            <w:tcW w:w="2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3,421,655</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7400" w:type="dxa"/>
            <w:vAlign w:val="bottom"/>
          </w:tcPr>
          <w:p>
            <w:pPr>
              <w:ind w:left="280"/>
              <w:spacing w:after="0" w:line="129" w:lineRule="exact"/>
              <w:rPr>
                <w:sz w:val="20"/>
                <w:szCs w:val="20"/>
                <w:color w:val="auto"/>
              </w:rPr>
            </w:pPr>
            <w:r>
              <w:rPr>
                <w:rFonts w:ascii="Times New Roman" w:cs="Times New Roman" w:eastAsia="Times New Roman" w:hAnsi="Times New Roman"/>
                <w:sz w:val="14"/>
                <w:szCs w:val="14"/>
                <w:b w:val="1"/>
                <w:bCs w:val="1"/>
                <w:color w:val="auto"/>
              </w:rPr>
              <w:t>Net Asset Value Per Share</w:t>
            </w:r>
          </w:p>
        </w:tc>
        <w:tc>
          <w:tcPr>
            <w:tcW w:w="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16.19</w:t>
            </w:r>
          </w:p>
        </w:tc>
        <w:tc>
          <w:tcPr>
            <w:tcW w:w="260" w:type="dxa"/>
            <w:vAlign w:val="bottom"/>
          </w:tcPr>
          <w:p>
            <w:pPr>
              <w:spacing w:after="0"/>
              <w:rPr>
                <w:sz w:val="11"/>
                <w:szCs w:val="11"/>
                <w:color w:val="auto"/>
              </w:rPr>
            </w:pPr>
          </w:p>
        </w:tc>
        <w:tc>
          <w:tcPr>
            <w:tcW w:w="220" w:type="dxa"/>
            <w:vAlign w:val="bottom"/>
            <w:tcBorders>
              <w:bottom w:val="single" w:sz="8" w:color="auto"/>
            </w:tcBorders>
          </w:tcPr>
          <w:p>
            <w:pPr>
              <w:jc w:val="right"/>
              <w:ind w:right="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16.98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-2579370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-2579370</wp:posOffset>
            </wp:positionV>
            <wp:extent cx="77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-2193925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-2193925</wp:posOffset>
            </wp:positionV>
            <wp:extent cx="774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-1405255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-1405255</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-350520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-350520</wp:posOffset>
            </wp:positionV>
            <wp:extent cx="774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-144780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-127635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-144780</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-127635</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534035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8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0"/>
                <w:szCs w:val="10"/>
                <w:color w:val="auto"/>
              </w:rPr>
            </w:pPr>
          </w:p>
        </w:tc>
        <w:tc>
          <w:tcPr>
            <w:tcW w:w="154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Pr>
          <w:p>
            <w:pPr>
              <w:spacing w:after="0"/>
              <w:rPr>
                <w:sz w:val="10"/>
                <w:szCs w:val="10"/>
                <w:color w:val="auto"/>
              </w:rPr>
            </w:pPr>
          </w:p>
        </w:tc>
        <w:tc>
          <w:tcPr>
            <w:tcW w:w="14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80" w:type="dxa"/>
            <w:vAlign w:val="bottom"/>
          </w:tcPr>
          <w:p>
            <w:pPr>
              <w:spacing w:after="0"/>
              <w:rPr>
                <w:sz w:val="10"/>
                <w:szCs w:val="10"/>
                <w:color w:val="auto"/>
              </w:rPr>
            </w:pPr>
          </w:p>
        </w:tc>
        <w:tc>
          <w:tcPr>
            <w:tcW w:w="14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Income</w:t>
            </w:r>
          </w:p>
        </w:tc>
        <w:tc>
          <w:tcPr>
            <w:tcW w:w="42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320" w:type="dxa"/>
            <w:vAlign w:val="bottom"/>
            <w:tcBorders>
              <w:top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Investment income from non-controlled, non-affiliated investments: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Interest from investments</w:t>
            </w:r>
          </w:p>
        </w:tc>
        <w:tc>
          <w:tcPr>
            <w:tcW w:w="5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84,362</w:t>
            </w:r>
          </w:p>
        </w:tc>
        <w:tc>
          <w:tcPr>
            <w:tcW w:w="14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5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92,221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249,311</w:t>
            </w:r>
          </w:p>
        </w:tc>
        <w:tc>
          <w:tcPr>
            <w:tcW w:w="14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295,098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Paid-in-kind interest income</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6,288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6,883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19,979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18,026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Dividend income</w:t>
            </w:r>
          </w:p>
        </w:tc>
        <w:tc>
          <w:tcPr>
            <w:tcW w:w="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251</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745</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1,563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income</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2,577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7,397</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8,717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18,465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20" w:type="dxa"/>
            <w:vAlign w:val="bottom"/>
            <w:shd w:val="clear" w:color="auto" w:fill="CFF0FC"/>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investment income from non-controlled, non-affiliated investments</w:t>
            </w:r>
          </w:p>
        </w:tc>
        <w:tc>
          <w:tcPr>
            <w:tcW w:w="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93,478</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106,769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278,752</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333,152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Investment income from non-controlled, affiliated investments: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Borders>
              <w:bottom w:val="single" w:sz="8" w:color="CFF0FC"/>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Dividend income</w:t>
            </w:r>
          </w:p>
        </w:tc>
        <w:tc>
          <w:tcPr>
            <w:tcW w:w="4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3,260</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5,173</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2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investment income from non-controlled, affiliated investments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3,260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3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5,173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Investment income from controlled, affiliated investments:</w:t>
            </w:r>
          </w:p>
        </w:tc>
        <w:tc>
          <w:tcPr>
            <w:tcW w:w="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Interest from investments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2,215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2,672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6,255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7,649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Borders>
              <w:bottom w:val="single" w:sz="8" w:color="CFF0FC"/>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income</w:t>
            </w:r>
          </w:p>
        </w:tc>
        <w:tc>
          <w:tcPr>
            <w:tcW w:w="4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2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investment income from controlled, affiliated investments</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2,218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2,675</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6,272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7,656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20" w:type="dxa"/>
            <w:vAlign w:val="bottom"/>
            <w:tcBorders>
              <w:bottom w:val="single" w:sz="8" w:color="CFF0FC"/>
            </w:tcBorders>
            <w:shd w:val="clear" w:color="auto" w:fill="CFF0FC"/>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4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98,956</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109,444</w:t>
            </w: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290,197</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340,808</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Expenses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Interest</w:t>
            </w:r>
          </w:p>
        </w:tc>
        <w:tc>
          <w:tcPr>
            <w:tcW w:w="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30,489</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31,385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88,832</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98,003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Management fees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13,268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13,081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38,821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39,082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Incentive fees on net investment income</w:t>
            </w:r>
          </w:p>
        </w:tc>
        <w:tc>
          <w:tcPr>
            <w:tcW w:w="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8,825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10,527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25,949</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33,132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Incentive fees on net capital gains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(1,054)</w:t>
            </w:r>
          </w:p>
        </w:tc>
        <w:tc>
          <w:tcPr>
            <w:tcW w:w="100" w:type="dxa"/>
            <w:vAlign w:val="bottom"/>
          </w:tcPr>
          <w:p>
            <w:pPr>
              <w:spacing w:after="0"/>
              <w:rPr>
                <w:sz w:val="12"/>
                <w:szCs w:val="12"/>
                <w:color w:val="auto"/>
              </w:rPr>
            </w:pPr>
          </w:p>
        </w:tc>
        <w:tc>
          <w:tcPr>
            <w:tcW w:w="1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(3,303)</w:t>
            </w:r>
          </w:p>
        </w:tc>
        <w:tc>
          <w:tcPr>
            <w:tcW w:w="0" w:type="dxa"/>
            <w:vAlign w:val="bottom"/>
          </w:tcPr>
          <w:p>
            <w:pPr>
              <w:spacing w:after="0"/>
              <w:rPr>
                <w:sz w:val="1"/>
                <w:szCs w:val="1"/>
                <w:color w:val="auto"/>
              </w:rPr>
            </w:pPr>
          </w:p>
        </w:tc>
      </w:tr>
      <w:tr>
        <w:trPr>
          <w:trHeight w:val="148"/>
        </w:trPr>
        <w:tc>
          <w:tcPr>
            <w:tcW w:w="4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Professional fees</w:t>
            </w:r>
          </w:p>
        </w:tc>
        <w:tc>
          <w:tcPr>
            <w:tcW w:w="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2,497</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6,660</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6,544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Directors’ fees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general and administrative</w:t>
            </w:r>
          </w:p>
        </w:tc>
        <w:tc>
          <w:tcPr>
            <w:tcW w:w="4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1,357</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1,507</w:t>
            </w: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4,489</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4,124</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2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expenses</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56,675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57,674</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165,473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178,284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Management and incentive fees waived (Note 3)</w:t>
            </w:r>
          </w:p>
        </w:tc>
        <w:tc>
          <w:tcPr>
            <w:tcW w:w="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(523)</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(284)</w:t>
            </w:r>
          </w:p>
        </w:tc>
        <w:tc>
          <w:tcPr>
            <w:tcW w:w="10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(1,311)</w:t>
            </w: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(990)</w:t>
            </w:r>
          </w:p>
        </w:tc>
        <w:tc>
          <w:tcPr>
            <w:tcW w:w="0" w:type="dxa"/>
            <w:vAlign w:val="bottom"/>
          </w:tcPr>
          <w:p>
            <w:pPr>
              <w:spacing w:after="0"/>
              <w:rPr>
                <w:sz w:val="1"/>
                <w:szCs w:val="1"/>
                <w:color w:val="auto"/>
              </w:rPr>
            </w:pPr>
          </w:p>
        </w:tc>
      </w:tr>
      <w:tr>
        <w:trPr>
          <w:trHeight w:val="142"/>
        </w:trPr>
        <w:tc>
          <w:tcPr>
            <w:tcW w:w="4820" w:type="dxa"/>
            <w:vAlign w:val="bottom"/>
            <w:tcBorders>
              <w:top w:val="single" w:sz="8" w:color="CFF0FC"/>
            </w:tcBorders>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Net Expenses</w:t>
            </w:r>
          </w:p>
        </w:tc>
        <w:tc>
          <w:tcPr>
            <w:tcW w:w="420" w:type="dxa"/>
            <w:vAlign w:val="bottom"/>
            <w:tcBorders>
              <w:top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56,152</w:t>
            </w:r>
          </w:p>
        </w:tc>
        <w:tc>
          <w:tcPr>
            <w:tcW w:w="1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57,390</w:t>
            </w:r>
          </w:p>
        </w:tc>
        <w:tc>
          <w:tcPr>
            <w:tcW w:w="220" w:type="dxa"/>
            <w:vAlign w:val="bottom"/>
            <w:tcBorders>
              <w:top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164,162</w:t>
            </w:r>
          </w:p>
        </w:tc>
        <w:tc>
          <w:tcPr>
            <w:tcW w:w="14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177,294</w:t>
            </w: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Investment Income Before Income Taxes</w:t>
            </w:r>
          </w:p>
        </w:tc>
        <w:tc>
          <w:tcPr>
            <w:tcW w:w="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42,804</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52,054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126,035</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163,514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taxes, including excise taxes</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1,374</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3,705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Investment Income</w:t>
            </w:r>
          </w:p>
        </w:tc>
        <w:tc>
          <w:tcPr>
            <w:tcW w:w="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41,604</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50,680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122,330</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159,498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 and Realized Gains (Losses)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change in unrealized gains (losses):</w:t>
            </w:r>
          </w:p>
        </w:tc>
        <w:tc>
          <w:tcPr>
            <w:tcW w:w="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Non-controlled, non-affiliated investments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2,769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(3,887)</w:t>
            </w:r>
          </w:p>
        </w:tc>
        <w:tc>
          <w:tcPr>
            <w:tcW w:w="100" w:type="dxa"/>
            <w:vAlign w:val="bottom"/>
          </w:tcPr>
          <w:p>
            <w:pPr>
              <w:spacing w:after="0"/>
              <w:rPr>
                <w:sz w:val="12"/>
                <w:szCs w:val="12"/>
                <w:color w:val="auto"/>
              </w:rPr>
            </w:pPr>
          </w:p>
        </w:tc>
        <w:tc>
          <w:tcPr>
            <w:tcW w:w="14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(33,175)</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60,466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Non-controlled, affiliated investments</w:t>
            </w:r>
          </w:p>
        </w:tc>
        <w:tc>
          <w:tcPr>
            <w:tcW w:w="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1,908</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4,349</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8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Controlled, affiliated investments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(5,021)</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(3,019)</w:t>
            </w:r>
          </w:p>
        </w:tc>
        <w:tc>
          <w:tcPr>
            <w:tcW w:w="100" w:type="dxa"/>
            <w:vAlign w:val="bottom"/>
          </w:tcPr>
          <w:p>
            <w:pPr>
              <w:spacing w:after="0"/>
              <w:rPr>
                <w:sz w:val="12"/>
                <w:szCs w:val="12"/>
                <w:color w:val="auto"/>
              </w:rPr>
            </w:pPr>
          </w:p>
        </w:tc>
        <w:tc>
          <w:tcPr>
            <w:tcW w:w="14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(9,814)</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(7,385)</w:t>
            </w:r>
          </w:p>
        </w:tc>
        <w:tc>
          <w:tcPr>
            <w:tcW w:w="0" w:type="dxa"/>
            <w:vAlign w:val="bottom"/>
          </w:tcPr>
          <w:p>
            <w:pPr>
              <w:spacing w:after="0"/>
              <w:rPr>
                <w:sz w:val="1"/>
                <w:szCs w:val="1"/>
                <w:color w:val="auto"/>
              </w:rPr>
            </w:pPr>
          </w:p>
        </w:tc>
      </w:tr>
      <w:tr>
        <w:trPr>
          <w:trHeight w:val="149"/>
        </w:trPr>
        <w:tc>
          <w:tcPr>
            <w:tcW w:w="48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Translation of other assets and liabilities in foreign currencies</w:t>
            </w:r>
          </w:p>
        </w:tc>
        <w:tc>
          <w:tcPr>
            <w:tcW w:w="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3,797</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756</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15,114</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(36,052)</w:t>
            </w:r>
          </w:p>
        </w:tc>
        <w:tc>
          <w:tcPr>
            <w:tcW w:w="0" w:type="dxa"/>
            <w:vAlign w:val="bottom"/>
          </w:tcPr>
          <w:p>
            <w:pPr>
              <w:spacing w:after="0"/>
              <w:rPr>
                <w:sz w:val="1"/>
                <w:szCs w:val="1"/>
                <w:color w:val="auto"/>
              </w:rPr>
            </w:pPr>
          </w:p>
        </w:tc>
      </w:tr>
      <w:tr>
        <w:trPr>
          <w:trHeight w:val="148"/>
        </w:trPr>
        <w:tc>
          <w:tcPr>
            <w:tcW w:w="48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Interest rate swaps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8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Income tax provision</w:t>
            </w:r>
          </w:p>
        </w:tc>
        <w:tc>
          <w:tcPr>
            <w:tcW w:w="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(913)</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(1,640)</w:t>
            </w: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2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820" w:type="dxa"/>
            <w:vAlign w:val="bottom"/>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net change in unrealized gains (losses)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2,469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(5,545)</w:t>
            </w:r>
          </w:p>
        </w:tc>
        <w:tc>
          <w:tcPr>
            <w:tcW w:w="100" w:type="dxa"/>
            <w:vAlign w:val="bottom"/>
          </w:tcPr>
          <w:p>
            <w:pPr>
              <w:spacing w:after="0"/>
              <w:rPr>
                <w:sz w:val="12"/>
                <w:szCs w:val="12"/>
                <w:color w:val="auto"/>
              </w:rPr>
            </w:pPr>
          </w:p>
        </w:tc>
        <w:tc>
          <w:tcPr>
            <w:tcW w:w="146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(25,237)</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17,634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Realized gains (losses):</w:t>
            </w:r>
          </w:p>
        </w:tc>
        <w:tc>
          <w:tcPr>
            <w:tcW w:w="42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320" w:type="dxa"/>
            <w:vAlign w:val="bottom"/>
            <w:tcBorders>
              <w:top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Non-controlled, non-affiliated investments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(9,753)</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(48,215)</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(34,919)</w:t>
            </w:r>
          </w:p>
        </w:tc>
        <w:tc>
          <w:tcPr>
            <w:tcW w:w="0" w:type="dxa"/>
            <w:vAlign w:val="bottom"/>
          </w:tcPr>
          <w:p>
            <w:pPr>
              <w:spacing w:after="0"/>
              <w:rPr>
                <w:sz w:val="1"/>
                <w:szCs w:val="1"/>
                <w:color w:val="auto"/>
              </w:rPr>
            </w:pPr>
          </w:p>
        </w:tc>
      </w:tr>
      <w:tr>
        <w:trPr>
          <w:trHeight w:val="148"/>
        </w:trPr>
        <w:tc>
          <w:tcPr>
            <w:tcW w:w="48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Foreign currency transactions</w:t>
            </w:r>
          </w:p>
        </w:tc>
        <w:tc>
          <w:tcPr>
            <w:tcW w:w="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(366)</w:t>
            </w:r>
          </w:p>
        </w:tc>
        <w:tc>
          <w:tcPr>
            <w:tcW w:w="10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(719)</w:t>
            </w:r>
          </w:p>
        </w:tc>
        <w:tc>
          <w:tcPr>
            <w:tcW w:w="0" w:type="dxa"/>
            <w:vAlign w:val="bottom"/>
          </w:tcPr>
          <w:p>
            <w:pPr>
              <w:spacing w:after="0"/>
              <w:rPr>
                <w:sz w:val="1"/>
                <w:szCs w:val="1"/>
                <w:color w:val="auto"/>
              </w:rPr>
            </w:pPr>
          </w:p>
        </w:tc>
      </w:tr>
      <w:tr>
        <w:trPr>
          <w:trHeight w:val="148"/>
        </w:trPr>
        <w:tc>
          <w:tcPr>
            <w:tcW w:w="48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Interest rate swaps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8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Income tax provision</w:t>
            </w:r>
          </w:p>
        </w:tc>
        <w:tc>
          <w:tcPr>
            <w:tcW w:w="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(937)</w:t>
            </w:r>
          </w:p>
        </w:tc>
        <w:tc>
          <w:tcPr>
            <w:tcW w:w="10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(937)</w:t>
            </w:r>
          </w:p>
        </w:tc>
        <w:tc>
          <w:tcPr>
            <w:tcW w:w="0" w:type="dxa"/>
            <w:vAlign w:val="bottom"/>
          </w:tcPr>
          <w:p>
            <w:pPr>
              <w:spacing w:after="0"/>
              <w:rPr>
                <w:sz w:val="1"/>
                <w:szCs w:val="1"/>
                <w:color w:val="auto"/>
              </w:rPr>
            </w:pPr>
          </w:p>
        </w:tc>
      </w:tr>
      <w:tr>
        <w:trPr>
          <w:trHeight w:val="20"/>
        </w:trPr>
        <w:tc>
          <w:tcPr>
            <w:tcW w:w="482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820" w:type="dxa"/>
            <w:vAlign w:val="bottom"/>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net realized gains (losses)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(9,628)</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(535)</w:t>
            </w:r>
          </w:p>
        </w:tc>
        <w:tc>
          <w:tcPr>
            <w:tcW w:w="100" w:type="dxa"/>
            <w:vAlign w:val="bottom"/>
          </w:tcPr>
          <w:p>
            <w:pPr>
              <w:spacing w:after="0"/>
              <w:rPr>
                <w:sz w:val="12"/>
                <w:szCs w:val="12"/>
                <w:color w:val="auto"/>
              </w:rPr>
            </w:pPr>
          </w:p>
        </w:tc>
        <w:tc>
          <w:tcPr>
            <w:tcW w:w="146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(48,165)</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(36,575)</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820" w:type="dxa"/>
            <w:vAlign w:val="bottom"/>
            <w:shd w:val="clear" w:color="auto" w:fill="CFF0FC"/>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Total Net Unrealized and Realized Gains (Losses)</w:t>
            </w:r>
          </w:p>
        </w:tc>
        <w:tc>
          <w:tcPr>
            <w:tcW w:w="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(7,159)</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(6,080)</w:t>
            </w:r>
          </w:p>
        </w:tc>
        <w:tc>
          <w:tcPr>
            <w:tcW w:w="10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(73,402)</w:t>
            </w: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(18,941)</w:t>
            </w:r>
          </w:p>
        </w:tc>
        <w:tc>
          <w:tcPr>
            <w:tcW w:w="0" w:type="dxa"/>
            <w:vAlign w:val="bottom"/>
          </w:tcPr>
          <w:p>
            <w:pPr>
              <w:spacing w:after="0"/>
              <w:rPr>
                <w:sz w:val="1"/>
                <w:szCs w:val="1"/>
                <w:color w:val="auto"/>
              </w:rPr>
            </w:pPr>
          </w:p>
        </w:tc>
      </w:tr>
      <w:tr>
        <w:trPr>
          <w:trHeight w:val="20"/>
        </w:trPr>
        <w:tc>
          <w:tcPr>
            <w:tcW w:w="482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820" w:type="dxa"/>
            <w:vAlign w:val="bottom"/>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Increase (Decrease) in Net Assets Resulting from Operations</w:t>
            </w:r>
          </w:p>
        </w:tc>
        <w:tc>
          <w:tcPr>
            <w:tcW w:w="5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34,445</w:t>
            </w:r>
          </w:p>
        </w:tc>
        <w:tc>
          <w:tcPr>
            <w:tcW w:w="140" w:type="dxa"/>
            <w:vAlign w:val="bottom"/>
          </w:tcPr>
          <w:p>
            <w:pPr>
              <w:spacing w:after="0"/>
              <w:rPr>
                <w:sz w:val="12"/>
                <w:szCs w:val="12"/>
                <w:color w:val="auto"/>
              </w:rPr>
            </w:pPr>
          </w:p>
        </w:tc>
        <w:tc>
          <w:tcPr>
            <w:tcW w:w="740" w:type="dxa"/>
            <w:vAlign w:val="bottom"/>
            <w:gridSpan w:val="2"/>
          </w:tcPr>
          <w:p>
            <w:pPr>
              <w:jc w:val="right"/>
              <w:ind w:right="5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44,600</w:t>
            </w:r>
          </w:p>
        </w:tc>
        <w:tc>
          <w:tcPr>
            <w:tcW w:w="2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48,928</w:t>
            </w:r>
          </w:p>
        </w:tc>
        <w:tc>
          <w:tcPr>
            <w:tcW w:w="140" w:type="dxa"/>
            <w:vAlign w:val="bottom"/>
          </w:tcPr>
          <w:p>
            <w:pPr>
              <w:spacing w:after="0"/>
              <w:rPr>
                <w:sz w:val="12"/>
                <w:szCs w:val="12"/>
                <w:color w:val="auto"/>
              </w:rPr>
            </w:pPr>
          </w:p>
        </w:tc>
        <w:tc>
          <w:tcPr>
            <w:tcW w:w="620" w:type="dxa"/>
            <w:vAlign w:val="bottom"/>
            <w:gridSpan w:val="2"/>
          </w:tcPr>
          <w:p>
            <w:pPr>
              <w:jc w:val="right"/>
              <w:ind w:right="3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140,557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8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Earnings per common share—basic and diluted</w:t>
            </w:r>
          </w:p>
        </w:tc>
        <w:tc>
          <w:tcPr>
            <w:tcW w:w="52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0.36</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508"/>
              <w:spacing w:after="0" w:line="12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0.47</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0.51</w:t>
            </w:r>
          </w:p>
        </w:tc>
        <w:tc>
          <w:tcPr>
            <w:tcW w:w="14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388"/>
              <w:spacing w:after="0" w:line="12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1.50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82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Weighted average shares of common stock outstanding—basic and diluted</w:t>
            </w:r>
          </w:p>
        </w:tc>
        <w:tc>
          <w:tcPr>
            <w:tcW w:w="420" w:type="dxa"/>
            <w:vAlign w:val="bottom"/>
            <w:tcBorders>
              <w:top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95,347,161</w:t>
            </w:r>
          </w:p>
        </w:tc>
        <w:tc>
          <w:tcPr>
            <w:tcW w:w="1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94,245,993</w:t>
            </w:r>
          </w:p>
        </w:tc>
        <w:tc>
          <w:tcPr>
            <w:tcW w:w="220" w:type="dxa"/>
            <w:vAlign w:val="bottom"/>
            <w:tcBorders>
              <w:top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95,028,344</w:t>
            </w:r>
          </w:p>
        </w:tc>
        <w:tc>
          <w:tcPr>
            <w:tcW w:w="14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93,964,387</w:t>
            </w: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406400</wp:posOffset>
            </wp:positionV>
            <wp:extent cx="840105" cy="2057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840105" cy="20574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-3839845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-3839845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-3839845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-3839845</wp:posOffset>
            </wp:positionV>
            <wp:extent cx="774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-3453765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-3453765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-3453765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-3453765</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-3248025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-3248025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-3248025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-3248025</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-2485390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-2485390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-2485390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-2485390</wp:posOffset>
            </wp:positionV>
            <wp:extent cx="77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-2279650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-2279650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-2279650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-2279650</wp:posOffset>
            </wp:positionV>
            <wp:extent cx="774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-1122045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-1122045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-1122045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-1122045</wp:posOffset>
            </wp:positionV>
            <wp:extent cx="77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-539115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-539115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-539115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-539115</wp:posOffset>
            </wp:positionV>
            <wp:extent cx="77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-334010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-334010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-334010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-334010</wp:posOffset>
            </wp:positionV>
            <wp:extent cx="774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-110490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-110490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-110490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-110490</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534035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2" w:name="page13"/>
    <w:bookmarkEnd w:id="12"/>
    <w:p>
      <w:pPr>
        <w:spacing w:after="0" w:line="257"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406400</wp:posOffset>
            </wp:positionV>
            <wp:extent cx="840105" cy="2057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840105" cy="205740"/>
                    </a:xfrm>
                    <a:prstGeom prst="rect">
                      <a:avLst/>
                    </a:prstGeom>
                    <a:noFill/>
                  </pic:spPr>
                </pic:pic>
              </a:graphicData>
            </a:graphic>
          </wp:anchor>
        </w:drawing>
        <w:t>The Company’s investment activity for the quarter ended September 30, 2026 and 2025 presented below (information presented herein is at par value unless otherwise indicated).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20" w:type="dxa"/>
            <w:vAlign w:val="bottom"/>
          </w:tcPr>
          <w:p>
            <w:pPr>
              <w:spacing w:after="0"/>
              <w:rPr>
                <w:sz w:val="15"/>
                <w:szCs w:val="15"/>
                <w:color w:val="auto"/>
              </w:rPr>
            </w:pPr>
          </w:p>
        </w:tc>
        <w:tc>
          <w:tcPr>
            <w:tcW w:w="3680" w:type="dxa"/>
            <w:vAlign w:val="bottom"/>
            <w:gridSpan w:val="6"/>
          </w:tcPr>
          <w:p>
            <w:pPr>
              <w:jc w:val="right"/>
              <w:ind w:right="1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7440" w:type="dxa"/>
            <w:vAlign w:val="bottom"/>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2026</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New investment commitments:</w:t>
            </w:r>
          </w:p>
        </w:tc>
        <w:tc>
          <w:tcPr>
            <w:tcW w:w="12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Gross originations </w:t>
            </w:r>
            <w:r>
              <w:rPr>
                <w:rFonts w:ascii="Times New Roman" w:cs="Times New Roman" w:eastAsia="Times New Roman" w:hAnsi="Times New Roman"/>
                <w:sz w:val="24"/>
                <w:szCs w:val="24"/>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1,195.9</w:t>
            </w:r>
          </w:p>
        </w:tc>
        <w:tc>
          <w:tcPr>
            <w:tcW w:w="24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3,735.0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Borders>
              <w:bottom w:val="single" w:sz="8" w:color="CFF0FC"/>
            </w:tcBorders>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Less: Syndications/sell downs </w:t>
            </w:r>
            <w:r>
              <w:rPr>
                <w:rFonts w:ascii="Times New Roman" w:cs="Times New Roman" w:eastAsia="Times New Roman" w:hAnsi="Times New Roman"/>
                <w:sz w:val="24"/>
                <w:szCs w:val="24"/>
                <w:color w:val="auto"/>
                <w:vertAlign w:val="superscript"/>
              </w:rPr>
              <w:t>(1)</w:t>
            </w:r>
          </w:p>
        </w:tc>
        <w:tc>
          <w:tcPr>
            <w:tcW w:w="1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954.2</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3,347.3</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new investment commitments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24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Principal amount of investments funded:</w:t>
            </w: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First-lien</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24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Second-lien</w:t>
            </w:r>
          </w:p>
        </w:tc>
        <w:tc>
          <w:tcPr>
            <w:tcW w:w="12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Mezzanine</w:t>
            </w:r>
          </w:p>
        </w:tc>
        <w:tc>
          <w:tcPr>
            <w:tcW w:w="12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Equity</w:t>
            </w: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Structured Credit</w:t>
            </w:r>
          </w:p>
        </w:tc>
        <w:tc>
          <w:tcPr>
            <w:tcW w:w="12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Joint Venture</w:t>
            </w:r>
          </w:p>
        </w:tc>
        <w:tc>
          <w:tcPr>
            <w:tcW w:w="1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24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Principal amount of investments sold or repaid:</w:t>
            </w:r>
          </w:p>
        </w:tc>
        <w:tc>
          <w:tcPr>
            <w:tcW w:w="12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First-lien</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24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Second-lien</w:t>
            </w:r>
          </w:p>
        </w:tc>
        <w:tc>
          <w:tcPr>
            <w:tcW w:w="12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Mezzanine</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Equity</w:t>
            </w: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Structured Credit</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Joint Venture</w:t>
            </w:r>
          </w:p>
        </w:tc>
        <w:tc>
          <w:tcPr>
            <w:tcW w:w="1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24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744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Number of new investment commitments in</w:t>
            </w:r>
          </w:p>
        </w:tc>
        <w:tc>
          <w:tcPr>
            <w:tcW w:w="120" w:type="dxa"/>
            <w:vAlign w:val="bottom"/>
            <w:tcBorders>
              <w:top w:val="single" w:sz="8" w:color="auto"/>
            </w:tcBorders>
            <w:shd w:val="clear" w:color="auto" w:fill="CFF0FC"/>
          </w:tcPr>
          <w:p>
            <w:pPr>
              <w:spacing w:after="0"/>
              <w:rPr>
                <w:sz w:val="14"/>
                <w:szCs w:val="14"/>
                <w:color w:val="auto"/>
              </w:rPr>
            </w:pPr>
          </w:p>
        </w:tc>
        <w:tc>
          <w:tcPr>
            <w:tcW w:w="140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158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7440" w:type="dxa"/>
            <w:vAlign w:val="bottom"/>
            <w:shd w:val="clear" w:color="auto" w:fill="CFF0FC"/>
          </w:tcPr>
          <w:p>
            <w:pPr>
              <w:ind w:left="140"/>
              <w:spacing w:after="0" w:line="258" w:lineRule="exact"/>
              <w:rPr>
                <w:sz w:val="20"/>
                <w:szCs w:val="20"/>
                <w:color w:val="auto"/>
              </w:rPr>
            </w:pPr>
            <w:r>
              <w:rPr>
                <w:rFonts w:ascii="Times New Roman" w:cs="Times New Roman" w:eastAsia="Times New Roman" w:hAnsi="Times New Roman"/>
                <w:sz w:val="18"/>
                <w:szCs w:val="18"/>
                <w:b w:val="1"/>
                <w:bCs w:val="1"/>
                <w:color w:val="auto"/>
              </w:rPr>
              <w:t xml:space="preserve">new portfolio companies </w:t>
            </w:r>
            <w:r>
              <w:rPr>
                <w:rFonts w:ascii="Times New Roman" w:cs="Times New Roman" w:eastAsia="Times New Roman" w:hAnsi="Times New Roman"/>
                <w:sz w:val="24"/>
                <w:szCs w:val="24"/>
                <w:b w:val="1"/>
                <w:bCs w:val="1"/>
                <w:color w:val="auto"/>
                <w:vertAlign w:val="superscript"/>
              </w:rPr>
              <w:t>(2)</w:t>
            </w:r>
          </w:p>
        </w:tc>
        <w:tc>
          <w:tcPr>
            <w:tcW w:w="12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74"/>
        </w:trPr>
        <w:tc>
          <w:tcPr>
            <w:tcW w:w="744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Average new investment commitment amount in</w:t>
            </w: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7440" w:type="dxa"/>
            <w:vAlign w:val="bottom"/>
          </w:tcPr>
          <w:p>
            <w:pPr>
              <w:ind w:left="140"/>
              <w:spacing w:after="0" w:line="258" w:lineRule="exact"/>
              <w:rPr>
                <w:sz w:val="20"/>
                <w:szCs w:val="20"/>
                <w:color w:val="auto"/>
              </w:rPr>
            </w:pPr>
            <w:r>
              <w:rPr>
                <w:rFonts w:ascii="Times New Roman" w:cs="Times New Roman" w:eastAsia="Times New Roman" w:hAnsi="Times New Roman"/>
                <w:sz w:val="18"/>
                <w:szCs w:val="18"/>
                <w:b w:val="1"/>
                <w:bCs w:val="1"/>
                <w:color w:val="auto"/>
              </w:rPr>
              <w:t xml:space="preserve">new portfolio companies </w:t>
            </w:r>
            <w:r>
              <w:rPr>
                <w:rFonts w:ascii="Times New Roman" w:cs="Times New Roman" w:eastAsia="Times New Roman" w:hAnsi="Times New Roman"/>
                <w:sz w:val="24"/>
                <w:szCs w:val="24"/>
                <w:b w:val="1"/>
                <w:bCs w:val="1"/>
                <w:color w:val="auto"/>
                <w:vertAlign w:val="superscript"/>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40" w:type="dxa"/>
            <w:vAlign w:val="bottom"/>
          </w:tcPr>
          <w:p>
            <w:pPr>
              <w:spacing w:after="0"/>
              <w:rPr>
                <w:sz w:val="22"/>
                <w:szCs w:val="22"/>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744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term for new debt investment</w:t>
            </w:r>
          </w:p>
        </w:tc>
        <w:tc>
          <w:tcPr>
            <w:tcW w:w="12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440" w:type="dxa"/>
            <w:vAlign w:val="bottom"/>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b w:val="1"/>
                <w:bCs w:val="1"/>
                <w:color w:val="auto"/>
              </w:rPr>
              <w:t>commitments in new portfolio companies</w:t>
            </w:r>
          </w:p>
        </w:tc>
        <w:tc>
          <w:tcPr>
            <w:tcW w:w="1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7440" w:type="dxa"/>
            <w:vAlign w:val="bottom"/>
            <w:shd w:val="clear" w:color="auto" w:fill="CFF0FC"/>
          </w:tcPr>
          <w:p>
            <w:pPr>
              <w:ind w:left="140"/>
              <w:spacing w:after="0" w:line="258" w:lineRule="exact"/>
              <w:rPr>
                <w:sz w:val="20"/>
                <w:szCs w:val="20"/>
                <w:color w:val="auto"/>
              </w:rPr>
            </w:pPr>
            <w:r>
              <w:rPr>
                <w:rFonts w:ascii="Times New Roman" w:cs="Times New Roman" w:eastAsia="Times New Roman" w:hAnsi="Times New Roman"/>
                <w:sz w:val="18"/>
                <w:szCs w:val="18"/>
                <w:b w:val="1"/>
                <w:bCs w:val="1"/>
                <w:color w:val="auto"/>
              </w:rPr>
              <w:t xml:space="preserve">(in years) </w:t>
            </w:r>
            <w:r>
              <w:rPr>
                <w:rFonts w:ascii="Times New Roman" w:cs="Times New Roman" w:eastAsia="Times New Roman" w:hAnsi="Times New Roman"/>
                <w:sz w:val="24"/>
                <w:szCs w:val="24"/>
                <w:b w:val="1"/>
                <w:bCs w:val="1"/>
                <w:color w:val="auto"/>
                <w:vertAlign w:val="superscript"/>
              </w:rPr>
              <w:t>(2)</w:t>
            </w:r>
          </w:p>
        </w:tc>
        <w:tc>
          <w:tcPr>
            <w:tcW w:w="12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74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Percentage of new debt investment commitments</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at floating rates</w:t>
            </w:r>
          </w:p>
        </w:tc>
        <w:tc>
          <w:tcPr>
            <w:tcW w:w="120" w:type="dxa"/>
            <w:vAlign w:val="bottom"/>
          </w:tcPr>
          <w:p>
            <w:pPr>
              <w:spacing w:after="0"/>
              <w:rPr>
                <w:sz w:val="20"/>
                <w:szCs w:val="20"/>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194"/>
        </w:trPr>
        <w:tc>
          <w:tcPr>
            <w:tcW w:w="744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Percentage of new debt investment commitments</w:t>
            </w:r>
          </w:p>
        </w:tc>
        <w:tc>
          <w:tcPr>
            <w:tcW w:w="12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at fixed rates</w:t>
            </w:r>
          </w:p>
        </w:tc>
        <w:tc>
          <w:tcPr>
            <w:tcW w:w="12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74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interest rate of new</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investment commitments</w:t>
            </w:r>
          </w:p>
        </w:tc>
        <w:tc>
          <w:tcPr>
            <w:tcW w:w="120" w:type="dxa"/>
            <w:vAlign w:val="bottom"/>
          </w:tcPr>
          <w:p>
            <w:pPr>
              <w:spacing w:after="0"/>
              <w:rPr>
                <w:sz w:val="20"/>
                <w:szCs w:val="20"/>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194"/>
        </w:trPr>
        <w:tc>
          <w:tcPr>
            <w:tcW w:w="744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spread over reference rate of new</w:t>
            </w:r>
          </w:p>
        </w:tc>
        <w:tc>
          <w:tcPr>
            <w:tcW w:w="12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floating rate investment commitments</w:t>
            </w:r>
          </w:p>
        </w:tc>
        <w:tc>
          <w:tcPr>
            <w:tcW w:w="12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4"/>
        </w:trPr>
        <w:tc>
          <w:tcPr>
            <w:tcW w:w="74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interest rate on investments</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fully sold or paid down</w:t>
            </w:r>
          </w:p>
        </w:tc>
        <w:tc>
          <w:tcPr>
            <w:tcW w:w="120" w:type="dxa"/>
            <w:vAlign w:val="bottom"/>
          </w:tcPr>
          <w:p>
            <w:pPr>
              <w:spacing w:after="0"/>
              <w:rPr>
                <w:sz w:val="20"/>
                <w:szCs w:val="20"/>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-4705350</wp:posOffset>
            </wp:positionV>
            <wp:extent cx="1111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-4705350</wp:posOffset>
            </wp:positionV>
            <wp:extent cx="11176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-3599815</wp:posOffset>
            </wp:positionV>
            <wp:extent cx="1111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-3599815</wp:posOffset>
            </wp:positionV>
            <wp:extent cx="1117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-2485390</wp:posOffset>
            </wp:positionV>
            <wp:extent cx="1111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-2485390</wp:posOffset>
            </wp:positionV>
            <wp:extent cx="1117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ind w:left="360" w:hanging="352"/>
        <w:spacing w:after="0"/>
        <w:tabs>
          <w:tab w:leader="none" w:pos="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affiliates of Sixth Street.</w:t>
      </w:r>
    </w:p>
    <w:p>
      <w:pPr>
        <w:spacing w:after="0" w:line="5" w:lineRule="exact"/>
        <w:rPr>
          <w:rFonts w:ascii="Arial" w:cs="Arial" w:eastAsia="Arial" w:hAnsi="Arial"/>
          <w:sz w:val="14"/>
          <w:szCs w:val="14"/>
          <w:color w:val="auto"/>
        </w:rPr>
      </w:pPr>
    </w:p>
    <w:p>
      <w:pPr>
        <w:ind w:left="300" w:right="100" w:hanging="292"/>
        <w:spacing w:after="0" w:line="264" w:lineRule="auto"/>
        <w:tabs>
          <w:tab w:leader="none" w:pos="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For three months ended September 30, 2025, includes 37 structured credit investments with a total principal amount of $98.7 million and a weighted average term of 12.2 years.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534035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3" w:name="page14"/>
    <w:bookmarkEnd w:id="13"/>
    <w:p>
      <w:pPr>
        <w:spacing w:after="0" w:line="1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406400</wp:posOffset>
            </wp:positionV>
            <wp:extent cx="840105" cy="2057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840105" cy="205740"/>
                    </a:xfrm>
                    <a:prstGeom prst="rect">
                      <a:avLst/>
                    </a:prstGeom>
                    <a:noFill/>
                  </pic:spPr>
                </pic:pic>
              </a:graphicData>
            </a:graphic>
          </wp:anchor>
        </w:drawing>
      </w:r>
    </w:p>
    <w:p>
      <w:pPr>
        <w:spacing w:after="0"/>
        <w:rPr>
          <w:sz w:val="20"/>
          <w:szCs w:val="20"/>
          <w:color w:val="auto"/>
        </w:rPr>
      </w:pPr>
      <w:r>
        <w:rPr>
          <w:rFonts w:ascii="Arial" w:cs="Arial" w:eastAsia="Arial" w:hAnsi="Arial"/>
          <w:sz w:val="29"/>
          <w:szCs w:val="29"/>
          <w:b w:val="1"/>
          <w:bCs w:val="1"/>
          <w:color w:val="auto"/>
        </w:rPr>
        <w:t>About Sixth Street Specialty Lending</w:t>
      </w:r>
    </w:p>
    <w:p>
      <w:pPr>
        <w:spacing w:after="0" w:line="125"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Sixth Street Specialty Lending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The Company is externally managed by Sixth Street Specialty Lending Advisers, LLC, an affiliate of Sixth Street and a Securities and Exchange Commission (“SEC”) registered investment adviser. The Company leverages the deep investment, sector, and operating resources of Sixth Street, a global investment firm with over $140 billion in assets under management and committed capital. For more information, visit the Company’s website at https://sixthstreetspecialtylending.com.</w:t>
      </w:r>
    </w:p>
    <w:p>
      <w:pPr>
        <w:spacing w:after="0" w:line="16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About Sixth Street</w:t>
      </w:r>
    </w:p>
    <w:p>
      <w:pPr>
        <w:spacing w:after="0" w:line="125" w:lineRule="exact"/>
        <w:rPr>
          <w:sz w:val="20"/>
          <w:szCs w:val="20"/>
          <w:color w:val="auto"/>
        </w:rPr>
      </w:pPr>
    </w:p>
    <w:p>
      <w:pPr>
        <w:ind w:right="40"/>
        <w:spacing w:after="0" w:line="252" w:lineRule="auto"/>
        <w:rPr>
          <w:sz w:val="20"/>
          <w:szCs w:val="20"/>
          <w:color w:val="auto"/>
        </w:rPr>
      </w:pPr>
      <w:r>
        <w:rPr>
          <w:rFonts w:ascii="Arial" w:cs="Arial" w:eastAsia="Arial" w:hAnsi="Arial"/>
          <w:sz w:val="19"/>
          <w:szCs w:val="19"/>
          <w:color w:val="auto"/>
        </w:rPr>
        <w:t>Sixth Street is a global investment firm with over $140 billion in assets under management and committed capital. The firm uses its long-term flexible capital, data-enabled capabilities, and One Team culture to develop themes and offer solutions to companies across all stages of growth. Founded in 2009, Sixth Street has more than 750 team members including over 300 investment professionals around the world. For more information, visit https://sixthstreet.com or follow Sixth Street on LinkedIn.</w:t>
      </w:r>
    </w:p>
    <w:p>
      <w:pPr>
        <w:spacing w:after="0" w:line="15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Forward-Looking Statements</w:t>
      </w:r>
    </w:p>
    <w:p>
      <w:pPr>
        <w:spacing w:after="0" w:line="125"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Statements included herein may constitute “forward-looking statements,” within the meaning of the federal securities laws and the Private Securities Litigation Reform Act of 1995, which relate to future events or the Company’s future performance or financial condition. These forward-looking statements can be identified by the use of forward-looking terminology, such as “outlook,” “indicator,” “believes,” “expects,” “potential,” “continues,” “may,” “can,” “will,” “should,” “seeks,” “approximately,” “predicts,” “intends,” “plans,” “estimates,” “anticipates”, “confident,” “conviction,” “identified” or the negative versions of these words or other comparable words thereof.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 which are accessible on the SEC’s website at www.sec.gov. Except as otherwise required by federal securities laws, the Company assumes no obligation to update any such forward-looking statements, whether as a result of new information, future developments or otherwise.</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534035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 w:name="page15"/>
    <w:bookmarkEnd w:id="14"/>
    <w:p>
      <w:pPr>
        <w:spacing w:after="0" w:line="1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406400</wp:posOffset>
            </wp:positionV>
            <wp:extent cx="840105" cy="2057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840105" cy="205740"/>
                    </a:xfrm>
                    <a:prstGeom prst="rect">
                      <a:avLst/>
                    </a:prstGeom>
                    <a:noFill/>
                  </pic:spPr>
                </pic:pic>
              </a:graphicData>
            </a:graphic>
          </wp:anchor>
        </w:drawing>
      </w:r>
    </w:p>
    <w:p>
      <w:pPr>
        <w:spacing w:after="0"/>
        <w:rPr>
          <w:sz w:val="20"/>
          <w:szCs w:val="20"/>
          <w:color w:val="auto"/>
        </w:rPr>
      </w:pPr>
      <w:r>
        <w:rPr>
          <w:rFonts w:ascii="Arial" w:cs="Arial" w:eastAsia="Arial" w:hAnsi="Arial"/>
          <w:sz w:val="29"/>
          <w:szCs w:val="29"/>
          <w:b w:val="1"/>
          <w:bCs w:val="1"/>
          <w:color w:val="auto"/>
        </w:rPr>
        <w:t>Non-GAAP Financial Measures</w:t>
      </w:r>
    </w:p>
    <w:p>
      <w:pPr>
        <w:spacing w:after="0" w:line="125" w:lineRule="exact"/>
        <w:rPr>
          <w:sz w:val="20"/>
          <w:szCs w:val="20"/>
          <w:color w:val="auto"/>
        </w:rPr>
      </w:pPr>
    </w:p>
    <w:p>
      <w:pPr>
        <w:spacing w:after="0" w:line="233" w:lineRule="auto"/>
        <w:rPr>
          <w:sz w:val="20"/>
          <w:szCs w:val="20"/>
          <w:color w:val="auto"/>
        </w:rPr>
      </w:pPr>
      <w:r>
        <w:rPr>
          <w:rFonts w:ascii="Arial" w:cs="Arial" w:eastAsia="Arial" w:hAnsi="Arial"/>
          <w:sz w:val="20"/>
          <w:szCs w:val="20"/>
          <w:color w:val="auto"/>
        </w:rPr>
        <w:t>Adjusted net investment income and adjusted net income are each non-GAAP financial measures, which represent net investment income and net income, respectively, in each case less the impact of accrued capital gains incentive fee expenses. The Company believes that adjusted net investment income and adjusted net income provide useful information to investors regarding the fundamental earnings power of the business, and these figures are used by the Company to measure its financial condition and results of operations. The presentation of this additional information is not meant to be considered in isolation or as a substitute for financial results prepared in accordance with GAAP.</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Investors:</w:t>
      </w:r>
    </w:p>
    <w:p>
      <w:pPr>
        <w:spacing w:after="0" w:line="229" w:lineRule="auto"/>
        <w:rPr>
          <w:sz w:val="20"/>
          <w:szCs w:val="20"/>
          <w:color w:val="auto"/>
        </w:rPr>
      </w:pPr>
      <w:r>
        <w:rPr>
          <w:rFonts w:ascii="Arial" w:cs="Arial" w:eastAsia="Arial" w:hAnsi="Arial"/>
          <w:sz w:val="20"/>
          <w:szCs w:val="20"/>
          <w:color w:val="auto"/>
        </w:rPr>
        <w:t>Cami Senatore, 469-621-2033</w:t>
      </w:r>
    </w:p>
    <w:p>
      <w:pPr>
        <w:spacing w:after="0" w:line="226" w:lineRule="auto"/>
        <w:rPr>
          <w:sz w:val="20"/>
          <w:szCs w:val="20"/>
          <w:color w:val="auto"/>
        </w:rPr>
      </w:pPr>
      <w:r>
        <w:rPr>
          <w:rFonts w:ascii="Arial" w:cs="Arial" w:eastAsia="Arial" w:hAnsi="Arial"/>
          <w:sz w:val="20"/>
          <w:szCs w:val="20"/>
          <w:color w:val="auto"/>
        </w:rPr>
        <w:t>Sixth Street Specialty Lending</w:t>
      </w:r>
    </w:p>
    <w:p>
      <w:pPr>
        <w:spacing w:after="0"/>
        <w:rPr>
          <w:sz w:val="20"/>
          <w:szCs w:val="20"/>
          <w:color w:val="auto"/>
        </w:rPr>
      </w:pPr>
      <w:r>
        <w:rPr>
          <w:rFonts w:ascii="Arial" w:cs="Arial" w:eastAsia="Arial" w:hAnsi="Arial"/>
          <w:sz w:val="20"/>
          <w:szCs w:val="20"/>
          <w:color w:val="auto"/>
        </w:rPr>
        <w:t>IRTSLX@sixthstreet.com</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Media:</w:t>
      </w:r>
    </w:p>
    <w:p>
      <w:pPr>
        <w:spacing w:after="0" w:line="229" w:lineRule="auto"/>
        <w:rPr>
          <w:sz w:val="20"/>
          <w:szCs w:val="20"/>
          <w:color w:val="auto"/>
        </w:rPr>
      </w:pPr>
      <w:r>
        <w:rPr>
          <w:rFonts w:ascii="Arial" w:cs="Arial" w:eastAsia="Arial" w:hAnsi="Arial"/>
          <w:sz w:val="20"/>
          <w:szCs w:val="20"/>
          <w:color w:val="auto"/>
        </w:rPr>
        <w:t>Patrick Clifford, 617-793-2004</w:t>
      </w:r>
    </w:p>
    <w:p>
      <w:pPr>
        <w:spacing w:after="0" w:line="226" w:lineRule="auto"/>
        <w:rPr>
          <w:sz w:val="20"/>
          <w:szCs w:val="20"/>
          <w:color w:val="auto"/>
        </w:rPr>
      </w:pPr>
      <w:r>
        <w:rPr>
          <w:rFonts w:ascii="Arial" w:cs="Arial" w:eastAsia="Arial" w:hAnsi="Arial"/>
          <w:sz w:val="20"/>
          <w:szCs w:val="20"/>
          <w:color w:val="auto"/>
        </w:rPr>
        <w:t>Sixth Street</w:t>
      </w:r>
    </w:p>
    <w:p>
      <w:pPr>
        <w:spacing w:after="0"/>
        <w:rPr>
          <w:sz w:val="20"/>
          <w:szCs w:val="20"/>
          <w:color w:val="auto"/>
        </w:rPr>
      </w:pPr>
      <w:r>
        <w:rPr>
          <w:rFonts w:ascii="Arial" w:cs="Arial" w:eastAsia="Arial" w:hAnsi="Arial"/>
          <w:sz w:val="20"/>
          <w:szCs w:val="20"/>
          <w:color w:val="auto"/>
        </w:rPr>
        <w:t>PClifford@sixthstreet.com</w:t>
      </w:r>
    </w:p>
    <w:p>
      <w:pPr>
        <w:spacing w:after="0" w:line="200" w:lineRule="exact"/>
        <w:rPr>
          <w:sz w:val="20"/>
          <w:szCs w:val="20"/>
          <w:color w:val="auto"/>
        </w:rPr>
      </w:pPr>
    </w:p>
    <w:p>
      <w:pPr>
        <w:spacing w:after="0" w:line="38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534035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5" w:name="page16"/>
    <w:bookmarkEnd w:id="1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bullet"/>
      <w:start w:val="1"/>
    </w:lvl>
  </w:abstractNum>
  <w:abstractNum w:abstractNumId="5">
    <w:nsid w:val="41B71EFB"/>
    <w:multiLevelType w:val="hybridMultilevel"/>
    <w:lvl w:ilvl="0">
      <w:lvlJc w:val="left"/>
      <w:lvlText w:val="1"/>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2026-11-03T15:13:46Z</dcterms:created>
  <dcterms:modified xsi:type="dcterms:W3CDTF">2026-11-03T15:13:46Z</dcterms:modified>
</cp:coreProperties>
</file>