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19, 2017</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N-2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tbl>
      <w:tblPr>
        <w:tblLayout w:type="fixed"/>
        <w:tblInd w:w="4380" w:type="dxa"/>
        <w:tblCellMar>
          <w:top w:w="0" w:type="dxa"/>
          <w:left w:w="0" w:type="dxa"/>
          <w:bottom w:w="0" w:type="dxa"/>
          <w:right w:w="0" w:type="dxa"/>
        </w:tblCellMar>
      </w:tblPr>
      <w:tr>
        <w:trPr>
          <w:trHeight w:val="177"/>
        </w:trPr>
        <w:tc>
          <w:tcPr>
            <w:tcW w:w="4600" w:type="dxa"/>
            <w:vAlign w:val="bottom"/>
          </w:tcPr>
          <w:p>
            <w:pPr>
              <w:jc w:val="center"/>
              <w:ind w:right="2219"/>
              <w:spacing w:after="0" w:line="178" w:lineRule="exact"/>
              <w:rPr>
                <w:sz w:val="20"/>
                <w:szCs w:val="20"/>
                <w:color w:val="auto"/>
              </w:rPr>
            </w:pPr>
            <w:r>
              <w:rPr>
                <w:rFonts w:ascii="Arial" w:cs="Arial" w:eastAsia="Arial" w:hAnsi="Arial"/>
                <w:sz w:val="16"/>
                <w:szCs w:val="16"/>
                <w:b w:val="1"/>
                <w:bCs w:val="1"/>
                <w:i w:val="1"/>
                <w:iCs w:val="1"/>
                <w:color w:val="auto"/>
                <w:w w:val="97"/>
              </w:rPr>
              <w:t>THE SECURITIES ACT OF 1933</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600" w:type="dxa"/>
            <w:vAlign w:val="bottom"/>
          </w:tcPr>
          <w:p>
            <w:pPr>
              <w:jc w:val="center"/>
              <w:ind w:right="2199"/>
              <w:spacing w:after="0"/>
              <w:rPr>
                <w:sz w:val="20"/>
                <w:szCs w:val="20"/>
                <w:color w:val="auto"/>
              </w:rPr>
            </w:pPr>
            <w:r>
              <w:rPr>
                <w:rFonts w:ascii="Arial" w:cs="Arial" w:eastAsia="Arial" w:hAnsi="Arial"/>
                <w:sz w:val="16"/>
                <w:szCs w:val="16"/>
                <w:b w:val="1"/>
                <w:bCs w:val="1"/>
                <w:color w:val="auto"/>
                <w:w w:val="92"/>
              </w:rPr>
              <w:t>Pre-Effective Amendment No. 1</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600" w:type="dxa"/>
            <w:vAlign w:val="bottom"/>
          </w:tcPr>
          <w:p>
            <w:pPr>
              <w:jc w:val="center"/>
              <w:ind w:right="2219"/>
              <w:spacing w:after="0"/>
              <w:rPr>
                <w:sz w:val="20"/>
                <w:szCs w:val="20"/>
                <w:color w:val="auto"/>
              </w:rPr>
            </w:pPr>
            <w:r>
              <w:rPr>
                <w:rFonts w:ascii="Arial" w:cs="Arial" w:eastAsia="Arial" w:hAnsi="Arial"/>
                <w:sz w:val="16"/>
                <w:szCs w:val="16"/>
                <w:b w:val="1"/>
                <w:bCs w:val="1"/>
                <w:color w:val="auto"/>
                <w:w w:val="91"/>
              </w:rPr>
              <w:t>Post-Effective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Commerce Street, Suite 3300</w:t>
      </w:r>
    </w:p>
    <w:p>
      <w:pPr>
        <w:jc w:val="center"/>
        <w:spacing w:after="0" w:line="223" w:lineRule="auto"/>
        <w:rPr>
          <w:sz w:val="20"/>
          <w:szCs w:val="20"/>
          <w:color w:val="auto"/>
        </w:rPr>
      </w:pPr>
      <w:r>
        <w:rPr>
          <w:rFonts w:ascii="Arial" w:cs="Arial" w:eastAsia="Arial" w:hAnsi="Arial"/>
          <w:sz w:val="14"/>
          <w:szCs w:val="14"/>
          <w:b w:val="1"/>
          <w:bCs w:val="1"/>
          <w:color w:val="auto"/>
        </w:rPr>
        <w:t>Fort Worth, TX 76102</w:t>
      </w:r>
    </w:p>
    <w:p>
      <w:pPr>
        <w:jc w:val="center"/>
        <w:spacing w:after="0" w:line="222"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1" w:lineRule="auto"/>
        <w:rPr>
          <w:sz w:val="20"/>
          <w:szCs w:val="20"/>
          <w:color w:val="auto"/>
        </w:rPr>
      </w:pPr>
      <w:r>
        <w:rPr>
          <w:rFonts w:ascii="Arial" w:cs="Arial" w:eastAsia="Arial" w:hAnsi="Arial"/>
          <w:sz w:val="14"/>
          <w:szCs w:val="14"/>
          <w:b w:val="1"/>
          <w:bCs w:val="1"/>
          <w:color w:val="auto"/>
        </w:rPr>
        <w:t>(817) 871-4000</w:t>
      </w:r>
    </w:p>
    <w:p>
      <w:pPr>
        <w:jc w:val="center"/>
        <w:spacing w:after="0" w:line="222"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David Stiepleman</w:t>
      </w:r>
    </w:p>
    <w:p>
      <w:pPr>
        <w:jc w:val="center"/>
        <w:spacing w:after="0" w:line="222" w:lineRule="auto"/>
        <w:rPr>
          <w:sz w:val="20"/>
          <w:szCs w:val="20"/>
          <w:color w:val="auto"/>
        </w:rPr>
      </w:pPr>
      <w:r>
        <w:rPr>
          <w:rFonts w:ascii="Arial" w:cs="Arial" w:eastAsia="Arial" w:hAnsi="Arial"/>
          <w:sz w:val="14"/>
          <w:szCs w:val="14"/>
          <w:b w:val="1"/>
          <w:bCs w:val="1"/>
          <w:color w:val="auto"/>
        </w:rPr>
        <w:t>c/o TPG Specialty Lending, Inc.</w:t>
      </w:r>
    </w:p>
    <w:p>
      <w:pPr>
        <w:jc w:val="center"/>
        <w:spacing w:after="0" w:line="221" w:lineRule="auto"/>
        <w:rPr>
          <w:sz w:val="20"/>
          <w:szCs w:val="20"/>
          <w:color w:val="auto"/>
        </w:rPr>
      </w:pPr>
      <w:r>
        <w:rPr>
          <w:rFonts w:ascii="Arial" w:cs="Arial" w:eastAsia="Arial" w:hAnsi="Arial"/>
          <w:sz w:val="14"/>
          <w:szCs w:val="14"/>
          <w:b w:val="1"/>
          <w:bCs w:val="1"/>
          <w:color w:val="auto"/>
        </w:rPr>
        <w:t>345 California Street, Suite 3300</w:t>
      </w:r>
    </w:p>
    <w:p>
      <w:pPr>
        <w:jc w:val="center"/>
        <w:spacing w:after="0" w:line="222" w:lineRule="auto"/>
        <w:rPr>
          <w:sz w:val="20"/>
          <w:szCs w:val="20"/>
          <w:color w:val="auto"/>
        </w:rPr>
      </w:pPr>
      <w:r>
        <w:rPr>
          <w:rFonts w:ascii="Arial" w:cs="Arial" w:eastAsia="Arial" w:hAnsi="Arial"/>
          <w:sz w:val="14"/>
          <w:szCs w:val="14"/>
          <w:b w:val="1"/>
          <w:bCs w:val="1"/>
          <w:color w:val="auto"/>
        </w:rPr>
        <w:t>San Francisco, CA 94104</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COPIES TO:</w:t>
      </w:r>
    </w:p>
    <w:p>
      <w:pPr>
        <w:jc w:val="center"/>
        <w:spacing w:after="0" w:line="223" w:lineRule="auto"/>
        <w:rPr>
          <w:sz w:val="20"/>
          <w:szCs w:val="20"/>
          <w:color w:val="auto"/>
        </w:rPr>
      </w:pPr>
      <w:r>
        <w:rPr>
          <w:rFonts w:ascii="Arial" w:cs="Arial" w:eastAsia="Arial" w:hAnsi="Arial"/>
          <w:sz w:val="14"/>
          <w:szCs w:val="14"/>
          <w:b w:val="1"/>
          <w:bCs w:val="1"/>
          <w:color w:val="auto"/>
        </w:rPr>
        <w:t>Adam E. Fleisher, Esq.</w:t>
      </w:r>
    </w:p>
    <w:p>
      <w:pPr>
        <w:jc w:val="center"/>
        <w:spacing w:after="0" w:line="222" w:lineRule="auto"/>
        <w:rPr>
          <w:sz w:val="20"/>
          <w:szCs w:val="20"/>
          <w:color w:val="auto"/>
        </w:rPr>
      </w:pPr>
      <w:r>
        <w:rPr>
          <w:rFonts w:ascii="Arial" w:cs="Arial" w:eastAsia="Arial" w:hAnsi="Arial"/>
          <w:sz w:val="14"/>
          <w:szCs w:val="14"/>
          <w:b w:val="1"/>
          <w:bCs w:val="1"/>
          <w:color w:val="auto"/>
        </w:rPr>
        <w:t>Helena K. Grannis, Esq.</w:t>
      </w:r>
    </w:p>
    <w:p>
      <w:pPr>
        <w:jc w:val="center"/>
        <w:spacing w:after="0" w:line="221" w:lineRule="auto"/>
        <w:rPr>
          <w:sz w:val="20"/>
          <w:szCs w:val="20"/>
          <w:color w:val="auto"/>
        </w:rPr>
      </w:pPr>
      <w:r>
        <w:rPr>
          <w:rFonts w:ascii="Arial" w:cs="Arial" w:eastAsia="Arial" w:hAnsi="Arial"/>
          <w:sz w:val="14"/>
          <w:szCs w:val="14"/>
          <w:b w:val="1"/>
          <w:bCs w:val="1"/>
          <w:color w:val="auto"/>
        </w:rPr>
        <w:t>Cleary Gottlieb Steen &amp; Hamilton LLP</w:t>
      </w:r>
    </w:p>
    <w:p>
      <w:pPr>
        <w:jc w:val="center"/>
        <w:spacing w:after="0" w:line="222" w:lineRule="auto"/>
        <w:rPr>
          <w:sz w:val="20"/>
          <w:szCs w:val="20"/>
          <w:color w:val="auto"/>
        </w:rPr>
      </w:pPr>
      <w:r>
        <w:rPr>
          <w:rFonts w:ascii="Arial" w:cs="Arial" w:eastAsia="Arial" w:hAnsi="Arial"/>
          <w:sz w:val="14"/>
          <w:szCs w:val="14"/>
          <w:b w:val="1"/>
          <w:bCs w:val="1"/>
          <w:color w:val="auto"/>
        </w:rPr>
        <w:t>One Liberty Plaza</w:t>
      </w:r>
    </w:p>
    <w:p>
      <w:pPr>
        <w:jc w:val="center"/>
        <w:spacing w:after="0" w:line="221" w:lineRule="auto"/>
        <w:rPr>
          <w:sz w:val="20"/>
          <w:szCs w:val="20"/>
          <w:color w:val="auto"/>
        </w:rPr>
      </w:pPr>
      <w:r>
        <w:rPr>
          <w:rFonts w:ascii="Arial" w:cs="Arial" w:eastAsia="Arial" w:hAnsi="Arial"/>
          <w:sz w:val="14"/>
          <w:szCs w:val="14"/>
          <w:b w:val="1"/>
          <w:bCs w:val="1"/>
          <w:color w:val="auto"/>
        </w:rPr>
        <w:t>New York, NY 10006</w:t>
      </w:r>
    </w:p>
    <w:p>
      <w:pPr>
        <w:jc w:val="center"/>
        <w:spacing w:after="0" w:line="222" w:lineRule="auto"/>
        <w:rPr>
          <w:sz w:val="20"/>
          <w:szCs w:val="20"/>
          <w:color w:val="auto"/>
        </w:rPr>
      </w:pPr>
      <w:r>
        <w:rPr>
          <w:rFonts w:ascii="Arial" w:cs="Arial" w:eastAsia="Arial" w:hAnsi="Arial"/>
          <w:sz w:val="14"/>
          <w:szCs w:val="14"/>
          <w:b w:val="1"/>
          <w:bCs w:val="1"/>
          <w:color w:val="auto"/>
        </w:rPr>
        <w:t>Telephone: (212) 225-2000</w:t>
      </w:r>
    </w:p>
    <w:p>
      <w:pPr>
        <w:jc w:val="center"/>
        <w:spacing w:after="0"/>
        <w:rPr>
          <w:sz w:val="20"/>
          <w:szCs w:val="20"/>
          <w:color w:val="auto"/>
        </w:rPr>
      </w:pPr>
      <w:r>
        <w:rPr>
          <w:rFonts w:ascii="Arial" w:cs="Arial" w:eastAsia="Arial" w:hAnsi="Arial"/>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Proposed Public Offering: </w:t>
      </w:r>
      <w:r>
        <w:rPr>
          <w:rFonts w:ascii="Arial" w:cs="Arial" w:eastAsia="Arial" w:hAnsi="Arial"/>
          <w:sz w:val="14"/>
          <w:szCs w:val="14"/>
          <w:color w:val="auto"/>
        </w:rPr>
        <w:t>From time to time after the effective date of this Registration Statement.</w:t>
      </w:r>
    </w:p>
    <w:p>
      <w:pPr>
        <w:spacing w:after="0" w:line="98"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2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7"/>
              </w:rPr>
              <w:t>Being</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2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Common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Preferred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Subscription Rights </w:t>
            </w:r>
            <w:r>
              <w:rPr>
                <w:rFonts w:ascii="Arial" w:cs="Arial" w:eastAsia="Arial" w:hAnsi="Arial"/>
                <w:sz w:val="11"/>
                <w:szCs w:val="11"/>
                <w:color w:val="auto"/>
              </w:rPr>
              <w:t>(1)</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Warrants </w:t>
            </w:r>
            <w:r>
              <w:rPr>
                <w:rFonts w:ascii="Arial" w:cs="Arial" w:eastAsia="Arial" w:hAnsi="Arial"/>
                <w:sz w:val="11"/>
                <w:szCs w:val="11"/>
                <w:color w:val="auto"/>
              </w:rPr>
              <w:t>(3)</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w:t>
            </w:r>
            <w:r>
              <w:rPr>
                <w:rFonts w:ascii="Arial" w:cs="Arial" w:eastAsia="Arial" w:hAnsi="Arial"/>
                <w:sz w:val="11"/>
                <w:szCs w:val="11"/>
                <w:color w:val="auto"/>
              </w:rPr>
              <w:t>(2)(4)</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1"/>
                <w:szCs w:val="11"/>
                <w:color w:val="auto"/>
              </w:rPr>
              <w:t>(5)</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$750,000,000</w:t>
            </w:r>
            <w:r>
              <w:rPr>
                <w:rFonts w:ascii="Arial" w:cs="Arial" w:eastAsia="Arial" w:hAnsi="Arial"/>
                <w:sz w:val="11"/>
                <w:szCs w:val="11"/>
                <w:color w:val="auto"/>
                <w:w w:val="88"/>
              </w:rPr>
              <w:t>(6)</w:t>
            </w:r>
          </w:p>
        </w:tc>
        <w:tc>
          <w:tcPr>
            <w:tcW w:w="1680" w:type="dxa"/>
            <w:vAlign w:val="bottom"/>
            <w:tcBorders>
              <w:bottom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87"/>
              </w:rPr>
              <w:t>$86,925</w:t>
            </w:r>
            <w:r>
              <w:rPr>
                <w:rFonts w:ascii="Arial" w:cs="Arial" w:eastAsia="Arial" w:hAnsi="Arial"/>
                <w:sz w:val="11"/>
                <w:szCs w:val="11"/>
                <w:color w:val="auto"/>
                <w:w w:val="87"/>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340" w:right="1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340" w:right="320" w:hanging="332"/>
        <w:spacing w:after="0" w:line="25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by the Registrant exceed $750,000,000.</w:t>
      </w:r>
    </w:p>
    <w:p>
      <w:pPr>
        <w:ind w:left="340" w:right="1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ind w:right="36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May 19,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172085</wp:posOffset>
            </wp:positionV>
            <wp:extent cx="1346200"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2017, our investment portfolio consisted of investments in 48 portfolio companies with an aggregate fair value of $1,580.3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are an externally managed, closed-end, non-diversified management investment company. TSL Advisers, LLC, or the Adviser, acts as our investment adviser and administrator. We and the Adviser are part of the TPG Sixth Street Partners platform, which had over $19 billion of assets under management as of March 31, 2017. TPG Sixth Street Partners is the special situations and credit platform of TPG, a leading global private investment firm founded in 1992 with approximately $72 billion of assets under management as of December 31, 2016.</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May 19, 2017, the last reported sales price of our common stock on the NYSE was $20.50 per share. The net asset value per share of our common stock at March 31, 2017 (the last date prior to the date of this prospectus for which we reported net asset value) was $16.04.</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The date of this prospectus is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6"/>
                <w:szCs w:val="16"/>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CAPTION</w:t>
            </w: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540" w:type="dxa"/>
            <w:vAlign w:val="bottom"/>
            <w:vMerge w:val="restart"/>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820" w:type="dxa"/>
            <w:vAlign w:val="bottom"/>
          </w:tcPr>
          <w:p>
            <w:pPr>
              <w:jc w:val="center"/>
              <w:spacing w:after="0" w:line="178" w:lineRule="exact"/>
              <w:rPr>
                <w:sz w:val="20"/>
                <w:szCs w:val="20"/>
                <w:color w:val="auto"/>
              </w:rPr>
            </w:pPr>
            <w:r>
              <w:rPr>
                <w:rFonts w:ascii="Arial" w:cs="Arial" w:eastAsia="Arial" w:hAnsi="Arial"/>
                <w:sz w:val="18"/>
                <w:szCs w:val="18"/>
                <w:color w:val="auto"/>
                <w:w w:val="91"/>
              </w:rPr>
              <w:t>Outside Front Cover</w:t>
            </w:r>
          </w:p>
        </w:tc>
        <w:tc>
          <w:tcPr>
            <w:tcW w:w="560" w:type="dxa"/>
            <w:vAlign w:val="bottom"/>
            <w:vMerge w:val="continue"/>
          </w:tcPr>
          <w:p>
            <w:pPr>
              <w:spacing w:after="0"/>
              <w:rPr>
                <w:sz w:val="15"/>
                <w:szCs w:val="15"/>
                <w:color w:val="auto"/>
              </w:rPr>
            </w:pPr>
          </w:p>
        </w:tc>
        <w:tc>
          <w:tcPr>
            <w:tcW w:w="4840" w:type="dxa"/>
            <w:vAlign w:val="bottom"/>
          </w:tcPr>
          <w:p>
            <w:pPr>
              <w:jc w:val="center"/>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Cover Pages; Other Offering Information</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Fee Table and Synopsis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40" w:type="dxa"/>
            <w:vAlign w:val="bottom"/>
          </w:tcPr>
          <w:p>
            <w:pPr>
              <w:spacing w:after="0"/>
              <w:rPr>
                <w:sz w:val="19"/>
                <w:szCs w:val="19"/>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Financial Highlights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Plan of Distribution</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Selling Shareholders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Use of Proceeds</w:t>
            </w:r>
          </w:p>
        </w:tc>
        <w:tc>
          <w:tcPr>
            <w:tcW w:w="484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8</w:t>
            </w:r>
          </w:p>
        </w:tc>
        <w:tc>
          <w:tcPr>
            <w:tcW w:w="540" w:type="dxa"/>
            <w:vAlign w:val="bottom"/>
          </w:tcPr>
          <w:p>
            <w:pPr>
              <w:spacing w:after="0"/>
              <w:rPr>
                <w:sz w:val="19"/>
                <w:szCs w:val="19"/>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General Description of the Registrant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Management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Capital Stock, Long-Term Debt, and Other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Defaults and Arrears on Senior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20"/>
                <w:szCs w:val="20"/>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Legal Proceedings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bl>
    <w:p>
      <w:pPr>
        <w:ind w:left="1280" w:hanging="1272"/>
        <w:spacing w:after="0"/>
        <w:tabs>
          <w:tab w:leader="none" w:pos="1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Table of Contents of the Statement of Additional Information, or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rPr>
              <w:t>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1"/>
              </w:rPr>
              <w:t>Cover Page of 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15</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Table of Contents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16</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General Information and History</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20"/>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17</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Objective and Policies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18</w:t>
            </w:r>
          </w:p>
        </w:tc>
        <w:tc>
          <w:tcPr>
            <w:tcW w:w="5140" w:type="dxa"/>
            <w:vAlign w:val="bottom"/>
          </w:tcPr>
          <w:p>
            <w:pPr>
              <w:spacing w:after="0"/>
              <w:rPr>
                <w:sz w:val="18"/>
                <w:szCs w:val="18"/>
                <w:color w:val="auto"/>
              </w:rPr>
            </w:pP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Management</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19</w:t>
            </w:r>
          </w:p>
        </w:tc>
        <w:tc>
          <w:tcPr>
            <w:tcW w:w="5140" w:type="dxa"/>
            <w:vAlign w:val="bottom"/>
          </w:tcPr>
          <w:p>
            <w:pPr>
              <w:spacing w:after="0"/>
              <w:rPr>
                <w:sz w:val="18"/>
                <w:szCs w:val="18"/>
                <w:color w:val="auto"/>
              </w:rPr>
            </w:pP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Regulation</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Control Persons and Principal Holders of Securities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20</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Advisory and Other Services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21</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Portfolio Managers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22</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Brokerage Allocation and Other Practices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23</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5"/>
              </w:rPr>
              <w:t>Tax Status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Financial Statements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2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QUARTERLY FINANCIAL DATA</w:t>
              </w:r>
            </w:hyperlink>
          </w:p>
        </w:tc>
        <w:tc>
          <w:tcPr>
            <w:tcW w:w="538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640" w:type="dxa"/>
            <w:vAlign w:val="bottom"/>
            <w:gridSpan w:val="2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SPECIAL NOTE REGARDING FORWARD-LOOKING STATEMENTS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PRICE RANGE OF COMMON STOCK AND DISTRIBUTIONS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MANAGEMENT’S DISCUSSION AND ANALYSIS OF FINANCIAL CONDITION AND RESULTS OF OPERATIONS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SENIOR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THE COMPANY</w:t>
              </w:r>
            </w:hyperlink>
          </w:p>
        </w:tc>
        <w:tc>
          <w:tcPr>
            <w:tcW w:w="7200" w:type="dxa"/>
            <w:vAlign w:val="bottom"/>
            <w:gridSpan w:val="2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PORTFOLIO COMPANIES</w:t>
              </w:r>
            </w:hyperlink>
          </w:p>
        </w:tc>
        <w:tc>
          <w:tcPr>
            <w:tcW w:w="686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MANAGEMENT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MANAGEMENT AND OTHER AGREEMENTS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CONTROL PERSONS AND PRINCIPAL STOCKHOLDERS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SALES OF COMMON STOCK BELOW NET ASSET VALUE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46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54">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OUR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OUR CAPITAL STOCK</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DESCRIPTION OF OUR PREFERRED STOCK</w:t>
              </w:r>
            </w:hyperlink>
          </w:p>
        </w:tc>
        <w:tc>
          <w:tcPr>
            <w:tcW w:w="528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70">
              <w:r>
                <w:rPr>
                  <w:rFonts w:ascii="Arial" w:cs="Arial" w:eastAsia="Arial" w:hAnsi="Arial"/>
                  <w:sz w:val="18"/>
                  <w:szCs w:val="18"/>
                  <w:color w:val="0000EE"/>
                  <w:w w:val="94"/>
                </w:rPr>
                <w:t>DESCRIPTION OF OUR WARRANTS</w:t>
              </w:r>
            </w:hyperlink>
          </w:p>
        </w:tc>
        <w:tc>
          <w:tcPr>
            <w:tcW w:w="598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DESCRIPTION OF OUR DEBT SECURITIES</w:t>
              </w:r>
            </w:hyperlink>
          </w:p>
        </w:tc>
        <w:tc>
          <w:tcPr>
            <w:tcW w:w="546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SHARES ELIGIBLE FOR FUTURE SALE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REGULATION</w:t>
              </w:r>
            </w:hyperlink>
          </w:p>
        </w:tc>
        <w:tc>
          <w:tcPr>
            <w:tcW w:w="574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CUSTODIAN, TRANSFER AND DIVIDEND PAYING AGENT AND REGISTRAR</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92">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AVAILABLE INFORMATION</w:t>
              </w:r>
            </w:hyperlink>
          </w:p>
        </w:tc>
        <w:tc>
          <w:tcPr>
            <w:tcW w:w="664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INDEX TO CONSOLIDATED FINANCIAL STATEMENTS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this prospectus and the accompanying prospectus supplement before you make an investment decision.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carefully. In particular, you should read the more detailed information set forth under “Risk Factors” and the consolidated financial statements and the related notes included elsewhere in this prospectus and any accompanying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060" w:right="4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5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2017, we have originated more than $5.4 billion aggregate principal amount of investments and retained approximately $3.6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w:t>
      </w:r>
    </w:p>
    <w:p>
      <w:pPr>
        <w:spacing w:after="0" w:line="5" w:lineRule="exact"/>
        <w:rPr>
          <w:sz w:val="20"/>
          <w:szCs w:val="20"/>
          <w:color w:val="auto"/>
        </w:rPr>
      </w:pPr>
    </w:p>
    <w:p>
      <w:pPr>
        <w:ind w:left="200" w:right="100"/>
        <w:spacing w:after="0" w:line="277" w:lineRule="auto"/>
        <w:rPr>
          <w:sz w:val="20"/>
          <w:szCs w:val="20"/>
          <w:color w:val="auto"/>
        </w:rPr>
      </w:pPr>
      <w:r>
        <w:rPr>
          <w:rFonts w:ascii="Arial" w:cs="Arial" w:eastAsia="Arial" w:hAnsi="Arial"/>
          <w:sz w:val="17"/>
          <w:szCs w:val="17"/>
          <w:color w:val="auto"/>
        </w:rPr>
        <w:t>$10 million to $250 million, although we may invest in larger or smaller companies on occasion. As of March 31, 2017, our core portfolio companies, which exclude certain investments that fall outside of our typical borrower profile and represent 84.9% of our total investments based on fair value, had weighted average annual revenue of $141.0 million and weighted average annual EBITDA of $30.7 million.</w:t>
      </w:r>
    </w:p>
    <w:p>
      <w:pPr>
        <w:spacing w:after="0" w:line="173"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40" w:firstLine="443"/>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8" w:lineRule="exact"/>
        <w:rPr>
          <w:sz w:val="20"/>
          <w:szCs w:val="20"/>
          <w:color w:val="auto"/>
        </w:rPr>
      </w:pPr>
    </w:p>
    <w:p>
      <w:pPr>
        <w:jc w:val="both"/>
        <w:ind w:left="200" w:right="240" w:firstLine="443"/>
        <w:spacing w:after="0" w:line="312" w:lineRule="auto"/>
        <w:rPr>
          <w:sz w:val="20"/>
          <w:szCs w:val="20"/>
          <w:color w:val="auto"/>
        </w:rPr>
      </w:pPr>
      <w:r>
        <w:rPr>
          <w:rFonts w:ascii="Arial" w:cs="Arial" w:eastAsia="Arial" w:hAnsi="Arial"/>
          <w:sz w:val="16"/>
          <w:szCs w:val="16"/>
          <w:color w:val="auto"/>
        </w:rPr>
        <w:t>As of March 31, 2017, based on fair value our portfolio consisted of 98.5% first-lien debt investments, 0.2% second-lien debt investments, and 1.3% equity and other investments. 100% of our debt investments based on fair value as of March 31, 2017 are floating rate in nature (when including investment specific hedges), with 92.7% of these subject to interest rate floors, which we believe helps act as a portfolio-wide hedge against inflation.</w:t>
      </w:r>
    </w:p>
    <w:p>
      <w:pPr>
        <w:spacing w:after="0" w:line="147"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As of March 31, 2017, we had investments in 48 portfolio companies with an aggregate fair value of $1,580.3 million. For the three months ended March 31, 2017, we made new investment commitments of $149.2 million in five new portfolio companies. For this period, we had $213.5 million aggregate principal amount in exits and repayments.</w:t>
      </w:r>
    </w:p>
    <w:p>
      <w:pPr>
        <w:spacing w:after="0" w:line="181" w:lineRule="exact"/>
        <w:rPr>
          <w:sz w:val="20"/>
          <w:szCs w:val="20"/>
          <w:color w:val="auto"/>
        </w:rPr>
      </w:pPr>
    </w:p>
    <w:p>
      <w:pPr>
        <w:ind w:left="200" w:right="440" w:firstLine="443"/>
        <w:spacing w:after="0" w:line="291" w:lineRule="auto"/>
        <w:rPr>
          <w:sz w:val="20"/>
          <w:szCs w:val="20"/>
          <w:color w:val="auto"/>
        </w:rPr>
      </w:pPr>
      <w:r>
        <w:rPr>
          <w:rFonts w:ascii="Arial" w:cs="Arial" w:eastAsia="Arial" w:hAnsi="Arial"/>
          <w:sz w:val="16"/>
          <w:szCs w:val="16"/>
          <w:color w:val="auto"/>
        </w:rPr>
        <w:t>As of December 31, 2016, we had investments in 52 portfolio companies with an aggregate fair value of $1,657.4 million. For the year ended December 31, 2016, we made new investment commitments of $562.7 million, including $492.7 million in 14 new portfolio companies and</w:t>
      </w:r>
    </w:p>
    <w:p>
      <w:pPr>
        <w:ind w:left="200" w:right="100"/>
        <w:spacing w:after="0" w:line="261" w:lineRule="auto"/>
        <w:rPr>
          <w:sz w:val="20"/>
          <w:szCs w:val="20"/>
          <w:color w:val="auto"/>
        </w:rPr>
      </w:pPr>
      <w:r>
        <w:rPr>
          <w:rFonts w:ascii="Arial" w:cs="Arial" w:eastAsia="Arial" w:hAnsi="Arial"/>
          <w:sz w:val="18"/>
          <w:szCs w:val="18"/>
          <w:color w:val="auto"/>
        </w:rPr>
        <w:t>$70.0 million in nine existing portfolio companies. For this period, we had $416.5 million aggregate principal amount in exits and repayments, resulting in a net portfolio increase of $103.6 million aggregate principal amount.</w:t>
      </w:r>
    </w:p>
    <w:p>
      <w:pPr>
        <w:spacing w:after="0" w:line="184"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As of March 31, 2017, the average investment size in each of our portfolio companies was approximately $32.9 million based on fair value. As of March 31, 2017, the largest single investment based on fair value represented 4.8% of our total investment portfolio.</w:t>
      </w:r>
    </w:p>
    <w:p>
      <w:pPr>
        <w:spacing w:after="0" w:line="170" w:lineRule="exact"/>
        <w:rPr>
          <w:sz w:val="20"/>
          <w:szCs w:val="20"/>
          <w:color w:val="auto"/>
        </w:rPr>
      </w:pPr>
    </w:p>
    <w:p>
      <w:pPr>
        <w:ind w:left="200" w:right="180" w:firstLine="443"/>
        <w:spacing w:after="0" w:line="342" w:lineRule="auto"/>
        <w:rPr>
          <w:sz w:val="20"/>
          <w:szCs w:val="20"/>
          <w:color w:val="auto"/>
        </w:rPr>
      </w:pPr>
      <w:r>
        <w:rPr>
          <w:rFonts w:ascii="Arial" w:cs="Arial" w:eastAsia="Arial" w:hAnsi="Arial"/>
          <w:sz w:val="16"/>
          <w:szCs w:val="16"/>
          <w:color w:val="auto"/>
        </w:rPr>
        <w:t>As of March 31, 2017, our portfolio was invested across 17 different industries. The largest industries in our portfolio as of March 31, 2017 were business services and financial services, which represented, as a percentage of our portfolio, 22.5% and 12.7%, respectively, based on fair value.</w:t>
      </w:r>
    </w:p>
    <w:p>
      <w:pPr>
        <w:spacing w:after="0" w:line="124"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Since we began investing in 2011 through March 31, 2017, our exited investments have resulted in an aggregate cash flow realized gross internal rate of return to us of 14.9% (based on cash invested of $1.8 billion and total proceeds from these exited investments of $2.3 billion). Weighted by capital invested, these exited investments have generated an average gross internal rate of return to us of 19.9%. Ninety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left="200" w:right="2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TSSP, with over $19 billion of assets under management as of March 31,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March 31, 2017, twenty nine (29) of these personnel are dedicated to our business, including twenty one (21) investment professionals.</w:t>
      </w:r>
    </w:p>
    <w:p>
      <w:pPr>
        <w:spacing w:after="0" w:line="178" w:lineRule="exact"/>
        <w:rPr>
          <w:sz w:val="20"/>
          <w:szCs w:val="20"/>
          <w:color w:val="auto"/>
        </w:rPr>
      </w:pPr>
    </w:p>
    <w:p>
      <w:pPr>
        <w:ind w:left="200" w:right="14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approximately $72 billion of assets under management as of December 31,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6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940" w:firstLine="443"/>
        <w:spacing w:after="0" w:line="34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24"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92"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$1.49 trillion as of May 2017,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sources. Our Adviser has a dedicated team of 21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The senior members of our Investment Team have over 200 years of collective experience as commercial dealmakers.</w:t>
      </w:r>
    </w:p>
    <w:p>
      <w:pPr>
        <w:spacing w:after="0" w:line="147"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right="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8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8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5,650 investment opportunities our Investment Team reviewed since our inception through March 31, 2017.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86" w:lineRule="auto"/>
        <w:rPr>
          <w:sz w:val="20"/>
          <w:szCs w:val="20"/>
          <w:color w:val="auto"/>
        </w:rPr>
      </w:pPr>
      <w:r>
        <w:rPr>
          <w:rFonts w:ascii="Arial" w:cs="Arial" w:eastAsia="Arial" w:hAnsi="Arial"/>
          <w:sz w:val="16"/>
          <w:szCs w:val="16"/>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6"/>
          <w:szCs w:val="16"/>
          <w:color w:val="auto"/>
        </w:rPr>
        <w:t>Since we began investing in 2011, we have invested approximately $3.6 billion. As of March 31, 2017, we had a portfolio of investments in 48 portfolio companies with an aggregate fair value of $1,580.3 million that we believe exhibits strong credit quality and broad industry composition. As of March 31, 2017, 100% of our debt investments based on fair value bore interest at floating rates (when including investment specific hedges), with</w:t>
      </w:r>
    </w:p>
    <w:p>
      <w:pPr>
        <w:spacing w:after="0" w:line="2" w:lineRule="exact"/>
        <w:rPr>
          <w:sz w:val="20"/>
          <w:szCs w:val="20"/>
          <w:color w:val="auto"/>
        </w:rPr>
      </w:pPr>
    </w:p>
    <w:p>
      <w:pPr>
        <w:ind w:left="200" w:right="400"/>
        <w:spacing w:after="0" w:line="290" w:lineRule="auto"/>
        <w:rPr>
          <w:sz w:val="20"/>
          <w:szCs w:val="20"/>
          <w:color w:val="auto"/>
        </w:rPr>
      </w:pPr>
      <w:r>
        <w:rPr>
          <w:rFonts w:ascii="Arial" w:cs="Arial" w:eastAsia="Arial" w:hAnsi="Arial"/>
          <w:sz w:val="17"/>
          <w:szCs w:val="17"/>
          <w:color w:val="auto"/>
        </w:rPr>
        <w:t>92.7% of these subject to interest rate floors, and 98.5% of the fair value of our portfolio was invested in first-lien debt investments. We believe this portfolio will allow us to generate meaningful investment income, and consequently dividend income, for our stockholders.</w:t>
      </w:r>
    </w:p>
    <w:p>
      <w:pPr>
        <w:spacing w:after="0" w:line="162"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TSSP Partners and four TSSP</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As a BDC, we are required to invest at least 70% of our total assets in qualifying assets, which generally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70" w:lineRule="exact"/>
        <w:rPr>
          <w:rFonts w:ascii="Arial" w:cs="Arial" w:eastAsia="Arial" w:hAnsi="Arial"/>
          <w:sz w:val="17"/>
          <w:szCs w:val="17"/>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hanging="437"/>
        <w:spacing w:after="0" w:line="342"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9" w:lineRule="exact"/>
        <w:rPr>
          <w:rFonts w:ascii="Arial" w:cs="Arial" w:eastAsia="Arial" w:hAnsi="Arial"/>
          <w:sz w:val="16"/>
          <w:szCs w:val="16"/>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66"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Order.”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44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 per share over an initial six-month period, in accordance with the guidelines specified in Rule 10b-18 and Rule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10b5-1 of the Exchange Act, and has continued to authorize extensions of the plan termination date prior to its expiration since that time.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6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 and any new investment advisory agreement would require stockholder approval;</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86"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our investments in energy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w:t>
      </w:r>
    </w:p>
    <w:p>
      <w:pPr>
        <w:spacing w:after="0" w:line="23" w:lineRule="exact"/>
        <w:rPr>
          <w:sz w:val="20"/>
          <w:szCs w:val="20"/>
          <w:color w:val="auto"/>
        </w:rPr>
      </w:pPr>
    </w:p>
    <w:p>
      <w:pPr>
        <w:ind w:left="200" w:right="40" w:hanging="3"/>
        <w:spacing w:after="0" w:line="26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160" w:hanging="3"/>
        <w:spacing w:after="0" w:line="277"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Pursuant to approval granted at a special meeting of stockholders held on May 18, 2017, we are currently permitted to sell or otherwise issue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our common stock at a price below our then-current net asset value per share, subject to the approval of our Board and certain other conditions.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stockholder approval expires on May 18, 2018.</w:t>
      </w:r>
    </w:p>
    <w:p>
      <w:pPr>
        <w:spacing w:after="0" w:line="21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ectPr>
          <w:pgSz w:w="11900" w:h="16838" w:orient="portrait"/>
          <w:cols w:equalWidth="0" w:num="1">
            <w:col w:w="11200"/>
          </w:cols>
          <w:pgMar w:left="240" w:top="459" w:right="45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sale of our securities for general corporate purposes, which may include, among other things, investing in portfolio companies in accordance with our investment objective and repaying indebtedness (which will be subject to reborrowing).</w:t>
      </w:r>
    </w:p>
    <w:p>
      <w:pPr>
        <w:spacing w:after="0" w:line="193"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400" w:right="180"/>
        <w:spacing w:after="0" w:line="277" w:lineRule="auto"/>
        <w:rPr>
          <w:sz w:val="20"/>
          <w:szCs w:val="20"/>
          <w:color w:val="auto"/>
        </w:rPr>
      </w:pPr>
      <w:r>
        <w:rPr>
          <w:rFonts w:ascii="Arial" w:cs="Arial" w:eastAsia="Arial" w:hAnsi="Arial"/>
          <w:sz w:val="18"/>
          <w:szCs w:val="18"/>
          <w:color w:val="auto"/>
        </w:rPr>
        <w:t>Each supplement to this prospectus relating to an offering will more fully identify the use of the proceeds from such offering. See “Use of Proceeds.”</w:t>
      </w:r>
    </w:p>
    <w:p>
      <w:pPr>
        <w:sectPr>
          <w:pgSz w:w="11900" w:h="16838" w:orient="portrait"/>
          <w:cols w:equalWidth="0" w:num="1">
            <w:col w:w="11200"/>
          </w:cols>
          <w:pgMar w:left="240" w:top="459" w:right="45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Symbol on the NYSE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24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Federal Income Tax Considerations—Regulated Investment Company Classification.”</w:t>
      </w:r>
    </w:p>
    <w:p>
      <w:pPr>
        <w:sectPr>
          <w:pgSz w:w="11900" w:h="16838" w:orient="portrait"/>
          <w:cols w:equalWidth="0" w:num="1">
            <w:col w:w="11260"/>
          </w:cols>
          <w:pgMar w:left="240" w:top="459" w:right="399" w:bottom="1440" w:gutter="0" w:footer="0" w:header="0"/>
        </w:sect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8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Taxation</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9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440"/>
        <w:spacing w:after="0" w:line="277" w:lineRule="auto"/>
        <w:rPr>
          <w:sz w:val="20"/>
          <w:szCs w:val="20"/>
          <w:color w:val="auto"/>
        </w:rPr>
      </w:pPr>
      <w:r>
        <w:rPr>
          <w:rFonts w:ascii="Arial" w:cs="Arial" w:eastAsia="Arial" w:hAnsi="Arial"/>
          <w:sz w:val="18"/>
          <w:szCs w:val="18"/>
          <w:color w:val="auto"/>
        </w:rPr>
        <w:t>To maintain our status as a RIC and to avoid being subject to corporate-level U.S. federal income taxation on our earnings, we must, among other things:</w:t>
      </w:r>
    </w:p>
    <w:p>
      <w:pPr>
        <w:spacing w:after="0" w:line="7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our election under the 1940 Act to be treated as a BDC;</w:t>
      </w:r>
    </w:p>
    <w:p>
      <w:pPr>
        <w:spacing w:after="0" w:line="131" w:lineRule="exact"/>
        <w:rPr>
          <w:sz w:val="20"/>
          <w:szCs w:val="20"/>
          <w:color w:val="auto"/>
        </w:rPr>
      </w:pPr>
    </w:p>
    <w:p>
      <w:pPr>
        <w:ind w:left="4620" w:right="80" w:hanging="179"/>
        <w:spacing w:after="0" w:line="264" w:lineRule="auto"/>
        <w:tabs>
          <w:tab w:leader="none" w:pos="4600" w:val="left"/>
        </w:tabs>
        <w:rPr>
          <w:sz w:val="20"/>
          <w:szCs w:val="20"/>
          <w:color w:val="auto"/>
        </w:rPr>
      </w:pPr>
      <w:r>
        <w:rPr>
          <w:rFonts w:ascii="Arial" w:cs="Arial" w:eastAsia="Arial" w:hAnsi="Arial"/>
          <w:sz w:val="18"/>
          <w:szCs w:val="18"/>
          <w:color w:val="auto"/>
        </w:rPr>
        <w:t>•</w:t>
        <w:tab/>
        <w:t>derive in each taxable year at least 90% of our gross income from dividends, interest, gains from the sale or other disposition of stock or securities and other specified categories of investment income; and</w:t>
      </w:r>
    </w:p>
    <w:p>
      <w:pPr>
        <w:spacing w:after="0" w:line="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diversified holdings.</w:t>
      </w:r>
    </w:p>
    <w:p>
      <w:pPr>
        <w:spacing w:after="0" w:line="252" w:lineRule="exact"/>
        <w:rPr>
          <w:sz w:val="20"/>
          <w:szCs w:val="20"/>
          <w:color w:val="auto"/>
        </w:rPr>
      </w:pPr>
    </w:p>
    <w:p>
      <w:pPr>
        <w:ind w:left="4400" w:right="40"/>
        <w:spacing w:after="0" w:line="264" w:lineRule="auto"/>
        <w:rPr>
          <w:sz w:val="20"/>
          <w:szCs w:val="20"/>
          <w:color w:val="auto"/>
        </w:rPr>
      </w:pPr>
      <w:r>
        <w:rPr>
          <w:rFonts w:ascii="Arial" w:cs="Arial" w:eastAsia="Arial" w:hAnsi="Arial"/>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208" w:lineRule="exact"/>
        <w:rPr>
          <w:sz w:val="20"/>
          <w:szCs w:val="20"/>
          <w:color w:val="auto"/>
        </w:rPr>
      </w:pPr>
    </w:p>
    <w:p>
      <w:pPr>
        <w:ind w:left="4400" w:right="60"/>
        <w:spacing w:after="0" w:line="268" w:lineRule="auto"/>
        <w:rPr>
          <w:sz w:val="20"/>
          <w:szCs w:val="20"/>
          <w:color w:val="auto"/>
        </w:rPr>
      </w:pPr>
      <w:r>
        <w:rPr>
          <w:rFonts w:ascii="Arial" w:cs="Arial" w:eastAsia="Arial" w:hAnsi="Arial"/>
          <w:sz w:val="17"/>
          <w:szCs w:val="17"/>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three months ended March 31, 2017 and the calendar years ended December 31, 2016 and 2015 and we recorded a net expense of $0.8 million, $2.2 million and $1.5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552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Leverage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 w:lineRule="exact"/>
        <w:rPr>
          <w:sz w:val="20"/>
          <w:szCs w:val="20"/>
          <w:color w:val="auto"/>
        </w:rPr>
      </w:pPr>
    </w:p>
    <w:p>
      <w:pPr>
        <w:ind w:left="4400" w:right="40"/>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preferred stock, where our asset coverage, as defined in the 1940 Act, equals at least 200% after the borrowing. The costs associated with our borrowings, including any increase in the fees payable to the Adviser, are borne by our stockholders. See “Regulation.”</w:t>
      </w:r>
    </w:p>
    <w:p>
      <w:pPr>
        <w:sectPr>
          <w:pgSz w:w="11900" w:h="16838" w:orient="portrait"/>
          <w:cols w:equalWidth="0" w:num="1">
            <w:col w:w="11180"/>
          </w:cols>
          <w:pgMar w:left="240" w:top="459" w:right="479" w:bottom="1440" w:gutter="0" w:footer="0" w:header="0"/>
          <w:type w:val="continuous"/>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5" w:lineRule="exact"/>
        <w:rPr>
          <w:sz w:val="20"/>
          <w:szCs w:val="20"/>
          <w:color w:val="auto"/>
        </w:rPr>
      </w:pPr>
    </w:p>
    <w:p>
      <w:pPr>
        <w:ind w:left="4400" w:right="20"/>
        <w:spacing w:after="0" w:line="276" w:lineRule="auto"/>
        <w:rPr>
          <w:sz w:val="20"/>
          <w:szCs w:val="20"/>
          <w:color w:val="auto"/>
        </w:rPr>
      </w:pPr>
      <w:r>
        <w:rPr>
          <w:rFonts w:ascii="Arial" w:cs="Arial" w:eastAsia="Arial" w:hAnsi="Arial"/>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ectPr>
          <w:pgSz w:w="11900" w:h="16838" w:orient="portrait"/>
          <w:cols w:equalWidth="0" w:num="1">
            <w:col w:w="11180"/>
          </w:cols>
          <w:pgMar w:left="240" w:top="459" w:right="47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Management Arrangements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Adviser serves as our investment adviser and our administrator. For a description of our Adviser and TPG and our contractual arrangements with these companies, see “Management and Other Agreements.”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 at a Discount</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240" w:top="459" w:right="47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2327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232791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Available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 public reference room at 100 F Street, N.E., Washington, D.C. 20549 and on the SEC’s website at http://www.sec.gov. Information on the operation of the SEC’s public reference room may be obtained by calling the SEC at 1 (800) SEC-0330.</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line="255" w:lineRule="auto"/>
        <w:rPr>
          <w:sz w:val="20"/>
          <w:szCs w:val="20"/>
          <w:color w:val="auto"/>
        </w:rPr>
      </w:pPr>
      <w:r>
        <w:rPr>
          <w:rFonts w:ascii="Arial" w:cs="Arial" w:eastAsia="Arial" w:hAnsi="Arial"/>
          <w:sz w:val="18"/>
          <w:szCs w:val="18"/>
          <w:color w:val="auto"/>
        </w:rPr>
        <w:t>We maintain a website at http://www.tpgspecialtylending.com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35th Floor, New York, NY 10106, Attention: TSLX Investor Relations, or by emailing us at IRTSL@tpg.com.</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so that we may not incur any additional leverage if doing so would cause our asset coverage ratio to fall below 200%,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Sales load</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2.55%</w:t>
            </w:r>
            <w:r>
              <w:rPr>
                <w:rFonts w:ascii="Arial" w:cs="Arial" w:eastAsia="Arial" w:hAnsi="Arial"/>
                <w:sz w:val="15"/>
                <w:szCs w:val="15"/>
                <w:color w:val="auto"/>
              </w:rPr>
              <w:t>(5)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r>
              <w:rPr>
                <w:rFonts w:ascii="Arial" w:cs="Arial" w:eastAsia="Arial" w:hAnsi="Arial"/>
                <w:sz w:val="15"/>
                <w:szCs w:val="15"/>
                <w:color w:val="auto"/>
              </w:rPr>
              <w:t>(6)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2.19%</w:t>
            </w:r>
            <w:r>
              <w:rPr>
                <w:rFonts w:ascii="Arial" w:cs="Arial" w:eastAsia="Arial" w:hAnsi="Arial"/>
                <w:sz w:val="15"/>
                <w:szCs w:val="15"/>
                <w:color w:val="auto"/>
              </w:rPr>
              <w:t>(7)</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1.62%</w:t>
            </w:r>
            <w:r>
              <w:rPr>
                <w:rFonts w:ascii="Arial" w:cs="Arial" w:eastAsia="Arial" w:hAnsi="Arial"/>
                <w:sz w:val="15"/>
                <w:szCs w:val="15"/>
                <w:color w:val="auto"/>
              </w:rPr>
              <w:t>(8)</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annual expenses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8.74%</w:t>
            </w:r>
            <w:r>
              <w:rPr>
                <w:rFonts w:ascii="Arial" w:cs="Arial" w:eastAsia="Arial" w:hAnsi="Arial"/>
                <w:sz w:val="15"/>
                <w:szCs w:val="15"/>
                <w:color w:val="auto"/>
              </w:rPr>
              <w:t>(9)</w:t>
            </w:r>
          </w:p>
        </w:tc>
      </w:tr>
    </w:tbl>
    <w:p>
      <w:pPr>
        <w:spacing w:after="0" w:line="214" w:lineRule="exact"/>
        <w:rPr>
          <w:sz w:val="20"/>
          <w:szCs w:val="20"/>
          <w:color w:val="auto"/>
        </w:rPr>
      </w:pPr>
    </w:p>
    <w:p>
      <w:pPr>
        <w:ind w:left="620" w:right="36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75" w:lineRule="exact"/>
        <w:rPr>
          <w:rFonts w:ascii="Arial" w:cs="Arial" w:eastAsia="Arial" w:hAnsi="Arial"/>
          <w:sz w:val="18"/>
          <w:szCs w:val="18"/>
          <w:color w:val="auto"/>
        </w:rPr>
      </w:pPr>
    </w:p>
    <w:p>
      <w:pPr>
        <w:ind w:left="620" w:right="18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75" w:lineRule="exact"/>
        <w:rPr>
          <w:rFonts w:ascii="Arial" w:cs="Arial" w:eastAsia="Arial" w:hAnsi="Arial"/>
          <w:sz w:val="18"/>
          <w:szCs w:val="18"/>
          <w:color w:val="auto"/>
        </w:rPr>
      </w:pPr>
    </w:p>
    <w:p>
      <w:pPr>
        <w:ind w:left="620" w:right="34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75" w:lineRule="exact"/>
        <w:rPr>
          <w:rFonts w:ascii="Arial" w:cs="Arial" w:eastAsia="Arial" w:hAnsi="Arial"/>
          <w:sz w:val="18"/>
          <w:szCs w:val="18"/>
          <w:color w:val="auto"/>
        </w:rPr>
      </w:pPr>
    </w:p>
    <w:p>
      <w:pPr>
        <w:ind w:left="620" w:right="980" w:hanging="42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$952.2 million as of December 31, 2016.</w:t>
      </w:r>
    </w:p>
    <w:p>
      <w:pPr>
        <w:spacing w:after="0" w:line="75" w:lineRule="exact"/>
        <w:rPr>
          <w:rFonts w:ascii="Arial" w:cs="Arial" w:eastAsia="Arial" w:hAnsi="Arial"/>
          <w:sz w:val="18"/>
          <w:szCs w:val="18"/>
          <w:color w:val="auto"/>
        </w:rPr>
      </w:pPr>
    </w:p>
    <w:p>
      <w:pPr>
        <w:ind w:left="620" w:right="20" w:hanging="423"/>
        <w:spacing w:after="0" w:line="27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64" w:lineRule="exact"/>
        <w:rPr>
          <w:rFonts w:ascii="Arial" w:cs="Arial" w:eastAsia="Arial" w:hAnsi="Arial"/>
          <w:sz w:val="17"/>
          <w:szCs w:val="17"/>
          <w:color w:val="auto"/>
        </w:rPr>
      </w:pPr>
    </w:p>
    <w:p>
      <w:pPr>
        <w:ind w:left="640" w:right="140"/>
        <w:spacing w:after="0" w:line="277" w:lineRule="auto"/>
        <w:rPr>
          <w:rFonts w:ascii="Arial" w:cs="Arial" w:eastAsia="Arial" w:hAnsi="Arial"/>
          <w:sz w:val="17"/>
          <w:szCs w:val="17"/>
          <w:color w:val="auto"/>
        </w:rPr>
      </w:pPr>
      <w:r>
        <w:rPr>
          <w:rFonts w:ascii="Arial" w:cs="Arial" w:eastAsia="Arial" w:hAnsi="Arial"/>
          <w:sz w:val="18"/>
          <w:szCs w:val="18"/>
          <w:color w:val="auto"/>
        </w:rPr>
        <w:t>The Management Fee reflected in the table is calculated by determining the ratio that the Management Fee for the year ended December 31, 2016 bears to our net assets attributable to common stock (rather than our gross assets).</w:t>
      </w:r>
    </w:p>
    <w:p>
      <w:pPr>
        <w:spacing w:after="0" w:line="62" w:lineRule="exact"/>
        <w:rPr>
          <w:rFonts w:ascii="Arial" w:cs="Arial" w:eastAsia="Arial" w:hAnsi="Arial"/>
          <w:sz w:val="17"/>
          <w:szCs w:val="17"/>
          <w:color w:val="auto"/>
        </w:rPr>
      </w:pPr>
    </w:p>
    <w:p>
      <w:pPr>
        <w:ind w:left="640" w:right="540"/>
        <w:spacing w:after="0" w:line="277" w:lineRule="auto"/>
        <w:rPr>
          <w:rFonts w:ascii="Arial" w:cs="Arial" w:eastAsia="Arial" w:hAnsi="Arial"/>
          <w:sz w:val="17"/>
          <w:szCs w:val="17"/>
          <w:color w:val="auto"/>
        </w:rPr>
      </w:pPr>
      <w:r>
        <w:rPr>
          <w:rFonts w:ascii="Arial" w:cs="Arial" w:eastAsia="Arial" w:hAnsi="Arial"/>
          <w:sz w:val="18"/>
          <w:szCs w:val="18"/>
          <w:color w:val="auto"/>
        </w:rPr>
        <w:t>From time to time, our Adviser voluntarily has waived certain Management Fees. See “Management’s Discussion and Analysis of Financial Condition and Results of Operations—Results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18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Management Fees” elsewhere in this prospectus. The above estimates are based on our actual Management Fees for the year ended December 31, 2016 and do not reflect any Management Fees that were waived during the year ended December 31, 2016.</w:t>
      </w:r>
    </w:p>
    <w:p>
      <w:pPr>
        <w:spacing w:after="0" w:line="76" w:lineRule="exact"/>
        <w:rPr>
          <w:sz w:val="20"/>
          <w:szCs w:val="20"/>
          <w:color w:val="auto"/>
        </w:rPr>
      </w:pPr>
    </w:p>
    <w:p>
      <w:pPr>
        <w:ind w:left="620" w:right="20" w:hanging="423"/>
        <w:spacing w:after="0" w:line="259"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2016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640" w:right="80"/>
        <w:spacing w:after="0" w:line="255" w:lineRule="auto"/>
        <w:rPr>
          <w:rFonts w:ascii="Arial" w:cs="Arial" w:eastAsia="Arial" w:hAnsi="Arial"/>
          <w:sz w:val="18"/>
          <w:szCs w:val="18"/>
          <w:color w:val="auto"/>
        </w:rPr>
      </w:pPr>
      <w:r>
        <w:rPr>
          <w:rFonts w:ascii="Arial" w:cs="Arial" w:eastAsia="Arial" w:hAnsi="Arial"/>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85" w:lineRule="exact"/>
        <w:rPr>
          <w:rFonts w:ascii="Arial" w:cs="Arial" w:eastAsia="Arial" w:hAnsi="Arial"/>
          <w:sz w:val="18"/>
          <w:szCs w:val="18"/>
          <w:color w:val="auto"/>
        </w:rPr>
      </w:pPr>
    </w:p>
    <w:p>
      <w:pPr>
        <w:ind w:left="640" w:right="220"/>
        <w:spacing w:after="0" w:line="277"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included in this prospectus and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elsewhere in this prospectus. The above estimates do not reflect or assume any such waivers.</w:t>
      </w:r>
    </w:p>
    <w:p>
      <w:pPr>
        <w:spacing w:after="0" w:line="86" w:lineRule="exact"/>
        <w:rPr>
          <w:rFonts w:ascii="Arial" w:cs="Arial" w:eastAsia="Arial" w:hAnsi="Arial"/>
          <w:sz w:val="18"/>
          <w:szCs w:val="18"/>
          <w:color w:val="auto"/>
        </w:rPr>
      </w:pPr>
    </w:p>
    <w:p>
      <w:pPr>
        <w:ind w:left="620" w:right="40" w:hanging="423"/>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2016 under our credit facilities excluding fees (such as fees on undrawn amounts and amortization of upfront fees) and including the swap-adjusted interest expense related to our 4.50% Convertible Senior Notes due 2019, or the 2019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98" w:lineRule="exact"/>
        <w:rPr>
          <w:rFonts w:ascii="Arial" w:cs="Arial" w:eastAsia="Arial" w:hAnsi="Arial"/>
          <w:sz w:val="18"/>
          <w:szCs w:val="18"/>
          <w:color w:val="auto"/>
        </w:rPr>
      </w:pPr>
    </w:p>
    <w:p>
      <w:pPr>
        <w:ind w:left="620" w:right="220" w:hanging="423"/>
        <w:spacing w:after="0" w:line="286"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2016.</w:t>
      </w:r>
    </w:p>
    <w:p>
      <w:pPr>
        <w:spacing w:after="0" w:line="70" w:lineRule="exact"/>
        <w:rPr>
          <w:rFonts w:ascii="Arial" w:cs="Arial" w:eastAsia="Arial" w:hAnsi="Arial"/>
          <w:sz w:val="17"/>
          <w:szCs w:val="17"/>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20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3520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5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6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You would pay the following expenses on a $1,000 common stock investment,</w:t>
            </w:r>
          </w:p>
        </w:tc>
        <w:tc>
          <w:tcPr>
            <w:tcW w:w="5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9"/>
              </w:rPr>
              <w:t>$  72</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$ 212</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$ 346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  655</w:t>
            </w:r>
          </w:p>
        </w:tc>
        <w:tc>
          <w:tcPr>
            <w:tcW w:w="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79" w:lineRule="exact"/>
        <w:rPr>
          <w:sz w:val="20"/>
          <w:szCs w:val="20"/>
          <w:color w:val="auto"/>
        </w:rPr>
      </w:pPr>
    </w:p>
    <w:p>
      <w:pPr>
        <w:ind w:left="200" w:right="260" w:firstLine="443"/>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0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50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200" w:right="160" w:firstLine="443"/>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derived the selected consolidated financial data for the years ended December 31, 2016, 2015 and 2014 from our audited consolidated financial statements and related notes, which are included elsewhere in this prospectus. We derived the selected consolidated financial data for the years ended December 31, 2013 and 2012 from our audited consolidated financial statements and related notes, which are not included in this prospectus. We derived the selected consolidated financial data for the three months ended March 31, 2017 and 2016 from our unaudited interim consolidated financial statements and related notes, which are included elsewhere in this prospectus. Certain prior period information has been reclassified to conform to the current period presentation.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in millions, except per</w:t>
            </w:r>
          </w:p>
        </w:tc>
        <w:tc>
          <w:tcPr>
            <w:tcW w:w="140" w:type="dxa"/>
            <w:vAlign w:val="bottom"/>
          </w:tcPr>
          <w:p>
            <w:pPr>
              <w:spacing w:after="0"/>
              <w:rPr>
                <w:sz w:val="14"/>
                <w:szCs w:val="14"/>
                <w:color w:val="auto"/>
              </w:rPr>
            </w:pPr>
          </w:p>
        </w:tc>
        <w:tc>
          <w:tcPr>
            <w:tcW w:w="16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gridSpan w:val="5"/>
            <w:vMerge w:val="continue"/>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tcBorders>
              <w:top w:val="single" w:sz="8" w:color="auto"/>
            </w:tcBorders>
            <w:gridSpan w:val="6"/>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30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3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b w:val="1"/>
                <w:bCs w:val="1"/>
                <w:color w:val="auto"/>
              </w:rPr>
              <w:t>share amounts)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Operations Data:</w:t>
            </w:r>
          </w:p>
        </w:tc>
        <w:tc>
          <w:tcPr>
            <w:tcW w:w="7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192.4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163.3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9"/>
        </w:trPr>
        <w:tc>
          <w:tcPr>
            <w:tcW w:w="2820" w:type="dxa"/>
            <w:vAlign w:val="bottom"/>
            <w:gridSpan w:val="5"/>
          </w:tcPr>
          <w:p>
            <w:pPr>
              <w:spacing w:after="0"/>
              <w:rPr>
                <w:sz w:val="20"/>
                <w:szCs w:val="20"/>
                <w:color w:val="auto"/>
              </w:rPr>
            </w:pPr>
            <w:r>
              <w:rPr>
                <w:rFonts w:ascii="Arial" w:cs="Arial" w:eastAsia="Arial" w:hAnsi="Arial"/>
                <w:sz w:val="18"/>
                <w:szCs w:val="18"/>
                <w:color w:val="auto"/>
              </w:rPr>
              <w:t>Net Investment Income Before</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23.7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105.6</w:t>
            </w:r>
          </w:p>
        </w:tc>
        <w:tc>
          <w:tcPr>
            <w:tcW w:w="26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820" w:type="dxa"/>
            <w:vAlign w:val="bottom"/>
            <w:gridSpan w:val="5"/>
          </w:tcPr>
          <w:p>
            <w:pPr>
              <w:spacing w:after="0" w:line="201" w:lineRule="exact"/>
              <w:rPr>
                <w:sz w:val="20"/>
                <w:szCs w:val="20"/>
                <w:color w:val="auto"/>
              </w:rPr>
            </w:pPr>
            <w:r>
              <w:rPr>
                <w:rFonts w:ascii="Arial" w:cs="Arial" w:eastAsia="Arial" w:hAnsi="Arial"/>
                <w:sz w:val="18"/>
                <w:szCs w:val="18"/>
                <w:color w:val="auto"/>
              </w:rPr>
              <w:t>Total Net Change in Unrealized</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Gain (Loss)</w:t>
            </w:r>
          </w:p>
        </w:tc>
        <w:tc>
          <w:tcPr>
            <w:tcW w:w="14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960" w:type="dxa"/>
            <w:vAlign w:val="bottom"/>
            <w:gridSpan w:val="4"/>
          </w:tcPr>
          <w:p>
            <w:pPr>
              <w:jc w:val="right"/>
              <w:ind w:right="2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820" w:type="dxa"/>
            <w:vAlign w:val="bottom"/>
            <w:gridSpan w:val="5"/>
            <w:vMerge w:val="restart"/>
          </w:tcPr>
          <w:p>
            <w:pPr>
              <w:spacing w:after="0"/>
              <w:rPr>
                <w:sz w:val="20"/>
                <w:szCs w:val="20"/>
                <w:color w:val="auto"/>
              </w:rPr>
            </w:pPr>
            <w:r>
              <w:rPr>
                <w:rFonts w:ascii="Arial" w:cs="Arial" w:eastAsia="Arial" w:hAnsi="Arial"/>
                <w:sz w:val="18"/>
                <w:szCs w:val="18"/>
                <w:color w:val="auto"/>
              </w:rPr>
              <w:t>Increase in Net Assets Resulting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from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17.8</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137.0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2"/>
        </w:trPr>
        <w:tc>
          <w:tcPr>
            <w:tcW w:w="28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69"/>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left="27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5"/>
              </w:rPr>
              <w:t>Consolidated Balance Sheet Data:</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7.0</w:t>
            </w:r>
          </w:p>
        </w:tc>
        <w:tc>
          <w:tcPr>
            <w:tcW w:w="340" w:type="dxa"/>
            <w:vAlign w:val="bottom"/>
            <w:tcBorders>
              <w:top w:val="single" w:sz="8" w:color="CCEEFF"/>
            </w:tcBorders>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6.0</w:t>
            </w:r>
          </w:p>
        </w:tc>
        <w:tc>
          <w:tcPr>
            <w:tcW w:w="4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7.5</w:t>
            </w:r>
          </w:p>
        </w:tc>
        <w:tc>
          <w:tcPr>
            <w:tcW w:w="38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3"/>
          </w:tcPr>
          <w:p>
            <w:pPr>
              <w:jc w:val="right"/>
              <w:ind w:right="320"/>
              <w:spacing w:after="0"/>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1,580.3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1,485.7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1,263.5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1,016.5</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1,606.9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1,675.5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1,506.5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1,288.9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1,032.9</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604.0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642.4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381.1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820" w:type="dxa"/>
            <w:vAlign w:val="bottom"/>
            <w:gridSpan w:val="5"/>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647.2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723.3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685.8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453.5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458.2</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959.6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820.7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835.4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574.7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30"/>
        </w:trPr>
        <w:tc>
          <w:tcPr>
            <w:tcW w:w="2820" w:type="dxa"/>
            <w:vAlign w:val="bottom"/>
            <w:gridSpan w:val="5"/>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16.04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15.15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15.53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15.52</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24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0242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2014</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Number of portfolio companies at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period end</w:t>
            </w:r>
          </w:p>
        </w:tc>
        <w:tc>
          <w:tcPr>
            <w:tcW w:w="12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Total return based on net asset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income-producing securities at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w:t>
            </w:r>
            <w:r>
              <w:rPr>
                <w:rFonts w:ascii="Arial" w:cs="Arial" w:eastAsia="Arial" w:hAnsi="Arial"/>
                <w:sz w:val="15"/>
                <w:szCs w:val="15"/>
                <w:color w:val="auto"/>
              </w:rPr>
              <w:t>(4)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income-producing securities at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amortized cost</w:t>
            </w: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principal</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98.2%</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 debt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investments as a percentage of</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call price</w:t>
            </w:r>
          </w:p>
        </w:tc>
        <w:tc>
          <w:tcPr>
            <w:tcW w:w="1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20" w:right="80" w:hanging="42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w:t>
      </w:r>
    </w:p>
    <w:p>
      <w:pPr>
        <w:spacing w:after="0" w:line="75" w:lineRule="exact"/>
        <w:rPr>
          <w:rFonts w:ascii="Arial" w:cs="Arial" w:eastAsia="Arial" w:hAnsi="Arial"/>
          <w:sz w:val="18"/>
          <w:szCs w:val="18"/>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130" w:lineRule="exact"/>
        <w:rPr>
          <w:rFonts w:ascii="Arial" w:cs="Arial" w:eastAsia="Arial" w:hAnsi="Arial"/>
          <w:sz w:val="18"/>
          <w:szCs w:val="18"/>
          <w:color w:val="auto"/>
        </w:rPr>
      </w:pPr>
    </w:p>
    <w:p>
      <w:pPr>
        <w:ind w:left="620" w:right="100" w:hanging="423"/>
        <w:spacing w:after="0" w:line="284"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 Generally Accepted Accounting Principles, or U.S. GAAP requires that total return be calculated as the change in net asset value per share during the period plus declared dividends per share, divided by the beginning net asset value per share. Our total return set forth in the table above for the years ended December 31, 2016, 2015, 2014, 2013 and 2012 reflects the Adviser’s waivers of its right to receive a portion of the Management Fee and Incentive Fees prior to our IPO and separately with respect to our ownership of shares of common stock of TICC Capital Corp. See Note 3 to our audited consolidated financial statements for more information about the waivers. The Management Fee, excluding the effects of the waivers, would have been $24.3 million, $21.3 million, $18.3 million, $13.4 million, and $8.9 million for the years ended December 31, 2016, 2015, 2014, 2013 and 2012, respectively. The Incentive Fee, excluding the effects of the waiver, would have been</w:t>
      </w:r>
    </w:p>
    <w:p>
      <w:pPr>
        <w:spacing w:after="0" w:line="2" w:lineRule="exact"/>
        <w:rPr>
          <w:rFonts w:ascii="Arial" w:cs="Arial" w:eastAsia="Arial" w:hAnsi="Arial"/>
          <w:sz w:val="16"/>
          <w:szCs w:val="16"/>
          <w:color w:val="auto"/>
        </w:rPr>
      </w:pPr>
    </w:p>
    <w:p>
      <w:pPr>
        <w:ind w:left="620" w:right="140"/>
        <w:spacing w:after="0" w:line="261" w:lineRule="auto"/>
        <w:rPr>
          <w:rFonts w:ascii="Arial" w:cs="Arial" w:eastAsia="Arial" w:hAnsi="Arial"/>
          <w:sz w:val="16"/>
          <w:szCs w:val="16"/>
          <w:color w:val="auto"/>
        </w:rPr>
      </w:pPr>
      <w:r>
        <w:rPr>
          <w:rFonts w:ascii="Arial" w:cs="Arial" w:eastAsia="Arial" w:hAnsi="Arial"/>
          <w:sz w:val="18"/>
          <w:szCs w:val="18"/>
          <w:color w:val="auto"/>
        </w:rPr>
        <w:t>$22.7 million and $20.2 million for the years ended December 31, 2016 and 2015, respectively. The Adviser did not waive any Management Fees or Incentive Fees for the three months ended March 31, 2017.</w:t>
      </w:r>
    </w:p>
    <w:p>
      <w:pPr>
        <w:spacing w:after="0" w:line="89" w:lineRule="exact"/>
        <w:rPr>
          <w:rFonts w:ascii="Arial" w:cs="Arial" w:eastAsia="Arial" w:hAnsi="Arial"/>
          <w:sz w:val="16"/>
          <w:szCs w:val="16"/>
          <w:color w:val="auto"/>
        </w:rPr>
      </w:pPr>
    </w:p>
    <w:p>
      <w:pPr>
        <w:ind w:left="620" w:right="80" w:hanging="423"/>
        <w:spacing w:after="0" w:line="27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4531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50,948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21,679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28,519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28,278</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r>
      <w:tr>
        <w:trPr>
          <w:trHeight w:val="350"/>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49,708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53,917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46,034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42,751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21,641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23,346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19,559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28,067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30,571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23,192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4,656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24,135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(5,421)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36,875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49,638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17,771</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r>
      <w:tr>
        <w:trPr>
          <w:trHeight w:val="350"/>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43,559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46,774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45,352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37,730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19,916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20,926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23,643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(27,985)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34,105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bl>
    <w:p>
      <w:pPr>
        <w:spacing w:after="0" w:line="93" w:lineRule="exact"/>
        <w:rPr>
          <w:sz w:val="20"/>
          <w:szCs w:val="20"/>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including our consolidated financial statements and the related notes thereto,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 See “—Risks Related to Offerings Pursuant to This Prospectus—The net asset value per share of our common stock may be diluted if we sell or otherwise issue shares of our common stock at prices below the then-current net asset value per share of our common stock.”</w:t>
      </w:r>
    </w:p>
    <w:p>
      <w:pPr>
        <w:spacing w:after="0" w:line="1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“—Risks Related to Our Business and Structure—Even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2017,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“—Risks Related to Our Portfolio Company Investments—We expose ourselves to risks when we engage in hedging transactions.”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March 31, 2017, we had $620.2 million of outstanding indebtedness, which had an annualized interest cost of 3.18% under the terms of our debt, excluding fees (such as fees on undrawn amounts and amortization of upfront fees) and giving effect to the swap-adjusted interest rates on our Convertible Senior Notes. As of March 31, 2017, the interest rate on the 2019 Convertible Senior Notes, as adjusted to give effect to the interest rate swaps, was three-month London Interbank Offered Rate, or LIBOR, plus 286 basis points and the interest rate on the 2022 Convertible Senior Notes is three-month LIBOR plus 237.2 basis points.</w:t>
      </w:r>
    </w:p>
    <w:p>
      <w:pPr>
        <w:spacing w:after="0" w:line="18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1.2%.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90"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9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5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59"/>
              <w:spacing w:after="0" w:line="157" w:lineRule="exact"/>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0%</w:t>
            </w:r>
          </w:p>
        </w:tc>
        <w:tc>
          <w:tcPr>
            <w:tcW w:w="5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-18.80%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-10.43%</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14.69%</w:t>
            </w:r>
          </w:p>
        </w:tc>
      </w:tr>
    </w:tbl>
    <w:p>
      <w:pPr>
        <w:spacing w:after="0" w:line="229" w:lineRule="exact"/>
        <w:rPr>
          <w:sz w:val="20"/>
          <w:szCs w:val="20"/>
          <w:color w:val="auto"/>
        </w:rPr>
      </w:pPr>
    </w:p>
    <w:p>
      <w:pPr>
        <w:ind w:left="460" w:right="40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as of March 31, 2017, (i) $1.6 billion in total assets, (ii) $620.2 million in outstanding indebtedness, (iii) $959.6 million in net assets and (iv) annualized interest cost of 3.18%, under the terms of our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may allow us to incur additional leverage.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prior congressional session, if reintroduced and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2017, December 31, 2016 and December 31, 2015, we elected to retain approximately $62 million, $52 million and $38 million of taxable income and capital gains, respectively, in order to provide us with additional liquidity and we recorded a net expense of $0.8 million, $2.2 million and $1.5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 Regulated Investment Company Classification.”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404 requires a rigorous compliance program as well as adequate time and resources. We may not be able to complete our internal control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testing and any required remediation in a timely fashion. Additionally, if we identify one or more material weaknesses in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we will be unable to assert that our internal controls are effective. If we are unable to assert that our internal control over financial reporting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or if our auditors are unable to attest to management’s report on the effectiveness of our internal controls, we could lose investor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accuracy and completeness of our financial reports, which would have a material adverse effect on the price of our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In addition, certain members of Congress have put forth proposals that could impact the U.S. federal income tax treatment of debt. The details of these proposals are not sufficiently clear to ascertain their potential impact on our business nor is the likelihood of any such proposals being enacted into law certain at this time. However, if any such proposals were enacted it is possible that they might impact us and our business. Any changes to the laws and regulations governing our operations or the U.S. federal income tax treatment of our assets may cause us to alter our investment strategy to avail ourselves of new or different opportunities. For more information on tax regulatory risks, see “Risks Related to our Portfolio Company Investments.”</w:t>
      </w:r>
    </w:p>
    <w:p>
      <w:pPr>
        <w:spacing w:after="0" w:line="180"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On July 21, 2010, the Wall Street Reform and Consumer Protection Act, or the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and the United Kingdom’s subsequent invocation of Article 50 of the Treaty on the European Union in March 2017 have led to disruption and instability in the global markets.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late 2016 and early 2017 the Federal Reserve raised the target range for the federal funds rate.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March 31, 2017, our investments in portfolio companies that operate in the oil, gas and consumable fuels industry represent 1.9%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 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First-Lien Debt</w:t>
      </w:r>
      <w:r>
        <w:rPr>
          <w:rFonts w:ascii="Arial" w:cs="Arial" w:eastAsia="Arial" w:hAnsi="Arial"/>
          <w:sz w:val="17"/>
          <w:szCs w:val="17"/>
          <w:color w:val="auto"/>
        </w:rPr>
        <w:t>. When we make a first-lien loan, we generally take a security interest in the available assets of the portfolio company,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Equity and Other Investments</w:t>
      </w:r>
      <w:r>
        <w:rPr>
          <w:rFonts w:ascii="Arial" w:cs="Arial" w:eastAsia="Arial" w:hAnsi="Arial"/>
          <w:sz w:val="18"/>
          <w:szCs w:val="18"/>
          <w:color w:val="auto"/>
        </w:rPr>
        <w:t>. 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To the extent we invest in preferred securities, we may incur particular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6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29"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CLO or other securitization vehicle, if created, also would likely be consolidated in our financial statements and consequently affect our asset coverage ratio, which may limit our ability to incur additional leverage. See “Regulation.”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“—Risks Related to Economic Conditions— Uncertainty about financial stability could have a significant adverse effect on our business, results of operations and financial condition.”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“—Risks Related to Our Portfolio Company Investments—We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decision by TSSP, TPG or our Adviser to allocate an opportunity to another entity could cause us to forgo an investment opportunity that we otherwise would have made. We also generally will be unable to invest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See “Related-Party Transactions and Certain Relationships—Exemptive Order” for more information on the terms of the exemptive order.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strategy may include potential investments in foreign companies. Investing in foreign companies may expose us to additional risks not typically associated with investing in U.S. companies.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2019 Convertible Senior Notes and 2022 Convertible Senior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“—Risks Related to Our Portfolio Company Investments—We are exposed to risks associated with changes in interest rates” and “Management’s Discussion and Analysis of Financial Condition and Results of Operations—Results of Operations—Hedging.”</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2019 Convertible Senior Notes and 2022 Convertible Senior Notes,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we were unable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ind w:right="58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interest.”</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future sales of our securities convertible into or exchangeable or exercisable for our common stock or the conversion of such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Senior Notes and our 2022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stockholders may experience dilution upon the conversion of the 2019 Convertible Senior Notes and the 2022 Convertible Senior Notes.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2019 Convertible Senior Notes and our 2022 Convertible Senior Notes are convertible into shares of our common stock beginning on June 15, 2019 and February 1, 2022, respectively, or earlier, under certain circumstances. Upon conversion of our 2019 Convertible Senior Notes and 2022 Convertible Senior Notes, we have the choice to pay or deliver, as the case may be, at our election, cash, shares of our common stock or a combination of cash and shares of our common stock. The initial conversion price of the 2019 Convertible Senior Notes is $25.83 per share and the initial conversion price of the 2022 Convertible Senior Notes is $21.34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Senior Notes and the 2022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1"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August 31, 2017.</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w:t>
      </w:r>
    </w:p>
    <w:p>
      <w:pPr>
        <w:spacing w:after="0" w:line="73"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5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7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issuance of shares of preferred stock with dividend or conversion rights, liquidation preferences or other economic terms favorable to the holders of preferred stock could adversely affect the market price for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this prospectus and in our filings with the SEC.</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 the Exchange Act, the “safe harbor” provisions of the Private Securities Litigation Reform Act of 1995, which preclude civil liability for certain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forward-looking statements, do not apply to the forward-looking statements made in connection with any offering of securities pursuant to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2017 and for the years ended December 31, 2016 and 2015. On May 19, 2017, the last reported closing sales price of our common stock on the NYSE was $20.50 per share, which represented a premium of approximately 27.8% to the net asset value per share reported by us as of March 31, 2017, the last date prior to the date of this prospectus for which we reported net asset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Price Range</w:t>
            </w:r>
          </w:p>
        </w:tc>
        <w:tc>
          <w:tcPr>
            <w:tcW w:w="42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High Sales</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36"/>
        </w:trPr>
        <w:tc>
          <w:tcPr>
            <w:tcW w:w="4900" w:type="dxa"/>
            <w:vAlign w:val="bottom"/>
          </w:tcPr>
          <w:p>
            <w:pPr>
              <w:spacing w:after="0"/>
              <w:rPr>
                <w:sz w:val="11"/>
                <w:szCs w:val="11"/>
                <w:color w:val="auto"/>
              </w:rPr>
            </w:pPr>
          </w:p>
        </w:tc>
        <w:tc>
          <w:tcPr>
            <w:tcW w:w="7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Net Asset</w:t>
            </w:r>
          </w:p>
        </w:tc>
        <w:tc>
          <w:tcPr>
            <w:tcW w:w="200" w:type="dxa"/>
            <w:vAlign w:val="bottom"/>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5"/>
              </w:rPr>
              <w:t>Price to Net</w:t>
            </w:r>
          </w:p>
        </w:tc>
        <w:tc>
          <w:tcPr>
            <w:tcW w:w="142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5"/>
              </w:rPr>
              <w:t>Price to Net</w:t>
            </w:r>
          </w:p>
        </w:tc>
        <w:tc>
          <w:tcPr>
            <w:tcW w:w="8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Low</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Asset Value</w:t>
            </w:r>
            <w:r>
              <w:rPr>
                <w:rFonts w:ascii="Arial" w:cs="Arial" w:eastAsia="Arial" w:hAnsi="Arial"/>
                <w:sz w:val="12"/>
                <w:szCs w:val="12"/>
                <w:b w:val="1"/>
                <w:bCs w:val="1"/>
                <w:color w:val="auto"/>
                <w:w w:val="91"/>
              </w:rPr>
              <w:t>(2)</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Asset Value</w:t>
            </w:r>
            <w:r>
              <w:rPr>
                <w:rFonts w:ascii="Arial" w:cs="Arial" w:eastAsia="Arial" w:hAnsi="Arial"/>
                <w:sz w:val="12"/>
                <w:szCs w:val="12"/>
                <w:b w:val="1"/>
                <w:bCs w:val="1"/>
                <w:color w:val="auto"/>
                <w:w w:val="91"/>
              </w:rPr>
              <w:t>(2)</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$18.54</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$16.34</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18.8%</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15.84</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$18.35</w:t>
            </w:r>
          </w:p>
        </w:tc>
        <w:tc>
          <w:tcPr>
            <w:tcW w:w="1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$17.00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15.62</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$18.00</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$16.22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15.2%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15.15</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$17.65</w:t>
            </w:r>
          </w:p>
        </w:tc>
        <w:tc>
          <w:tcPr>
            <w:tcW w:w="1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$15.97</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15.11</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$16.86</w:t>
            </w:r>
          </w:p>
        </w:tc>
        <w:tc>
          <w:tcPr>
            <w:tcW w:w="1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$15.15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15.55</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$16.74</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$15.97</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15.78</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$18.77</w:t>
            </w:r>
          </w:p>
        </w:tc>
        <w:tc>
          <w:tcPr>
            <w:tcW w:w="1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$16.61</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15.95</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$19.05</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$17.43</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16.04</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$20.39</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$18.27</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27.1%</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19, 2017)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$20.99</w:t>
            </w:r>
          </w:p>
        </w:tc>
        <w:tc>
          <w:tcPr>
            <w:tcW w:w="1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$20.31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131" w:lineRule="exact"/>
        <w:rPr>
          <w:sz w:val="20"/>
          <w:szCs w:val="20"/>
          <w:color w:val="auto"/>
        </w:rPr>
      </w:pPr>
    </w:p>
    <w:p>
      <w:pPr>
        <w:ind w:left="460" w:hanging="407"/>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On May 3, 2017, our Board declared a dividend of $0.39 per share for the quarter ending June 30, 2017 to stockholders of record as of June 15, 2017, payable on or about July 14, 2017, and a quarterly variable supplemental dividend of $0.04 per share, payable on or about June 30, 2017, to stockholders of record as of May 31, 2017. We anticipate that these dividends will be paid from income generated primarily by interest earned on our investment portfolio.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2017 and the years ended December 31, 2016 and 2015:</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Three Months Ended 31, 2017</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Record 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4"/>
          </w:tcPr>
          <w:p>
            <w:pPr>
              <w:jc w:val="center"/>
              <w:ind w:right="60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2"/>
                <w:szCs w:val="12"/>
                <w:color w:val="auto"/>
              </w:rPr>
            </w:pPr>
          </w:p>
        </w:tc>
        <w:tc>
          <w:tcPr>
            <w:tcW w:w="12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22,</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2017</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April 7, 2017</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April 28, 2017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8"/>
            <w:vMerge w:val="restart"/>
          </w:tcPr>
          <w:p>
            <w:pPr>
              <w:ind w:left="340"/>
              <w:spacing w:after="0"/>
              <w:rPr>
                <w:sz w:val="20"/>
                <w:szCs w:val="20"/>
                <w:color w:val="auto"/>
              </w:rPr>
            </w:pPr>
            <w:r>
              <w:rPr>
                <w:rFonts w:ascii="Arial" w:cs="Arial" w:eastAsia="Arial" w:hAnsi="Arial"/>
                <w:sz w:val="14"/>
                <w:szCs w:val="14"/>
                <w:b w:val="1"/>
                <w:bCs w:val="1"/>
                <w:color w:val="auto"/>
              </w:rPr>
              <w:t>Year Ended December 31, 2016</w:t>
            </w: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20" w:type="dxa"/>
            <w:vAlign w:val="bottom"/>
            <w:gridSpan w:val="3"/>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20" w:type="dxa"/>
            <w:vAlign w:val="bottom"/>
            <w:gridSpan w:val="3"/>
            <w:vMerge w:val="continue"/>
          </w:tcPr>
          <w:p>
            <w:pPr>
              <w:spacing w:after="0"/>
              <w:rPr>
                <w:sz w:val="12"/>
                <w:szCs w:val="12"/>
                <w:color w:val="auto"/>
              </w:rPr>
            </w:pPr>
          </w:p>
        </w:tc>
        <w:tc>
          <w:tcPr>
            <w:tcW w:w="1840" w:type="dxa"/>
            <w:vAlign w:val="bottom"/>
            <w:gridSpan w:val="4"/>
          </w:tcPr>
          <w:p>
            <w:pPr>
              <w:jc w:val="center"/>
              <w:ind w:right="268"/>
              <w:spacing w:after="0" w:line="142" w:lineRule="exact"/>
              <w:rPr>
                <w:sz w:val="20"/>
                <w:szCs w:val="20"/>
                <w:color w:val="auto"/>
              </w:rPr>
            </w:pPr>
            <w:r>
              <w:rPr>
                <w:rFonts w:ascii="Arial" w:cs="Arial" w:eastAsia="Arial" w:hAnsi="Arial"/>
                <w:sz w:val="14"/>
                <w:szCs w:val="14"/>
                <w:b w:val="1"/>
                <w:bCs w:val="1"/>
                <w:color w:val="auto"/>
                <w:w w:val="94"/>
              </w:rPr>
              <w:t>Record 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5"/>
          </w:tcPr>
          <w:p>
            <w:pPr>
              <w:jc w:val="center"/>
              <w:ind w:right="680"/>
              <w:spacing w:after="0" w:line="142" w:lineRule="exact"/>
              <w:rPr>
                <w:sz w:val="20"/>
                <w:szCs w:val="20"/>
                <w:color w:val="auto"/>
              </w:rPr>
            </w:pPr>
            <w:r>
              <w:rPr>
                <w:rFonts w:ascii="Arial" w:cs="Arial" w:eastAsia="Arial" w:hAnsi="Arial"/>
                <w:sz w:val="14"/>
                <w:szCs w:val="14"/>
                <w:b w:val="1"/>
                <w:bCs w:val="1"/>
                <w:color w:val="auto"/>
                <w:w w:val="94"/>
              </w:rPr>
              <w:t>Payment Date</w:t>
            </w:r>
          </w:p>
        </w:tc>
        <w:tc>
          <w:tcPr>
            <w:tcW w:w="10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April 29, 2016</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jc w:val="right"/>
              <w:ind w:right="37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May 4, 2016</w:t>
            </w:r>
          </w:p>
        </w:tc>
        <w:tc>
          <w:tcPr>
            <w:tcW w:w="1840" w:type="dxa"/>
            <w:vAlign w:val="bottom"/>
            <w:gridSpan w:val="4"/>
          </w:tcPr>
          <w:p>
            <w:pPr>
              <w:jc w:val="center"/>
              <w:ind w:right="288"/>
              <w:spacing w:after="0"/>
              <w:rPr>
                <w:sz w:val="20"/>
                <w:szCs w:val="20"/>
                <w:color w:val="auto"/>
              </w:rPr>
            </w:pPr>
            <w:r>
              <w:rPr>
                <w:rFonts w:ascii="Arial" w:cs="Arial" w:eastAsia="Arial" w:hAnsi="Arial"/>
                <w:sz w:val="18"/>
                <w:szCs w:val="18"/>
                <w:color w:val="auto"/>
                <w:w w:val="87"/>
              </w:rPr>
              <w:t>June 30, 2016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5"/>
          </w:tcPr>
          <w:p>
            <w:pPr>
              <w:jc w:val="center"/>
              <w:ind w:right="680"/>
              <w:spacing w:after="0"/>
              <w:rPr>
                <w:sz w:val="20"/>
                <w:szCs w:val="20"/>
                <w:color w:val="auto"/>
              </w:rPr>
            </w:pPr>
            <w:r>
              <w:rPr>
                <w:rFonts w:ascii="Arial" w:cs="Arial" w:eastAsia="Arial" w:hAnsi="Arial"/>
                <w:sz w:val="18"/>
                <w:szCs w:val="18"/>
                <w:color w:val="auto"/>
                <w:w w:val="89"/>
              </w:rPr>
              <w:t>July 29, 2016</w:t>
            </w:r>
          </w:p>
        </w:tc>
        <w:tc>
          <w:tcPr>
            <w:tcW w:w="6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3, 2016</w:t>
            </w:r>
          </w:p>
        </w:tc>
        <w:tc>
          <w:tcPr>
            <w:tcW w:w="1840" w:type="dxa"/>
            <w:vAlign w:val="bottom"/>
            <w:gridSpan w:val="4"/>
            <w:shd w:val="clear" w:color="auto" w:fill="CCEEFF"/>
          </w:tcPr>
          <w:p>
            <w:pPr>
              <w:jc w:val="center"/>
              <w:ind w:right="288"/>
              <w:spacing w:after="0"/>
              <w:rPr>
                <w:sz w:val="20"/>
                <w:szCs w:val="20"/>
                <w:color w:val="auto"/>
              </w:rPr>
            </w:pPr>
            <w:r>
              <w:rPr>
                <w:rFonts w:ascii="Arial" w:cs="Arial" w:eastAsia="Arial" w:hAnsi="Arial"/>
                <w:sz w:val="18"/>
                <w:szCs w:val="18"/>
                <w:color w:val="auto"/>
                <w:w w:val="88"/>
              </w:rPr>
              <w:t>September 30, 2016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60" w:type="dxa"/>
            <w:vAlign w:val="bottom"/>
            <w:gridSpan w:val="5"/>
            <w:shd w:val="clear" w:color="auto" w:fill="CCEEFF"/>
          </w:tcPr>
          <w:p>
            <w:pPr>
              <w:jc w:val="center"/>
              <w:ind w:right="680"/>
              <w:spacing w:after="0"/>
              <w:rPr>
                <w:sz w:val="20"/>
                <w:szCs w:val="20"/>
                <w:color w:val="auto"/>
              </w:rPr>
            </w:pPr>
            <w:r>
              <w:rPr>
                <w:rFonts w:ascii="Arial" w:cs="Arial" w:eastAsia="Arial" w:hAnsi="Arial"/>
                <w:sz w:val="18"/>
                <w:szCs w:val="18"/>
                <w:color w:val="auto"/>
                <w:w w:val="89"/>
              </w:rPr>
              <w:t>October 31, 2016</w:t>
            </w:r>
          </w:p>
        </w:tc>
        <w:tc>
          <w:tcPr>
            <w:tcW w:w="64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November 7, 2016</w:t>
            </w:r>
          </w:p>
        </w:tc>
        <w:tc>
          <w:tcPr>
            <w:tcW w:w="1840" w:type="dxa"/>
            <w:vAlign w:val="bottom"/>
            <w:gridSpan w:val="4"/>
          </w:tcPr>
          <w:p>
            <w:pPr>
              <w:jc w:val="center"/>
              <w:ind w:right="268"/>
              <w:spacing w:after="0"/>
              <w:rPr>
                <w:sz w:val="20"/>
                <w:szCs w:val="20"/>
                <w:color w:val="auto"/>
              </w:rPr>
            </w:pPr>
            <w:r>
              <w:rPr>
                <w:rFonts w:ascii="Arial" w:cs="Arial" w:eastAsia="Arial" w:hAnsi="Arial"/>
                <w:sz w:val="18"/>
                <w:szCs w:val="18"/>
                <w:color w:val="auto"/>
                <w:w w:val="89"/>
              </w:rPr>
              <w:t>December 31, 2016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5"/>
          </w:tcPr>
          <w:p>
            <w:pPr>
              <w:jc w:val="center"/>
              <w:ind w:right="680"/>
              <w:spacing w:after="0"/>
              <w:rPr>
                <w:sz w:val="20"/>
                <w:szCs w:val="20"/>
                <w:color w:val="auto"/>
              </w:rPr>
            </w:pPr>
            <w:r>
              <w:rPr>
                <w:rFonts w:ascii="Arial" w:cs="Arial" w:eastAsia="Arial" w:hAnsi="Arial"/>
                <w:sz w:val="18"/>
                <w:szCs w:val="18"/>
                <w:color w:val="auto"/>
                <w:w w:val="89"/>
              </w:rPr>
              <w:t>January 31, 2017</w:t>
            </w:r>
          </w:p>
        </w:tc>
        <w:tc>
          <w:tcPr>
            <w:tcW w:w="6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8"/>
            <w:vMerge w:val="restart"/>
          </w:tcPr>
          <w:p>
            <w:pPr>
              <w:ind w:left="340"/>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308"/>
              <w:spacing w:after="0" w:line="142" w:lineRule="exact"/>
              <w:rPr>
                <w:sz w:val="20"/>
                <w:szCs w:val="20"/>
                <w:color w:val="auto"/>
              </w:rPr>
            </w:pPr>
            <w:r>
              <w:rPr>
                <w:rFonts w:ascii="Arial" w:cs="Arial" w:eastAsia="Arial" w:hAnsi="Arial"/>
                <w:sz w:val="14"/>
                <w:szCs w:val="14"/>
                <w:b w:val="1"/>
                <w:bCs w:val="1"/>
                <w:color w:val="auto"/>
                <w:w w:val="94"/>
              </w:rPr>
              <w:t>Record 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5"/>
          </w:tcPr>
          <w:p>
            <w:pPr>
              <w:jc w:val="center"/>
              <w:ind w:right="640"/>
              <w:spacing w:after="0" w:line="142" w:lineRule="exact"/>
              <w:rPr>
                <w:sz w:val="20"/>
                <w:szCs w:val="20"/>
                <w:color w:val="auto"/>
              </w:rPr>
            </w:pPr>
            <w:r>
              <w:rPr>
                <w:rFonts w:ascii="Arial" w:cs="Arial" w:eastAsia="Arial" w:hAnsi="Arial"/>
                <w:sz w:val="14"/>
                <w:szCs w:val="14"/>
                <w:b w:val="1"/>
                <w:bCs w:val="1"/>
                <w:color w:val="auto"/>
                <w:w w:val="94"/>
              </w:rPr>
              <w:t>Payment Date</w:t>
            </w:r>
          </w:p>
        </w:tc>
        <w:tc>
          <w:tcPr>
            <w:tcW w:w="100" w:type="dxa"/>
            <w:vAlign w:val="bottom"/>
          </w:tcPr>
          <w:p>
            <w:pPr>
              <w:spacing w:after="0"/>
              <w:rPr>
                <w:sz w:val="12"/>
                <w:szCs w:val="12"/>
                <w:color w:val="auto"/>
              </w:rPr>
            </w:pPr>
          </w:p>
        </w:tc>
        <w:tc>
          <w:tcPr>
            <w:tcW w:w="12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2015</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April 30, 2015</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May 7, 2015</w:t>
            </w:r>
          </w:p>
        </w:tc>
        <w:tc>
          <w:tcPr>
            <w:tcW w:w="1840" w:type="dxa"/>
            <w:vAlign w:val="bottom"/>
            <w:gridSpan w:val="4"/>
          </w:tcPr>
          <w:p>
            <w:pPr>
              <w:jc w:val="center"/>
              <w:ind w:right="248"/>
              <w:spacing w:after="0"/>
              <w:rPr>
                <w:sz w:val="20"/>
                <w:szCs w:val="20"/>
                <w:color w:val="auto"/>
              </w:rPr>
            </w:pPr>
            <w:r>
              <w:rPr>
                <w:rFonts w:ascii="Arial" w:cs="Arial" w:eastAsia="Arial" w:hAnsi="Arial"/>
                <w:sz w:val="18"/>
                <w:szCs w:val="18"/>
                <w:color w:val="auto"/>
                <w:w w:val="87"/>
              </w:rPr>
              <w:t>June 30, 2015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8"/>
                <w:szCs w:val="18"/>
                <w:color w:val="auto"/>
                <w:w w:val="91"/>
              </w:rPr>
              <w:t>July 31, 2015</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40" w:type="dxa"/>
            <w:vAlign w:val="bottom"/>
            <w:gridSpan w:val="4"/>
            <w:shd w:val="clear" w:color="auto" w:fill="CCEEFF"/>
          </w:tcPr>
          <w:p>
            <w:pPr>
              <w:jc w:val="center"/>
              <w:ind w:right="248"/>
              <w:spacing w:after="0"/>
              <w:rPr>
                <w:sz w:val="20"/>
                <w:szCs w:val="20"/>
                <w:color w:val="auto"/>
              </w:rPr>
            </w:pPr>
            <w:r>
              <w:rPr>
                <w:rFonts w:ascii="Arial" w:cs="Arial" w:eastAsia="Arial" w:hAnsi="Arial"/>
                <w:sz w:val="18"/>
                <w:szCs w:val="18"/>
                <w:color w:val="auto"/>
                <w:w w:val="88"/>
              </w:rPr>
              <w:t>September 30, 2015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60" w:type="dxa"/>
            <w:vAlign w:val="bottom"/>
            <w:gridSpan w:val="5"/>
            <w:shd w:val="clear" w:color="auto" w:fill="CCEEFF"/>
          </w:tcPr>
          <w:p>
            <w:pPr>
              <w:jc w:val="center"/>
              <w:ind w:right="580"/>
              <w:spacing w:after="0"/>
              <w:rPr>
                <w:sz w:val="20"/>
                <w:szCs w:val="20"/>
                <w:color w:val="auto"/>
              </w:rPr>
            </w:pPr>
            <w:r>
              <w:rPr>
                <w:rFonts w:ascii="Arial" w:cs="Arial" w:eastAsia="Arial" w:hAnsi="Arial"/>
                <w:sz w:val="18"/>
                <w:szCs w:val="18"/>
                <w:color w:val="auto"/>
                <w:w w:val="90"/>
              </w:rPr>
              <w:t>October 30, 2015</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November 3, 2015</w:t>
            </w:r>
          </w:p>
        </w:tc>
        <w:tc>
          <w:tcPr>
            <w:tcW w:w="1840" w:type="dxa"/>
            <w:vAlign w:val="bottom"/>
            <w:gridSpan w:val="4"/>
          </w:tcPr>
          <w:p>
            <w:pPr>
              <w:jc w:val="center"/>
              <w:ind w:right="268"/>
              <w:spacing w:after="0"/>
              <w:rPr>
                <w:sz w:val="20"/>
                <w:szCs w:val="20"/>
                <w:color w:val="auto"/>
              </w:rPr>
            </w:pPr>
            <w:r>
              <w:rPr>
                <w:rFonts w:ascii="Arial" w:cs="Arial" w:eastAsia="Arial" w:hAnsi="Arial"/>
                <w:sz w:val="18"/>
                <w:szCs w:val="18"/>
                <w:color w:val="auto"/>
                <w:w w:val="89"/>
              </w:rPr>
              <w:t>December 31, 2015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gridSpan w:val="5"/>
          </w:tcPr>
          <w:p>
            <w:pPr>
              <w:jc w:val="center"/>
              <w:ind w:right="600"/>
              <w:spacing w:after="0"/>
              <w:rPr>
                <w:sz w:val="20"/>
                <w:szCs w:val="20"/>
                <w:color w:val="auto"/>
              </w:rPr>
            </w:pPr>
            <w:r>
              <w:rPr>
                <w:rFonts w:ascii="Arial" w:cs="Arial" w:eastAsia="Arial" w:hAnsi="Arial"/>
                <w:sz w:val="18"/>
                <w:szCs w:val="18"/>
                <w:color w:val="auto"/>
                <w:w w:val="89"/>
              </w:rPr>
              <w:t>January 29, 2016</w:t>
            </w: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2017 were derived from net investment income, determined on a tax basis. The dividends declared during the years ended December 31, 2016 and 2015 were derived from net investment income and net realized capital gains, determined on a tax basis.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calendar year, we may choose to carry forward taxable income for distribution in the following calendar year, and pay any applicable U.S. federal excise tax. We elected to retain a portion of income and capital gains for the three months ended March 31, 2017 and the calendar years ended December 31, 2016 and 2015 for purposes of additional liquidity and we recorded a net expense of $0.8 million, $2.2 million and $1.5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6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in this prospectus for a discussion of the uncertainties, risks and assumptions associated with these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 an initial six-month period, in accordance with the guidelines specified in Rule 10b-18 and Rule 10b5-1 of the Exchange Act, and has continued to authorize extensions of the plan termination date prior to its expiration since that time.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2017, we have originated more than $5.4 billion aggregate principal amount of investments and retained approximately $3.6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2017, our core portfolio companies, which excludes certain investments that fall outside of our typical borrower profile and represent 84.9% of our total investments based on fair value, had weighted average annual revenue of $141.0 million and weighted average annual EBITDA of $30.7 million.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2017, the average investment size in each of our portfolio companies was approximately $32.9 million based on fair value.</w:t>
      </w:r>
    </w:p>
    <w:p>
      <w:pPr>
        <w:spacing w:after="0" w:line="23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2017, the largest single investment based on fair value represented 4.8% of our total investment portfolio.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no industry represented more than 22.5% of our total investment portfolio based on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2017,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98.7% of our portfolio was invested in secured debt, including 98.5% in first-lien debt investments. We carefully perform diligence and structure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include strong investor covenants. As a result, we structure investments with a view to creating opportunities for early intervention in the event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non-performance or stress. In addition, we seek to retain effective voting control in investments over the loans or particular class of securities in which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 through maintaining affirmative voting positions or negotiating consent rights that allow us to retain a blocking position. We also aim for our loans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mature on a medium term, between two to six years after origination. For the three months ended March 31, 2017, the weighted average term on new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 commitments in new portfolio companies was 5.6 years.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income. As of March 31, 2017, we had call protection on 83.0% of our debt investments based on fair value, with weighted average call prices of 106.7% for the first year, 103.6% for the second year and 101.6% for the third year, in each case from the date of the initial investment. As of March 31, 2017, 100.0% of our debt investments based on fair value bore interest at floating rates (when including investment specific hedges), with 92.7%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TSSP, with over $19 billion of assets under management as of March 31,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March 31, 2017, twenty nine (29) of these personnel are dedicated to our business, including twenty one (21) investment professionals.</w:t>
      </w:r>
    </w:p>
    <w:p>
      <w:pPr>
        <w:spacing w:after="0" w:line="18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two to six years, and, as of March 31, 2017, 100.0% of these investments based on fair value bore interest at a floating rate (when including investment specific hedges), with 92.7% of these subject to interest rate floors. Interest on debt investments is generally payable quarterly or semiannually. Some of our investments provide for deferred interest payments or PIK interest. For the three months ended March 31, 2017, 3.3% of our total investment income was comprised of PIK interest.</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jc w:val="center"/>
        <w:ind w:left="5620" w:right="1320" w:hanging="5045"/>
        <w:spacing w:after="0" w:line="449"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 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As of March 31, 2017, our portfolio based on fair value consisted of 98.5% first-lien debt investments, 0.2% second-lien debt investments, and 1.3%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As of March 31, 2017 and December 31, 2016, our weighted average total yield of debt and income-producing securities at fair value (which includes interest income and amortization of fees and discounts) was 10.3% and 10.4%, respectively, and our weighted average total yield of debt and income-producing securities at amortized cost (which includes interest income and amortization of fees and discounts) was 10.4% and 10.4%, respectively.</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2017 and December 31, 2016, we had investments in 48 and 52 portfolio companies, respectively, with an aggregate fair value of $1,580.3 million and $1,657.4 million,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March 31, 2017, we made new investment commitments of $149.2 million in five new portfolio companies. For this period, we had $213.5 million aggregate principal amount in exits and repayments.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For the three months ended March 31, 2016, we made new investment commitments of $129.6 million, including $78.5 million in four new portfolio companies and $51.1 million in four existing portfolio companies. For this period, we had $45.8 million aggregate principal amount in exits and repayments.</w:t>
      </w:r>
    </w:p>
    <w:p>
      <w:pPr>
        <w:spacing w:after="0" w:line="124"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the year ended December 31, 2016, we made new investment commitments of $562.7 million, including $492.7 million in 14 new portfolio companies and $70.0 million in 9 existing portfolio companies. For this period, we had $416.5 million aggregate principal amount in exits and repayments.</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companies and $87.1 million in 14 existing portfolio companies. For this period, we had $385.2 million aggregate principal amount in exits and repayments.</w:t>
      </w:r>
    </w:p>
    <w:p>
      <w:pPr>
        <w:spacing w:after="0" w:line="234"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2017 and 2016 and for the years ended December 31, 2016, 2015 and 2014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Gross originations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285.9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761.5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964.2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1,120.1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Syndications/sell downs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198.8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new investment commitments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562.7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718.7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First-lien</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518.0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581.3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520.1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664.0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First-lien</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316.2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416.5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385.2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Number of new investment commitments in new portfolio companies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546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 portfolio</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 in new</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w w:val="93"/>
              </w:rPr>
              <w:t>Percentage of new debt investment commitments at floating rates</w:t>
            </w:r>
            <w:r>
              <w:rPr>
                <w:rFonts w:ascii="Arial" w:cs="Arial" w:eastAsia="Arial" w:hAnsi="Arial"/>
                <w:sz w:val="15"/>
                <w:szCs w:val="15"/>
                <w:color w:val="auto"/>
                <w:w w:val="93"/>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w w:val="99"/>
              </w:rPr>
              <w:t>Weighted average interest rate of new investment commitments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46"/>
        </w:trPr>
        <w:tc>
          <w:tcPr>
            <w:tcW w:w="5460" w:type="dxa"/>
            <w:vAlign w:val="bottom"/>
          </w:tcPr>
          <w:p>
            <w:pPr>
              <w:spacing w:after="0"/>
              <w:rPr>
                <w:sz w:val="24"/>
                <w:szCs w:val="24"/>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4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600" w:type="dxa"/>
            <w:vAlign w:val="bottom"/>
          </w:tcPr>
          <w:p>
            <w:pPr>
              <w:spacing w:after="0"/>
              <w:rPr>
                <w:sz w:val="10"/>
                <w:szCs w:val="10"/>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20"/>
                <w:szCs w:val="20"/>
                <w:color w:val="auto"/>
              </w:rPr>
            </w:pPr>
            <w:r>
              <w:rPr>
                <w:rFonts w:ascii="Arial" w:cs="Arial" w:eastAsia="Arial" w:hAnsi="Arial"/>
                <w:sz w:val="14"/>
                <w:szCs w:val="14"/>
                <w:color w:val="auto"/>
              </w:rPr>
              <w:t>($ in millions)</w:t>
            </w: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6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r>
              <w:rPr>
                <w:rFonts w:ascii="Arial" w:cs="Arial" w:eastAsia="Arial" w:hAnsi="Arial"/>
                <w:sz w:val="15"/>
                <w:szCs w:val="15"/>
                <w:color w:val="auto"/>
              </w:rPr>
              <w:t>(1)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3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ended March 31, 2017 and the year ended December 31, 2015 for which we entered into an interest rate swap agreement to swap to a floating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December 31, 2016 and December 31, 2015,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4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March 31, 2017</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2016</w:t>
            </w:r>
          </w:p>
        </w:tc>
        <w:tc>
          <w:tcPr>
            <w:tcW w:w="21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Fair Value</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48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4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2"/>
              </w:rPr>
              <w:t>Fair Value</w:t>
            </w: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$1,556.7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1,553.5</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$1,599.6</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24.0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30.2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40.2</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1,580.3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1,587.1</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1,657.4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1,667.7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March 31, 2017, December 31, 2016 and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8"/>
              </w:rPr>
              <w:t>March 31, 2017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ind w:left="3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Percentage</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$1,549.7</w:t>
            </w:r>
          </w:p>
        </w:tc>
        <w:tc>
          <w:tcPr>
            <w:tcW w:w="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$1,657.4</w:t>
            </w:r>
          </w:p>
        </w:tc>
        <w:tc>
          <w:tcPr>
            <w:tcW w:w="4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$1,485.7</w:t>
            </w:r>
          </w:p>
        </w:tc>
        <w:tc>
          <w:tcPr>
            <w:tcW w:w="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1,580.3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1,657.4</w:t>
            </w:r>
          </w:p>
        </w:tc>
        <w:tc>
          <w:tcPr>
            <w:tcW w:w="17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1,485.7</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7"/>
          </w:tcPr>
          <w:p>
            <w:pPr>
              <w:ind w:left="1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00" w:type="dxa"/>
            <w:vAlign w:val="bottom"/>
            <w:tcBorders>
              <w:top w:val="single" w:sz="8" w:color="auto"/>
            </w:tcBorders>
            <w:gridSpan w:val="2"/>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40" w:type="dxa"/>
            <w:vAlign w:val="bottom"/>
            <w:gridSpan w:val="2"/>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640" w:type="dxa"/>
            <w:vAlign w:val="bottom"/>
            <w:gridSpan w:val="2"/>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3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1,529.7</w:t>
            </w:r>
          </w:p>
        </w:tc>
        <w:tc>
          <w:tcPr>
            <w:tcW w:w="5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1,667.7</w:t>
            </w:r>
          </w:p>
        </w:tc>
        <w:tc>
          <w:tcPr>
            <w:tcW w:w="176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1,529.7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Policies—Interest and Dividend Income Recognition.”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March 31, 2017, December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were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4"/>
              </w:rPr>
              <w:t>March 31, 2017</w:t>
            </w:r>
          </w:p>
        </w:tc>
        <w:tc>
          <w:tcPr>
            <w:tcW w:w="23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0"/>
              </w:rPr>
              <w:t>December 31, 2016</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2015</w:t>
            </w: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w:t>
            </w:r>
          </w:p>
        </w:tc>
        <w:tc>
          <w:tcPr>
            <w:tcW w:w="9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income-producing securities</w:t>
            </w:r>
          </w:p>
        </w:tc>
        <w:tc>
          <w:tcPr>
            <w:tcW w:w="21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10.3%</w:t>
            </w:r>
          </w:p>
        </w:tc>
        <w:tc>
          <w:tcPr>
            <w:tcW w:w="23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income-producing securities</w:t>
            </w:r>
          </w:p>
        </w:tc>
        <w:tc>
          <w:tcPr>
            <w:tcW w:w="2100" w:type="dxa"/>
            <w:vAlign w:val="bottom"/>
            <w:gridSpan w:val="2"/>
          </w:tcPr>
          <w:p>
            <w:pPr>
              <w:jc w:val="right"/>
              <w:ind w:right="1000"/>
              <w:spacing w:after="0"/>
              <w:rPr>
                <w:sz w:val="20"/>
                <w:szCs w:val="20"/>
                <w:color w:val="auto"/>
              </w:rPr>
            </w:pPr>
            <w:r>
              <w:rPr>
                <w:rFonts w:ascii="Arial" w:cs="Arial" w:eastAsia="Arial" w:hAnsi="Arial"/>
                <w:sz w:val="18"/>
                <w:szCs w:val="18"/>
                <w:color w:val="auto"/>
              </w:rPr>
              <w:t>9.7%</w:t>
            </w:r>
          </w:p>
        </w:tc>
        <w:tc>
          <w:tcPr>
            <w:tcW w:w="2320" w:type="dxa"/>
            <w:vAlign w:val="bottom"/>
            <w:gridSpan w:val="2"/>
          </w:tcPr>
          <w:p>
            <w:pPr>
              <w:jc w:val="right"/>
              <w:ind w:right="100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investments</w:t>
            </w:r>
            <w:r>
              <w:rPr>
                <w:rFonts w:ascii="Arial" w:cs="Arial" w:eastAsia="Arial" w:hAnsi="Arial"/>
                <w:sz w:val="15"/>
                <w:szCs w:val="15"/>
                <w:color w:val="auto"/>
              </w:rPr>
              <w:t>(1)</w:t>
            </w:r>
          </w:p>
        </w:tc>
        <w:tc>
          <w:tcPr>
            <w:tcW w:w="21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w:t>
            </w:r>
          </w:p>
        </w:tc>
        <w:tc>
          <w:tcPr>
            <w:tcW w:w="23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jc w:val="both"/>
        <w:ind w:left="900" w:right="30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0" w:lineRule="exact"/>
        <w:rPr>
          <w:rFonts w:ascii="Arial" w:cs="Arial" w:eastAsia="Arial" w:hAnsi="Arial"/>
          <w:sz w:val="17"/>
          <w:szCs w:val="17"/>
          <w:color w:val="auto"/>
        </w:rPr>
      </w:pPr>
    </w:p>
    <w:p>
      <w:pPr>
        <w:jc w:val="both"/>
        <w:ind w:left="900" w:right="3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6"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often will take immediate action to protect its position. These remedies may include negotiating for additional collateral, modifying investment terms or structure, or payment of amendment and waiver fees.</w:t>
      </w:r>
    </w:p>
    <w:p>
      <w:pPr>
        <w:spacing w:after="0" w:line="76" w:lineRule="exact"/>
        <w:rPr>
          <w:sz w:val="20"/>
          <w:szCs w:val="20"/>
          <w:color w:val="auto"/>
        </w:rPr>
      </w:pPr>
    </w:p>
    <w:p>
      <w:pPr>
        <w:ind w:left="900" w:right="80" w:hanging="325"/>
        <w:spacing w:after="0" w:line="27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March 31, 2017, December 31, 2016 and December 31, 2015. Investment performance ratings are accurate only as of those dates and may change due to subsequent developments relating to a portfolio company’s business or financial condition, market conditions or developments, and other factors.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March 31, 2017</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December 31, 2016</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at</w:t>
            </w:r>
          </w:p>
        </w:tc>
        <w:tc>
          <w:tcPr>
            <w:tcW w:w="11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7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92"/>
              </w:rPr>
              <w:t>Percentage of</w:t>
            </w:r>
          </w:p>
        </w:tc>
        <w:tc>
          <w:tcPr>
            <w:tcW w:w="1460" w:type="dxa"/>
            <w:vAlign w:val="bottom"/>
            <w:gridSpan w:val="3"/>
          </w:tcPr>
          <w:p>
            <w:pPr>
              <w:jc w:val="center"/>
              <w:ind w:right="700"/>
              <w:spacing w:after="0" w:line="145" w:lineRule="exact"/>
              <w:rPr>
                <w:sz w:val="20"/>
                <w:szCs w:val="20"/>
                <w:color w:val="auto"/>
              </w:rPr>
            </w:pPr>
            <w:r>
              <w:rPr>
                <w:rFonts w:ascii="Arial" w:cs="Arial" w:eastAsia="Arial" w:hAnsi="Arial"/>
                <w:sz w:val="14"/>
                <w:szCs w:val="14"/>
                <w:b w:val="1"/>
                <w:bCs w:val="1"/>
                <w:color w:val="auto"/>
                <w:w w:val="95"/>
              </w:rPr>
              <w:t>Fair Value</w:t>
            </w:r>
          </w:p>
        </w:tc>
        <w:tc>
          <w:tcPr>
            <w:tcW w:w="118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of</w:t>
            </w:r>
          </w:p>
        </w:tc>
        <w:tc>
          <w:tcPr>
            <w:tcW w:w="360" w:type="dxa"/>
            <w:vAlign w:val="bottom"/>
          </w:tcPr>
          <w:p>
            <w:pPr>
              <w:spacing w:after="0"/>
              <w:rPr>
                <w:sz w:val="12"/>
                <w:szCs w:val="12"/>
                <w:color w:val="auto"/>
              </w:rPr>
            </w:pPr>
          </w:p>
        </w:tc>
        <w:tc>
          <w:tcPr>
            <w:tcW w:w="14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w:t>
            </w:r>
          </w:p>
        </w:tc>
        <w:tc>
          <w:tcPr>
            <w:tcW w:w="70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Rating</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680" w:type="dxa"/>
            <w:vAlign w:val="bottom"/>
          </w:tcPr>
          <w:p>
            <w:pPr>
              <w:spacing w:after="0"/>
              <w:rPr>
                <w:sz w:val="15"/>
                <w:szCs w:val="15"/>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Total Portfolio</w:t>
            </w: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in millions)</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6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68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1,099.1</w:t>
            </w:r>
          </w:p>
        </w:tc>
        <w:tc>
          <w:tcPr>
            <w:tcW w:w="70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w:t>
            </w:r>
          </w:p>
        </w:tc>
        <w:tc>
          <w:tcPr>
            <w:tcW w:w="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1,078.3</w:t>
            </w:r>
          </w:p>
        </w:tc>
        <w:tc>
          <w:tcPr>
            <w:tcW w:w="7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79"/>
              </w:rPr>
              <w:t>2</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200.2</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382.0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266.1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79"/>
              </w:rPr>
              <w:t>3</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31.5</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176.3</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left="570"/>
              <w:spacing w:after="0"/>
              <w:rPr>
                <w:sz w:val="20"/>
                <w:szCs w:val="20"/>
                <w:color w:val="auto"/>
              </w:rPr>
            </w:pPr>
            <w:r>
              <w:rPr>
                <w:rFonts w:ascii="Arial" w:cs="Arial" w:eastAsia="Arial" w:hAnsi="Arial"/>
                <w:sz w:val="18"/>
                <w:szCs w:val="18"/>
                <w:color w:val="auto"/>
                <w:w w:val="79"/>
              </w:rPr>
              <w:t>4</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55.3</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26.8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79"/>
              </w:rPr>
              <w:t>5</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1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1,580.3</w:t>
            </w:r>
          </w:p>
        </w:tc>
        <w:tc>
          <w:tcPr>
            <w:tcW w:w="680" w:type="dxa"/>
            <w:vAlign w:val="bottom"/>
          </w:tcPr>
          <w:p>
            <w:pPr>
              <w:spacing w:after="0"/>
              <w:rPr>
                <w:sz w:val="19"/>
                <w:szCs w:val="19"/>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1,657.4</w:t>
            </w:r>
          </w:p>
        </w:tc>
        <w:tc>
          <w:tcPr>
            <w:tcW w:w="70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3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1,485.7</w:t>
            </w:r>
          </w:p>
        </w:tc>
        <w:tc>
          <w:tcPr>
            <w:tcW w:w="7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months ended March 31, 2017 and 2016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Less: Net expenses</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change in unrealized losses </w:t>
            </w:r>
            <w:r>
              <w:rPr>
                <w:rFonts w:ascii="Arial" w:cs="Arial" w:eastAsia="Arial" w:hAnsi="Arial"/>
                <w:sz w:val="15"/>
                <w:szCs w:val="15"/>
                <w:color w:val="auto"/>
              </w:rPr>
              <w:t>(1)</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$ 48.8</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Dividend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$ 50.9</w:t>
            </w:r>
          </w:p>
        </w:tc>
        <w:tc>
          <w:tcPr>
            <w:tcW w:w="5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$41.5 million for the three months ended March 31, 2016 to $48.8 million for the three months ended March 31, 2017. The average size of our investment portfolio increased from $1.5 billion during the three months ended March 31, 2016 to $1.6 billion during the three months ended March 31, 2017. In addition, accelerated amortization of upfront fees primarily from unscheduled paydowns increased from $0.7 million for the three months ended March 31, 2016 to $7.0 million for the three months ended March 31, 2017. Prepayment fees decreased from $1.6 million for the three months ended March 31, 2016 to $1.1 million for the three months ended March 31, 2017. The accelerated amortization and prepayment fees primarily resulted from a full paydown on one portfolio investment and earning a prepayment fee on one existing portfolio investment during the three months ended March 31, 2016 and full paydowns on four portfolio investments, partial paydowns on five portfolio investments and earning prepayment fees on three portfolio investments during the three months ended March 31, 2017. The increase in paydowns during the three months ended March 31, 2017 compared to the three months ended March 31, 2016 was primarily the result of tightening of credit spreads during 2017. Dividend income decreased from $0.5 million for the three months ended March 31, 2016 to less than $0.1 million for the three months ended March 31, 2017 following the partial sale of our holdings in TICC. Other income increased from $0.7 million for the three months ended March 31, 2016 to $2.1 million for the three months ended March 31, 2017, primarily due to higher syndication and amendment fees earned during the first quarter of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2017 and 2016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 investment income (net of waivers)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21.7</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$5.3 million for three months ended March 31, 2016 to $6.9 million for three months ended March 31, 2017. This increase was primarily due to an increase in the average interest rate on our debt outstanding from 2.6% for the three months ended March 31, 2016 to 3.2% for the three months ended March 31, 2017 following issuance of the 2022 Convertible Senior Notes and an increase in LIBOR.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Management Fees (net of waivers) increased from $5.7 million for the three months ended March 31, 2016 to $6.1 million for the three months ended March 31, 2017 due to the increase in total assets, which increased from an average of $1.5 billion for the three months ended March 31, 2016 to an average of $1.6 billion for the three months ended March 31, 2017. Management Fees waived were $14.6 for the three months ended March 31, 2016, consisting solely of Management Fees attributable to our ownership of shares of common stock in TICC Capital Corp., or the TICC Shares. The Adviser did not waive any Management Fees for the three months ended March 31, 2017.</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$4.8 million for three months ended March 31, 2016 to $6.0 million for the three months ended March 31, 2017. This increase resulted from the increase in prepayment fees and accelerated amortization of upfront fees primarily from unscheduled paydowns. For the three months ended March 31, 2016, Incentive Fees related to pre-Incentive Fee net investment income of $0.1 million were waived, consisting solely of Incentive Fees attributable to our ownership of the TICC Shares. The Adviser did not waive any Incentive Fees related to pre-Incentive Fee net investment income for the three months ended March 31, 2017. There were no Incentive Fees related to capital gains and losses for each of the three months ended March 31, 2017 and 2016.</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the periods ended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decreased from $1.9 million for the three months ended March 31, 2016 to $1.3 million for the three months ended March 31, 2017 primarily due to a decrease in costs associated with our investment in TICC. Other general and administrative fees were $1.3 million for each of the three months ended March 31,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2017 and 2016, we recorded a net expense of $0.8 million and $0.4 million, respectively, for U.S. federal excise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2017 and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(13.7)</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foreign currency borrowings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Unrealized appreciation on foreign currency cash and forward contracts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interest rate swaps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Net Change in Unrealized Gains (Losses) on Foreign Currency Transactions and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Losses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three months ended March 31, 2017 we had net realized gains on investments of $1.3 million. We did not have realized gains or losses on investments on investments for the three months ended March 31, 2016. For the three months ended March 31, 2017 and 2016, we had net realized gains of $0.2 million and net realized losses of $0.1 million, respectively, on foreign currency transactions, primarily as a result of translating foreign currency related to our non-USD denominated investments. For the three months ended March 31, 2017 and 2016, we had net realized losses of $4.8 million and less than $0.1 million, respectively, on foreign currency investments. For the three months ended March 31, 2017 and 2016, we had net realized gains of $5.2 million and $0.3 million, respectively, on foreign currency borrowings. The net realized gains on foreign currency borrowings for the three months ended March 31, 2017 and 2016 were a result of exiting two investments and a partial realization on one investment, respectively.</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2017 we had $22.9 million in unrealized appreciation on 38 portfolio company investments, which was offset by $19.4 million in unrealized depreciation on 19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March 31, 2016 we had $9.5 million in unrealized appreciation on 30 portfolio company investments, which was offset by $13.7 million in unrealized depreciation on 18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three months ended March 31, 2017 and 2016, we had unrealized depreciation on foreign currency borrowings of $5.8 million and $2.7 million, respectively, as a result of fluctuations in the GBP and EUR exchange rates for the three months ended March 31, 2017 and the GBP, SEK and EUR exchange rates for the three months ended March 31, 2016. For the three months ended March 31, 2017 and 2016, we had unrealized appreciation on foreign currency cash and forward contracts of less than $0.1 million and $0.1 million, respectively. For the three months ended March 31, 2017 and 2016, we had unrealized appreciation on interest rate swaps of $0.2 million and $1.2 million, respectively, on interest rate swaps due to fluctuations in interest rates.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2016, 2015 and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2016, 2015 and 2014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80" w:type="dxa"/>
            <w:vAlign w:val="bottom"/>
            <w:gridSpan w:val="3"/>
          </w:tcPr>
          <w:p>
            <w:pPr>
              <w:jc w:val="center"/>
              <w:ind w:left="279"/>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$192.4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$173.4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$163.3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Net expenses</w:t>
            </w:r>
          </w:p>
        </w:tc>
        <w:tc>
          <w:tcPr>
            <w:tcW w:w="88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88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realized losses</w:t>
            </w:r>
            <w:r>
              <w:rPr>
                <w:rFonts w:ascii="Arial" w:cs="Arial" w:eastAsia="Arial" w:hAnsi="Arial"/>
                <w:sz w:val="15"/>
                <w:szCs w:val="15"/>
                <w:color w:val="auto"/>
              </w:rPr>
              <w:t>(1)</w:t>
            </w:r>
          </w:p>
        </w:tc>
        <w:tc>
          <w:tcPr>
            <w:tcW w:w="1520" w:type="dxa"/>
            <w:vAlign w:val="bottom"/>
            <w:gridSpan w:val="5"/>
          </w:tcPr>
          <w:p>
            <w:pPr>
              <w:jc w:val="right"/>
              <w:ind w:right="100"/>
              <w:spacing w:after="0"/>
              <w:rPr>
                <w:sz w:val="20"/>
                <w:szCs w:val="20"/>
                <w:color w:val="auto"/>
              </w:rPr>
            </w:pPr>
            <w:r>
              <w:rPr>
                <w:rFonts w:ascii="Arial" w:cs="Arial" w:eastAsia="Arial" w:hAnsi="Arial"/>
                <w:sz w:val="18"/>
                <w:szCs w:val="18"/>
                <w:color w:val="auto"/>
              </w:rPr>
              <w:t>(0.1)</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r>
              <w:rPr>
                <w:rFonts w:ascii="Arial" w:cs="Arial" w:eastAsia="Arial" w:hAnsi="Arial"/>
                <w:sz w:val="15"/>
                <w:szCs w:val="15"/>
                <w:color w:val="auto"/>
              </w:rPr>
              <w:t>(1)</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8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$ 85.0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(1)   Includes foreign exchange hedging activity.</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center"/>
              <w:ind w:left="99"/>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020" w:type="dxa"/>
            <w:vAlign w:val="bottom"/>
            <w:gridSpan w:val="3"/>
          </w:tcPr>
          <w:p>
            <w:pPr>
              <w:spacing w:after="0"/>
              <w:rPr>
                <w:sz w:val="12"/>
                <w:szCs w:val="12"/>
                <w:color w:val="auto"/>
              </w:rPr>
            </w:pPr>
          </w:p>
        </w:tc>
        <w:tc>
          <w:tcPr>
            <w:tcW w:w="5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gridSpan w:val="3"/>
          </w:tcPr>
          <w:p>
            <w:pPr>
              <w:jc w:val="center"/>
              <w:ind w:left="479"/>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020" w:type="dxa"/>
            <w:vAlign w:val="bottom"/>
            <w:tcBorders>
              <w:top w:val="single" w:sz="8" w:color="CCEEFF"/>
            </w:tcBorders>
            <w:gridSpan w:val="3"/>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$177.8</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$164.6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Dividend income</w:t>
            </w:r>
          </w:p>
        </w:tc>
        <w:tc>
          <w:tcPr>
            <w:tcW w:w="152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0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192.4</w:t>
            </w:r>
          </w:p>
        </w:tc>
        <w:tc>
          <w:tcPr>
            <w:tcW w:w="48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173.4</w:t>
            </w: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from investments, which includes amortization of upfront fees and prepayment fees, increased from $164.6 million for the year ended December 31, 2015 to $177.8 million for the year ended December 31, 2016, primarily due to the increase in the size of our investment portfolio. The average size of our investment portfolio increased from $1.4 billion during the year ended December 31, 2015 to $1.6 billion during the year ended December 31, 2016. Accelerated amortization of upfront fees primarily from unscheduled paydowns decreased from $6.9 million for the year ended December 31, 2015 to $5.4 million for the year ended December 31,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prepayment fees decreased from $15.4 million for the year ended December 31, 2015 to $2.6 million for the year ended December 31, 2016. The accelerated amortization and prepayment fees primarily resulted from a partial paydown on one portfolio investment and full paydowns on eleven portfolio investments during the year ended December 31, 2015 and a partial paydown on one portfolio investment and full paydowns on seven portfolio investments during the year ended December 31, 2016. Dividend income increased from $0.9 million for the year ended December 31, 2015 to $1.7 million for the year ended December 31, 2016 due to owning our dividend yielding investments for a full calendar year. Other income increased from $7.9 million for the year ended December 31, 2015 to $12.9 million for the year ended December 31, 2016, primarily due to higher syndication, amendment and agency fees earned during 2016.</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$154.0 million for the year ended December 31, 2014 to $164.6 million for the year ended December 31, 2015, primarily due to the increase in the size of our investment portfolio. The average size of our investment portfolio increased from $1.2 billion during the year ended December 31, 2014 to $1.4 billion during the year ended December 31, 2015. Accelerated amortization of upfront fees primarily from unscheduled paydowns decreased from $12.5 million for the year ended December 31, 2014 to $6.9 million for the year ended December 31, 2015, and prepayment fees decreased from $21.0 million for the year ended December 31, 2014 to</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 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2016,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$23.1</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 pre-incentive fee net investment income (net of</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2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Directors fees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82.9</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76.6</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Interest expense, including other debt financing expenses, increased from $22.0 million for the year ended December 31, 2015 to $23.1 million for the year ended December 31, 2016. This increase was primarily due to an increase in the weighted average debt outstanding from $540.8 million for the year ended December 31, 2015 to $725.9 million for the year ended December 31, 2016, as well an increase in the average 1-month LIBOR rate for the year ended December 31, 2015 from 0.20% to 0.50% for the year ended December 31, 2016. The average interest rate on our debt outstanding increased from 2.6% for the year ended December 31, 2015 to 2.7% for the year ended December 31, 2016 due to the increase in LIBOR.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$21.2 million for the year ended December 31, 2015 to $24.1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Management Fees increased from $21.3 million for the year ended December 31, 2015 to $24.3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due to the increase in total assets, which increased from an average of $1.4 billion for the year ended December 31, 2015 to an average of $1.6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Management Fees waived for both the year ended December 31, 2015 and the year ended December 31, 2016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Management Fees waived during the year ended December 31, 2015 and the year ended December 31, 2016 were solely attributable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ownership of TICC Shares.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$15.8 million for the year ended December 31, 2014 to $21.2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Management Fees increased from $18.3 million for the year ended December 31, 2014 to $21.3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due to the increase in total assets, which increased from an average of $1.2 billion for the year ended December 31, 2014 to an average of $1.4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2015. Management Fees waived decreased from $2.5 million for the year ended December 31, 2014 to $0.1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2015. There were no Management Fees waived during the period April 1, 2014 through December 31, 2014, following our IPO.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waived during the year ended December 31, 2015 were solely attributable to our ownership of TICC Shares.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pay the full amount of the Management Fee, including with respect to the TICC Shares, in future periods.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$20.0 million for the year ended December 31, 2015 and $22.4 million for the year ended December 31, 2016. This increase resulted from the increase in the size of the portfolio and related increase in net investment income. Incentive Fees waived related to pre-Incentive Fee net investment income increased from $0.2 million for the year ended December 31, 2015 to $0.3 million for the year ended December 31, 2016, consisting solely of Incentive Fees attributable to our ownership of the TICC Shares. There were no Incentive Fees related to capital gains and losses for the year ended December 31, 2015 and the year ended December 31, 2016 due to unrealized losses on our investments and realized losses on our investments.</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Incentive Fees (net of waivers) related to pre-Incentive Fee net investment income remained relatively flat at $20.8 million for the year ended December 31, 2014 and $20.0 million for the year ended December 31, 2015. 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will be applied towards our cumulative realized capital gains on which the Incentive Fee related to capital gains and losses is calculated.</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pay the full amount of the Incentive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Professional fees increased from $8.2 million for the year ended December 31, 2015 to $8.5 million for the year ended December 31, 2016 due to an increase in costs associated with servicing our investment portfolio, as well as additional professional fees incurred relating to our investment in the TICC shares and related activity. Other general and administrative fees decreased from $4.8 million for the year ended December 31, 2015 to $4.4 million for the year ended December 31, 2016.</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additional professional fees incurred relating to our investment in the TICC shares and related activity.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calendar years ended December 31, 2016, 2015 and 2014 we recorded a net expense of $2.2 million, $1.5 million and $1.1 million, respectively, for U.S. federal excise tax.</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2016, 2015 and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losses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(34.3)</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(34.3)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appreciation (depreciation) on foreign currency borrowings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Unrealized appreciation (depreciation) on foreign currency cash and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forward contracts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 Currency</w:t>
            </w: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b w:val="1"/>
                <w:bCs w:val="1"/>
                <w:color w:val="auto"/>
              </w:rPr>
              <w:t>Transactions and Interest Rate Swaps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the years ended December 31, 2016, 2015 and 2014, we had net realized losses on investments of $0.8 million and $5.0 million and net realized gains on investments of $0.1 million, respectively. For the year ended December 31, 2015, we had net realized gains on interest rate swaps of $1.8 million. We did not have realized gains or losses on interest rate swaps for the years ended December 31, 2016 or 2014. For the years ended December 31, 2016, and 2014, we had net realized losses on foreign currency transactions of $0.2 million and $0.4 million, respectively, and net realized gains on foreign currency transactions of less than $0.1 million for the year ended December 31, 2015, primarily as a result of translating foreign currency related to our non-USD denominated investments. For the years ended December 31, 2016 and 2015, we had net realized gains on foreign currency forward contracts of less than $0.1 million, and net realized losses on foreign currency forward contracts of $1.6 million for the year ended December 31, 2014, primarily as a result of settling our foreign currency forward contracts. For the years ended December 31, 2016 and December 31, 2015, we had net realized losses on foreign currency investments of $10.9 million and $0.4 million, respectively. We did not have realized gains or losses on foreign currency investments for the year ended December 31, 2014. For the years ended December 31, 2016, 2015, and 2014 we had net realized gains on foreign currency borrowings of $11.8 million, $0.4 million and $0.2 million, respectively.</w:t>
      </w:r>
    </w:p>
    <w:p>
      <w:pPr>
        <w:spacing w:after="0" w:line="18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year ended December 31, 2016 we had $56.7 million in unrealized appreciation on 48 portfolio company investments, which was offset by $23.0 million in unrealized depreciation on 10 portfolio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80"/>
          </w:cols>
          <w:pgMar w:left="24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investments. Unrealized appreciation for the year ended December 31, 2016 resulted from an increase in fair value, primarily due to positive valuation adjustments and tightening credit spreads. Unrealized depreciation for the year ended December 31, 2016 resulted from the reversal of prior period unrealized appreciation on realized investments and in some instances negative credit-related adjustments.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$43.3 million in unrealized depreciation on 40 portfolio company investments. Unrealized appreciation for the year ended December 31, 2015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value, primarily due to positive valuation adjustments. Unrealized depreciation for the year ended December 31, 2015 resulted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widening in credit spreads, the reversal of prior period unrealized appreciation and in some instances negative credit-related adjustments.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fair value, primarily due to a tightening spread environment during the six months ended June 30, 2014 and positive credit-related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depreciation for the year ended December 31, 2014 resulted from the reversal of prior period unrealized appreciation, primarily due to a widening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spread environment during the six months ended December 31, 2014, and in some instances negative credit-related and energy-related adjustments.</w:t>
      </w:r>
    </w:p>
    <w:p>
      <w:pPr>
        <w:spacing w:after="0" w:line="22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the year ended December 31, 2016 we had unrealized depreciation on foreign currency borrowings of $3.6 million primarily as a result of fluctuations in the GBP, SEK and EUR exchange rates. For the years ended December 31, 2015 and 2014, we had unrealized appreciation on foreign currency borrowings of $6.3 million and $8.9 million, respectively, primarily as a result of fluctuations in the GBP, SEK and EUR exchange rates. For the years ended December 31, 2016 and 2014, we had unrealized appreciation on foreign currency cash and forward contracts of less than $0.1 million and $1.3 million, respectively, primarily as a result of settling our foreign currency forward contracts. For the year ended December 31, 2015, we had unrealized depreciation on foreign currency cash and forward contracts of less than $0.1 million, primarily as a result of settling our foreign currency forward contracts. For the years ended December 31, 2016 and 2015, we had unrealized depreciation on interest rate swaps of $0.3 million and $0.5 million, respectively, due to fluctuations in interest rates. For the year ended December 31, 2014, we had unrealized appreciation on interest rate swaps of $1.0 million due to fluctuations in interest rates.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we began investing in 2011 through March 31, 2017, our exited investments have resulted in an aggregate cash flow realized gross internal rate of return to us of 14.9% (based on cash invested of $1.8 billion and total proceeds from these exited investments of $2.3 billion). Weighted by capital invested, these exited investments have generated an average gross internal rate of return to us of 19.9%. Ninety percent of these exited investments resulted in an aggregate cash flow realized gross internal rate of return to us of 10% or greater.</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months ended March 31, 2017 and 2016, we had $5.8 million and $2.7 million, respectively,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2017 and 2016. For the years ended December 31, 2016, 2015 and 2014, we had $3.6 million of unrealized losses and $6.3 million and</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2016, 2015 and 2014. See Note 2 to our consolidated financial statements for additional disclosure regarding our accounting for foreign currency. See Note 7 to our consolidated financial statements for additional disclosure regarding the amounts of outstanding debt denominated in each foreign currency at March 31, 2017, December 31, 2016 and December 31, 2015. See our consolidated schedule of investments for additional disclosure regarding the foreign currency amounts (in both par and fair value) of our non-U.S. dollar denominated investments.</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years ended December 31, 2016 and December 31, 2015, we entered into foreign currency forward contracts to facilitate settlement of purchases and sales of investments denominated in foreign currencies. We bear the costs incurred in connection with entering into, administering and settling derivative contracts. There can be no assurance any hedging strategy we employ will be successful.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2017, December 31, 2016 and December 31, 2015, our asset coverage ratio was 255.3%, 237.7% and 225.7%,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66"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Cash and cash equivalents as of March 31, 2017, taken together with cash available under our credit facilities, is expected to be sufficient for our investing activities and to conduct our operations in the near term. As of March 31, 2017, we had approximately $554.8 million of availability on our Revolving Credit Facility, subject to asset coverage limitations.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2017, we had $7.0 million in cash and cash equivalents, an increase of $1.0 million from December 31, 2016. During the three months ended March 31, 2017, we provided $100.2 million in cash from operating activities, primarily as a result of repayments and proceeds from investments of $252.1 million and an increase in net assets resulting from operations of $28.3 million, which was offset by funding portfolio investments of $163.6 million and other operating activity of $16.6 million. Lastly, cash used by financing activities was $99.1 million during the period, primarily due to paydowns on our Revolving Credit Facility of $329.6 million, including $111.2 million net proceeds from our 2022 Convertible Senior Notes, dividends paid of $21.2 million and debt issuance costs of $3.8 million, which was partially offset by borrowings of $255.5 million (including the issuance of $115.0 million principal amount of our 2022 Convertible Senior Notes).</w:t>
      </w:r>
    </w:p>
    <w:p>
      <w:pPr>
        <w:spacing w:after="0" w:line="18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of December 31, 2016, we had $6.0 million in cash and cash equivalents. During the year ended December 31, 2016, we used $41.8 million in cash for operating activities, primarily as a result of funding portfolio investments of $720.7 million and other operating activity of $53.7 million, which was partially offset by proceeds from investments of $71.4 million, repayments on investments of $524.2 million, and an increase in net assets resulting from operations of $137.0 million. Lastly, cash provided by financing activities was $40.3 million during the period, primarily due to borrowings of $580.4 million and proceeds from issuance of common stock (net of purchases of treasury stock and offering and underwriting costs) of $76.9 million, partially offset by repayments on debt of $533.8 million, debt issuance costs of $2.9 million and dividends paid of $80.3 million.</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of December 31, 2015, we had $7.5 million in cash and cash equivalents. During the year ended December 31, 2015, we used $191.0 million in cash for operating activities, primarily as a result of funding portfolio investments of $757.3 million and other operating activity of $10.9 million, which was partially offset by proceeds from investments of $39.1 million, repayments on investments of $474.5 million, and an increase in net assets resulting from operations of $63.6 million. Lastly, cash provided by financing activities was $183.5 million during the period, primarily due to borrowings of $847.5 million, partially offset by repayments on debt of $584.5 million, debt issuance costs of $1.4 million and dividends paid of $78.1 million.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information has been reclassified to conform to the current period presentation.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March 31, 2017, we had $2.6 million of restricted cash pledged as collateral under our interest rate swap agreements, an increase of $1.5 million from December 31,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three months ended March 31, 2017 and 2016, we issued 122,836 and 147,809 shares of our common stock, respectively, to investors who have not opted out of our dividend reinvestment plan for proceeds of $2.1 million and $2.3 million, respectively. During the years ended December 31, 2016 and 2015, we also issued 638,326 and 368,602 shares of our common stock, respectively, to investors who have not opted out of our dividend reinvestment plan for proceeds of $10.3 million and $6.1 million, respectively. On May 1, 2017, we issued 109,847 shares of our common stock through our dividend reinvestment plan for proceeds of $2.2 million, which is not reflected in the number of shares issued for the three months ended March 31, 2017 in this section or the consolidated financial statements for the three months ended March 31, 2017.</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5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For the three months ended March 31, 2017, no shares were repurchased under the Company 10b5-1 Plan . During the three months ended March 31, 2016, 86,081 shares were repurchased under the Company 10b5-1 Plan at a weighted average price per share of $15.44, inclusive of commissions, for a total cost of $1.3 million.</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year ended December 31, 2016, 86,081 shares were repurchased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2017, December 31,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Aggregate Principal</w:t>
            </w:r>
          </w:p>
        </w:tc>
        <w:tc>
          <w:tcPr>
            <w:tcW w:w="380" w:type="dxa"/>
            <w:vAlign w:val="bottom"/>
          </w:tcPr>
          <w:p>
            <w:pPr>
              <w:spacing w:after="0"/>
              <w:rPr>
                <w:sz w:val="16"/>
                <w:szCs w:val="16"/>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111.1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Senior Notes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111.0</w:t>
            </w: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r>
              <w:rPr>
                <w:rFonts w:ascii="Arial" w:cs="Arial" w:eastAsia="Arial" w:hAnsi="Arial"/>
                <w:sz w:val="18"/>
                <w:szCs w:val="18"/>
                <w:u w:val="single" w:color="auto"/>
                <w:color w:val="auto"/>
              </w:rPr>
              <w:t>2</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$8.3 million, $2.1 million and $3.7 million, respectively.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December 31,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380" w:type="dxa"/>
            <w:vAlign w:val="bottom"/>
          </w:tcPr>
          <w:p>
            <w:pPr>
              <w:spacing w:after="0"/>
              <w:rPr>
                <w:sz w:val="10"/>
                <w:szCs w:val="10"/>
                <w:color w:val="auto"/>
              </w:rPr>
            </w:pPr>
          </w:p>
        </w:tc>
        <w:tc>
          <w:tcPr>
            <w:tcW w:w="146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color w:val="auto"/>
              </w:rPr>
              <w:t>($ in millions)</w:t>
            </w:r>
          </w:p>
        </w:tc>
        <w:tc>
          <w:tcPr>
            <w:tcW w:w="13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(2)</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569.9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110.8</w:t>
            </w:r>
          </w:p>
        </w:tc>
      </w:tr>
      <w:tr>
        <w:trPr>
          <w:trHeight w:val="27"/>
        </w:trPr>
        <w:tc>
          <w:tcPr>
            <w:tcW w:w="3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680.7</w:t>
            </w:r>
          </w:p>
        </w:tc>
      </w:tr>
      <w:tr>
        <w:trPr>
          <w:trHeight w:val="20"/>
        </w:trPr>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8"/>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380" w:type="dxa"/>
            <w:vAlign w:val="bottom"/>
          </w:tcPr>
          <w:p>
            <w:pPr>
              <w:spacing w:after="0"/>
              <w:rPr>
                <w:sz w:val="10"/>
                <w:szCs w:val="10"/>
                <w:color w:val="auto"/>
              </w:rPr>
            </w:pPr>
          </w:p>
        </w:tc>
        <w:tc>
          <w:tcPr>
            <w:tcW w:w="14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Principal</w:t>
            </w:r>
          </w:p>
        </w:tc>
        <w:tc>
          <w:tcPr>
            <w:tcW w:w="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(2)</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109.4</w:t>
            </w:r>
          </w:p>
        </w:tc>
      </w:tr>
      <w:tr>
        <w:trPr>
          <w:trHeight w:val="27"/>
        </w:trPr>
        <w:tc>
          <w:tcPr>
            <w:tcW w:w="3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655.3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642.4</w:t>
            </w:r>
          </w:p>
        </w:tc>
      </w:tr>
      <w:tr>
        <w:trPr>
          <w:trHeight w:val="20"/>
        </w:trPr>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$7.3 million and $3.1 million, respectively.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March 31, 2017, December 31, 2016 and December 31, 2015,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8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31" w:lineRule="exact"/>
        <w:rPr>
          <w:sz w:val="20"/>
          <w:szCs w:val="20"/>
          <w:color w:val="auto"/>
        </w:rPr>
      </w:pPr>
    </w:p>
    <w:p>
      <w:pPr>
        <w:ind w:left="900" w:right="28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we entered into a fifth amendment to the Revolving Credit Facility:</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may borrow amounts in U.S. dollars or certain other permitted currencies. As of March 31, 2017, we had outstanding debt denominated in Euro (EUR) of 40.9 million on our Revolving Credit Facility, included in the Outstanding Principal amount in the table above.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jc w:val="both"/>
        <w:ind w:left="900" w:right="32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Net proceeds received from our common stock issuance in March 2016, and net proceeds received from the issuance of the 2022 Convertible Senior Notes were used to pay down borrowings on the Revolving Credit Facility.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24"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$25.83 per share of our common stock, subject to customary anti-dilution adjustments.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2019 Convertible Senior Notes at their option at any time prior to June 15, 2019 only under the following circumstances:</w:t>
      </w:r>
    </w:p>
    <w:p>
      <w:pPr>
        <w:spacing w:after="0" w:line="46" w:lineRule="exact"/>
        <w:rPr>
          <w:sz w:val="20"/>
          <w:szCs w:val="20"/>
          <w:color w:val="auto"/>
        </w:rPr>
      </w:pPr>
    </w:p>
    <w:p>
      <w:pPr>
        <w:ind w:right="40" w:firstLine="8"/>
        <w:spacing w:after="0" w:line="28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2022 Convertible Senior Notes at their option at any time prior to February 1, 2022 only under the following circumstances:</w:t>
      </w:r>
    </w:p>
    <w:p>
      <w:pPr>
        <w:spacing w:after="0" w:line="46" w:lineRule="exact"/>
        <w:rPr>
          <w:sz w:val="20"/>
          <w:szCs w:val="20"/>
          <w:color w:val="auto"/>
        </w:rPr>
      </w:pPr>
    </w:p>
    <w:p>
      <w:pPr>
        <w:ind w:right="80" w:firstLine="8"/>
        <w:spacing w:after="0" w:line="287"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2017, the principal amount of the 2019 and 2022 Convertible Senior Notes exceeded the value of the underlying shares multiplied by the per share closing price of our common stock.</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2017, we were in compliance with the terms of the indentures governing the 2019 and 2022 Convertible Senior Notes.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2017, December 31, 2016 and December 31, 2015, we had the following commitments to fund investments in current portfolio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20"/>
                <w:szCs w:val="20"/>
                <w:color w:val="auto"/>
              </w:rPr>
            </w:pPr>
            <w:r>
              <w:rPr>
                <w:rFonts w:ascii="Arial" w:cs="Arial" w:eastAsia="Arial" w:hAnsi="Arial"/>
                <w:sz w:val="14"/>
                <w:szCs w:val="14"/>
                <w:color w:val="auto"/>
              </w:rPr>
              <w:t>($ in millions)</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2017</w:t>
            </w:r>
          </w:p>
        </w:tc>
        <w:tc>
          <w:tcPr>
            <w:tcW w:w="96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December 31, 2015</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LLC—Revolver</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AvidXchange, Inc.—Delayed Draw Term Loan</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CrunchTime Information Systems, Inc.—Delayed Draw Term</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Loan</w:t>
            </w:r>
          </w:p>
        </w:tc>
        <w:tc>
          <w:tcPr>
            <w:tcW w:w="4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12.0</w:t>
            </w:r>
          </w:p>
        </w:tc>
        <w:tc>
          <w:tcPr>
            <w:tcW w:w="5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Ecommerce Industries, Inc.—Delayed Draw Term Loan</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Eddie Bauer—Delayed Draw</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Helix Health, Ltd.—Revolver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Highwinds Capital,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IRGSE Holding Corp.—Revolver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Leaf US Holdings,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Marketo, Inc.—Revolver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MyAlarm Center, LLC—Delayed Draw</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Network Merchants, Inc.—Revolver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PayLease, LLC—Revolver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PaySimple—Revolver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ScentAir Technologies, Inc.—Multi Draw Term Loan</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Sears—ABL Revolver</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LLC—Revolver</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9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2017, we did not have any unfunded commitments to fund investments to new borrowers that were not current portfolio companies as of March 31, 2017. 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2017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4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After 5 years</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$390.2</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$ 390.2</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115.0</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Senior Notes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115.0</w:t>
            </w: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620.2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115.0</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$ 390.2</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115.0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2016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0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4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3-5 years</w:t>
            </w:r>
          </w:p>
        </w:tc>
        <w:tc>
          <w:tcPr>
            <w:tcW w:w="5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After 5 years</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20"/>
                <w:szCs w:val="20"/>
                <w:color w:val="auto"/>
              </w:rPr>
            </w:pPr>
            <w:r>
              <w:rPr>
                <w:rFonts w:ascii="Arial" w:cs="Arial" w:eastAsia="Arial" w:hAnsi="Arial"/>
                <w:sz w:val="14"/>
                <w:szCs w:val="14"/>
                <w:color w:val="auto"/>
              </w:rPr>
              <w:t>($ in millions)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$578.7</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$ 578.7</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115.0</w:t>
            </w: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115.0</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693.7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115.0</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$ 578.7</w:t>
            </w: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2017, 100.0% of our debt investments based on fair value in our portfolio bore interest at floating rates (when including investment specific hedges), with 92.7% of these subject to interest rate floors. Our credit facilities also bear interest at floating rates, and in connection with our 2019 Convertible Senior Notes and 2022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64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Interest Income</w:t>
            </w:r>
          </w:p>
        </w:tc>
        <w:tc>
          <w:tcPr>
            <w:tcW w:w="460" w:type="dxa"/>
            <w:vAlign w:val="bottom"/>
          </w:tcPr>
          <w:p>
            <w:pPr>
              <w:spacing w:after="0"/>
              <w:rPr>
                <w:sz w:val="16"/>
                <w:szCs w:val="16"/>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7"/>
                <w:szCs w:val="17"/>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30.4</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From time to time, we may make investments that are denominated in a foreign currency. These investments are translated into U.S. dollars at each balance sheet date, exposing us to movements in foreign exchange rates.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4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As of December 31, 2016, we did not have any uncertain tax positions that met the recognition or measurement criteria, nor did we have any unrecognized tax benefits. Conclusions regarding tax positions are subject to review and may be adjusted at a later date based on factors including on-going analyses of tax laws, regulations and interpretations thereof. Our 2015, 2014 and 2013 tax year returns remain subject to examination by the relevant federal and state tax authorities.</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2017. The report of our independent registered public accounting firm, KPMG LLP, on the senior securities table as of December 31, 2016 is attached as an exhibit to the registration statement of which this prospectus is a part.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Treasury</w:t>
            </w:r>
          </w:p>
        </w:tc>
        <w:tc>
          <w:tcPr>
            <w:tcW w:w="400" w:type="dxa"/>
            <w:vAlign w:val="bottom"/>
          </w:tcPr>
          <w:p>
            <w:pPr>
              <w:spacing w:after="0"/>
              <w:rPr>
                <w:sz w:val="12"/>
                <w:szCs w:val="12"/>
                <w:color w:val="auto"/>
              </w:rPr>
            </w:pP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4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Securities</w:t>
            </w:r>
            <w:r>
              <w:rPr>
                <w:rFonts w:ascii="Arial" w:cs="Arial" w:eastAsia="Arial" w:hAnsi="Arial"/>
                <w:sz w:val="12"/>
                <w:szCs w:val="12"/>
                <w:b w:val="1"/>
                <w:bCs w:val="1"/>
                <w:color w:val="auto"/>
                <w:w w:val="93"/>
              </w:rPr>
              <w:t>(1)</w:t>
            </w:r>
          </w:p>
        </w:tc>
        <w:tc>
          <w:tcPr>
            <w:tcW w:w="4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7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27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2017 (as of March 31, 2017)</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390.2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2,552.6</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578.7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2,376.6</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540.3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2,257.3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3,110.3</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432.3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2,329.5</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2,445.9</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155.0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2,116.7</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2017 (as of March 31, 2017)</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113.2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2,552.6</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2,376.6</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112.5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2,257.3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3,110.3</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2022</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 (as of March 31, 2017)</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2,552.6</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8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7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86"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2017, we have originated more than $5.4 billion aggregate principal amount of investments and retained approximately $3.6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2017, our core portfolio companies, which exclude certain investments that fall outside of our typical borrower profile and represent 84.9% of our total investments based on fair value, had weighted average annual revenue of $141.0 million and weighted average annual EBITDA of $30.7 million.</w:t>
      </w:r>
    </w:p>
    <w:p>
      <w:pPr>
        <w:spacing w:after="0" w:line="18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March 31, 2017, based on fair value our portfolio consisted of 98.5% first-lien debt investments, 0.2% second-lien debt investments, and 1.3% equity and other investments. 100.0% of our debt investments based on fair value as of March 31, 2017 are floating rate in nature (when including investment specific hedges), with 92.7% of these subject to interest rate floors, which we believe helps act as a portfolio-wide hedge against inflation.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31, 2017, we had investments in 48 portfolio companies with an aggregate fair value of $1,580.3 million. For the three months ended March 31, 2017, we made new investment commitments of $149.2 million in five new portfolio companies. For this period, we had $213.5 million aggregate principal amount in exits and repayments.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2016, we had investments in 52 portfolio companies with an aggregate fair value of $1,657.4 million. For the year ended December 31, 2016, we made new investment commitments of $562.7 million, including $492.7 million in 14 new portfolio companies and $70.0 million in nine existing portfolio companies. For this period, we had $416.5 million aggregate principal amount in exits and repayments, resulting in a net portfolio increase of $103.6 million aggregate principal amount.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As of March 31, 2017, our portfolio was invested across 17 different industries. The largest industries in our portfolio as of March 31, 2017 were business services and financial services, which represented, as a percentage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our portfolio, 22.5% and 12.7%, respectively, based on fair value. As of March 31, 2017, our average investment size in each of our portfolio companies was approximately $32.9 million based on fair value. As of March 31, 2017, the largest single investment based on fair value represented 4.8% of our total investment portfolio.</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TSSP, with over $19 billion of assets under management as of March 31, 2017, is TPG’s special situations and credit platform and encompasses TPG Specialty Lending, TPG Opportunities Partners and TSSP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March 31, 2017, twenty nine (29) of these personnel are dedicated to our business, including twenty one (21) investment professionals.</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approximately $72 billion of assets under management as of December 31,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March 15, 2011, we entered into the Administration Agreement with our Adviser.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pay or reimburse the Adviser expenses incurred by any such affiliates or third parties for work done on our behalf. For the three months ended March 31, 2017 and the year ended December 31, 2016, we incurred expenses of $1.0 million and $3.1 million, respectively, for administrative services payable under the terms of the Administration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$1.49 trillion as of May 2017,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134620</wp:posOffset>
            </wp:positionV>
            <wp:extent cx="3070225" cy="21012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7022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80"/>
        <w:spacing w:after="0" w:line="230" w:lineRule="auto"/>
        <w:rPr>
          <w:sz w:val="20"/>
          <w:szCs w:val="20"/>
          <w:color w:val="auto"/>
        </w:rPr>
      </w:pPr>
      <w:r>
        <w:rPr>
          <w:rFonts w:ascii="Arial" w:cs="Arial" w:eastAsia="Arial" w:hAnsi="Arial"/>
          <w:sz w:val="14"/>
          <w:szCs w:val="14"/>
          <w:i w:val="1"/>
          <w:iCs w:val="1"/>
          <w:color w:val="auto"/>
        </w:rPr>
        <w:t>Notes: Excludes left and right agent commitments (including administrative, syndication and documentation agent as well as arranger); Excludes revolving credit-only asset backed loans</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i w:val="1"/>
          <w:iCs w:val="1"/>
          <w:color w:val="auto"/>
        </w:rPr>
        <w:t>Source: S&amp;P Capital IQ , LCD.1Q17 Leverage Lending Review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24455" cy="2263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2445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40"/>
        <w:spacing w:after="0"/>
        <w:rPr>
          <w:sz w:val="20"/>
          <w:szCs w:val="20"/>
          <w:color w:val="auto"/>
        </w:rPr>
      </w:pPr>
      <w:r>
        <w:rPr>
          <w:rFonts w:ascii="Arial" w:cs="Arial" w:eastAsia="Arial" w:hAnsi="Arial"/>
          <w:sz w:val="14"/>
          <w:szCs w:val="14"/>
          <w:i w:val="1"/>
          <w:iCs w:val="1"/>
          <w:color w:val="auto"/>
        </w:rPr>
        <w:t>($ in trillions)</w:t>
      </w:r>
    </w:p>
    <w:p>
      <w:pPr>
        <w:ind w:left="2840"/>
        <w:spacing w:after="0"/>
        <w:rPr>
          <w:sz w:val="20"/>
          <w:szCs w:val="20"/>
          <w:color w:val="auto"/>
        </w:rPr>
      </w:pPr>
      <w:r>
        <w:rPr>
          <w:rFonts w:ascii="Arial" w:cs="Arial" w:eastAsia="Arial" w:hAnsi="Arial"/>
          <w:sz w:val="14"/>
          <w:szCs w:val="14"/>
          <w:i w:val="1"/>
          <w:iCs w:val="1"/>
          <w:color w:val="auto"/>
        </w:rPr>
        <w:t>Source: Preqin as of May 2017</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21 investment professionals responsible for originating, underwriting, executing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and managing the assets of our direct lending transactions. This team is responsible for sourcing and executing opportunities directly, while leveraging the resources and expertise of the TSSP and TPG platforms. The senior members of our Investment Team have over 200 years of collective experience as commercial dealmakers.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4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right="20" w:hanging="446"/>
        <w:spacing w:after="0" w:line="276"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We seek transactions that are too small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77" w:lineRule="auto"/>
        <w:rPr>
          <w:sz w:val="20"/>
          <w:szCs w:val="20"/>
          <w:color w:val="auto"/>
        </w:rPr>
      </w:pPr>
      <w:r>
        <w:rPr>
          <w:rFonts w:ascii="Arial" w:cs="Arial" w:eastAsia="Arial" w:hAnsi="Arial"/>
          <w:sz w:val="18"/>
          <w:szCs w:val="18"/>
          <w:color w:val="auto"/>
        </w:rPr>
        <w:t>traditional high yield market. We look to invest in companies that value our commitment and ability to originate an investment that meets their goals and fits within their existing capital structure.</w:t>
      </w:r>
    </w:p>
    <w:p>
      <w:pPr>
        <w:spacing w:after="0" w:line="76" w:lineRule="exact"/>
        <w:rPr>
          <w:sz w:val="20"/>
          <w:szCs w:val="20"/>
          <w:color w:val="auto"/>
        </w:rPr>
      </w:pPr>
    </w:p>
    <w:p>
      <w:pPr>
        <w:ind w:left="1480" w:right="60" w:hanging="446"/>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900" w:right="52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5,650 investment opportunities our Investment Team reviewed since our inception through March 31, 2017.</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Carefully constructed, existing portfolio consisting of predominantly senior, floating rate loans across a broad range of industries and borrowers</w:t>
      </w:r>
      <w:r>
        <w:rPr>
          <w:rFonts w:ascii="Arial" w:cs="Arial" w:eastAsia="Arial" w:hAnsi="Arial"/>
          <w:sz w:val="17"/>
          <w:szCs w:val="17"/>
          <w:color w:val="auto"/>
        </w:rPr>
        <w:t>. Since</w:t>
      </w:r>
      <w:r>
        <w:rPr>
          <w:rFonts w:ascii="Arial" w:cs="Arial" w:eastAsia="Arial" w:hAnsi="Arial"/>
          <w:sz w:val="17"/>
          <w:szCs w:val="17"/>
          <w:i w:val="1"/>
          <w:iCs w:val="1"/>
          <w:color w:val="auto"/>
        </w:rPr>
        <w:t xml:space="preserve"> </w:t>
      </w:r>
      <w:r>
        <w:rPr>
          <w:rFonts w:ascii="Arial" w:cs="Arial" w:eastAsia="Arial" w:hAnsi="Arial"/>
          <w:sz w:val="17"/>
          <w:szCs w:val="17"/>
          <w:color w:val="auto"/>
        </w:rPr>
        <w:t>we began investing in 2011, we have invested approximately $3.6 billion. As of March 31, 2017, we had a portfolio of investments in 48 portfolio companies with an aggregate fair value of $1,580.3 million that we believe exhibits strong credit quality and broad industry composition. As of March 31, 2017, 100% of our debt investments based on fair value bore interest at floating rates (when including investment specific hedges), with 92.7% of these subject to interest rate floors, and 98.5% of the fair value of our portfolio was invested in first-lien debt investments. We believe this portfolio will allow us to generate meaningful investment income, and consequently dividend income, for our stockholders.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TSSP Partners and four TSSP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understanding the purpose of the capital requirement, the key personnel and variables, as well as the sources and uses of the proceeds;</w:t>
      </w:r>
    </w:p>
    <w:p>
      <w:pPr>
        <w:spacing w:after="0" w:line="142" w:lineRule="exact"/>
        <w:rPr>
          <w:rFonts w:ascii="Arial" w:cs="Arial" w:eastAsia="Arial" w:hAnsi="Arial"/>
          <w:sz w:val="17"/>
          <w:szCs w:val="17"/>
          <w:color w:val="auto"/>
        </w:rPr>
      </w:pPr>
    </w:p>
    <w:p>
      <w:pPr>
        <w:ind w:left="900" w:right="66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jc w:val="both"/>
        <w:ind w:left="900" w:right="36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6"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4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7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or principal payments. For these investments, our Adviser reviews the investment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 and TPG. See “Management” and “Related-Party Transactions and Certain Relationships.”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Stand-alone first-lien loans</w:t>
      </w:r>
      <w:r>
        <w:rPr>
          <w:rFonts w:ascii="Arial" w:cs="Arial" w:eastAsia="Arial" w:hAnsi="Arial"/>
          <w:sz w:val="18"/>
          <w:szCs w:val="18"/>
          <w:color w:val="auto"/>
        </w:rPr>
        <w:t>. 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line="271" w:lineRule="auto"/>
        <w:tabs>
          <w:tab w:leader="none" w:pos="14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Last out” first-lien loans</w:t>
      </w:r>
      <w:r>
        <w:rPr>
          <w:rFonts w:ascii="Arial" w:cs="Arial" w:eastAsia="Arial" w:hAnsi="Arial"/>
          <w:sz w:val="17"/>
          <w:szCs w:val="17"/>
          <w:color w:val="auto"/>
        </w:rPr>
        <w:t>. “Last out” first-lien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rFonts w:ascii="Arial" w:cs="Arial" w:eastAsia="Arial" w:hAnsi="Arial"/>
          <w:sz w:val="17"/>
          <w:szCs w:val="17"/>
          <w:color w:val="auto"/>
        </w:rPr>
      </w:pPr>
    </w:p>
    <w:p>
      <w:pPr>
        <w:ind w:left="1480" w:hanging="446"/>
        <w:spacing w:after="0" w:line="312" w:lineRule="auto"/>
        <w:tabs>
          <w:tab w:leader="none" w:pos="1480"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“Unitranche” loans</w:t>
      </w:r>
      <w:r>
        <w:rPr>
          <w:rFonts w:ascii="Arial" w:cs="Arial" w:eastAsia="Arial" w:hAnsi="Arial"/>
          <w:sz w:val="16"/>
          <w:szCs w:val="16"/>
          <w:color w:val="auto"/>
        </w:rPr>
        <w:t>. 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Second-lien debt</w:t>
      </w:r>
      <w:r>
        <w:rPr>
          <w:rFonts w:ascii="Arial" w:cs="Arial" w:eastAsia="Arial" w:hAnsi="Arial"/>
          <w:sz w:val="18"/>
          <w:szCs w:val="18"/>
          <w:color w:val="auto"/>
        </w:rPr>
        <w:t>. 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40" w:hanging="325"/>
        <w:spacing w:after="0" w:line="270"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“Mezzanine” and “Unsecured” debt</w:t>
      </w:r>
      <w:r>
        <w:rPr>
          <w:rFonts w:ascii="Arial" w:cs="Arial" w:eastAsia="Arial" w:hAnsi="Arial"/>
          <w:sz w:val="17"/>
          <w:szCs w:val="17"/>
          <w:color w:val="auto"/>
        </w:rPr>
        <w:t>. Structurally, mezzanine debt usually ranks subordinate in priority of payment to first-lien and second-lien</w:t>
      </w:r>
      <w:r>
        <w:rPr>
          <w:rFonts w:ascii="Arial" w:cs="Arial" w:eastAsia="Arial" w:hAnsi="Arial"/>
          <w:sz w:val="17"/>
          <w:szCs w:val="17"/>
          <w:i w:val="1"/>
          <w:iCs w:val="1"/>
          <w:color w:val="auto"/>
        </w:rPr>
        <w:t xml:space="preserve"> </w:t>
      </w:r>
      <w:r>
        <w:rPr>
          <w:rFonts w:ascii="Arial" w:cs="Arial" w:eastAsia="Arial" w:hAnsi="Arial"/>
          <w:sz w:val="17"/>
          <w:szCs w:val="17"/>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March 31, 2017 and December 31, 2016, we had made investments with an aggregate fair value of $1,580.3 million and $1,657.4 million, respectively, in 48 and 52 portfolio companies,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2017 and December 31,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$ 1,553.5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$1,556.7</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3.3</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4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$ 1,587.1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1,580.3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$ 1,592.8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$1,599.6</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color w:val="auto"/>
              </w:rPr>
              <w:t>24.0</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7"/>
        </w:trPr>
        <w:tc>
          <w:tcPr>
            <w:tcW w:w="4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$ 1,667.7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1,657.4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0"/>
        </w:trPr>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2017 and December 31, 2016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2017</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10.9%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13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2.3%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2017 and December 31, 2016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2017</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rPr>
              <w:t>Midwest</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9.6%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4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rPr>
              <w:t>South</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20.3%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4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Canada</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3.0%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5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540" w:type="dxa"/>
            <w:vAlign w:val="bottom"/>
            <w:vMerge w:val="restart"/>
          </w:tcPr>
          <w:p>
            <w:pPr>
              <w:jc w:val="right"/>
              <w:ind w:right="613"/>
              <w:spacing w:after="0"/>
              <w:rPr>
                <w:sz w:val="20"/>
                <w:szCs w:val="20"/>
                <w:color w:val="auto"/>
              </w:rPr>
            </w:pPr>
            <w:r>
              <w:rPr>
                <w:rFonts w:ascii="Arial" w:cs="Arial" w:eastAsia="Arial" w:hAnsi="Arial"/>
                <w:sz w:val="18"/>
                <w:szCs w:val="18"/>
                <w:color w:val="auto"/>
              </w:rPr>
              <w:t>104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and December 31, 2016, we had the following commitments to fund investments in current portfolio companies: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1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LLC—Revolver</w:t>
            </w:r>
          </w:p>
        </w:tc>
        <w:tc>
          <w:tcPr>
            <w:tcW w:w="1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Clarabridge, Inc.—Revolver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Inc.—Delayed Draw</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CrunchTime Information Systems, Inc.—Revolver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Eddie Bauer—Delayed Draw</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Helix Health Ltd.—Revolver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Leaf US Holdings, Inc.—Revolver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Marketo, Inc.—Revolver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My Alarm Center, LLC—Delayed Draw</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PayLease, LLC—Revolver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PaySimple—Revolver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Sailpoint Technologies, Inc.—Revolver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Inc.—Revolver</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Sovos Compliance, LLC—Revolver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7"/>
        </w:trPr>
        <w:tc>
          <w:tcPr>
            <w:tcW w:w="5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36.2</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r>
      <w:tr>
        <w:trPr>
          <w:trHeight w:val="20"/>
        </w:trPr>
        <w:tc>
          <w:tcPr>
            <w:tcW w:w="5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2017, we did not have any unfunded commitments to fund investments to new borrowers that were not current portfolio companies as of March 31, 2017. 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maintain our principal executive office at 301 Commerce Street, Suite 3300, Fort Worth, Texas 76102. We do not own any real estate.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nor, to our knowledge, is any material legal proceeding threatened against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March 31, 2017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loans or bonds. We either originated or purchased in the secondary market the loans and securities in our current portfolio.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960" w:type="dxa"/>
            <w:vAlign w:val="bottom"/>
          </w:tcPr>
          <w:p>
            <w:pPr>
              <w:spacing w:after="0"/>
              <w:rPr>
                <w:sz w:val="12"/>
                <w:szCs w:val="12"/>
                <w:color w:val="auto"/>
              </w:rPr>
            </w:pPr>
          </w:p>
        </w:tc>
        <w:tc>
          <w:tcPr>
            <w:tcW w:w="19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Holdings, LLC</w:t>
            </w:r>
            <w:r>
              <w:rPr>
                <w:rFonts w:ascii="Arial" w:cs="Arial" w:eastAsia="Arial" w:hAnsi="Arial"/>
                <w:sz w:val="15"/>
                <w:szCs w:val="15"/>
                <w:color w:val="auto"/>
              </w:rPr>
              <w:t>(3)</w:t>
            </w: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($28,635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6/2017)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8/28/2012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$ 28,587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$28,635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6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First-lien revolving</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loan ($1,583 par,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due 6/2017)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8/28/2012</w:t>
            </w:r>
          </w:p>
        </w:tc>
        <w:tc>
          <w:tcPr>
            <w:tcW w:w="660" w:type="dxa"/>
            <w:vAlign w:val="bottom"/>
          </w:tcPr>
          <w:p>
            <w:pPr>
              <w:jc w:val="right"/>
              <w:spacing w:after="0"/>
              <w:rPr>
                <w:sz w:val="20"/>
                <w:szCs w:val="20"/>
                <w:color w:val="auto"/>
              </w:rPr>
            </w:pPr>
            <w:r>
              <w:rPr>
                <w:rFonts w:ascii="Arial" w:cs="Arial" w:eastAsia="Arial" w:hAnsi="Arial"/>
                <w:sz w:val="18"/>
                <w:szCs w:val="18"/>
                <w:color w:val="auto"/>
              </w:rPr>
              <w:t>1,576</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1,583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30,218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46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(3)(5)</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($61,105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3/2020)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3/3/2014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60,322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(3)(5)</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($53,977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4/2018)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4/11/2013</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53,483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Bullhorn, Inc.</w:t>
            </w:r>
            <w:r>
              <w:rPr>
                <w:rFonts w:ascii="Arial" w:cs="Arial" w:eastAsia="Arial" w:hAnsi="Arial"/>
                <w:sz w:val="15"/>
                <w:szCs w:val="15"/>
                <w:color w:val="auto"/>
              </w:rPr>
              <w:t>(3)(5)</w:t>
            </w:r>
          </w:p>
        </w:tc>
        <w:tc>
          <w:tcPr>
            <w:tcW w:w="286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($45,000 par,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due 11/2020)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11/12/2015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44,143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45,675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Idera, Inc.</w:t>
            </w:r>
            <w:r>
              <w:rPr>
                <w:rFonts w:ascii="Arial" w:cs="Arial" w:eastAsia="Arial" w:hAnsi="Arial"/>
                <w:sz w:val="15"/>
                <w:szCs w:val="15"/>
                <w:color w:val="auto"/>
              </w:rPr>
              <w:t>(3)</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($61,719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4/2021)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10/9/2015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56,920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61,719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w:t>
            </w:r>
          </w:p>
        </w:tc>
        <w:tc>
          <w:tcPr>
            <w:tcW w:w="286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($26,721 par,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due 6/2019)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6/30/2014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26,418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26,865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Marketo, Inc.</w:t>
            </w:r>
            <w:r>
              <w:rPr>
                <w:rFonts w:ascii="Arial" w:cs="Arial" w:eastAsia="Arial" w:hAnsi="Arial"/>
                <w:sz w:val="15"/>
                <w:szCs w:val="15"/>
                <w:color w:val="auto"/>
              </w:rPr>
              <w:t>(3)</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($28,125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8/2021)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27,314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Motus, LLC</w:t>
            </w:r>
            <w:r>
              <w:rPr>
                <w:rFonts w:ascii="Arial" w:cs="Arial" w:eastAsia="Arial" w:hAnsi="Arial"/>
                <w:sz w:val="15"/>
                <w:szCs w:val="15"/>
                <w:color w:val="auto"/>
              </w:rPr>
              <w:t>(3)</w:t>
            </w:r>
          </w:p>
        </w:tc>
        <w:tc>
          <w:tcPr>
            <w:tcW w:w="286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12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11.04%</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($20,311 par,</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(incl. 3.00%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due 7/2021)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7/29/2016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19,865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20,464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Qlik Technologies, Inc.</w:t>
            </w:r>
            <w:r>
              <w:rPr>
                <w:rFonts w:ascii="Arial" w:cs="Arial" w:eastAsia="Arial" w:hAnsi="Arial"/>
                <w:sz w:val="15"/>
                <w:szCs w:val="15"/>
                <w:color w:val="auto"/>
              </w:rPr>
              <w:t>(3)</w:t>
            </w:r>
          </w:p>
        </w:tc>
        <w:tc>
          <w:tcPr>
            <w:tcW w:w="286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($40,298 par,</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due 8/2022)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39,615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42,312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SailPoint Technologies, Inc.</w:t>
            </w:r>
            <w:r>
              <w:rPr>
                <w:rFonts w:ascii="Arial" w:cs="Arial" w:eastAsia="Arial" w:hAnsi="Arial"/>
                <w:sz w:val="15"/>
                <w:szCs w:val="15"/>
                <w:color w:val="auto"/>
              </w:rPr>
              <w:t>(3)</w:t>
            </w:r>
          </w:p>
        </w:tc>
        <w:tc>
          <w:tcPr>
            <w:tcW w:w="286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($26,304 par,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3"/>
          </w:tcPr>
          <w:p>
            <w:pPr>
              <w:ind w:left="960"/>
              <w:spacing w:after="0"/>
              <w:rPr>
                <w:sz w:val="20"/>
                <w:szCs w:val="20"/>
                <w:color w:val="auto"/>
              </w:rPr>
            </w:pPr>
            <w:r>
              <w:rPr>
                <w:rFonts w:ascii="Arial" w:cs="Arial" w:eastAsia="Arial" w:hAnsi="Arial"/>
                <w:sz w:val="18"/>
                <w:szCs w:val="18"/>
                <w:color w:val="auto"/>
              </w:rPr>
              <w:t>due 8/2021)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8/16/2016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25,823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26,235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60" w:type="dxa"/>
            <w:vAlign w:val="bottom"/>
            <w:gridSpan w:val="2"/>
          </w:tcPr>
          <w:p>
            <w:pPr>
              <w:jc w:val="right"/>
              <w:ind w:right="208"/>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ScentAir</w:t>
            </w:r>
          </w:p>
        </w:tc>
        <w:tc>
          <w:tcPr>
            <w:tcW w:w="40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Technologies, Inc.</w:t>
            </w:r>
            <w:r>
              <w:rPr>
                <w:rFonts w:ascii="Arial" w:cs="Arial" w:eastAsia="Arial" w:hAnsi="Arial"/>
                <w:sz w:val="15"/>
                <w:szCs w:val="15"/>
                <w:color w:val="auto"/>
              </w:rPr>
              <w:t>(3)</w:t>
            </w:r>
          </w:p>
        </w:tc>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First-lien loan ($19,986</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12/30/2014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19,737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20,318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Sovos Compliance, LLC</w:t>
            </w:r>
            <w:r>
              <w:rPr>
                <w:rFonts w:ascii="Arial" w:cs="Arial" w:eastAsia="Arial" w:hAnsi="Arial"/>
                <w:sz w:val="15"/>
                <w:szCs w:val="15"/>
                <w:color w:val="auto"/>
              </w:rPr>
              <w:t>(3)</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First-lien loan ($29,103</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par, due 3/2022)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7/1/2016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28,571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29,477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341,889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355,841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4800" w:type="dxa"/>
            <w:vAlign w:val="bottom"/>
            <w:gridSpan w:val="2"/>
          </w:tcPr>
          <w:p>
            <w:pPr>
              <w:ind w:left="360"/>
              <w:spacing w:after="0"/>
              <w:rPr>
                <w:sz w:val="20"/>
                <w:szCs w:val="20"/>
                <w:color w:val="auto"/>
              </w:rPr>
            </w:pPr>
            <w:r>
              <w:rPr>
                <w:rFonts w:ascii="Arial" w:cs="Arial" w:eastAsia="Arial" w:hAnsi="Arial"/>
                <w:sz w:val="18"/>
                <w:szCs w:val="18"/>
                <w:b w:val="1"/>
                <w:bCs w:val="1"/>
                <w:color w:val="auto"/>
              </w:rPr>
              <w:t>Chemicals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($4,967</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4/2018)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10/31/2016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($3,341 par,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due 10/2021)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10/31/2016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4800" w:type="dxa"/>
            <w:vAlign w:val="bottom"/>
            <w:gridSpan w:val="2"/>
          </w:tcPr>
          <w:p>
            <w:pPr>
              <w:ind w:left="360"/>
              <w:spacing w:after="0"/>
              <w:rPr>
                <w:sz w:val="20"/>
                <w:szCs w:val="20"/>
                <w:color w:val="auto"/>
              </w:rPr>
            </w:pPr>
            <w:r>
              <w:rPr>
                <w:rFonts w:ascii="Arial" w:cs="Arial" w:eastAsia="Arial" w:hAnsi="Arial"/>
                <w:sz w:val="18"/>
                <w:szCs w:val="18"/>
                <w:b w:val="1"/>
                <w:bCs w:val="1"/>
                <w:color w:val="auto"/>
              </w:rPr>
              <w:t>Education</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Finalsite Holdings, Inc.</w:t>
      </w:r>
      <w:r>
        <w:rPr>
          <w:rFonts w:ascii="Arial" w:cs="Arial" w:eastAsia="Arial" w:hAnsi="Arial"/>
          <w:sz w:val="15"/>
          <w:szCs w:val="15"/>
          <w:color w:val="auto"/>
        </w:rPr>
        <w:t>(3)(5)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Frontline Technologies Group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(3)(5)</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Electronics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line="203" w:lineRule="exact"/>
              <w:rPr>
                <w:sz w:val="20"/>
                <w:szCs w:val="20"/>
                <w:color w:val="auto"/>
              </w:rPr>
            </w:pPr>
            <w:r>
              <w:rPr>
                <w:rFonts w:ascii="Arial" w:cs="Arial" w:eastAsia="Arial" w:hAnsi="Arial"/>
                <w:sz w:val="18"/>
                <w:szCs w:val="18"/>
                <w:color w:val="auto"/>
              </w:rPr>
              <w:t>First-lien loan ($45,000</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par, due 8/2022)</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8.15%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8/31/2016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43,879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44,662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First-lien loan ($54,450</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par, due 4/2021)</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7.90%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4/1/2016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53,238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54,995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83"/>
              </w:rPr>
              <w:t>97,117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99,657</w:t>
            </w:r>
          </w:p>
        </w:tc>
        <w:tc>
          <w:tcPr>
            <w:tcW w:w="16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-719455</wp:posOffset>
            </wp:positionV>
            <wp:extent cx="724662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-145415</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080" w:space="720"/>
            <w:col w:w="66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MyAlarm Center, LLC</w:t>
            </w:r>
            <w:r>
              <w:rPr>
                <w:rFonts w:ascii="Arial" w:cs="Arial" w:eastAsia="Arial" w:hAnsi="Arial"/>
                <w:sz w:val="15"/>
                <w:szCs w:val="15"/>
                <w:color w:val="auto"/>
              </w:rPr>
              <w:t>(3)</w:t>
            </w: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6"/>
              </w:rPr>
              <w:t>First-lien loan ($63,761</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par, due 1/2019)</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1/9/2014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62,256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63,761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AppStar Financial, LLC</w:t>
            </w:r>
            <w:r>
              <w:rPr>
                <w:rFonts w:ascii="Arial" w:cs="Arial" w:eastAsia="Arial" w:hAnsi="Arial"/>
                <w:sz w:val="15"/>
                <w:szCs w:val="15"/>
                <w:color w:val="auto"/>
              </w:rPr>
              <w:t>(3)</w:t>
            </w:r>
          </w:p>
        </w:tc>
        <w:tc>
          <w:tcPr>
            <w:tcW w:w="3200" w:type="dxa"/>
            <w:vAlign w:val="bottom"/>
            <w:shd w:val="clear" w:color="auto" w:fill="CCEEFF"/>
          </w:tcPr>
          <w:p>
            <w:pPr>
              <w:ind w:left="1400"/>
              <w:spacing w:after="0" w:line="201" w:lineRule="exact"/>
              <w:rPr>
                <w:sz w:val="20"/>
                <w:szCs w:val="20"/>
                <w:color w:val="auto"/>
              </w:rPr>
            </w:pPr>
            <w:r>
              <w:rPr>
                <w:rFonts w:ascii="Arial" w:cs="Arial" w:eastAsia="Arial" w:hAnsi="Arial"/>
                <w:sz w:val="18"/>
                <w:szCs w:val="18"/>
                <w:color w:val="auto"/>
                <w:w w:val="96"/>
              </w:rPr>
              <w:t>First-lien loan ($21,900</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par, due 8/2020)</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8/18/2015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AvidXchange, Inc.</w:t>
            </w:r>
            <w:r>
              <w:rPr>
                <w:rFonts w:ascii="Arial" w:cs="Arial" w:eastAsia="Arial" w:hAnsi="Arial"/>
                <w:sz w:val="15"/>
                <w:szCs w:val="15"/>
                <w:color w:val="auto"/>
              </w:rPr>
              <w:t>(3)</w:t>
            </w:r>
          </w:p>
        </w:tc>
        <w:tc>
          <w:tcPr>
            <w:tcW w:w="3200" w:type="dxa"/>
            <w:vAlign w:val="bottom"/>
          </w:tcPr>
          <w:p>
            <w:pPr>
              <w:spacing w:after="0"/>
              <w:rPr>
                <w:sz w:val="17"/>
                <w:szCs w:val="17"/>
                <w:color w:val="auto"/>
              </w:rPr>
            </w:pP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10.50%</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3200" w:type="dxa"/>
            <w:vAlign w:val="bottom"/>
          </w:tcPr>
          <w:p>
            <w:pPr>
              <w:ind w:left="1400"/>
              <w:spacing w:after="0"/>
              <w:rPr>
                <w:sz w:val="20"/>
                <w:szCs w:val="20"/>
                <w:color w:val="auto"/>
              </w:rPr>
            </w:pPr>
            <w:r>
              <w:rPr>
                <w:rFonts w:ascii="Arial" w:cs="Arial" w:eastAsia="Arial" w:hAnsi="Arial"/>
                <w:sz w:val="18"/>
                <w:szCs w:val="18"/>
                <w:color w:val="auto"/>
                <w:w w:val="96"/>
              </w:rPr>
              <w:t>First-lien loan ($53,953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(incl. 2.38%</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3200" w:type="dxa"/>
            <w:vAlign w:val="bottom"/>
          </w:tcPr>
          <w:p>
            <w:pPr>
              <w:ind w:left="1400"/>
              <w:spacing w:after="0"/>
              <w:rPr>
                <w:sz w:val="20"/>
                <w:szCs w:val="20"/>
                <w:color w:val="auto"/>
              </w:rPr>
            </w:pPr>
            <w:r>
              <w:rPr>
                <w:rFonts w:ascii="Arial" w:cs="Arial" w:eastAsia="Arial" w:hAnsi="Arial"/>
                <w:sz w:val="18"/>
                <w:szCs w:val="18"/>
                <w:color w:val="auto"/>
              </w:rPr>
              <w:t>par, due 8/2020)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PIK)</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8/7/2015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53,246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54,087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w:t>
            </w:r>
          </w:p>
        </w:tc>
        <w:tc>
          <w:tcPr>
            <w:tcW w:w="3200" w:type="dxa"/>
            <w:vAlign w:val="bottom"/>
            <w:shd w:val="clear" w:color="auto" w:fill="CCEEFF"/>
          </w:tcPr>
          <w:p>
            <w:pPr>
              <w:ind w:left="1400"/>
              <w:spacing w:after="0" w:line="201" w:lineRule="exact"/>
              <w:rPr>
                <w:sz w:val="20"/>
                <w:szCs w:val="20"/>
                <w:color w:val="auto"/>
              </w:rPr>
            </w:pPr>
            <w:r>
              <w:rPr>
                <w:rFonts w:ascii="Arial" w:cs="Arial" w:eastAsia="Arial" w:hAnsi="Arial"/>
                <w:sz w:val="18"/>
                <w:szCs w:val="18"/>
                <w:color w:val="auto"/>
                <w:w w:val="96"/>
              </w:rPr>
              <w:t>First-lien loan ($21,704</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par, due 9/2018)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9/12/2013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21,561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21,985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PayLease, LLC</w:t>
            </w:r>
            <w:r>
              <w:rPr>
                <w:rFonts w:ascii="Arial" w:cs="Arial" w:eastAsia="Arial" w:hAnsi="Arial"/>
                <w:sz w:val="15"/>
                <w:szCs w:val="15"/>
                <w:color w:val="auto"/>
              </w:rPr>
              <w:t>(3)</w:t>
            </w:r>
          </w:p>
        </w:tc>
        <w:tc>
          <w:tcPr>
            <w:tcW w:w="3200" w:type="dxa"/>
            <w:vAlign w:val="bottom"/>
          </w:tcPr>
          <w:p>
            <w:pPr>
              <w:ind w:left="1400"/>
              <w:spacing w:after="0" w:line="201" w:lineRule="exact"/>
              <w:rPr>
                <w:sz w:val="20"/>
                <w:szCs w:val="20"/>
                <w:color w:val="auto"/>
              </w:rPr>
            </w:pPr>
            <w:r>
              <w:rPr>
                <w:rFonts w:ascii="Arial" w:cs="Arial" w:eastAsia="Arial" w:hAnsi="Arial"/>
                <w:sz w:val="18"/>
                <w:szCs w:val="18"/>
                <w:color w:val="auto"/>
                <w:w w:val="96"/>
              </w:rPr>
              <w:t>First-lien loan ($34,718</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p>
        </w:tc>
        <w:tc>
          <w:tcPr>
            <w:tcW w:w="3200" w:type="dxa"/>
            <w:vAlign w:val="bottom"/>
          </w:tcPr>
          <w:p>
            <w:pPr>
              <w:ind w:left="1400"/>
              <w:spacing w:after="0"/>
              <w:rPr>
                <w:sz w:val="20"/>
                <w:szCs w:val="20"/>
                <w:color w:val="auto"/>
              </w:rPr>
            </w:pPr>
            <w:r>
              <w:rPr>
                <w:rFonts w:ascii="Arial" w:cs="Arial" w:eastAsia="Arial" w:hAnsi="Arial"/>
                <w:sz w:val="18"/>
                <w:szCs w:val="18"/>
                <w:color w:val="auto"/>
              </w:rPr>
              <w:t>par, due 3/2020)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3/6/2015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34,230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35,016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PaySimple, Inc.</w:t>
            </w:r>
            <w:r>
              <w:rPr>
                <w:rFonts w:ascii="Arial" w:cs="Arial" w:eastAsia="Arial" w:hAnsi="Arial"/>
                <w:sz w:val="15"/>
                <w:szCs w:val="15"/>
                <w:color w:val="auto"/>
              </w:rPr>
              <w:t>(3)</w:t>
            </w:r>
          </w:p>
        </w:tc>
        <w:tc>
          <w:tcPr>
            <w:tcW w:w="3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9.38%</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400" w:type="dxa"/>
            <w:vAlign w:val="bottom"/>
            <w:shd w:val="clear" w:color="auto" w:fill="CCEEFF"/>
          </w:tcPr>
          <w:p>
            <w:pPr>
              <w:spacing w:after="0"/>
              <w:rPr>
                <w:sz w:val="18"/>
                <w:szCs w:val="18"/>
                <w:color w:val="auto"/>
              </w:rPr>
            </w:pP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6"/>
              </w:rPr>
              <w:t>First-lien loan ($30,029</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(incl. 1.75%</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p>
        </w:tc>
        <w:tc>
          <w:tcPr>
            <w:tcW w:w="32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par, due 3/2022)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PIK)</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3/7/2017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Smarsh, Inc.</w:t>
            </w:r>
            <w:r>
              <w:rPr>
                <w:rFonts w:ascii="Arial" w:cs="Arial" w:eastAsia="Arial" w:hAnsi="Arial"/>
                <w:sz w:val="15"/>
                <w:szCs w:val="15"/>
                <w:color w:val="auto"/>
              </w:rPr>
              <w:t>(3)(5)</w:t>
            </w:r>
          </w:p>
        </w:tc>
        <w:tc>
          <w:tcPr>
            <w:tcW w:w="3200" w:type="dxa"/>
            <w:vAlign w:val="bottom"/>
          </w:tcPr>
          <w:p>
            <w:pPr>
              <w:ind w:left="1400"/>
              <w:spacing w:after="0" w:line="201" w:lineRule="exact"/>
              <w:rPr>
                <w:sz w:val="20"/>
                <w:szCs w:val="20"/>
                <w:color w:val="auto"/>
              </w:rPr>
            </w:pPr>
            <w:r>
              <w:rPr>
                <w:rFonts w:ascii="Arial" w:cs="Arial" w:eastAsia="Arial" w:hAnsi="Arial"/>
                <w:sz w:val="18"/>
                <w:szCs w:val="18"/>
                <w:color w:val="auto"/>
                <w:w w:val="96"/>
              </w:rPr>
              <w:t>First-lien loan ($30,000</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p>
        </w:tc>
        <w:tc>
          <w:tcPr>
            <w:tcW w:w="3200" w:type="dxa"/>
            <w:vAlign w:val="bottom"/>
          </w:tcPr>
          <w:p>
            <w:pPr>
              <w:ind w:left="1400"/>
              <w:spacing w:after="0"/>
              <w:rPr>
                <w:sz w:val="20"/>
                <w:szCs w:val="20"/>
                <w:color w:val="auto"/>
              </w:rPr>
            </w:pPr>
            <w:r>
              <w:rPr>
                <w:rFonts w:ascii="Arial" w:cs="Arial" w:eastAsia="Arial" w:hAnsi="Arial"/>
                <w:sz w:val="18"/>
                <w:szCs w:val="18"/>
                <w:color w:val="auto"/>
              </w:rPr>
              <w:t>par, due 1/2021)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1/7/2016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29,375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30,675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3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189,359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193,557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372"/>
        </w:trPr>
        <w:tc>
          <w:tcPr>
            <w:tcW w:w="3400" w:type="dxa"/>
            <w:vAlign w:val="bottom"/>
          </w:tcPr>
          <w:p>
            <w:pPr>
              <w:spacing w:after="0"/>
              <w:rPr>
                <w:sz w:val="24"/>
                <w:szCs w:val="24"/>
                <w:color w:val="auto"/>
              </w:rPr>
            </w:pPr>
          </w:p>
        </w:tc>
        <w:tc>
          <w:tcPr>
            <w:tcW w:w="3200" w:type="dxa"/>
            <w:vAlign w:val="bottom"/>
          </w:tcPr>
          <w:p>
            <w:pPr>
              <w:ind w:left="2180"/>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720" w:type="dxa"/>
            <w:vAlign w:val="bottom"/>
          </w:tcPr>
          <w:p>
            <w:pPr>
              <w:spacing w:after="0"/>
              <w:rPr>
                <w:sz w:val="12"/>
                <w:szCs w:val="12"/>
                <w:color w:val="auto"/>
              </w:rPr>
            </w:pPr>
          </w:p>
        </w:tc>
        <w:tc>
          <w:tcPr>
            <w:tcW w:w="18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Healthcare</w:t>
            </w:r>
          </w:p>
        </w:tc>
        <w:tc>
          <w:tcPr>
            <w:tcW w:w="7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(3)(4)</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rPr>
              <w:t>First-lien loan (EUR</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45,184</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w w:val="93"/>
              </w:rPr>
              <w:t>40,043 par, due 9/2019)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47,288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(EUR 42,245)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720"/>
              <w:spacing w:after="0" w:line="201" w:lineRule="exact"/>
              <w:rPr>
                <w:sz w:val="20"/>
                <w:szCs w:val="20"/>
                <w:color w:val="auto"/>
              </w:rPr>
            </w:pPr>
            <w:r>
              <w:rPr>
                <w:rFonts w:ascii="Arial" w:cs="Arial" w:eastAsia="Arial" w:hAnsi="Arial"/>
                <w:sz w:val="18"/>
                <w:szCs w:val="18"/>
                <w:color w:val="auto"/>
              </w:rPr>
              <w:t>First-lien revolving</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loan (EUR 300 par,</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due 9/2019)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9/30/2014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(EUR 520)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MatrixCare, Inc.</w:t>
            </w:r>
            <w:r>
              <w:rPr>
                <w:rFonts w:ascii="Arial" w:cs="Arial" w:eastAsia="Arial" w:hAnsi="Arial"/>
                <w:sz w:val="15"/>
                <w:szCs w:val="15"/>
                <w:color w:val="auto"/>
              </w:rPr>
              <w:t>(3)(5)</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97"/>
              </w:rPr>
              <w:t>First-lien loan ($44,550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12/2021)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12/17/2015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43,877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45,330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MedeAnalytics, Inc.</w:t>
            </w:r>
            <w:r>
              <w:rPr>
                <w:rFonts w:ascii="Arial" w:cs="Arial" w:eastAsia="Arial" w:hAnsi="Arial"/>
                <w:sz w:val="15"/>
                <w:szCs w:val="15"/>
                <w:color w:val="auto"/>
              </w:rPr>
              <w:t>(3)(5)</w:t>
            </w:r>
          </w:p>
        </w:tc>
        <w:tc>
          <w:tcPr>
            <w:tcW w:w="7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9.65%</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7"/>
              </w:rPr>
              <w:t>First-lien loan ($47,486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(incl. 2.50%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par, due 9/2020)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46,404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Quantros, Inc.</w:t>
            </w:r>
            <w:r>
              <w:rPr>
                <w:rFonts w:ascii="Arial" w:cs="Arial" w:eastAsia="Arial" w:hAnsi="Arial"/>
                <w:sz w:val="15"/>
                <w:szCs w:val="15"/>
                <w:color w:val="auto"/>
              </w:rPr>
              <w:t>(3)(5)</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97"/>
              </w:rPr>
              <w:t>First-lien loan ($29,700</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2/2021)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2/29/2016</w:t>
            </w:r>
          </w:p>
        </w:tc>
        <w:tc>
          <w:tcPr>
            <w:tcW w:w="660" w:type="dxa"/>
            <w:vAlign w:val="bottom"/>
          </w:tcPr>
          <w:p>
            <w:pPr>
              <w:jc w:val="right"/>
              <w:spacing w:after="0"/>
              <w:rPr>
                <w:sz w:val="20"/>
                <w:szCs w:val="20"/>
                <w:color w:val="auto"/>
              </w:rPr>
            </w:pPr>
            <w:r>
              <w:rPr>
                <w:rFonts w:ascii="Arial" w:cs="Arial" w:eastAsia="Arial" w:hAnsi="Arial"/>
                <w:sz w:val="18"/>
                <w:szCs w:val="18"/>
                <w:color w:val="auto"/>
              </w:rPr>
              <w:t>28,862</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30,443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166,693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3660" w:type="dxa"/>
            <w:vAlign w:val="bottom"/>
            <w:gridSpan w:val="2"/>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CrunchTime Information</w:t>
            </w:r>
          </w:p>
        </w:tc>
        <w:tc>
          <w:tcPr>
            <w:tcW w:w="7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9.28%</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Inc.</w:t>
            </w:r>
            <w:r>
              <w:rPr>
                <w:rFonts w:ascii="Arial" w:cs="Arial" w:eastAsia="Arial" w:hAnsi="Arial"/>
                <w:sz w:val="15"/>
                <w:szCs w:val="15"/>
                <w:color w:val="auto"/>
              </w:rPr>
              <w:t>(3)</w:t>
            </w: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7"/>
              </w:rPr>
              <w:t>First-lien loan ($26,112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(incl. 2.50%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par, due 4/2020)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(3)(7)</w:t>
            </w: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10.65%</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w w:val="97"/>
              </w:rPr>
              <w:t>First-lien loan ($21,581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(incl. 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9/2019)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9/29/2015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21,581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17,697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720"/>
              <w:spacing w:after="0" w:line="201" w:lineRule="exact"/>
              <w:rPr>
                <w:sz w:val="20"/>
                <w:szCs w:val="20"/>
                <w:color w:val="auto"/>
              </w:rPr>
            </w:pPr>
            <w:r>
              <w:rPr>
                <w:rFonts w:ascii="Arial" w:cs="Arial" w:eastAsia="Arial" w:hAnsi="Arial"/>
                <w:sz w:val="18"/>
                <w:szCs w:val="18"/>
                <w:color w:val="auto"/>
              </w:rPr>
              <w:t>First-lien revolving</w:t>
            </w:r>
          </w:p>
        </w:tc>
        <w:tc>
          <w:tcPr>
            <w:tcW w:w="11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10.65%</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loan ($16,703 par,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(incl. 5.00%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due 9/2019)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64,042</w:t>
            </w:r>
          </w:p>
        </w:tc>
        <w:tc>
          <w:tcPr>
            <w:tcW w:w="1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57,786</w:t>
            </w:r>
          </w:p>
        </w:tc>
        <w:tc>
          <w:tcPr>
            <w:tcW w:w="22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Human resource support services</w:t>
            </w:r>
          </w:p>
        </w:tc>
        <w:tc>
          <w:tcPr>
            <w:tcW w:w="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(3)(5)</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97"/>
              </w:rPr>
              <w:t>First-lien loan ($54,038</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3/2021)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3/30/2015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53,566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55,523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Skillsoft</w:t>
            </w:r>
            <w:r>
              <w:rPr>
                <w:rFonts w:ascii="Arial" w:cs="Arial" w:eastAsia="Arial" w:hAnsi="Arial"/>
                <w:sz w:val="15"/>
                <w:szCs w:val="15"/>
                <w:color w:val="auto"/>
              </w:rPr>
              <w:t>(3)</w:t>
            </w:r>
          </w:p>
        </w:tc>
        <w:tc>
          <w:tcPr>
            <w:tcW w:w="2540" w:type="dxa"/>
            <w:vAlign w:val="bottom"/>
            <w:gridSpan w:val="3"/>
            <w:shd w:val="clear" w:color="auto" w:fill="CCEEFF"/>
          </w:tcPr>
          <w:p>
            <w:pPr>
              <w:ind w:left="720"/>
              <w:spacing w:after="0" w:line="201" w:lineRule="exact"/>
              <w:rPr>
                <w:sz w:val="20"/>
                <w:szCs w:val="20"/>
                <w:color w:val="auto"/>
              </w:rPr>
            </w:pPr>
            <w:r>
              <w:rPr>
                <w:rFonts w:ascii="Arial" w:cs="Arial" w:eastAsia="Arial" w:hAnsi="Arial"/>
                <w:sz w:val="18"/>
                <w:szCs w:val="18"/>
                <w:color w:val="auto"/>
              </w:rPr>
              <w:t>First-lien loan ($8,616</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par, due 4/2021)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60,484</w:t>
            </w:r>
          </w:p>
        </w:tc>
        <w:tc>
          <w:tcPr>
            <w:tcW w:w="1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63,434</w:t>
            </w:r>
          </w:p>
        </w:tc>
        <w:tc>
          <w:tcPr>
            <w:tcW w:w="22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Insurance</w:t>
            </w:r>
          </w:p>
        </w:tc>
        <w:tc>
          <w:tcPr>
            <w:tcW w:w="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(3)(5)</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97"/>
              </w:rPr>
              <w:t>First-lien loan ($64,564</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10/2020)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10/31/2014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64,041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65,209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Office products</w:t>
            </w:r>
          </w:p>
        </w:tc>
        <w:tc>
          <w:tcPr>
            <w:tcW w:w="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w:t>
            </w:r>
          </w:p>
        </w:tc>
        <w:tc>
          <w:tcPr>
            <w:tcW w:w="2540" w:type="dxa"/>
            <w:vAlign w:val="bottom"/>
            <w:gridSpan w:val="3"/>
          </w:tcPr>
          <w:p>
            <w:pPr>
              <w:ind w:left="720"/>
              <w:spacing w:after="0" w:line="201" w:lineRule="exact"/>
              <w:rPr>
                <w:sz w:val="20"/>
                <w:szCs w:val="20"/>
                <w:color w:val="auto"/>
              </w:rPr>
            </w:pPr>
            <w:r>
              <w:rPr>
                <w:rFonts w:ascii="Arial" w:cs="Arial" w:eastAsia="Arial" w:hAnsi="Arial"/>
                <w:sz w:val="18"/>
                <w:szCs w:val="18"/>
                <w:color w:val="auto"/>
                <w:w w:val="97"/>
              </w:rPr>
              <w:t>First-lien loan ($36,435</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gridSpan w:val="3"/>
          </w:tcPr>
          <w:p>
            <w:pPr>
              <w:ind w:left="720"/>
              <w:spacing w:after="0"/>
              <w:rPr>
                <w:sz w:val="20"/>
                <w:szCs w:val="20"/>
                <w:color w:val="auto"/>
              </w:rPr>
            </w:pPr>
            <w:r>
              <w:rPr>
                <w:rFonts w:ascii="Arial" w:cs="Arial" w:eastAsia="Arial" w:hAnsi="Arial"/>
                <w:sz w:val="18"/>
                <w:szCs w:val="18"/>
                <w:color w:val="auto"/>
              </w:rPr>
              <w:t>par, due 3/2019)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36,290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36,630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40" w:type="dxa"/>
            <w:vAlign w:val="bottom"/>
            <w:gridSpan w:val="2"/>
          </w:tcPr>
          <w:p>
            <w:pPr>
              <w:ind w:left="19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Oil,</w:t>
            </w: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gas and consumable fuels</w:t>
            </w: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(3)(7)(10)</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13.00%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First-lien loan ($53,380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(incl. 1.50%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PIK)</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6/4/2014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52,864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30,574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Pharmaceuticals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Ironwood Pharmaceuticals, Inc.</w:t>
            </w:r>
            <w:r>
              <w:rPr>
                <w:rFonts w:ascii="Arial" w:cs="Arial" w:eastAsia="Arial" w:hAnsi="Arial"/>
                <w:sz w:val="15"/>
                <w:szCs w:val="15"/>
                <w:color w:val="auto"/>
              </w:rPr>
              <w:t>(4)(5)(9)</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Secured note ($33,333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par, due 9/2026)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8.38%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1/5/2017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33,183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33,166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Model N, Inc.</w:t>
            </w:r>
            <w:r>
              <w:rPr>
                <w:rFonts w:ascii="Arial" w:cs="Arial" w:eastAsia="Arial" w:hAnsi="Arial"/>
                <w:sz w:val="15"/>
                <w:szCs w:val="15"/>
                <w:color w:val="auto"/>
              </w:rPr>
              <w:t>(3)(4)</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($30,000</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1/2022)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29,423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Nektar Therapeutics</w:t>
            </w:r>
            <w:r>
              <w:rPr>
                <w:rFonts w:ascii="Arial" w:cs="Arial" w:eastAsia="Arial" w:hAnsi="Arial"/>
                <w:sz w:val="15"/>
                <w:szCs w:val="15"/>
                <w:color w:val="auto"/>
              </w:rPr>
              <w:t>(4)(5)(9)</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Secured note ($74,950</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par, due 10/2020)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10/5/2015</w:t>
            </w:r>
          </w:p>
        </w:tc>
        <w:tc>
          <w:tcPr>
            <w:tcW w:w="800" w:type="dxa"/>
            <w:vAlign w:val="bottom"/>
          </w:tcPr>
          <w:p>
            <w:pPr>
              <w:jc w:val="right"/>
              <w:spacing w:after="0"/>
              <w:rPr>
                <w:sz w:val="20"/>
                <w:szCs w:val="20"/>
                <w:color w:val="auto"/>
              </w:rPr>
            </w:pPr>
            <w:r>
              <w:rPr>
                <w:rFonts w:ascii="Arial" w:cs="Arial" w:eastAsia="Arial" w:hAnsi="Arial"/>
                <w:sz w:val="18"/>
                <w:szCs w:val="18"/>
                <w:color w:val="auto"/>
              </w:rPr>
              <w:t>74,227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75,700</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Arial" w:cs="Arial" w:eastAsia="Arial" w:hAnsi="Arial"/>
                <w:sz w:val="18"/>
                <w:szCs w:val="18"/>
                <w:b w:val="1"/>
                <w:bCs w:val="1"/>
                <w:color w:val="auto"/>
              </w:rPr>
              <w:t>Retail and consumer products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American Achievement</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($23,729</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r>
              <w:rPr>
                <w:rFonts w:ascii="Arial" w:cs="Arial" w:eastAsia="Arial" w:hAnsi="Arial"/>
                <w:sz w:val="15"/>
                <w:szCs w:val="15"/>
                <w:color w:val="auto"/>
              </w:rPr>
              <w:t>(3)(5)</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9/2020)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9/30/2015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Eddie Bauer LLC</w:t>
            </w:r>
            <w:r>
              <w:rPr>
                <w:rFonts w:ascii="Arial" w:cs="Arial" w:eastAsia="Arial" w:hAnsi="Arial"/>
                <w:sz w:val="15"/>
                <w:szCs w:val="15"/>
                <w:color w:val="auto"/>
              </w:rPr>
              <w:t>(3)</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($28,000 par, due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6/2019)</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3/31/2017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27,440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27,400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Destination Maternity</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r>
              <w:rPr>
                <w:rFonts w:ascii="Arial" w:cs="Arial" w:eastAsia="Arial" w:hAnsi="Arial"/>
                <w:sz w:val="15"/>
                <w:szCs w:val="15"/>
                <w:color w:val="auto"/>
              </w:rPr>
              <w:t>(3)(5)</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($16,914 par, due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3/2021)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3/25/2016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16,582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Payless Inc.</w:t>
            </w:r>
            <w:r>
              <w:rPr>
                <w:rFonts w:ascii="Arial" w:cs="Arial" w:eastAsia="Arial" w:hAnsi="Arial"/>
                <w:sz w:val="15"/>
                <w:szCs w:val="15"/>
                <w:color w:val="auto"/>
              </w:rPr>
              <w:t>(3)</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($50,000 par, due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3/2019)</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10/3/2016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48,867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53,250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Sears</w:t>
            </w:r>
            <w:r>
              <w:rPr>
                <w:rFonts w:ascii="Arial" w:cs="Arial" w:eastAsia="Arial" w:hAnsi="Arial"/>
                <w:sz w:val="15"/>
                <w:szCs w:val="15"/>
                <w:color w:val="auto"/>
              </w:rPr>
              <w:t>(3)(4)(6)</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ABL loan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($17,296 par, due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7/2020)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3/18/2016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Sears Canada Inc.</w:t>
            </w:r>
            <w:r>
              <w:rPr>
                <w:rFonts w:ascii="Arial" w:cs="Arial" w:eastAsia="Arial" w:hAnsi="Arial"/>
                <w:sz w:val="15"/>
                <w:szCs w:val="15"/>
                <w:color w:val="auto"/>
              </w:rPr>
              <w:t>(3)(4)</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First-lien ABL loan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($20,884 par, due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3/2022)</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3/20/2017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20,364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20,362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($20,500 par,</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10/9/2014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174,006</w:t>
            </w:r>
          </w:p>
        </w:tc>
        <w:tc>
          <w:tcPr>
            <w:tcW w:w="16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179,694</w:t>
            </w:r>
          </w:p>
        </w:tc>
        <w:tc>
          <w:tcPr>
            <w:tcW w:w="16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Transportation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($12,671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par, due 1/2019)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3/17/2015</w:t>
            </w:r>
          </w:p>
        </w:tc>
        <w:tc>
          <w:tcPr>
            <w:tcW w:w="800" w:type="dxa"/>
            <w:vAlign w:val="bottom"/>
          </w:tcPr>
          <w:p>
            <w:pPr>
              <w:jc w:val="right"/>
              <w:spacing w:after="0"/>
              <w:rPr>
                <w:sz w:val="20"/>
                <w:szCs w:val="20"/>
                <w:color w:val="auto"/>
              </w:rPr>
            </w:pPr>
            <w:r>
              <w:rPr>
                <w:rFonts w:ascii="Arial" w:cs="Arial" w:eastAsia="Arial" w:hAnsi="Arial"/>
                <w:sz w:val="18"/>
                <w:szCs w:val="18"/>
                <w:color w:val="auto"/>
              </w:rPr>
              <w:t>12,205</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12,397</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 Investments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1,556,847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1,560,022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0" w:type="dxa"/>
            <w:vAlign w:val="bottom"/>
          </w:tcPr>
          <w:p>
            <w:pPr>
              <w:ind w:left="10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Initial</w:t>
            </w:r>
          </w:p>
        </w:tc>
        <w:tc>
          <w:tcPr>
            <w:tcW w:w="8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80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Other Investments</w:t>
            </w:r>
          </w:p>
        </w:tc>
        <w:tc>
          <w:tcPr>
            <w:tcW w:w="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Chemicals</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Common Units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(2,672,990 units)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10/31/2016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services</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AvidXchange, Inc.</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Series E Preferred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96"/>
              </w:rPr>
              <w:t>Equity (214,132 shares)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8/7/2015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66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Non-Voting Preferred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60" w:type="dxa"/>
            <w:vAlign w:val="bottom"/>
            <w:gridSpan w:val="3"/>
          </w:tcPr>
          <w:p>
            <w:pPr>
              <w:ind w:left="800"/>
              <w:spacing w:after="0"/>
              <w:rPr>
                <w:sz w:val="20"/>
                <w:szCs w:val="20"/>
                <w:color w:val="auto"/>
              </w:rPr>
            </w:pPr>
            <w:r>
              <w:rPr>
                <w:rFonts w:ascii="Arial" w:cs="Arial" w:eastAsia="Arial" w:hAnsi="Arial"/>
                <w:sz w:val="18"/>
                <w:szCs w:val="18"/>
                <w:color w:val="auto"/>
              </w:rPr>
              <w:t>Units (774,099 units)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9/12/2013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780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TICC Capital Corp.</w:t>
            </w:r>
            <w:r>
              <w:rPr>
                <w:rFonts w:ascii="Arial" w:cs="Arial" w:eastAsia="Arial" w:hAnsi="Arial"/>
                <w:sz w:val="15"/>
                <w:szCs w:val="15"/>
                <w:color w:val="auto"/>
              </w:rPr>
              <w:t>(4)</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w w:val="96"/>
              </w:rPr>
              <w:t>Common Shares (1,059</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shares)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8/5/2015</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4,633</w:t>
            </w:r>
          </w:p>
        </w:tc>
        <w:tc>
          <w:tcPr>
            <w:tcW w:w="16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7,529</w:t>
            </w:r>
          </w:p>
        </w:tc>
        <w:tc>
          <w:tcPr>
            <w:tcW w:w="220" w:type="dxa"/>
            <w:vAlign w:val="bottom"/>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w:t>
            </w: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w:t>
            </w:r>
          </w:p>
        </w:tc>
        <w:tc>
          <w:tcPr>
            <w:tcW w:w="266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40" w:type="dxa"/>
            <w:vAlign w:val="bottom"/>
            <w:gridSpan w:val="3"/>
          </w:tcPr>
          <w:p>
            <w:pPr>
              <w:spacing w:after="0"/>
              <w:rPr>
                <w:sz w:val="20"/>
                <w:szCs w:val="20"/>
                <w:color w:val="auto"/>
              </w:rPr>
            </w:pPr>
            <w:r>
              <w:rPr>
                <w:rFonts w:ascii="Arial" w:cs="Arial" w:eastAsia="Arial" w:hAnsi="Arial"/>
                <w:sz w:val="18"/>
                <w:szCs w:val="18"/>
                <w:color w:val="auto"/>
              </w:rPr>
              <w:t>LLC</w:t>
            </w:r>
          </w:p>
        </w:tc>
        <w:tc>
          <w:tcPr>
            <w:tcW w:w="2660" w:type="dxa"/>
            <w:vAlign w:val="bottom"/>
            <w:gridSpan w:val="3"/>
          </w:tcPr>
          <w:p>
            <w:pPr>
              <w:ind w:left="800"/>
              <w:spacing w:after="0"/>
              <w:rPr>
                <w:sz w:val="20"/>
                <w:szCs w:val="20"/>
                <w:color w:val="auto"/>
              </w:rPr>
            </w:pPr>
            <w:r>
              <w:rPr>
                <w:rFonts w:ascii="Arial" w:cs="Arial" w:eastAsia="Arial" w:hAnsi="Arial"/>
                <w:sz w:val="18"/>
                <w:szCs w:val="18"/>
                <w:color w:val="auto"/>
              </w:rPr>
              <w:t>Class A (358 shares)</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3/11/2014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Class B (196 shares)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3/11/2014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(4)</w:t>
            </w:r>
          </w:p>
        </w:tc>
        <w:tc>
          <w:tcPr>
            <w:tcW w:w="266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Warrants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904</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9/30/2014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877</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(EUR 845)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Class A (1,980 shares)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12/28/2012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6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60" w:type="dxa"/>
            <w:vAlign w:val="bottom"/>
            <w:gridSpan w:val="3"/>
          </w:tcPr>
          <w:p>
            <w:pPr>
              <w:ind w:left="800"/>
              <w:spacing w:after="0"/>
              <w:rPr>
                <w:sz w:val="20"/>
                <w:szCs w:val="20"/>
                <w:color w:val="auto"/>
              </w:rPr>
            </w:pPr>
            <w:r>
              <w:rPr>
                <w:rFonts w:ascii="Arial" w:cs="Arial" w:eastAsia="Arial" w:hAnsi="Arial"/>
                <w:sz w:val="18"/>
                <w:szCs w:val="18"/>
                <w:color w:val="auto"/>
              </w:rPr>
              <w:t>Class B (2,953,020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60" w:type="dxa"/>
            <w:vAlign w:val="bottom"/>
            <w:gridSpan w:val="3"/>
          </w:tcPr>
          <w:p>
            <w:pPr>
              <w:ind w:left="800"/>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12/28/2012</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(7)</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Class A Units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(5,000,000 units)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9/29/2015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6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Class C-1 Units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60" w:type="dxa"/>
            <w:vAlign w:val="bottom"/>
            <w:gridSpan w:val="3"/>
          </w:tcPr>
          <w:p>
            <w:pPr>
              <w:ind w:left="800"/>
              <w:spacing w:after="0"/>
              <w:rPr>
                <w:sz w:val="20"/>
                <w:szCs w:val="20"/>
                <w:color w:val="auto"/>
              </w:rPr>
            </w:pPr>
            <w:r>
              <w:rPr>
                <w:rFonts w:ascii="Arial" w:cs="Arial" w:eastAsia="Arial" w:hAnsi="Arial"/>
                <w:sz w:val="18"/>
                <w:szCs w:val="18"/>
                <w:color w:val="auto"/>
              </w:rPr>
              <w:t>(8,800,000 units)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9/29/2015</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Oil, gas and consumable fuels</w:t>
            </w:r>
          </w:p>
        </w:tc>
        <w:tc>
          <w:tcPr>
            <w:tcW w:w="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(7)(10)</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Class A Member Units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(933 units)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6/4/2014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Symphony CLO XV, Ltd.</w:t>
            </w:r>
            <w:r>
              <w:rPr>
                <w:rFonts w:ascii="Arial" w:cs="Arial" w:eastAsia="Arial" w:hAnsi="Arial"/>
                <w:sz w:val="15"/>
                <w:szCs w:val="15"/>
                <w:color w:val="auto"/>
              </w:rPr>
              <w:t>(4)(6)</w:t>
            </w:r>
          </w:p>
        </w:tc>
        <w:tc>
          <w:tcPr>
            <w:tcW w:w="266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Structured Product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(Class F Notes)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6.77%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11/17/2014</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Equity and Other Investments</w:t>
            </w: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30,226</w:t>
            </w:r>
          </w:p>
        </w:tc>
        <w:tc>
          <w:tcPr>
            <w:tcW w:w="16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20,256</w:t>
            </w:r>
          </w:p>
        </w:tc>
        <w:tc>
          <w:tcPr>
            <w:tcW w:w="220" w:type="dxa"/>
            <w:vAlign w:val="bottom"/>
            <w:vMerge w:val="continue"/>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1,587,073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1,580,278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60" w:type="dxa"/>
            <w:vAlign w:val="bottom"/>
            <w:gridSpan w:val="2"/>
            <w:vMerge w:val="restart"/>
          </w:tcPr>
          <w:p>
            <w:pPr>
              <w:ind w:left="16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75"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92"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we may not acquire any non-qualifying asset unless, at the time such acquisition is made, qualifying assets represent at least 70% of total assets. Non-qualifying assets represented 15.9% of total assets as of March 31, 2017.</w:t>
      </w:r>
    </w:p>
    <w:p>
      <w:pPr>
        <w:spacing w:after="0" w:line="8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 and we hold the “last out” tranche.</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30" w:lineRule="exact"/>
        <w:rPr>
          <w:rFonts w:ascii="Arial" w:cs="Arial" w:eastAsia="Arial" w:hAnsi="Arial"/>
          <w:sz w:val="18"/>
          <w:szCs w:val="18"/>
          <w:color w:val="auto"/>
        </w:rPr>
      </w:pPr>
    </w:p>
    <w:p>
      <w:pPr>
        <w:ind w:left="460" w:right="20" w:hanging="452"/>
        <w:spacing w:after="0" w:line="279"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have the power to exercise control over management or policies of such portfolio company (including through a management agreement). Transactions during the three months ended March 31, 2017 in which the issuer was an Affiliated Person of and was deemed to Control a portfolio company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960" w:type="dxa"/>
            <w:vAlign w:val="bottom"/>
            <w:gridSpan w:val="17"/>
          </w:tcPr>
          <w:p>
            <w:pPr>
              <w:ind w:left="600"/>
              <w:spacing w:after="0"/>
              <w:rPr>
                <w:sz w:val="20"/>
                <w:szCs w:val="20"/>
                <w:color w:val="auto"/>
              </w:rPr>
            </w:pPr>
            <w:r>
              <w:rPr>
                <w:rFonts w:ascii="Arial" w:cs="Arial" w:eastAsia="Arial" w:hAnsi="Arial"/>
                <w:sz w:val="14"/>
                <w:szCs w:val="14"/>
                <w:b w:val="1"/>
                <w:bCs w:val="1"/>
                <w:color w:val="auto"/>
                <w:w w:val="99"/>
              </w:rPr>
              <w:t>Controlled, Affiliated Investments during the three months ended March 31, 2017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3"/>
              </w:rPr>
              <w:t>Gross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Realized</w:t>
            </w:r>
          </w:p>
        </w:tc>
        <w:tc>
          <w:tcPr>
            <w:tcW w:w="3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24"/>
                <w:szCs w:val="24"/>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4"/>
                <w:szCs w:val="2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Additions</w:t>
            </w:r>
            <w:r>
              <w:rPr>
                <w:rFonts w:ascii="Arial" w:cs="Arial" w:eastAsia="Arial" w:hAnsi="Arial"/>
                <w:sz w:val="12"/>
                <w:szCs w:val="12"/>
                <w:b w:val="1"/>
                <w:bCs w:val="1"/>
                <w:color w:val="auto"/>
                <w:w w:val="90"/>
              </w:rPr>
              <w:t>(a)</w:t>
            </w: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r>
              <w:rPr>
                <w:rFonts w:ascii="Arial" w:cs="Arial" w:eastAsia="Arial" w:hAnsi="Arial"/>
                <w:sz w:val="12"/>
                <w:szCs w:val="12"/>
                <w:b w:val="1"/>
                <w:bCs w:val="1"/>
                <w:color w:val="auto"/>
              </w:rPr>
              <w:t>(b)</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(Losses)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2"/>
              </w:rPr>
              <w:t>Mississippi</w:t>
            </w:r>
          </w:p>
        </w:tc>
        <w:tc>
          <w:tcPr>
            <w:tcW w:w="1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Resources, LLC</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7"/>
              </w:rPr>
              <w:t>(1,646)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(5,096)</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31,974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31,539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65,859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(1,646)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(7,749)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62,113</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400" w:hanging="446"/>
        <w:spacing w:after="0" w:line="277"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March 31, 2017, the tax cost of our investments approximates their amortized cost.</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Notes contain a fixed rate structure. We entered into an interest rate swap agreement to swap to a floating rate. Refer to Note 5 for further information related to our interest rate swaps.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 on non-accrual as of March 31,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2018 annual meeting of stockholders, the term of our Class II director will expire at the 2019 annual meeting of stockholders and the terms of our Class III directors will expire at the 2022 annual meeting of stockholders.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2019). Messrs. Easterly and Fishman serve as Class III directors (with a term expiring in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vMerge w:val="restart"/>
          </w:tcPr>
          <w:p>
            <w:pPr>
              <w:spacing w:after="0"/>
              <w:rPr>
                <w:sz w:val="14"/>
                <w:szCs w:val="14"/>
                <w:color w:val="auto"/>
              </w:rPr>
            </w:pPr>
          </w:p>
        </w:tc>
        <w:tc>
          <w:tcPr>
            <w:tcW w:w="5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340" w:type="dxa"/>
            <w:vAlign w:val="bottom"/>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Expiration</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5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 Term</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Since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5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2018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57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5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2019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57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Chairman, Director and Co-Chief Executive Officer</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2022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57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Director and Co-Chief Executive Officer</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TSLX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Joshua Easterly </w:t>
      </w:r>
      <w:r>
        <w:rPr>
          <w:rFonts w:ascii="Arial" w:cs="Arial" w:eastAsia="Arial" w:hAnsi="Arial"/>
          <w:sz w:val="17"/>
          <w:szCs w:val="17"/>
          <w:color w:val="auto"/>
        </w:rPr>
        <w:t>was appointed Co-Chief Executive Officer in December 2013 and elected a director and Chairman of TSLX in March 2011.</w:t>
      </w:r>
      <w:r>
        <w:rPr>
          <w:rFonts w:ascii="Arial" w:cs="Arial" w:eastAsia="Arial" w:hAnsi="Arial"/>
          <w:sz w:val="17"/>
          <w:szCs w:val="17"/>
          <w:b w:val="1"/>
          <w:bCs w:val="1"/>
          <w:color w:val="auto"/>
        </w:rPr>
        <w:t xml:space="preserve"> </w:t>
      </w:r>
      <w:r>
        <w:rPr>
          <w:rFonts w:ascii="Arial" w:cs="Arial" w:eastAsia="Arial" w:hAnsi="Arial"/>
          <w:sz w:val="17"/>
          <w:szCs w:val="17"/>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holds a Bachelor of Science in Business Administration, magna cum laude, from California State University, Fresno. Mr. Easterly’s depth of experience investing in a variety of distressed and special situations transactions, as well as his extensive knowledge of the business and operations of TSSP, provides the Board with valuable insight and expertise.</w:t>
      </w:r>
    </w:p>
    <w:p>
      <w:pPr>
        <w:spacing w:after="0" w:line="17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TSLX in April 2011 and became Co-Chief Executive Officer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2013. Mr. Fishman is a TPG and TSSP Partner. He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4"/>
                <w:szCs w:val="14"/>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6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Position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80" w:type="dxa"/>
            <w:vAlign w:val="bottom"/>
            <w:gridSpan w:val="2"/>
            <w:vMerge w:val="continue"/>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vMerge w:val="continue"/>
            <w:shd w:val="clear" w:color="auto" w:fill="CCEEFF"/>
          </w:tcPr>
          <w:p>
            <w:pPr>
              <w:spacing w:after="0"/>
              <w:rPr>
                <w:sz w:val="18"/>
                <w:szCs w:val="18"/>
                <w:color w:val="auto"/>
              </w:rPr>
            </w:pPr>
          </w:p>
        </w:tc>
        <w:tc>
          <w:tcPr>
            <w:tcW w:w="6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Chief Compliance Officer, Vice President and Secretary</w:t>
            </w:r>
          </w:p>
        </w:tc>
        <w:tc>
          <w:tcPr>
            <w:tcW w:w="220" w:type="dxa"/>
            <w:vAlign w:val="bottom"/>
            <w:vMerge w:val="continue"/>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Principal Accounting Officer</w:t>
            </w:r>
          </w:p>
        </w:tc>
        <w:tc>
          <w:tcPr>
            <w:tcW w:w="50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Hamrah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Simmonds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Steiglehner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Vice President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Ms. Gordon is a Partner and the Chief Compliance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Deputy Chief Operating Officer of TSSP. Prior to joining TSSP, from 2004 to 2014, she held various positions at Goldman, Sachs &amp; Co., including most recently as Co-Head of Americas Securities Division Compliance. Ms. Gordon holds a J.D. from Fordham University School of Law and B.A. from the University of Michigan.</w:t>
      </w:r>
    </w:p>
    <w:p>
      <w:pPr>
        <w:spacing w:after="0" w:line="18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a Vice President and Principal Accounting Officer of TSLX. Mr. Graf has been TSLX’s Controller since 2013. From 2010 to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Graf holds a B.S. in Finance and Accounting from the Leonard N. Stern School of Business at New York University. He is a Certified Public Accountant.</w:t>
      </w:r>
    </w:p>
    <w:p>
      <w:pPr>
        <w:spacing w:after="0" w:line="351"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Craig Hamrah </w:t>
      </w:r>
      <w:r>
        <w:rPr>
          <w:rFonts w:ascii="Arial" w:cs="Arial" w:eastAsia="Arial" w:hAnsi="Arial"/>
          <w:sz w:val="16"/>
          <w:szCs w:val="16"/>
          <w:color w:val="auto"/>
        </w:rPr>
        <w:t>is a Vice President, Senior Credit Underwriter of the Adviser and Managing Director of TSSP. Mr. Hamrah was previously with Silver</w:t>
      </w:r>
      <w:r>
        <w:rPr>
          <w:rFonts w:ascii="Arial" w:cs="Arial" w:eastAsia="Arial" w:hAnsi="Arial"/>
          <w:sz w:val="16"/>
          <w:szCs w:val="16"/>
          <w:b w:val="1"/>
          <w:bCs w:val="1"/>
          <w:color w:val="auto"/>
        </w:rPr>
        <w:t xml:space="preserve"> </w:t>
      </w:r>
      <w:r>
        <w:rPr>
          <w:rFonts w:ascii="Arial" w:cs="Arial" w:eastAsia="Arial" w:hAnsi="Arial"/>
          <w:sz w:val="16"/>
          <w:szCs w:val="16"/>
          <w:color w:val="auto"/>
        </w:rPr>
        <w:t>Point Capital, where he was a senior deal underwriter in the private finance group. From 2004 to 2005, Mr. Hamrah was a Senior Vice President at the Royal Bank of Scotland. From 1997 to 2004, Mr. Hamrah was an Executive Vice President at Emigrant Savings Bank. Mr. Hamrah started his career at The CIT Group in 1990 working in the commercial finance and equipment finance divisions. He holds a B.A. in Business Economics from Brown University.</w:t>
      </w:r>
    </w:p>
    <w:p>
      <w:pPr>
        <w:spacing w:after="0" w:line="15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4"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Ian Simmonds </w:t>
      </w:r>
      <w:r>
        <w:rPr>
          <w:rFonts w:ascii="Arial" w:cs="Arial" w:eastAsia="Arial" w:hAnsi="Arial"/>
          <w:sz w:val="16"/>
          <w:szCs w:val="16"/>
          <w:color w:val="auto"/>
        </w:rPr>
        <w:t>is the Chief Financial Officer of TSLX and a Managing Director of TSSP. From 2005 to 2015, Mr. Simmonds was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Robert (“Bo”) Stanley </w:t>
      </w:r>
      <w:r>
        <w:rPr>
          <w:rFonts w:ascii="Arial" w:cs="Arial" w:eastAsia="Arial" w:hAnsi="Arial"/>
          <w:sz w:val="16"/>
          <w:szCs w:val="16"/>
          <w:color w:val="auto"/>
        </w:rPr>
        <w:t>is President of TSLX and a Partner of TSSP. Mr. Stanley was previously with Wells Fargo Capital Finance,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Thomas Steiglehner </w:t>
      </w:r>
      <w:r>
        <w:rPr>
          <w:rFonts w:ascii="Arial" w:cs="Arial" w:eastAsia="Arial" w:hAnsi="Arial"/>
          <w:sz w:val="18"/>
          <w:szCs w:val="18"/>
          <w:color w:val="auto"/>
        </w:rPr>
        <w:t>is a Vice President of TSLX and a Managing Director of TSSP. From 2003 to 2010 Mr. Steiglehner worked at Silver Point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where he co-founded the firm’s principal investing effort, Silver Point Finance. From 2002 to 2003, Mr. Steiglehner was a Senior Vice President at Wells Fargo Foothill, where he originated, structured, syndicated and executed financings for special situations, leveraged buyouts and acquisitions. From 1996 to 2002, he was a director at Gleacher and Co., a merchant bank, engaged in leveraged finance (including high yield, mezzanine and senior debt), principal investments, and strategic and financial advisory services. Mr. Steiglehner began his career at the Chase Manhattan Bank. He also was a Federal District Court law clerk in the Southern District of New York and the Eastern District of Louisiana. He holds an A.B in History from Princeton University and a J.D. from Tulane University.</w:t>
      </w:r>
    </w:p>
    <w:p>
      <w:pPr>
        <w:spacing w:after="0" w:line="18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also a TPG and TSSP Partner and a member of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Partner and Chief Investment Officer of TSSP and Co-Chief Investment Officer of the Adviser since inception. Prior to joining TPG in 2009, Mr. Waxman was a Partner at Goldman, Sachs &amp; Co. During his career at Goldman, Sachs &amp; Co., he co-headed the Americas Special Situations Group, which invested that firm’s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Board has met two times in 2017, met four times in 2016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2016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of the Chief Compliance Officer,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held four meetings in 2017, held eight meetings in 2016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2017 and held one meeting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6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6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additional fee of $10,000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2016,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Fees Earned</w:t>
            </w:r>
          </w:p>
        </w:tc>
        <w:tc>
          <w:tcPr>
            <w:tcW w:w="7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3260" w:type="dxa"/>
            <w:vAlign w:val="bottom"/>
            <w:gridSpan w:val="3"/>
          </w:tcPr>
          <w:p>
            <w:pPr>
              <w:ind w:left="2300"/>
              <w:spacing w:after="0"/>
              <w:rPr>
                <w:sz w:val="20"/>
                <w:szCs w:val="20"/>
                <w:color w:val="auto"/>
              </w:rPr>
            </w:pPr>
            <w:r>
              <w:rPr>
                <w:rFonts w:ascii="Arial" w:cs="Arial" w:eastAsia="Arial" w:hAnsi="Arial"/>
                <w:sz w:val="14"/>
                <w:szCs w:val="14"/>
                <w:b w:val="1"/>
                <w:bCs w:val="1"/>
                <w:color w:val="auto"/>
                <w:w w:val="92"/>
              </w:rPr>
              <w:t>or Paid in Cash</w:t>
            </w:r>
          </w:p>
        </w:tc>
        <w:tc>
          <w:tcPr>
            <w:tcW w:w="7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John Ross</w:t>
            </w:r>
          </w:p>
        </w:tc>
        <w:tc>
          <w:tcPr>
            <w:tcW w:w="2400" w:type="dxa"/>
            <w:vAlign w:val="bottom"/>
            <w:gridSpan w:val="2"/>
          </w:tcPr>
          <w:p>
            <w:pPr>
              <w:ind w:left="2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the Investment Review Committee, which includes senior personnel of our Adviser and TSSP. The members of the Investment Review Committee are Joshua Easterly, Michael Fishman, Alan Waxman and David Stiepleman.</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year ended December 31, 2016, Management Fees were $24.3 million. For the three months ended March 31, 2017, Management Fees were $6.1 million.</w:t>
      </w:r>
    </w:p>
    <w:p>
      <w:pPr>
        <w:spacing w:after="0" w:line="170"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For the periods ended December 31, 2016 and prior, the Adviser voluntarily waived the Management Fee on the Company’s ownership of shares of common stock in TICC Capital Corp. (the “TICC Shares”). The Adviser did not waive any Management Fees for the three months ended March 31, 2017.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54"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86" w:lineRule="auto"/>
        <w:rPr>
          <w:sz w:val="20"/>
          <w:szCs w:val="20"/>
          <w:color w:val="auto"/>
        </w:rPr>
      </w:pPr>
      <w:r>
        <w:rPr>
          <w:rFonts w:ascii="Arial" w:cs="Arial" w:eastAsia="Arial" w:hAnsi="Arial"/>
          <w:sz w:val="17"/>
          <w:szCs w:val="17"/>
          <w:color w:val="auto"/>
        </w:rPr>
        <w:t>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70" w:lineRule="exact"/>
        <w:rPr>
          <w:sz w:val="20"/>
          <w:szCs w:val="20"/>
          <w:color w:val="auto"/>
        </w:rPr>
      </w:pPr>
    </w:p>
    <w:p>
      <w:pPr>
        <w:ind w:left="900" w:hanging="446"/>
        <w:spacing w:after="0" w:line="270"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2016, Incentive Fees were $22.7 million, comprised of fees related to pre-incentive fee net investment income. For the year ended December 31, 2016, no incentive fees were accrued related to capital gains. For the three months ended March 31, 2017, Incentive Fees were $6.0 million, of which $6.0 million was realized and payable to the Adviser.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Adviser did not waive any Incentive Fees for the three months ended March 31, 2017. For the year ended December 31, 2016, Incentive Fees of $0.3 million were waived, consisting solely of Incentive Fees attributable to our ownership of the TICC Shares. Any waived Incentive Fees are not subject to recoupment by the Adviser.</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November 7,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on 60 days’ written notice to the other party. See “Risk Factors—Risks Related to Our Business and Structure—We are dependent upon management personnel of the Adviser for our future success.”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to provide greater detail regarding the scope of the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2016, we incurred expenses of $3.1 million for administrative services payable under the terms of the Administration Agreement. For the three months ended March 31, 2017, we incurred expenses of $1.0 million for administrative services payable to the Adviser under the terms of the Administration Agreement.</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 See “Risk Factors—Risks Related to Our Business and Structure— We are dependent upon management personnel of the Adviser for our future success.”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840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281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459"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460" w:right="160"/>
        <w:spacing w:after="0" w:line="290"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89"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Capital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Depreciation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102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102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24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24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B</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242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6</w:t>
            </w: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$16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$8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$15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 million</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$28 million</w:t>
            </w:r>
          </w:p>
        </w:tc>
      </w:tr>
      <w:tr>
        <w:trPr>
          <w:trHeight w:val="167"/>
        </w:trPr>
        <w:tc>
          <w:tcPr>
            <w:tcW w:w="2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Year 7</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price)</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8</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$36 million</w:t>
            </w:r>
          </w:p>
        </w:tc>
      </w:tr>
      <w:tr>
        <w:trPr>
          <w:trHeight w:val="167"/>
        </w:trPr>
        <w:tc>
          <w:tcPr>
            <w:tcW w:w="2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840" w:right="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840" w:right="220"/>
        <w:spacing w:after="0" w:line="34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2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840" w:right="28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52"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840" w:right="14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5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7"/>
          <w:szCs w:val="17"/>
          <w:b w:val="1"/>
          <w:bCs w:val="1"/>
          <w:color w:val="auto"/>
        </w:rPr>
        <w:t>16.39%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20"/>
        <w:spacing w:after="0" w:line="264" w:lineRule="auto"/>
        <w:rPr>
          <w:sz w:val="20"/>
          <w:szCs w:val="20"/>
          <w:color w:val="auto"/>
        </w:rPr>
      </w:pPr>
      <w:r>
        <w:rPr>
          <w:rFonts w:ascii="Arial" w:cs="Arial" w:eastAsia="Arial" w:hAnsi="Arial"/>
          <w:sz w:val="18"/>
          <w:szCs w:val="18"/>
          <w:color w:val="auto"/>
        </w:rPr>
        <w:t>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sz w:val="20"/>
          <w:szCs w:val="20"/>
          <w:color w:val="auto"/>
        </w:rPr>
      </w:pPr>
    </w:p>
    <w:p>
      <w:pPr>
        <w:ind w:left="900" w:right="80" w:hanging="325"/>
        <w:spacing w:after="0" w:line="34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earlier terminated as described below, the Investment Advisory Agreement will remain in effect until November 2017 and the Administration Agreement will remain in effect until February 2018,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2016. A discussion regarding the basis for our Board’s approval and renewal of our Investment Advisory Agreement is available in our Annual Report on Form 10-K for the fiscal year ended December 31,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2,732,307 shares, or 4.6%, of our common stock as of May 3, 2017.</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Order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TPG and the Adviser were to determine that an investment that is not a middle-market loan origination for a company domiciled in the United States is appropriate both for us and for one or more other TSSP or TPG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vehicles, we would only be able to make the investment in conjunction with another such vehicle if we receive an order from the SEC permitting us to do so or the investment is otherwise permitted under relevant SEC guidance.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3, 2017,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 ownership is based on 59,948,888 shares of common stock outstanding as of May 3, 2017.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1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5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33,088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17,701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2,150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(14 persons)</w:t>
            </w:r>
            <w:r>
              <w:rPr>
                <w:rFonts w:ascii="Arial" w:cs="Arial" w:eastAsia="Arial" w:hAnsi="Arial"/>
                <w:sz w:val="15"/>
                <w:szCs w:val="15"/>
                <w:color w:val="auto"/>
              </w:rPr>
              <w:t>(3)(4)</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2,862,245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(5)</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4,950,000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(6)</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4,454,994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(7)</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3,947,891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(8)</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3,488,476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(9)</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3,344,041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31" w:lineRule="exact"/>
        <w:rPr>
          <w:sz w:val="20"/>
          <w:szCs w:val="20"/>
          <w:color w:val="auto"/>
        </w:rPr>
      </w:pPr>
    </w:p>
    <w:p>
      <w:pPr>
        <w:ind w:left="460" w:right="20" w:hanging="452"/>
        <w:spacing w:after="0" w:line="271"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8,625 shares of common stock beneficially owned by Mr. Easterly have been pledged as security in connection with a line of credit with a third party financial institution unaffiliated with the Company.</w:t>
      </w:r>
    </w:p>
    <w:p>
      <w:pPr>
        <w:spacing w:after="0" w:line="75" w:lineRule="exact"/>
        <w:rPr>
          <w:rFonts w:ascii="Arial" w:cs="Arial" w:eastAsia="Arial" w:hAnsi="Arial"/>
          <w:sz w:val="18"/>
          <w:szCs w:val="18"/>
          <w:color w:val="auto"/>
        </w:rPr>
      </w:pPr>
    </w:p>
    <w:p>
      <w:pPr>
        <w:ind w:left="460" w:right="18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14,169 shares of common stock beneficially owned by certain officers have been pledged as security in connection with lines of credit with a third party financial institution unaffiliated with the Company.</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130"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92"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Mr. Waxman is a Vice President of TSLX.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6"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upon a Schedule 13F filed with the SEC on April 28, 2017 by Wells Fargo &amp; Company on its own behalf and on behalf of certain subsidiaries. The address of Wells Fargo &amp; Company is 420 Montgomery Street, San Francisco, CA 94163.</w:t>
      </w:r>
    </w:p>
    <w:p>
      <w:pPr>
        <w:spacing w:after="0" w:line="75" w:lineRule="exact"/>
        <w:rPr>
          <w:rFonts w:ascii="Arial" w:cs="Arial" w:eastAsia="Arial" w:hAnsi="Arial"/>
          <w:sz w:val="18"/>
          <w:szCs w:val="18"/>
          <w:color w:val="auto"/>
        </w:rPr>
      </w:pPr>
    </w:p>
    <w:p>
      <w:pPr>
        <w:ind w:left="460" w:right="60" w:hanging="452"/>
        <w:spacing w:after="0" w:line="276"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hanging="452"/>
        <w:spacing w:after="0"/>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2017 by FMR LLC and Abigail P. Johnson. As of February 14, 2017, FMR LLC had</w:t>
      </w:r>
    </w:p>
    <w:p>
      <w:pPr>
        <w:spacing w:after="0" w:line="46" w:lineRule="exact"/>
        <w:rPr>
          <w:rFonts w:ascii="Arial" w:cs="Arial" w:eastAsia="Arial" w:hAnsi="Arial"/>
          <w:sz w:val="16"/>
          <w:szCs w:val="16"/>
          <w:color w:val="auto"/>
        </w:rPr>
      </w:pPr>
    </w:p>
    <w:p>
      <w:pPr>
        <w:ind w:left="460"/>
        <w:spacing w:after="0" w:line="286" w:lineRule="auto"/>
        <w:rPr>
          <w:rFonts w:ascii="Arial" w:cs="Arial" w:eastAsia="Arial" w:hAnsi="Arial"/>
          <w:sz w:val="16"/>
          <w:szCs w:val="16"/>
          <w:color w:val="auto"/>
        </w:rPr>
      </w:pPr>
      <w:r>
        <w:rPr>
          <w:rFonts w:ascii="Arial" w:cs="Arial" w:eastAsia="Arial" w:hAnsi="Arial"/>
          <w:sz w:val="16"/>
          <w:szCs w:val="16"/>
          <w:color w:val="auto"/>
        </w:rPr>
        <w:t>(i) sole power to vote 123,864 shares and (ii) sole power to dispose of 3,344,041 shares. Abigail P. Johnson had sole power to dispose of 3,344,041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May 3, 2017. We are not part of a “family of investment companies,” as that term is defined in the 1940 Act.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w:t>
            </w:r>
          </w:p>
        </w:tc>
      </w:tr>
      <w:tr>
        <w:trPr>
          <w:trHeight w:val="149"/>
        </w:trPr>
        <w:tc>
          <w:tcPr>
            <w:tcW w:w="536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Common Stock Beneficially</w:t>
            </w:r>
          </w:p>
        </w:tc>
      </w:tr>
      <w:tr>
        <w:trPr>
          <w:trHeight w:val="185"/>
        </w:trPr>
        <w:tc>
          <w:tcPr>
            <w:tcW w:w="53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4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4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3, 2017, multiplied by the closing sale price of our common stock as reported on the NYSE as of May 3, 2017.</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240" w:top="459" w:right="5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“required majority” of our directors have determined that any such sale would be in the best interests of us and our stockholders;</w:t>
      </w:r>
    </w:p>
    <w:p>
      <w:pPr>
        <w:spacing w:after="0" w:line="130" w:lineRule="exact"/>
        <w:rPr>
          <w:rFonts w:ascii="Arial" w:cs="Arial" w:eastAsia="Arial" w:hAnsi="Arial"/>
          <w:sz w:val="18"/>
          <w:szCs w:val="18"/>
          <w:color w:val="auto"/>
        </w:rPr>
      </w:pPr>
    </w:p>
    <w:p>
      <w:pPr>
        <w:ind w:left="900" w:right="80" w:hanging="325"/>
        <w:spacing w:after="0" w:line="30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“required majority” of our directors, in consultation with any underwriter or underwriters of the offering,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number of shares to be issued does not exceed 25% of our then-outstanding common stock immediately prior to each such offering.</w:t>
      </w: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900" w:right="3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6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an offering of our common stock at a price less than net asset value per share on three different types of investors:</w:t>
      </w:r>
    </w:p>
    <w:p>
      <w:pPr>
        <w:spacing w:after="0" w:line="76"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8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The examples assume that we have 59.7 million shares outstanding, $1.7 billion in total assets and $0.7 billion in total liabilities (all figures correspond to our actual data as at December 31, 2016). The current net asset value and net asset value per share are thus $1.0 billion and $15.95 per share. The examples assume Stockholder A holds 59,716 shares, or 0.10% of shares outstanding, prior to the offering. The chart illustrates the dilutive effect on Stockholder A of</w:t>
      </w:r>
    </w:p>
    <w:p>
      <w:pPr>
        <w:jc w:val="both"/>
        <w:ind w:right="440" w:firstLine="8"/>
        <w:spacing w:after="0" w:line="281"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offering of 3.0 million shares of common stock (5% of the outstanding shares) at $15.15 per share after offering expenses and commissions (a 5% discount from net asset value per share), (b) an offering of 6.0 million shares of common stock (10% of the outstanding shares) at $14.36 per share after offering expenses and commissions (a 10% discount from net asset value per share), (c) an offering of 11.9 million shares of common stock (20% of the outstanding shares) at $12.76 per share after offering expenses and commissions (a 20% discount from net asset value per share), and (d) an offering of</w:t>
      </w:r>
    </w:p>
    <w:p>
      <w:pPr>
        <w:spacing w:after="0" w:line="2" w:lineRule="exact"/>
        <w:rPr>
          <w:rFonts w:ascii="Arial" w:cs="Arial" w:eastAsia="Arial" w:hAnsi="Arial"/>
          <w:sz w:val="16"/>
          <w:szCs w:val="16"/>
          <w:color w:val="auto"/>
        </w:rPr>
      </w:pPr>
    </w:p>
    <w:p>
      <w:pPr>
        <w:ind w:right="140"/>
        <w:spacing w:after="0" w:line="277" w:lineRule="auto"/>
        <w:rPr>
          <w:rFonts w:ascii="Arial" w:cs="Arial" w:eastAsia="Arial" w:hAnsi="Arial"/>
          <w:sz w:val="16"/>
          <w:szCs w:val="16"/>
          <w:color w:val="auto"/>
        </w:rPr>
      </w:pPr>
      <w:r>
        <w:rPr>
          <w:rFonts w:ascii="Arial" w:cs="Arial" w:eastAsia="Arial" w:hAnsi="Arial"/>
          <w:sz w:val="17"/>
          <w:szCs w:val="17"/>
          <w:color w:val="auto"/>
        </w:rPr>
        <w:t>14.9 million shares of common stock (25% of the outstanding shares) at $11.96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Example 4</w:t>
            </w:r>
          </w:p>
        </w:tc>
      </w:tr>
      <w:tr>
        <w:trPr>
          <w:trHeight w:val="119"/>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5% Offering at 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20% Offering at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Prior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25% Discount</w:t>
            </w:r>
          </w:p>
        </w:tc>
      </w:tr>
      <w:tr>
        <w:trPr>
          <w:trHeight w:val="119"/>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29"/>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13.43</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14.36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59,716,205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62,702,015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65,687,826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71,659,446</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74,645,256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59,716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59,716</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59,716</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59,716</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59,716</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952,212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949,953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943,574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920,503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904,637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Total Investment by Stockholder A (Assumed to be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$15.95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952,212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952,212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952,212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 (Total Net Asset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3120" w:type="dxa"/>
            <w:vAlign w:val="bottom"/>
          </w:tcPr>
          <w:p>
            <w:pPr>
              <w:ind w:left="160"/>
              <w:spacing w:after="0"/>
              <w:rPr>
                <w:sz w:val="20"/>
                <w:szCs w:val="20"/>
                <w:color w:val="auto"/>
              </w:rPr>
            </w:pPr>
            <w:r>
              <w:rPr>
                <w:rFonts w:ascii="Arial" w:cs="Arial" w:eastAsia="Arial" w:hAnsi="Arial"/>
                <w:sz w:val="14"/>
                <w:szCs w:val="14"/>
                <w:color w:val="auto"/>
              </w:rPr>
              <w:t>Value Less Total Investment)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(2,259)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(8,638)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(31,709)</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(47,574)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 per Share Held by Stockholder A</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9"/>
        </w:trPr>
        <w:tc>
          <w:tcPr>
            <w:tcW w:w="3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(Assumed to be $15.95 per Share on Shares Held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Prior to Sale)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15.95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15.95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15.41</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Dilution per Share Held by Stockholder A (Net Asset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3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Value per Share Less Investment per Share)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(0.15)</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(0.54)</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(0.80)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Percentage Dilution to Stockholder A (Dilution per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2"/>
        </w:trPr>
        <w:tc>
          <w:tcPr>
            <w:tcW w:w="3120" w:type="dxa"/>
            <w:vAlign w:val="bottom"/>
          </w:tcPr>
          <w:p>
            <w:pPr>
              <w:ind w:left="160"/>
              <w:spacing w:after="0"/>
              <w:rPr>
                <w:sz w:val="20"/>
                <w:szCs w:val="20"/>
                <w:color w:val="auto"/>
              </w:rPr>
            </w:pPr>
            <w:r>
              <w:rPr>
                <w:rFonts w:ascii="Arial" w:cs="Arial" w:eastAsia="Arial" w:hAnsi="Arial"/>
                <w:sz w:val="14"/>
                <w:szCs w:val="14"/>
                <w:color w:val="auto"/>
              </w:rPr>
              <w:t>Share Divided by Investment per Share)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(5.02)%</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shares of our common stock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5"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11.9 million shares) rather than its</w:t>
      </w:r>
    </w:p>
    <w:p>
      <w:pPr>
        <w:ind w:right="60"/>
        <w:spacing w:after="0" w:line="254" w:lineRule="auto"/>
        <w:rPr>
          <w:sz w:val="20"/>
          <w:szCs w:val="20"/>
          <w:color w:val="auto"/>
        </w:rPr>
      </w:pPr>
      <w:r>
        <w:rPr>
          <w:rFonts w:ascii="Arial" w:cs="Arial" w:eastAsia="Arial" w:hAnsi="Arial"/>
          <w:sz w:val="18"/>
          <w:szCs w:val="18"/>
          <w:color w:val="auto"/>
        </w:rPr>
        <w:t>0.10% proportionate share and (b) 150% of such percentage (i.e., 0.15% of an offering of 11.9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Prior to</w:t>
            </w:r>
          </w:p>
        </w:tc>
        <w:tc>
          <w:tcPr>
            <w:tcW w:w="60" w:type="dxa"/>
            <w:vAlign w:val="bottom"/>
          </w:tcPr>
          <w:p>
            <w:pPr>
              <w:spacing w:after="0"/>
              <w:rPr>
                <w:sz w:val="14"/>
                <w:szCs w:val="14"/>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150% Participation</w:t>
            </w:r>
          </w:p>
        </w:tc>
      </w:tr>
      <w:tr>
        <w:trPr>
          <w:trHeight w:val="119"/>
        </w:trPr>
        <w:tc>
          <w:tcPr>
            <w:tcW w:w="5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9"/>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NAV</w:t>
            </w:r>
          </w:p>
        </w:tc>
        <w:tc>
          <w:tcPr>
            <w:tcW w:w="6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r>
      <w:tr>
        <w:trPr>
          <w:trHeight w:val="129"/>
        </w:trPr>
        <w:tc>
          <w:tcPr>
            <w:tcW w:w="5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13.43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12.76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w w:val="88"/>
              </w:rPr>
              <w:t>59,716,205</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7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15.95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15.41</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15.41</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(3.36)%</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Dilution/Accretion to Participating Stockholder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59,716</w:t>
            </w:r>
          </w:p>
        </w:tc>
        <w:tc>
          <w:tcPr>
            <w:tcW w:w="6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65,688</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77,631</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0.09%</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0.11%</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8.33%</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952,212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1,012,554</w:t>
            </w:r>
          </w:p>
        </w:tc>
        <w:tc>
          <w:tcPr>
            <w:tcW w:w="46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1,196,655</w:t>
            </w:r>
          </w:p>
        </w:tc>
        <w:tc>
          <w:tcPr>
            <w:tcW w:w="7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25.67%</w:t>
            </w: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Total Investment by Stockholder A (Assumed to be $15.95 per Share on Shares Held Prior to</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952,212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1,032,420</w:t>
            </w: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1,192,837</w:t>
            </w: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Total Dilution/Accretion to Stockholder A (Total Net Asset Value Less Total Investment)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(19,866)</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3,818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Investment per Share Held by Stockholder A (Assumed to be $15.95 per Share on Shares</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Held Prior to Sale)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15.95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15.72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15.37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(3.66)%</w:t>
            </w: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15.41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15.41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5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Dilution/Accretion per Share Held by Stockholder A (Net Asset Value per Share Less</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5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per Share)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(0.30)</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0.05</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5520" w:type="dxa"/>
            <w:vAlign w:val="bottom"/>
          </w:tcPr>
          <w:p>
            <w:pPr>
              <w:spacing w:after="0" w:line="130" w:lineRule="exact"/>
              <w:rPr>
                <w:sz w:val="20"/>
                <w:szCs w:val="20"/>
                <w:color w:val="auto"/>
              </w:rPr>
            </w:pPr>
            <w:r>
              <w:rPr>
                <w:rFonts w:ascii="Arial" w:cs="Arial" w:eastAsia="Arial" w:hAnsi="Arial"/>
                <w:sz w:val="14"/>
                <w:szCs w:val="14"/>
                <w:color w:val="auto"/>
                <w:w w:val="99"/>
              </w:rPr>
              <w:t>Percentage Dilution/Accretion to Stockholder A (Dilution per Share Divided by Investment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2"/>
        </w:trPr>
        <w:tc>
          <w:tcPr>
            <w:tcW w:w="552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0.32%</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Example 3</w:t>
            </w: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5% Offering at 5%</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10% Offering at</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9"/>
              <w:spacing w:after="0" w:line="119" w:lineRule="exact"/>
              <w:rPr>
                <w:sz w:val="20"/>
                <w:szCs w:val="20"/>
                <w:color w:val="auto"/>
              </w:rPr>
            </w:pPr>
            <w:r>
              <w:rPr>
                <w:rFonts w:ascii="Arial" w:cs="Arial" w:eastAsia="Arial" w:hAnsi="Arial"/>
                <w:sz w:val="13"/>
                <w:szCs w:val="13"/>
                <w:b w:val="1"/>
                <w:bCs w:val="1"/>
                <w:color w:val="auto"/>
              </w:rPr>
              <w:t>20% Offering at</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Prior to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Discount</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20% Discount</w:t>
            </w: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r>
      <w:tr>
        <w:trPr>
          <w:trHeight w:val="119"/>
        </w:trPr>
        <w:tc>
          <w:tcPr>
            <w:tcW w:w="284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Sale Below</w:t>
            </w: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NAV</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29"/>
        </w:trPr>
        <w:tc>
          <w:tcPr>
            <w:tcW w:w="2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11.96</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59,716,205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62,702,015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65,687,826</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71,659,446</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74,645,256</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15.95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15.80</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(0.93)%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15.41</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15.15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2,986</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5,972</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11,943</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14,929</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0.02%</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47,498</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94,358</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184,101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226,160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Public)</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47,624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90,234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160,417</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187,988</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Total Dilution/Accretion to Investor A (Total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840" w:type="dxa"/>
            <w:vAlign w:val="bottom"/>
          </w:tcPr>
          <w:p>
            <w:pPr>
              <w:ind w:left="16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(126)</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4,123</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23,685</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38,172</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15.95</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12.59</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w w:val="99"/>
              </w:rPr>
              <w:t>Net Asset Value per Share Held by Investor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15.80</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15.41</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15.15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Dilution/Accretion per Share Held by Investor</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9"/>
        </w:trPr>
        <w:tc>
          <w:tcPr>
            <w:tcW w:w="28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2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0.69</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1.98</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2.56</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rPr>
              <w:t>Percentage Dilution/Accretion to Investor A</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2840" w:type="dxa"/>
            <w:vAlign w:val="bottom"/>
          </w:tcPr>
          <w:p>
            <w:pPr>
              <w:ind w:left="16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2"/>
        </w:trPr>
        <w:tc>
          <w:tcPr>
            <w:tcW w:w="284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20.31%</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2" w:lineRule="exact"/>
        <w:rPr>
          <w:rFonts w:ascii="Arial" w:cs="Arial" w:eastAsia="Arial" w:hAnsi="Arial"/>
          <w:sz w:val="16"/>
          <w:szCs w:val="16"/>
          <w:color w:val="auto"/>
        </w:rPr>
      </w:pPr>
    </w:p>
    <w:p>
      <w:pPr>
        <w:ind w:left="1480" w:right="60" w:hanging="446"/>
        <w:spacing w:after="0" w:line="286" w:lineRule="auto"/>
        <w:tabs>
          <w:tab w:leader="none" w:pos="14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20" w:hanging="325"/>
        <w:spacing w:after="0" w:line="31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900" w:right="2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case of distributions made by the Company, and in the case of gross proceeds from the sale or other of shares of our common stock or preferred stock paid on or after January 1, 2019,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right="60" w:firstLine="8"/>
        <w:spacing w:after="0" w:line="323" w:lineRule="auto"/>
        <w:tabs>
          <w:tab w:leader="none" w:pos="3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00"/>
          </w:cols>
          <w:pgMar w:left="240" w:top="460"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59,948,888 shares are outstanding as of May 3, 2017, and 100,000,000 shares of preferred stock, par value $0.01 per share, of which no shares are outstanding as of May 3, 2017.</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3,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89,080</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59,948,888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and Other Agreements—Indemnification.”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person who, whether directly or indirectly and whether alone or together with its affiliates and associates, beneficially owns 10% or more of the outstanding shares of our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Consolidation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 —Full Defeasance.”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December 31, 2016 and December 31, 2015, our asset coverage was 255.3%, 237.7% and 225.7%,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Affiliates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 See “Related-Party Transactions and Certain Relationships—Exemptive Order” for more information on the terms of the exemptive order.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right="140" w:hanging="318"/>
        <w:spacing w:after="0" w:line="277" w:lineRule="auto"/>
        <w:tabs>
          <w:tab w:leader="none" w:pos="19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8"/>
          <w:szCs w:val="18"/>
          <w:color w:val="auto"/>
        </w:rPr>
      </w:pPr>
    </w:p>
    <w:p>
      <w:pPr>
        <w:ind w:left="1920" w:right="400" w:hanging="318"/>
        <w:spacing w:after="0" w:line="264" w:lineRule="auto"/>
        <w:tabs>
          <w:tab w:leader="none" w:pos="19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Gordon, 888 7th Avenue, 35th Floor, New York, NY 10106, Attention: TSLX Investor Relations, or by emailing us at IRTSL@tpg.com.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2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40"/>
          </w:cols>
          <w:pgMar w:left="240" w:top="460" w:right="3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7th Avenue, 35th Floor, New York, NY 10106, Attention: TSLX Investor Relations, or by emailing us at IRTSL@tpg.com.</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60"/>
          </w:cols>
          <w:pgMar w:left="240" w:top="460"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$45,439.</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2016 and 2015, and for each of the years in the three-year period ended December 31, 2016 and the Senior Securities schedule under the heading “Senior Securities” have been included herein and in the registration statement in reliance upon the reports of KPMG LLP, 345 Park Avenue, New York, New York 10154,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972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560" w:type="dxa"/>
            <w:vAlign w:val="bottom"/>
            <w:gridSpan w:val="13"/>
          </w:tcPr>
          <w:p>
            <w:pPr>
              <w:jc w:val="center"/>
              <w:ind w:right="1440"/>
              <w:spacing w:after="0"/>
              <w:rPr>
                <w:sz w:val="20"/>
                <w:szCs w:val="20"/>
                <w:color w:val="auto"/>
              </w:rPr>
            </w:pPr>
            <w:r>
              <w:rPr>
                <w:rFonts w:ascii="Arial" w:cs="Arial" w:eastAsia="Arial" w:hAnsi="Arial"/>
                <w:sz w:val="18"/>
                <w:szCs w:val="18"/>
                <w:b w:val="1"/>
                <w:bCs w:val="1"/>
                <w:color w:val="auto"/>
              </w:rPr>
              <w:t>INDEX TO CONSOLIDATED FINANCIAL STATEMENTS</w:t>
            </w:r>
          </w:p>
        </w:tc>
        <w:tc>
          <w:tcPr>
            <w:tcW w:w="1640" w:type="dxa"/>
            <w:vAlign w:val="bottom"/>
          </w:tcPr>
          <w:p>
            <w:pPr>
              <w:spacing w:after="0"/>
              <w:rPr>
                <w:sz w:val="24"/>
                <w:szCs w:val="24"/>
                <w:color w:val="auto"/>
              </w:rPr>
            </w:pPr>
          </w:p>
        </w:tc>
      </w:tr>
      <w:tr>
        <w:trPr>
          <w:trHeight w:val="445"/>
        </w:trPr>
        <w:tc>
          <w:tcPr>
            <w:tcW w:w="9720" w:type="dxa"/>
            <w:vAlign w:val="bottom"/>
            <w:gridSpan w:val="15"/>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640" w:type="dxa"/>
            <w:vAlign w:val="bottom"/>
          </w:tcPr>
          <w:p>
            <w:pPr>
              <w:spacing w:after="0"/>
              <w:rPr>
                <w:sz w:val="24"/>
                <w:szCs w:val="24"/>
                <w:color w:val="auto"/>
              </w:rPr>
            </w:pPr>
          </w:p>
        </w:tc>
      </w:tr>
      <w:tr>
        <w:trPr>
          <w:trHeight w:val="190"/>
        </w:trPr>
        <w:tc>
          <w:tcPr>
            <w:tcW w:w="9720" w:type="dxa"/>
            <w:vAlign w:val="bottom"/>
            <w:gridSpan w:val="15"/>
          </w:tcPr>
          <w:p>
            <w:pPr>
              <w:spacing w:after="0" w:line="190" w:lineRule="exact"/>
              <w:rPr>
                <w:rFonts w:ascii="Arial" w:cs="Arial" w:eastAsia="Arial" w:hAnsi="Arial"/>
                <w:sz w:val="18"/>
                <w:szCs w:val="18"/>
                <w:color w:val="0000EE"/>
              </w:rPr>
            </w:pPr>
            <w:hyperlink w:anchor="page196">
              <w:r>
                <w:rPr>
                  <w:rFonts w:ascii="Arial" w:cs="Arial" w:eastAsia="Arial" w:hAnsi="Arial"/>
                  <w:sz w:val="18"/>
                  <w:szCs w:val="18"/>
                  <w:color w:val="0000EE"/>
                </w:rPr>
                <w:t>Report of Independent Registered Public Accounting Firm</w:t>
              </w:r>
            </w:hyperlink>
          </w:p>
        </w:tc>
        <w:tc>
          <w:tcPr>
            <w:tcW w:w="16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Consolidated Balance Sheets as of December 31, 2016 and 2015</w:t>
              </w:r>
            </w:hyperlink>
          </w:p>
        </w:tc>
        <w:tc>
          <w:tcPr>
            <w:tcW w:w="506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Consolidated Statements of Operations for the Years Ended December 31, 2016, 2015 and 2014</w:t>
              </w:r>
            </w:hyperlink>
          </w:p>
        </w:tc>
        <w:tc>
          <w:tcPr>
            <w:tcW w:w="2800" w:type="dxa"/>
            <w:vAlign w:val="bottom"/>
            <w:gridSpan w:val="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20" w:type="dxa"/>
            <w:vAlign w:val="bottom"/>
            <w:gridSpan w:val="15"/>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Schedules of Investments as of December 31, 2016 and 2015</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720" w:type="dxa"/>
            <w:vAlign w:val="bottom"/>
            <w:gridSpan w:val="15"/>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Changes in Net Assets for the Years Ended December 31, 2016, 2015 and 2014</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8">
              <w:r>
                <w:rPr>
                  <w:rFonts w:ascii="Arial" w:cs="Arial" w:eastAsia="Arial" w:hAnsi="Arial"/>
                  <w:sz w:val="18"/>
                  <w:szCs w:val="18"/>
                  <w:color w:val="0000EE"/>
                  <w:w w:val="99"/>
                </w:rPr>
                <w:t>Consolidated Statements of Cash Flows for the Years Ended December 31, 2016, 2015 and 2014</w:t>
              </w:r>
            </w:hyperlink>
          </w:p>
        </w:tc>
        <w:tc>
          <w:tcPr>
            <w:tcW w:w="198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7"/>
          </w:tcPr>
          <w:p>
            <w:pPr>
              <w:spacing w:after="0"/>
              <w:rPr>
                <w:sz w:val="17"/>
                <w:szCs w:val="17"/>
                <w:color w:val="auto"/>
              </w:rPr>
            </w:pPr>
          </w:p>
        </w:tc>
        <w:tc>
          <w:tcPr>
            <w:tcW w:w="276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330"/>
        </w:trPr>
        <w:tc>
          <w:tcPr>
            <w:tcW w:w="9720" w:type="dxa"/>
            <w:vAlign w:val="bottom"/>
            <w:gridSpan w:val="15"/>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640" w:type="dxa"/>
            <w:vAlign w:val="bottom"/>
          </w:tcPr>
          <w:p>
            <w:pPr>
              <w:spacing w:after="0"/>
              <w:rPr>
                <w:sz w:val="24"/>
                <w:szCs w:val="24"/>
                <w:color w:val="auto"/>
              </w:rPr>
            </w:pPr>
          </w:p>
        </w:tc>
      </w:tr>
      <w:tr>
        <w:trPr>
          <w:trHeight w:val="190"/>
        </w:trPr>
        <w:tc>
          <w:tcPr>
            <w:tcW w:w="9720" w:type="dxa"/>
            <w:vAlign w:val="bottom"/>
            <w:gridSpan w:val="15"/>
          </w:tcPr>
          <w:p>
            <w:pPr>
              <w:spacing w:after="0" w:line="190" w:lineRule="exact"/>
              <w:rPr>
                <w:rFonts w:ascii="Arial" w:cs="Arial" w:eastAsia="Arial" w:hAnsi="Arial"/>
                <w:sz w:val="18"/>
                <w:szCs w:val="18"/>
                <w:color w:val="0000EE"/>
              </w:rPr>
            </w:pPr>
            <w:hyperlink w:anchor="page240">
              <w:r>
                <w:rPr>
                  <w:rFonts w:ascii="Arial" w:cs="Arial" w:eastAsia="Arial" w:hAnsi="Arial"/>
                  <w:sz w:val="18"/>
                  <w:szCs w:val="18"/>
                  <w:color w:val="0000EE"/>
                </w:rPr>
                <w:t>Consolidated Balance Sheets as of March 31, 2017 (Unaudited) and December 31, 2016</w:t>
              </w:r>
            </w:hyperlink>
          </w:p>
        </w:tc>
        <w:tc>
          <w:tcPr>
            <w:tcW w:w="1640" w:type="dxa"/>
            <w:vAlign w:val="bottom"/>
          </w:tcPr>
          <w:p>
            <w:pPr>
              <w:jc w:val="right"/>
              <w:spacing w:after="0" w:line="190" w:lineRule="exact"/>
              <w:rPr>
                <w:sz w:val="20"/>
                <w:szCs w:val="20"/>
                <w:color w:val="auto"/>
              </w:rPr>
            </w:pPr>
            <w:r>
              <w:rPr>
                <w:rFonts w:ascii="Arial" w:cs="Arial" w:eastAsia="Arial" w:hAnsi="Arial"/>
                <w:sz w:val="18"/>
                <w:szCs w:val="18"/>
                <w:color w:val="auto"/>
              </w:rPr>
              <w:t>F-46</w:t>
            </w:r>
          </w:p>
        </w:tc>
      </w:tr>
      <w:tr>
        <w:trPr>
          <w:trHeight w:val="20"/>
        </w:trPr>
        <w:tc>
          <w:tcPr>
            <w:tcW w:w="4080" w:type="dxa"/>
            <w:vAlign w:val="bottom"/>
            <w:gridSpan w:val="3"/>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7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Consolidated Statements of Operations for the three months ended March 31, 2017 and 2016 (Unaudited)</w:t>
              </w:r>
            </w:hyperlink>
          </w:p>
        </w:tc>
        <w:tc>
          <w:tcPr>
            <w:tcW w:w="2100" w:type="dxa"/>
            <w:vAlign w:val="bottom"/>
            <w:gridSpan w:val="4"/>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F-47</w:t>
            </w:r>
          </w:p>
        </w:tc>
      </w:tr>
      <w:tr>
        <w:trPr>
          <w:trHeight w:val="196"/>
        </w:trPr>
        <w:tc>
          <w:tcPr>
            <w:tcW w:w="9720" w:type="dxa"/>
            <w:vAlign w:val="bottom"/>
            <w:gridSpan w:val="15"/>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Consolidated Schedules of Investments as of March 31, 2017 (Unaudited) and December 31, 2016</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r>
      <w:tr>
        <w:trPr>
          <w:trHeight w:val="20"/>
        </w:trPr>
        <w:tc>
          <w:tcPr>
            <w:tcW w:w="4080" w:type="dxa"/>
            <w:vAlign w:val="bottom"/>
            <w:gridSpan w:val="3"/>
            <w:shd w:val="clear" w:color="auto" w:fill="0000EE"/>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720" w:type="dxa"/>
            <w:vAlign w:val="bottom"/>
            <w:gridSpan w:val="15"/>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Consolidated Statements of Changes in Net Assets for the three months ended March 31, 2017 and 2016 (Unaudited)</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196"/>
        </w:trPr>
        <w:tc>
          <w:tcPr>
            <w:tcW w:w="844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252">
              <w:r>
                <w:rPr>
                  <w:rFonts w:ascii="Arial" w:cs="Arial" w:eastAsia="Arial" w:hAnsi="Arial"/>
                  <w:sz w:val="18"/>
                  <w:szCs w:val="18"/>
                  <w:color w:val="0000EE"/>
                  <w:w w:val="99"/>
                </w:rPr>
                <w:t>Consolidated Statements of Cash Flows for the three months ended March 31, 2017 and 2016 (Unaudited)</w:t>
              </w:r>
            </w:hyperlink>
          </w:p>
        </w:tc>
        <w:tc>
          <w:tcPr>
            <w:tcW w:w="12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196"/>
        </w:trPr>
        <w:tc>
          <w:tcPr>
            <w:tcW w:w="7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Notes to Consolidated Financial Statements (Unaudited)</w:t>
              </w:r>
            </w:hyperlink>
          </w:p>
        </w:tc>
        <w:tc>
          <w:tcPr>
            <w:tcW w:w="206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F-59</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80" w:type="dxa"/>
            <w:vAlign w:val="bottom"/>
            <w:gridSpan w:val="9"/>
          </w:tcPr>
          <w:p>
            <w:pPr>
              <w:jc w:val="center"/>
              <w:ind w:right="3740"/>
              <w:spacing w:after="0"/>
              <w:rPr>
                <w:sz w:val="20"/>
                <w:szCs w:val="20"/>
                <w:color w:val="auto"/>
              </w:rPr>
            </w:pPr>
            <w:r>
              <w:rPr>
                <w:rFonts w:ascii="Arial" w:cs="Arial" w:eastAsia="Arial" w:hAnsi="Arial"/>
                <w:sz w:val="18"/>
                <w:szCs w:val="18"/>
                <w:color w:val="auto"/>
                <w:w w:val="96"/>
              </w:rPr>
              <w:t>F-1</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We also have audited TPG Specialty Lending, Inc.’s internal control over financial reporting as of December 31,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2016 and 2015,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2016 and 2015, and the related consolidated statements of operations, changes in net assets, and cash flows for each of the years in the three-year period ended December 31, 2016, in conformity with U.S. generally accepted accounting principles. Also in our opinion, TPG Specialty Lending,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$1,567,673 and $1,443,017,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1,591,544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$100,014 and $86,659,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65,859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$1,667,687 and $1,529,676,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1,657,403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1,675,532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 (net of deferred financing costs of $11,019 and $10,365, respectively)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680,709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723,320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59,805,285 and 54,166,959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59,716,205 and 54,163,960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898,868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50,142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952,212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1,675,532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167,819</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157,964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Dividend income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948</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7,628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non-affiliated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182,231</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166,537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controlled, 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6,638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controlled, 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10,179</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6,878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192,410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173,415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Interest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23,108</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22,010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24,253</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21,276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Incentive fees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22,703</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20,180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8,166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Directors’ fees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381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Other general and administrative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4,830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640"/>
              <w:spacing w:after="0"/>
              <w:rPr>
                <w:sz w:val="20"/>
                <w:szCs w:val="20"/>
                <w:color w:val="auto"/>
              </w:rPr>
            </w:pPr>
            <w:r>
              <w:rPr>
                <w:rFonts w:ascii="Arial" w:cs="Arial" w:eastAsia="Arial" w:hAnsi="Arial"/>
                <w:sz w:val="16"/>
                <w:szCs w:val="16"/>
                <w:color w:val="auto"/>
              </w:rPr>
              <w:t>Total expenses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83,282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76,843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and incentive fees waived (Note 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(430)</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(226)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Net Expenses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82,852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76,617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 Before Income Taxes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109,558</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96,798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Income taxes, including excise taxes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2,225</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1,500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107,333</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95,298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Unrealized and Realized Gains (Losses)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unrealized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44,676</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(17,008)</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(22,950)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Controlled, 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(10,994)</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(17,217)</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Translation of assets and liabilities in foreign currencies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(3,547)</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6,275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net change in unrealized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(28,568)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(17,722)</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Realized gains (losses):</w:t>
            </w: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(772)</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(5,042)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1,851</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color w:val="auto"/>
              </w:rPr>
              <w:t>Total realized losses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Total Unrealized and Realized Gains (Losses)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(31,730)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137,007</w:t>
            </w:r>
          </w:p>
        </w:tc>
        <w:tc>
          <w:tcPr>
            <w:tcW w:w="8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63,568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share—basic and diluted</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shares of common stock outstanding—basic and diluted</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58,591,380</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6"/>
                <w:szCs w:val="16"/>
                <w:color w:val="auto"/>
              </w:rPr>
              <w:t>54,006,322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50,509,692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right"/>
        <w:ind w:right="32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amounts)</w:t>
      </w:r>
    </w:p>
    <w:p>
      <w:pPr>
        <w:sectPr>
          <w:pgSz w:w="11900" w:h="16838" w:orient="portrait"/>
          <w:cols w:equalWidth="0" w:num="1">
            <w:col w:w="11340"/>
          </w:cols>
          <w:pgMar w:left="240" w:top="460" w:right="31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gridSpan w:val="2"/>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Debt Investments</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ind w:left="160"/>
              <w:spacing w:after="0"/>
              <w:rPr>
                <w:sz w:val="20"/>
                <w:szCs w:val="20"/>
                <w:color w:val="auto"/>
              </w:rPr>
            </w:pPr>
            <w:r>
              <w:rPr>
                <w:rFonts w:ascii="Arial" w:cs="Arial" w:eastAsia="Arial" w:hAnsi="Arial"/>
                <w:sz w:val="15"/>
                <w:szCs w:val="15"/>
                <w:b w:val="1"/>
                <w:bCs w:val="1"/>
                <w:color w:val="auto"/>
              </w:rPr>
              <w:t>Automotive</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($29,233</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gridSpan w:val="2"/>
          </w:tcPr>
          <w:p>
            <w:pPr>
              <w:spacing w:after="0"/>
              <w:rPr>
                <w:sz w:val="20"/>
                <w:szCs w:val="20"/>
                <w:color w:val="auto"/>
              </w:rPr>
            </w:pPr>
            <w:r>
              <w:rPr>
                <w:rFonts w:ascii="Arial" w:cs="Arial" w:eastAsia="Arial" w:hAnsi="Arial"/>
                <w:sz w:val="15"/>
                <w:szCs w:val="15"/>
                <w:color w:val="auto"/>
              </w:rPr>
              <w:t>Heartland Automotive Holdings, LLC</w:t>
            </w:r>
            <w:r>
              <w:rPr>
                <w:rFonts w:ascii="Arial" w:cs="Arial" w:eastAsia="Arial" w:hAnsi="Arial"/>
                <w:sz w:val="13"/>
                <w:szCs w:val="13"/>
                <w:color w:val="auto"/>
              </w:rPr>
              <w:t>(3)</w:t>
            </w:r>
          </w:p>
        </w:tc>
        <w:tc>
          <w:tcPr>
            <w:tcW w:w="2280" w:type="dxa"/>
            <w:vAlign w:val="bottom"/>
          </w:tcPr>
          <w:p>
            <w:pPr>
              <w:spacing w:after="0"/>
              <w:rPr>
                <w:sz w:val="20"/>
                <w:szCs w:val="20"/>
                <w:color w:val="auto"/>
              </w:rPr>
            </w:pPr>
            <w:r>
              <w:rPr>
                <w:rFonts w:ascii="Arial" w:cs="Arial" w:eastAsia="Arial" w:hAnsi="Arial"/>
                <w:sz w:val="15"/>
                <w:szCs w:val="15"/>
                <w:color w:val="auto"/>
              </w:rPr>
              <w:t>par, due 6/2017)</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revolving loan</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($1,417 par, due 6/2017)</w:t>
            </w:r>
          </w:p>
        </w:tc>
        <w:tc>
          <w:tcPr>
            <w:tcW w:w="0" w:type="dxa"/>
            <w:vAlign w:val="bottom"/>
          </w:tcPr>
          <w:p>
            <w:pPr>
              <w:spacing w:after="0"/>
              <w:rPr>
                <w:sz w:val="1"/>
                <w:szCs w:val="1"/>
                <w:color w:val="auto"/>
              </w:rPr>
            </w:pPr>
          </w:p>
        </w:tc>
      </w:tr>
      <w:tr>
        <w:trPr>
          <w:trHeight w:val="359"/>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Beverage, food and tobacco</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($61,542</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AFS Technologies, Inc.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34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3/2020)</w:t>
            </w:r>
          </w:p>
        </w:tc>
        <w:tc>
          <w:tcPr>
            <w:tcW w:w="0" w:type="dxa"/>
            <w:vAlign w:val="bottom"/>
          </w:tcPr>
          <w:p>
            <w:pPr>
              <w:spacing w:after="0"/>
              <w:rPr>
                <w:sz w:val="1"/>
                <w:szCs w:val="1"/>
                <w:color w:val="auto"/>
              </w:rPr>
            </w:pPr>
          </w:p>
        </w:tc>
      </w:tr>
      <w:tr>
        <w:trPr>
          <w:trHeight w:val="174"/>
        </w:trPr>
        <w:tc>
          <w:tcPr>
            <w:tcW w:w="41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Business services</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Actian Corporation</w:t>
            </w:r>
            <w:r>
              <w:rPr>
                <w:rFonts w:ascii="Arial" w:cs="Arial" w:eastAsia="Arial" w:hAnsi="Arial"/>
                <w:sz w:val="13"/>
                <w:szCs w:val="13"/>
                <w:color w:val="auto"/>
              </w:rPr>
              <w:t>(3)(5)</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($54,982</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Bullhorn, Inc.</w:t>
            </w:r>
          </w:p>
        </w:tc>
        <w:tc>
          <w:tcPr>
            <w:tcW w:w="2280" w:type="dxa"/>
            <w:vAlign w:val="bottom"/>
          </w:tcPr>
          <w:p>
            <w:pPr>
              <w:spacing w:after="0"/>
              <w:rPr>
                <w:sz w:val="20"/>
                <w:szCs w:val="20"/>
                <w:color w:val="auto"/>
              </w:rPr>
            </w:pPr>
            <w:r>
              <w:rPr>
                <w:rFonts w:ascii="Arial" w:cs="Arial" w:eastAsia="Arial" w:hAnsi="Arial"/>
                <w:sz w:val="15"/>
                <w:szCs w:val="15"/>
                <w:color w:val="auto"/>
              </w:rPr>
              <w:t>par, due 4/2018)</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($45,000</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8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11/2020)</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Clarabridge, Inc.</w:t>
            </w:r>
            <w:r>
              <w:rPr>
                <w:rFonts w:ascii="Arial" w:cs="Arial" w:eastAsia="Arial" w:hAnsi="Arial"/>
                <w:sz w:val="13"/>
                <w:szCs w:val="13"/>
                <w:color w:val="auto"/>
              </w:rPr>
              <w:t>(3)</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($19,719</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Idera, Inc.</w:t>
            </w:r>
          </w:p>
        </w:tc>
        <w:tc>
          <w:tcPr>
            <w:tcW w:w="2280" w:type="dxa"/>
            <w:vAlign w:val="bottom"/>
          </w:tcPr>
          <w:p>
            <w:pPr>
              <w:spacing w:after="0"/>
              <w:rPr>
                <w:sz w:val="20"/>
                <w:szCs w:val="20"/>
                <w:color w:val="auto"/>
              </w:rPr>
            </w:pPr>
            <w:r>
              <w:rPr>
                <w:rFonts w:ascii="Arial" w:cs="Arial" w:eastAsia="Arial" w:hAnsi="Arial"/>
                <w:sz w:val="15"/>
                <w:szCs w:val="15"/>
                <w:color w:val="auto"/>
              </w:rPr>
              <w:t>par, due 4/2019)</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($61,875</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6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4/2021)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($27,090</w:t>
            </w:r>
          </w:p>
        </w:tc>
        <w:tc>
          <w:tcPr>
            <w:tcW w:w="0" w:type="dxa"/>
            <w:vAlign w:val="bottom"/>
          </w:tcPr>
          <w:p>
            <w:pPr>
              <w:spacing w:after="0"/>
              <w:rPr>
                <w:sz w:val="1"/>
                <w:szCs w:val="1"/>
                <w:color w:val="auto"/>
              </w:rPr>
            </w:pPr>
          </w:p>
        </w:tc>
      </w:tr>
      <w:tr>
        <w:trPr>
          <w:trHeight w:val="176"/>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Marketo, Inc.</w:t>
            </w:r>
          </w:p>
        </w:tc>
        <w:tc>
          <w:tcPr>
            <w:tcW w:w="2280" w:type="dxa"/>
            <w:vAlign w:val="bottom"/>
          </w:tcPr>
          <w:p>
            <w:pPr>
              <w:spacing w:after="0"/>
              <w:rPr>
                <w:sz w:val="20"/>
                <w:szCs w:val="20"/>
                <w:color w:val="auto"/>
              </w:rPr>
            </w:pPr>
            <w:r>
              <w:rPr>
                <w:rFonts w:ascii="Arial" w:cs="Arial" w:eastAsia="Arial" w:hAnsi="Arial"/>
                <w:sz w:val="15"/>
                <w:szCs w:val="15"/>
                <w:color w:val="auto"/>
              </w:rPr>
              <w:t>par, due 6/2019)</w:t>
            </w: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($28,125</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8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8/2021)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Motus, LLC</w:t>
            </w:r>
            <w:r>
              <w:rPr>
                <w:rFonts w:ascii="Arial" w:cs="Arial" w:eastAsia="Arial" w:hAnsi="Arial"/>
                <w:sz w:val="13"/>
                <w:szCs w:val="13"/>
                <w:color w:val="auto"/>
              </w:rPr>
              <w:t>(3)</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($20,157</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par, due 7/2021)</w:t>
            </w:r>
          </w:p>
        </w:tc>
        <w:tc>
          <w:tcPr>
            <w:tcW w:w="0" w:type="dxa"/>
            <w:vAlign w:val="bottom"/>
          </w:tcPr>
          <w:p>
            <w:pPr>
              <w:spacing w:after="0"/>
              <w:rPr>
                <w:sz w:val="1"/>
                <w:szCs w:val="1"/>
                <w:color w:val="auto"/>
              </w:rPr>
            </w:pPr>
          </w:p>
        </w:tc>
      </w:tr>
      <w:tr>
        <w:trPr>
          <w:trHeight w:val="305"/>
        </w:trPr>
        <w:tc>
          <w:tcPr>
            <w:tcW w:w="4100" w:type="dxa"/>
            <w:vAlign w:val="bottom"/>
            <w:gridSpan w:val="2"/>
          </w:tcPr>
          <w:p>
            <w:pPr>
              <w:spacing w:after="0"/>
              <w:rPr>
                <w:sz w:val="20"/>
                <w:szCs w:val="20"/>
                <w:color w:val="auto"/>
              </w:rPr>
            </w:pPr>
            <w:r>
              <w:rPr>
                <w:rFonts w:ascii="Arial" w:cs="Arial" w:eastAsia="Arial" w:hAnsi="Arial"/>
                <w:sz w:val="15"/>
                <w:szCs w:val="15"/>
                <w:color w:val="auto"/>
              </w:rPr>
              <w:t>Qlik Technologies, Inc.</w:t>
            </w:r>
            <w:r>
              <w:rPr>
                <w:rFonts w:ascii="Arial" w:cs="Arial" w:eastAsia="Arial" w:hAnsi="Arial"/>
                <w:sz w:val="13"/>
                <w:szCs w:val="13"/>
                <w:color w:val="auto"/>
              </w:rPr>
              <w:t>(3)</w:t>
            </w:r>
          </w:p>
        </w:tc>
        <w:tc>
          <w:tcPr>
            <w:tcW w:w="2280" w:type="dxa"/>
            <w:vAlign w:val="bottom"/>
          </w:tcPr>
          <w:p>
            <w:pPr>
              <w:spacing w:after="0"/>
              <w:rPr>
                <w:sz w:val="20"/>
                <w:szCs w:val="20"/>
                <w:color w:val="auto"/>
              </w:rPr>
            </w:pPr>
            <w:r>
              <w:rPr>
                <w:rFonts w:ascii="Arial" w:cs="Arial" w:eastAsia="Arial" w:hAnsi="Arial"/>
                <w:sz w:val="15"/>
                <w:szCs w:val="15"/>
                <w:color w:val="auto"/>
              </w:rPr>
              <w:t>First-lien loan ($40,399</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par, due 8/2022)</w:t>
            </w: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SailPoint Technologies,</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($27,500</w:t>
            </w:r>
          </w:p>
        </w:tc>
        <w:tc>
          <w:tcPr>
            <w:tcW w:w="0" w:type="dxa"/>
            <w:vAlign w:val="bottom"/>
          </w:tcPr>
          <w:p>
            <w:pPr>
              <w:spacing w:after="0"/>
              <w:rPr>
                <w:sz w:val="1"/>
                <w:szCs w:val="1"/>
                <w:color w:val="auto"/>
              </w:rPr>
            </w:pPr>
          </w:p>
        </w:tc>
      </w:tr>
      <w:tr>
        <w:trPr>
          <w:trHeight w:val="19"/>
        </w:trPr>
        <w:tc>
          <w:tcPr>
            <w:tcW w:w="410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par, due 8/2021)</w:t>
            </w: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ScentAir Technologies,</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First-lien loan ($19,986</w:t>
            </w:r>
          </w:p>
        </w:tc>
        <w:tc>
          <w:tcPr>
            <w:tcW w:w="0" w:type="dxa"/>
            <w:vAlign w:val="bottom"/>
          </w:tcPr>
          <w:p>
            <w:pPr>
              <w:spacing w:after="0"/>
              <w:rPr>
                <w:sz w:val="1"/>
                <w:szCs w:val="1"/>
                <w:color w:val="auto"/>
              </w:rPr>
            </w:pPr>
          </w:p>
        </w:tc>
      </w:tr>
      <w:tr>
        <w:trPr>
          <w:trHeight w:val="19"/>
        </w:trPr>
        <w:tc>
          <w:tcPr>
            <w:tcW w:w="410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par, due 12/2019)</w:t>
            </w: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480" w:type="dxa"/>
            <w:vAlign w:val="bottom"/>
          </w:tcPr>
          <w:p>
            <w:pPr>
              <w:spacing w:after="0"/>
              <w:rPr>
                <w:sz w:val="13"/>
                <w:szCs w:val="13"/>
                <w:color w:val="auto"/>
              </w:rPr>
            </w:pP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($29,177</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Sovos Compliance, LLC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42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3/2022)</w:t>
            </w:r>
          </w:p>
        </w:tc>
        <w:tc>
          <w:tcPr>
            <w:tcW w:w="0" w:type="dxa"/>
            <w:vAlign w:val="bottom"/>
          </w:tcPr>
          <w:p>
            <w:pPr>
              <w:spacing w:after="0"/>
              <w:rPr>
                <w:sz w:val="1"/>
                <w:szCs w:val="1"/>
                <w:color w:val="auto"/>
              </w:rPr>
            </w:pPr>
          </w:p>
        </w:tc>
      </w:tr>
      <w:tr>
        <w:trPr>
          <w:trHeight w:val="155"/>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Tibco Software</w:t>
            </w: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($247</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94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par, due 12/2020)</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Chemicals</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($4,967 par,</w:t>
            </w:r>
          </w:p>
        </w:tc>
        <w:tc>
          <w:tcPr>
            <w:tcW w:w="0" w:type="dxa"/>
            <w:vAlign w:val="bottom"/>
          </w:tcPr>
          <w:p>
            <w:pPr>
              <w:spacing w:after="0"/>
              <w:rPr>
                <w:sz w:val="1"/>
                <w:szCs w:val="1"/>
                <w:color w:val="auto"/>
              </w:rPr>
            </w:pPr>
          </w:p>
        </w:tc>
      </w:tr>
      <w:tr>
        <w:trPr>
          <w:trHeight w:val="126"/>
        </w:trPr>
        <w:tc>
          <w:tcPr>
            <w:tcW w:w="4100" w:type="dxa"/>
            <w:vAlign w:val="bottom"/>
            <w:gridSpan w:val="2"/>
          </w:tcPr>
          <w:p>
            <w:pPr>
              <w:ind w:left="1560"/>
              <w:spacing w:after="0" w:line="126" w:lineRule="exact"/>
              <w:rPr>
                <w:sz w:val="20"/>
                <w:szCs w:val="20"/>
                <w:color w:val="auto"/>
              </w:rPr>
            </w:pPr>
            <w:r>
              <w:rPr>
                <w:rFonts w:ascii="Arial" w:cs="Arial" w:eastAsia="Arial" w:hAnsi="Arial"/>
                <w:sz w:val="13"/>
                <w:szCs w:val="13"/>
                <w:color w:val="auto"/>
              </w:rPr>
              <w:t>(3)</w:t>
            </w: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line="28" w:lineRule="exact"/>
              <w:rPr>
                <w:sz w:val="20"/>
                <w:szCs w:val="20"/>
                <w:color w:val="auto"/>
              </w:rPr>
            </w:pPr>
            <w:r>
              <w:rPr>
                <w:rFonts w:ascii="Arial" w:cs="Arial" w:eastAsia="Arial" w:hAnsi="Arial"/>
                <w:sz w:val="3"/>
                <w:szCs w:val="3"/>
                <w:color w:val="auto"/>
              </w:rPr>
              <w:t>Vertellus Specialties, Inc.</w:t>
            </w: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due 4/2018)</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Second-lien loan ($3,341 par,</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due 10/2021)</w:t>
            </w:r>
          </w:p>
        </w:tc>
        <w:tc>
          <w:tcPr>
            <w:tcW w:w="0" w:type="dxa"/>
            <w:vAlign w:val="bottom"/>
          </w:tcPr>
          <w:p>
            <w:pPr>
              <w:spacing w:after="0"/>
              <w:rPr>
                <w:sz w:val="1"/>
                <w:szCs w:val="1"/>
                <w:color w:val="auto"/>
              </w:rPr>
            </w:pPr>
          </w:p>
        </w:tc>
      </w:tr>
      <w:tr>
        <w:trPr>
          <w:trHeight w:val="346"/>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Education</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($45,000 par,</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Finalsite Holdings, Inc.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jc w:val="right"/>
              <w:ind w:right="23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8/2022)</w:t>
            </w:r>
          </w:p>
        </w:tc>
        <w:tc>
          <w:tcPr>
            <w:tcW w:w="0" w:type="dxa"/>
            <w:vAlign w:val="bottom"/>
          </w:tcPr>
          <w:p>
            <w:pPr>
              <w:spacing w:after="0"/>
              <w:rPr>
                <w:sz w:val="1"/>
                <w:szCs w:val="1"/>
                <w:color w:val="auto"/>
              </w:rPr>
            </w:pPr>
          </w:p>
        </w:tc>
      </w:tr>
      <w:tr>
        <w:trPr>
          <w:trHeight w:val="141"/>
        </w:trPr>
        <w:tc>
          <w:tcPr>
            <w:tcW w:w="4100" w:type="dxa"/>
            <w:vAlign w:val="bottom"/>
            <w:gridSpan w:val="2"/>
            <w:vMerge w:val="restart"/>
          </w:tcPr>
          <w:p>
            <w:pPr>
              <w:spacing w:after="0" w:line="160" w:lineRule="exact"/>
              <w:rPr>
                <w:sz w:val="20"/>
                <w:szCs w:val="20"/>
                <w:color w:val="auto"/>
              </w:rPr>
            </w:pPr>
            <w:r>
              <w:rPr>
                <w:rFonts w:ascii="Arial" w:cs="Arial" w:eastAsia="Arial" w:hAnsi="Arial"/>
                <w:sz w:val="15"/>
                <w:szCs w:val="15"/>
                <w:color w:val="auto"/>
              </w:rPr>
              <w:t>Frontline Technologies Group LLC</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
        </w:trPr>
        <w:tc>
          <w:tcPr>
            <w:tcW w:w="4100" w:type="dxa"/>
            <w:vAlign w:val="bottom"/>
            <w:gridSpan w:val="2"/>
            <w:vMerge w:val="continue"/>
          </w:tcPr>
          <w:p>
            <w:pPr>
              <w:spacing w:after="0" w:line="20" w:lineRule="exact"/>
              <w:rPr>
                <w:sz w:val="1"/>
                <w:szCs w:val="1"/>
                <w:color w:val="auto"/>
              </w:rPr>
            </w:pPr>
          </w:p>
        </w:tc>
        <w:tc>
          <w:tcPr>
            <w:tcW w:w="2280" w:type="dxa"/>
            <w:vAlign w:val="bottom"/>
          </w:tcPr>
          <w:p>
            <w:pPr>
              <w:spacing w:after="0" w:line="19" w:lineRule="exact"/>
              <w:rPr>
                <w:sz w:val="20"/>
                <w:szCs w:val="20"/>
                <w:color w:val="auto"/>
              </w:rPr>
            </w:pPr>
            <w:r>
              <w:rPr>
                <w:rFonts w:ascii="Arial" w:cs="Arial" w:eastAsia="Arial" w:hAnsi="Arial"/>
                <w:sz w:val="2"/>
                <w:szCs w:val="2"/>
                <w:color w:val="auto"/>
              </w:rPr>
              <w:t>First-lien loan ($54,725 par,</w:t>
            </w: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218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4/2021)</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100" w:type="dxa"/>
            <w:vAlign w:val="bottom"/>
            <w:gridSpan w:val="2"/>
          </w:tcPr>
          <w:p>
            <w:pPr>
              <w:ind w:left="320"/>
              <w:spacing w:after="0"/>
              <w:rPr>
                <w:sz w:val="20"/>
                <w:szCs w:val="20"/>
                <w:color w:val="auto"/>
              </w:rPr>
            </w:pPr>
            <w:r>
              <w:rPr>
                <w:rFonts w:ascii="Arial" w:cs="Arial" w:eastAsia="Arial" w:hAnsi="Arial"/>
                <w:sz w:val="15"/>
                <w:szCs w:val="15"/>
                <w:b w:val="1"/>
                <w:bCs w:val="1"/>
                <w:color w:val="auto"/>
              </w:rPr>
              <w:t>Electronics</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First-lien loan ($63,761 par,</w:t>
            </w:r>
          </w:p>
        </w:tc>
        <w:tc>
          <w:tcPr>
            <w:tcW w:w="0" w:type="dxa"/>
            <w:vAlign w:val="bottom"/>
          </w:tcPr>
          <w:p>
            <w:pPr>
              <w:spacing w:after="0"/>
              <w:rPr>
                <w:sz w:val="1"/>
                <w:szCs w:val="1"/>
                <w:color w:val="auto"/>
              </w:rPr>
            </w:pPr>
          </w:p>
        </w:tc>
      </w:tr>
      <w:tr>
        <w:trPr>
          <w:trHeight w:val="19"/>
        </w:trPr>
        <w:tc>
          <w:tcPr>
            <w:tcW w:w="4100" w:type="dxa"/>
            <w:vAlign w:val="bottom"/>
            <w:gridSpan w:val="2"/>
          </w:tcPr>
          <w:p>
            <w:pPr>
              <w:spacing w:after="0" w:line="19" w:lineRule="exact"/>
              <w:rPr>
                <w:sz w:val="20"/>
                <w:szCs w:val="20"/>
                <w:color w:val="auto"/>
              </w:rPr>
            </w:pPr>
            <w:r>
              <w:rPr>
                <w:rFonts w:ascii="Arial" w:cs="Arial" w:eastAsia="Arial" w:hAnsi="Arial"/>
                <w:sz w:val="2"/>
                <w:szCs w:val="2"/>
                <w:color w:val="auto"/>
              </w:rPr>
              <w:t>MyAlarm Center, LLC</w:t>
            </w: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00" w:type="dxa"/>
            <w:vAlign w:val="bottom"/>
            <w:gridSpan w:val="2"/>
          </w:tcPr>
          <w:p>
            <w:pPr>
              <w:ind w:left="142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due 1/2019)</w:t>
            </w: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spacing w:after="0" w:line="162" w:lineRule="exact"/>
              <w:rPr>
                <w:sz w:val="20"/>
                <w:szCs w:val="20"/>
                <w:color w:val="auto"/>
              </w:rPr>
            </w:pPr>
            <w:r>
              <w:rPr>
                <w:rFonts w:ascii="Arial" w:cs="Arial" w:eastAsia="Arial" w:hAnsi="Arial"/>
                <w:sz w:val="15"/>
                <w:szCs w:val="15"/>
                <w:color w:val="auto"/>
              </w:rPr>
              <w:t>APX Group Inc.</w:t>
            </w: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Senior notes 8.75% ($5,470 par,</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due 12/2020)</w:t>
            </w:r>
          </w:p>
        </w:tc>
        <w:tc>
          <w:tcPr>
            <w:tcW w:w="0" w:type="dxa"/>
            <w:vAlign w:val="bottom"/>
          </w:tcPr>
          <w:p>
            <w:pPr>
              <w:spacing w:after="0"/>
              <w:rPr>
                <w:sz w:val="1"/>
                <w:szCs w:val="1"/>
                <w:color w:val="auto"/>
              </w:rPr>
            </w:pPr>
          </w:p>
        </w:tc>
      </w:tr>
      <w:tr>
        <w:trPr>
          <w:trHeight w:val="562"/>
        </w:trPr>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80" w:type="dxa"/>
            <w:vAlign w:val="bottom"/>
          </w:tcPr>
          <w:p>
            <w:pPr>
              <w:ind w:left="14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-6191250</wp:posOffset>
            </wp:positionV>
            <wp:extent cx="724662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-5770880</wp:posOffset>
            </wp:positionV>
            <wp:extent cx="724662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-5419090</wp:posOffset>
            </wp:positionV>
            <wp:extent cx="7246620"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-5102225</wp:posOffset>
            </wp:positionV>
            <wp:extent cx="724662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-4784725</wp:posOffset>
            </wp:positionV>
            <wp:extent cx="724662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-4356100</wp:posOffset>
            </wp:positionV>
            <wp:extent cx="7246620"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-3926840</wp:posOffset>
            </wp:positionV>
            <wp:extent cx="7246620"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214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46620"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-2186305</wp:posOffset>
            </wp:positionV>
            <wp:extent cx="724662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Fair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Percentage</w:t>
            </w:r>
          </w:p>
        </w:tc>
      </w:tr>
      <w:tr>
        <w:trPr>
          <w:trHeight w:val="153"/>
        </w:trPr>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6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2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of Net Assets</w:t>
            </w:r>
          </w:p>
        </w:tc>
      </w:tr>
    </w:tbl>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8/28/2012</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29,136</w:t>
            </w:r>
          </w:p>
        </w:tc>
        <w:tc>
          <w:tcPr>
            <w:tcW w:w="2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  29,159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319"/>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8/28/2012</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1,401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1,403</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0.1%</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30,537</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30,562</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6"/>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3/3/2014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60,698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57,850</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6.1%</w:t>
            </w:r>
          </w:p>
        </w:tc>
      </w:tr>
      <w:tr>
        <w:trPr>
          <w:trHeight w:val="500"/>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4/11/2013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54,366</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56,219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5.9%</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11/12/2015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44,095</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45,225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5/20/2015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19,446</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19,774</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6.50%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10/9/2015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56,817</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61,875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6.5%</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6/30/2014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26,752</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27,163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8/16/2016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27,278</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27,750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162"/>
        </w:trPr>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11.00%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91"/>
              </w:rPr>
              <w:t>(incl. 3.00%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8"/>
        </w:trPr>
        <w:tc>
          <w:tcPr>
            <w:tcW w:w="920" w:type="dxa"/>
            <w:vAlign w:val="bottom"/>
          </w:tcPr>
          <w:p>
            <w:pPr>
              <w:jc w:val="right"/>
              <w:ind w:right="223"/>
              <w:spacing w:after="0"/>
              <w:rPr>
                <w:sz w:val="20"/>
                <w:szCs w:val="20"/>
                <w:color w:val="auto"/>
              </w:rPr>
            </w:pPr>
            <w:r>
              <w:rPr>
                <w:rFonts w:ascii="Arial" w:cs="Arial" w:eastAsia="Arial" w:hAnsi="Arial"/>
                <w:sz w:val="15"/>
                <w:szCs w:val="15"/>
                <w:color w:val="auto"/>
              </w:rPr>
              <w:t>PIK)</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7/29/2016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19,690</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20,106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9.25%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8/22/2016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39,691</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40,096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8/16/2016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26,973</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27,285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12/30/2014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19,717</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20,263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338"/>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8.25%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7/1/2016</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28,621</w:t>
            </w: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29,027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319"/>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6.50%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1/26/2016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248</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0.0%</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363,664</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375,031</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39.3%</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4,937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4,942</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13.00%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3,341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3,350</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0.4%</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8,278</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8,292</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0.9%</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8/31/2016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43,830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44,325</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7.75%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4/1/2016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53,447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54,862</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5.8%</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97,277</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99,187</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10.5%</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2"/>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1/9/2014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63,342</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64,568</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6.8%</w:t>
            </w:r>
          </w:p>
        </w:tc>
      </w:tr>
      <w:tr>
        <w:trPr>
          <w:trHeight w:val="305"/>
        </w:trPr>
        <w:tc>
          <w:tcPr>
            <w:tcW w:w="920" w:type="dxa"/>
            <w:vAlign w:val="bottom"/>
          </w:tcPr>
          <w:p>
            <w:pPr>
              <w:jc w:val="right"/>
              <w:ind w:right="103"/>
              <w:spacing w:after="0"/>
              <w:rPr>
                <w:sz w:val="20"/>
                <w:szCs w:val="20"/>
                <w:color w:val="auto"/>
              </w:rPr>
            </w:pPr>
            <w:r>
              <w:rPr>
                <w:rFonts w:ascii="Arial" w:cs="Arial" w:eastAsia="Arial" w:hAnsi="Arial"/>
                <w:sz w:val="15"/>
                <w:szCs w:val="15"/>
                <w:color w:val="auto"/>
              </w:rPr>
              <w:t>8.75%</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12/11/2014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4,717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5,511</w:t>
            </w: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0.6%</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68,059</w:t>
            </w:r>
          </w:p>
        </w:tc>
        <w:tc>
          <w:tcPr>
            <w:tcW w:w="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70,079</w:t>
            </w:r>
          </w:p>
        </w:tc>
        <w:tc>
          <w:tcPr>
            <w:tcW w:w="26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w:t>
            </w: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2">
            <w:col w:w="6380" w:space="220"/>
            <w:col w:w="4740"/>
          </w:cols>
          <w:pgMar w:left="240" w:top="460" w:right="31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Initial</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3280" w:type="dxa"/>
            <w:vAlign w:val="bottom"/>
            <w:vMerge w:val="restart"/>
          </w:tcPr>
          <w:p>
            <w:pPr>
              <w:ind w:left="2080"/>
              <w:spacing w:after="0"/>
              <w:rPr>
                <w:sz w:val="20"/>
                <w:szCs w:val="20"/>
                <w:color w:val="auto"/>
              </w:rPr>
            </w:pPr>
            <w:r>
              <w:rPr>
                <w:rFonts w:ascii="Arial" w:cs="Arial" w:eastAsia="Arial" w:hAnsi="Arial"/>
                <w:sz w:val="13"/>
                <w:szCs w:val="13"/>
                <w:b w:val="1"/>
                <w:bCs w:val="1"/>
                <w:color w:val="auto"/>
              </w:rPr>
              <w:t>Investment</w:t>
            </w:r>
          </w:p>
        </w:tc>
        <w:tc>
          <w:tcPr>
            <w:tcW w:w="1300" w:type="dxa"/>
            <w:vAlign w:val="bottom"/>
          </w:tcPr>
          <w:p>
            <w:pPr>
              <w:spacing w:after="0"/>
              <w:rPr>
                <w:sz w:val="11"/>
                <w:szCs w:val="11"/>
                <w:color w:val="auto"/>
              </w:rPr>
            </w:pPr>
          </w:p>
        </w:tc>
        <w:tc>
          <w:tcPr>
            <w:tcW w:w="106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98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52"/>
        </w:trPr>
        <w:tc>
          <w:tcPr>
            <w:tcW w:w="2740" w:type="dxa"/>
            <w:vAlign w:val="bottom"/>
            <w:vMerge w:val="continue"/>
          </w:tcPr>
          <w:p>
            <w:pPr>
              <w:spacing w:after="0"/>
              <w:rPr>
                <w:sz w:val="13"/>
                <w:szCs w:val="13"/>
                <w:color w:val="auto"/>
              </w:rPr>
            </w:pPr>
          </w:p>
        </w:tc>
        <w:tc>
          <w:tcPr>
            <w:tcW w:w="3280" w:type="dxa"/>
            <w:vAlign w:val="bottom"/>
            <w:vMerge w:val="continue"/>
          </w:tcPr>
          <w:p>
            <w:pPr>
              <w:spacing w:after="0"/>
              <w:rPr>
                <w:sz w:val="13"/>
                <w:szCs w:val="13"/>
                <w:color w:val="auto"/>
              </w:rPr>
            </w:pPr>
          </w:p>
        </w:tc>
        <w:tc>
          <w:tcPr>
            <w:tcW w:w="1300" w:type="dxa"/>
            <w:vAlign w:val="bottom"/>
          </w:tcPr>
          <w:p>
            <w:pPr>
              <w:ind w:left="580"/>
              <w:spacing w:after="0"/>
              <w:rPr>
                <w:sz w:val="20"/>
                <w:szCs w:val="20"/>
                <w:color w:val="auto"/>
              </w:rPr>
            </w:pPr>
            <w:r>
              <w:rPr>
                <w:rFonts w:ascii="Arial" w:cs="Arial" w:eastAsia="Arial" w:hAnsi="Arial"/>
                <w:sz w:val="13"/>
                <w:szCs w:val="13"/>
                <w:b w:val="1"/>
                <w:bCs w:val="1"/>
                <w:color w:val="auto"/>
              </w:rPr>
              <w:t>Interest</w:t>
            </w:r>
          </w:p>
        </w:tc>
        <w:tc>
          <w:tcPr>
            <w:tcW w:w="1060" w:type="dxa"/>
            <w:vAlign w:val="bottom"/>
          </w:tcPr>
          <w:p>
            <w:pPr>
              <w:jc w:val="center"/>
              <w:ind w:left="57"/>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tcPr>
          <w:p>
            <w:pPr>
              <w:jc w:val="center"/>
              <w:ind w:right="57"/>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6"/>
              </w:rPr>
              <w:t>Value</w:t>
            </w:r>
          </w:p>
        </w:tc>
        <w:tc>
          <w:tcPr>
            <w:tcW w:w="980" w:type="dxa"/>
            <w:vAlign w:val="bottom"/>
          </w:tcPr>
          <w:p>
            <w:pPr>
              <w:jc w:val="center"/>
              <w:ind w:left="237"/>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0" w:type="dxa"/>
            <w:vAlign w:val="bottom"/>
            <w:shd w:val="clear" w:color="auto" w:fill="000000"/>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2"/>
            <w:shd w:val="clear" w:color="auto" w:fill="CCEEFF"/>
          </w:tcPr>
          <w:p>
            <w:pPr>
              <w:ind w:left="320"/>
              <w:spacing w:after="0" w:line="144"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AppStar Financial,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($22,200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50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8/2020)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8/18/2015</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21,781</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22,261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($53,528 par, due</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8/2020)</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2.38%</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52,779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53,394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Network Merchants,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($25,782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5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9/12/2013</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25,585</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25,981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PayLease, LLC</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($34,502 par,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10.00%</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3/2020)</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3/6/2015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33,979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34,700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Smarsh,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($30,000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jc w:val="right"/>
              <w:ind w:right="290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1/2021)</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1/7/2016</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29,343</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30,300</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163,467</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166,636</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9"/>
        </w:trPr>
        <w:tc>
          <w:tcPr>
            <w:tcW w:w="398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Healthcare</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(3)(4)</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(EUR 40,573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44,934</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47,830</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43,158)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527</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580" w:type="dxa"/>
            <w:vAlign w:val="bottom"/>
          </w:tcPr>
          <w:p>
            <w:pPr>
              <w:jc w:val="right"/>
              <w:spacing w:after="0"/>
              <w:rPr>
                <w:sz w:val="20"/>
                <w:szCs w:val="20"/>
                <w:color w:val="auto"/>
              </w:rPr>
            </w:pPr>
            <w:r>
              <w:rPr>
                <w:rFonts w:ascii="Arial" w:cs="Arial" w:eastAsia="Arial" w:hAnsi="Arial"/>
                <w:sz w:val="15"/>
                <w:szCs w:val="15"/>
                <w:color w:val="auto"/>
              </w:rPr>
              <w:t>253</w:t>
            </w:r>
          </w:p>
        </w:tc>
        <w:tc>
          <w:tcPr>
            <w:tcW w:w="26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(EUR 500)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MatrixCare,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($44,663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6.25%</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5"/>
              </w:rPr>
              <w:t>12/17/2015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43,959</w:t>
            </w:r>
          </w:p>
        </w:tc>
        <w:tc>
          <w:tcPr>
            <w:tcW w:w="2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45,109</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55"/>
        </w:trPr>
        <w:tc>
          <w:tcPr>
            <w:tcW w:w="6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5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MedeAnalytics,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($47,066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9.50%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580" w:type="dxa"/>
            <w:vAlign w:val="bottom"/>
          </w:tcPr>
          <w:p>
            <w:pPr>
              <w:jc w:val="right"/>
              <w:spacing w:after="0"/>
              <w:rPr>
                <w:sz w:val="20"/>
                <w:szCs w:val="20"/>
                <w:color w:val="auto"/>
              </w:rPr>
            </w:pPr>
            <w:r>
              <w:rPr>
                <w:rFonts w:ascii="Arial" w:cs="Arial" w:eastAsia="Arial" w:hAnsi="Arial"/>
                <w:sz w:val="15"/>
                <w:szCs w:val="15"/>
                <w:color w:val="auto"/>
              </w:rPr>
              <w:t>45,920</w:t>
            </w:r>
          </w:p>
        </w:tc>
        <w:tc>
          <w:tcPr>
            <w:tcW w:w="2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47,184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Quantros, Inc.</w:t>
            </w:r>
            <w:r>
              <w:rPr>
                <w:rFonts w:ascii="Arial" w:cs="Arial" w:eastAsia="Arial" w:hAnsi="Arial"/>
                <w:sz w:val="13"/>
                <w:szCs w:val="13"/>
                <w:color w:val="auto"/>
              </w:rPr>
              <w:t>(3)(5)</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($29,775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2/2021)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2/29/2016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28,894</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29,849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($30,000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580" w:type="dxa"/>
            <w:vAlign w:val="bottom"/>
          </w:tcPr>
          <w:p>
            <w:pPr>
              <w:jc w:val="right"/>
              <w:spacing w:after="0"/>
              <w:rPr>
                <w:sz w:val="20"/>
                <w:szCs w:val="20"/>
                <w:color w:val="auto"/>
              </w:rPr>
            </w:pPr>
            <w:r>
              <w:rPr>
                <w:rFonts w:ascii="Arial" w:cs="Arial" w:eastAsia="Arial" w:hAnsi="Arial"/>
                <w:sz w:val="15"/>
                <w:szCs w:val="15"/>
                <w:color w:val="auto"/>
              </w:rPr>
              <w:t>29,820</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30,000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198,667</w:t>
            </w:r>
          </w:p>
        </w:tc>
        <w:tc>
          <w:tcPr>
            <w:tcW w:w="260" w:type="dxa"/>
            <w:vAlign w:val="bottom"/>
          </w:tcPr>
          <w:p>
            <w:pPr>
              <w:spacing w:after="0"/>
              <w:rPr>
                <w:sz w:val="15"/>
                <w:szCs w:val="15"/>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199,603</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45"/>
        </w:trPr>
        <w:tc>
          <w:tcPr>
            <w:tcW w:w="398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5"/>
                <w:szCs w:val="15"/>
                <w:b w:val="1"/>
                <w:bCs w:val="1"/>
                <w:color w:val="auto"/>
              </w:rPr>
              <w:t>Hotel, gaming, and</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980" w:type="dxa"/>
            <w:vAlign w:val="bottom"/>
            <w:gridSpan w:val="2"/>
            <w:shd w:val="clear" w:color="auto" w:fill="CCEEFF"/>
          </w:tcPr>
          <w:p>
            <w:pPr>
              <w:ind w:left="460"/>
              <w:spacing w:after="0"/>
              <w:rPr>
                <w:sz w:val="20"/>
                <w:szCs w:val="20"/>
                <w:color w:val="auto"/>
              </w:rPr>
            </w:pPr>
            <w:r>
              <w:rPr>
                <w:rFonts w:ascii="Arial" w:cs="Arial" w:eastAsia="Arial" w:hAnsi="Arial"/>
                <w:sz w:val="15"/>
                <w:szCs w:val="15"/>
                <w:b w:val="1"/>
                <w:bCs w:val="1"/>
                <w:color w:val="auto"/>
              </w:rPr>
              <w:t>leisure</w:t>
            </w: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CrunchTime Information Systems,</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($26,104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9.27%</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
        </w:trPr>
        <w:tc>
          <w:tcPr>
            <w:tcW w:w="3980" w:type="dxa"/>
            <w:vAlign w:val="bottom"/>
            <w:gridSpan w:val="2"/>
          </w:tcPr>
          <w:p>
            <w:pPr>
              <w:ind w:left="160"/>
              <w:spacing w:after="0" w:line="19" w:lineRule="exact"/>
              <w:rPr>
                <w:sz w:val="20"/>
                <w:szCs w:val="20"/>
                <w:color w:val="auto"/>
              </w:rPr>
            </w:pPr>
            <w:r>
              <w:rPr>
                <w:rFonts w:ascii="Arial" w:cs="Arial" w:eastAsia="Arial" w:hAnsi="Arial"/>
                <w:sz w:val="2"/>
                <w:szCs w:val="2"/>
                <w:color w:val="auto"/>
              </w:rPr>
              <w:t>Inc.</w:t>
            </w:r>
          </w:p>
        </w:tc>
        <w:tc>
          <w:tcPr>
            <w:tcW w:w="2280" w:type="dxa"/>
            <w:vAlign w:val="bottom"/>
          </w:tcPr>
          <w:p>
            <w:pPr>
              <w:spacing w:after="0" w:line="19" w:lineRule="exact"/>
              <w:rPr>
                <w:sz w:val="20"/>
                <w:szCs w:val="20"/>
                <w:color w:val="auto"/>
              </w:rPr>
            </w:pPr>
            <w:r>
              <w:rPr>
                <w:rFonts w:ascii="Arial" w:cs="Arial" w:eastAsia="Arial" w:hAnsi="Arial"/>
                <w:sz w:val="2"/>
                <w:szCs w:val="2"/>
                <w:color w:val="auto"/>
              </w:rPr>
              <w:t>4/2020)</w:t>
            </w:r>
          </w:p>
        </w:tc>
        <w:tc>
          <w:tcPr>
            <w:tcW w:w="220" w:type="dxa"/>
            <w:vAlign w:val="bottom"/>
          </w:tcPr>
          <w:p>
            <w:pPr>
              <w:spacing w:after="0" w:line="20" w:lineRule="exact"/>
              <w:rPr>
                <w:sz w:val="1"/>
                <w:szCs w:val="1"/>
                <w:color w:val="auto"/>
              </w:rPr>
            </w:pPr>
          </w:p>
        </w:tc>
        <w:tc>
          <w:tcPr>
            <w:tcW w:w="1060" w:type="dxa"/>
            <w:vAlign w:val="bottom"/>
            <w:gridSpan w:val="2"/>
          </w:tcPr>
          <w:p>
            <w:pPr>
              <w:jc w:val="right"/>
              <w:ind w:right="260"/>
              <w:spacing w:after="0" w:line="19" w:lineRule="exact"/>
              <w:rPr>
                <w:sz w:val="20"/>
                <w:szCs w:val="20"/>
                <w:color w:val="auto"/>
              </w:rPr>
            </w:pPr>
            <w:r>
              <w:rPr>
                <w:rFonts w:ascii="Arial" w:cs="Arial" w:eastAsia="Arial" w:hAnsi="Arial"/>
                <w:sz w:val="2"/>
                <w:szCs w:val="2"/>
                <w:color w:val="auto"/>
              </w:rPr>
              <w:t>(incl. 2.50%</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 w:type="dxa"/>
            <w:vAlign w:val="bottom"/>
          </w:tcPr>
          <w:p>
            <w:pPr>
              <w:ind w:left="400"/>
              <w:spacing w:after="0"/>
              <w:rPr>
                <w:sz w:val="20"/>
                <w:szCs w:val="20"/>
                <w:color w:val="auto"/>
              </w:rPr>
            </w:pPr>
            <w:r>
              <w:rPr>
                <w:rFonts w:ascii="Arial" w:cs="Arial" w:eastAsia="Arial" w:hAnsi="Arial"/>
                <w:sz w:val="13"/>
                <w:szCs w:val="13"/>
                <w:color w:val="auto"/>
              </w:rPr>
              <w:t>(3)</w:t>
            </w: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PIK)</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4/16/2015</w:t>
            </w:r>
          </w:p>
        </w:tc>
        <w:tc>
          <w:tcPr>
            <w:tcW w:w="580" w:type="dxa"/>
            <w:vAlign w:val="bottom"/>
          </w:tcPr>
          <w:p>
            <w:pPr>
              <w:jc w:val="right"/>
              <w:spacing w:after="0"/>
              <w:rPr>
                <w:sz w:val="20"/>
                <w:szCs w:val="20"/>
                <w:color w:val="auto"/>
              </w:rPr>
            </w:pPr>
            <w:r>
              <w:rPr>
                <w:rFonts w:ascii="Arial" w:cs="Arial" w:eastAsia="Arial" w:hAnsi="Arial"/>
                <w:sz w:val="15"/>
                <w:szCs w:val="15"/>
                <w:color w:val="auto"/>
              </w:rPr>
              <w:t>25,643</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26,104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($21,311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10.50%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(3)(7)</w:t>
            </w: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9/2019)</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5.00%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9/29/2015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21,311</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18,807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revolver loan ($14,755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580" w:type="dxa"/>
            <w:vAlign w:val="bottom"/>
          </w:tcPr>
          <w:p>
            <w:pPr>
              <w:jc w:val="right"/>
              <w:spacing w:after="0"/>
              <w:rPr>
                <w:sz w:val="20"/>
                <w:szCs w:val="20"/>
                <w:color w:val="auto"/>
              </w:rPr>
            </w:pPr>
            <w:r>
              <w:rPr>
                <w:rFonts w:ascii="Arial" w:cs="Arial" w:eastAsia="Arial" w:hAnsi="Arial"/>
                <w:sz w:val="15"/>
                <w:szCs w:val="15"/>
                <w:color w:val="auto"/>
              </w:rPr>
              <w:t>14,755</w:t>
            </w:r>
          </w:p>
        </w:tc>
        <w:tc>
          <w:tcPr>
            <w:tcW w:w="2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13,021</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12,875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320"/>
              <w:spacing w:after="0" w:line="6" w:lineRule="exact"/>
              <w:rPr>
                <w:sz w:val="20"/>
                <w:szCs w:val="20"/>
                <w:color w:val="auto"/>
              </w:rPr>
            </w:pPr>
            <w:r>
              <w:rPr>
                <w:rFonts w:ascii="Arial" w:cs="Arial" w:eastAsia="Arial" w:hAnsi="Arial"/>
                <w:sz w:val="1"/>
                <w:szCs w:val="1"/>
                <w:color w:val="auto"/>
              </w:rPr>
              <w:t>16,227</w:t>
            </w: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(GBP 13,133)</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20,618</w:t>
            </w:r>
          </w:p>
        </w:tc>
        <w:tc>
          <w:tcPr>
            <w:tcW w:w="26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82,327</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74,159</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45"/>
        </w:trPr>
        <w:tc>
          <w:tcPr>
            <w:tcW w:w="398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5"/>
                <w:szCs w:val="15"/>
                <w:b w:val="1"/>
                <w:bCs w:val="1"/>
                <w:color w:val="auto"/>
              </w:rPr>
              <w:t>Human resource</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980" w:type="dxa"/>
            <w:vAlign w:val="bottom"/>
            <w:gridSpan w:val="2"/>
            <w:shd w:val="clear" w:color="auto" w:fill="CCEEFF"/>
          </w:tcPr>
          <w:p>
            <w:pPr>
              <w:ind w:left="460"/>
              <w:spacing w:after="0"/>
              <w:rPr>
                <w:sz w:val="20"/>
                <w:szCs w:val="20"/>
                <w:color w:val="auto"/>
              </w:rPr>
            </w:pPr>
            <w:r>
              <w:rPr>
                <w:rFonts w:ascii="Arial" w:cs="Arial" w:eastAsia="Arial" w:hAnsi="Arial"/>
                <w:sz w:val="15"/>
                <w:szCs w:val="15"/>
                <w:b w:val="1"/>
                <w:bCs w:val="1"/>
                <w:color w:val="auto"/>
              </w:rPr>
              <w:t>support services</w:t>
            </w: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5"/>
                <w:szCs w:val="15"/>
                <w:color w:val="auto"/>
              </w:rPr>
              <w:t>Saba Software, Inc.</w:t>
            </w:r>
            <w:r>
              <w:rPr>
                <w:rFonts w:ascii="Arial" w:cs="Arial" w:eastAsia="Arial" w:hAnsi="Arial"/>
                <w:sz w:val="13"/>
                <w:szCs w:val="13"/>
                <w:color w:val="auto"/>
              </w:rPr>
              <w:t>(3)(5)</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($54,175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9.75%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3/30/2015</w:t>
            </w:r>
          </w:p>
        </w:tc>
        <w:tc>
          <w:tcPr>
            <w:tcW w:w="580" w:type="dxa"/>
            <w:vAlign w:val="bottom"/>
          </w:tcPr>
          <w:p>
            <w:pPr>
              <w:jc w:val="right"/>
              <w:spacing w:after="0"/>
              <w:rPr>
                <w:sz w:val="20"/>
                <w:szCs w:val="20"/>
                <w:color w:val="auto"/>
              </w:rPr>
            </w:pPr>
            <w:r>
              <w:rPr>
                <w:rFonts w:ascii="Arial" w:cs="Arial" w:eastAsia="Arial" w:hAnsi="Arial"/>
                <w:sz w:val="15"/>
                <w:szCs w:val="15"/>
                <w:color w:val="auto"/>
              </w:rPr>
              <w:t>53,680</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54,310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Skillsoft</w:t>
            </w:r>
            <w:r>
              <w:rPr>
                <w:rFonts w:ascii="Arial" w:cs="Arial" w:eastAsia="Arial" w:hAnsi="Arial"/>
                <w:sz w:val="13"/>
                <w:szCs w:val="13"/>
                <w:color w:val="auto"/>
              </w:rPr>
              <w:t>(3)</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($9,571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8,709</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61,309</w:t>
            </w:r>
          </w:p>
        </w:tc>
        <w:tc>
          <w:tcPr>
            <w:tcW w:w="260" w:type="dxa"/>
            <w:vAlign w:val="bottom"/>
          </w:tcPr>
          <w:p>
            <w:pPr>
              <w:spacing w:after="0"/>
              <w:rPr>
                <w:sz w:val="15"/>
                <w:szCs w:val="15"/>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63,019</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($64,978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jc w:val="right"/>
              <w:ind w:right="2900"/>
              <w:spacing w:after="0"/>
              <w:rPr>
                <w:sz w:val="20"/>
                <w:szCs w:val="20"/>
                <w:color w:val="auto"/>
              </w:rPr>
            </w:pPr>
            <w:r>
              <w:rPr>
                <w:rFonts w:ascii="Arial" w:cs="Arial" w:eastAsia="Arial" w:hAnsi="Arial"/>
                <w:sz w:val="13"/>
                <w:szCs w:val="13"/>
                <w:color w:val="auto"/>
              </w:rPr>
              <w:t>(3)(5)</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10/31/2014</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64,423</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65,952</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Internet services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($47,988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2"/>
          </w:tcPr>
          <w:p>
            <w:pPr>
              <w:ind w:left="146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7/2018)</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3/7/2014</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47,679</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48,588</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 ($3,000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3,038</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50,664</w:t>
            </w:r>
          </w:p>
        </w:tc>
        <w:tc>
          <w:tcPr>
            <w:tcW w:w="260" w:type="dxa"/>
            <w:vAlign w:val="bottom"/>
          </w:tcPr>
          <w:p>
            <w:pPr>
              <w:spacing w:after="0"/>
              <w:rPr>
                <w:sz w:val="14"/>
                <w:szCs w:val="14"/>
                <w:color w:val="auto"/>
              </w:rPr>
            </w:pPr>
          </w:p>
        </w:tc>
        <w:tc>
          <w:tcPr>
            <w:tcW w:w="11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51,626</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Initial</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4"/>
              </w:rPr>
              <w:t>Amortized</w:t>
            </w: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5"/>
                <w:szCs w:val="15"/>
                <w:b w:val="1"/>
                <w:bCs w:val="1"/>
                <w:color w:val="auto"/>
              </w:rPr>
              <w:t>Manufacturing</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Power Solutions International,</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($53,550 par,</w:t>
            </w:r>
          </w:p>
        </w:tc>
        <w:tc>
          <w:tcPr>
            <w:tcW w:w="106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10.75%</w:t>
            </w:r>
          </w:p>
        </w:tc>
        <w:tc>
          <w:tcPr>
            <w:tcW w:w="100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6/28/2016</w:t>
            </w:r>
          </w:p>
        </w:tc>
        <w:tc>
          <w:tcPr>
            <w:tcW w:w="920" w:type="dxa"/>
            <w:vAlign w:val="bottom"/>
            <w:gridSpan w:val="2"/>
            <w:vMerge w:val="restart"/>
          </w:tcPr>
          <w:p>
            <w:pPr>
              <w:jc w:val="right"/>
              <w:ind w:right="260"/>
              <w:spacing w:after="0" w:line="168" w:lineRule="exact"/>
              <w:rPr>
                <w:sz w:val="20"/>
                <w:szCs w:val="20"/>
                <w:color w:val="auto"/>
              </w:rPr>
            </w:pPr>
            <w:r>
              <w:rPr>
                <w:rFonts w:ascii="Arial" w:cs="Arial" w:eastAsia="Arial" w:hAnsi="Arial"/>
                <w:sz w:val="15"/>
                <w:szCs w:val="15"/>
                <w:color w:val="auto"/>
              </w:rPr>
              <w:t>47,285</w:t>
            </w:r>
          </w:p>
        </w:tc>
        <w:tc>
          <w:tcPr>
            <w:tcW w:w="1100" w:type="dxa"/>
            <w:vAlign w:val="bottom"/>
            <w:gridSpan w:val="2"/>
            <w:vMerge w:val="restart"/>
          </w:tcPr>
          <w:p>
            <w:pPr>
              <w:jc w:val="right"/>
              <w:ind w:right="320"/>
              <w:spacing w:after="0" w:line="168" w:lineRule="exact"/>
              <w:rPr>
                <w:sz w:val="20"/>
                <w:szCs w:val="20"/>
                <w:color w:val="auto"/>
              </w:rPr>
            </w:pPr>
            <w:r>
              <w:rPr>
                <w:rFonts w:ascii="Arial" w:cs="Arial" w:eastAsia="Arial" w:hAnsi="Arial"/>
                <w:sz w:val="15"/>
                <w:szCs w:val="15"/>
                <w:color w:val="auto"/>
              </w:rPr>
              <w:t>52,613</w:t>
            </w:r>
          </w:p>
        </w:tc>
        <w:tc>
          <w:tcPr>
            <w:tcW w:w="860" w:type="dxa"/>
            <w:vAlign w:val="bottom"/>
            <w:gridSpan w:val="2"/>
            <w:vMerge w:val="restart"/>
          </w:tcPr>
          <w:p>
            <w:pPr>
              <w:jc w:val="right"/>
              <w:ind w:right="40"/>
              <w:spacing w:after="0" w:line="168"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960" w:type="dxa"/>
            <w:vAlign w:val="bottom"/>
            <w:gridSpan w:val="2"/>
          </w:tcPr>
          <w:p>
            <w:pPr>
              <w:ind w:left="140"/>
              <w:spacing w:after="0" w:line="19" w:lineRule="exact"/>
              <w:rPr>
                <w:sz w:val="20"/>
                <w:szCs w:val="20"/>
                <w:color w:val="auto"/>
              </w:rPr>
            </w:pPr>
            <w:r>
              <w:rPr>
                <w:rFonts w:ascii="Arial" w:cs="Arial" w:eastAsia="Arial" w:hAnsi="Arial"/>
                <w:sz w:val="2"/>
                <w:szCs w:val="2"/>
                <w:color w:val="auto"/>
              </w:rPr>
              <w:t>Inc.</w:t>
            </w:r>
          </w:p>
        </w:tc>
        <w:tc>
          <w:tcPr>
            <w:tcW w:w="2500" w:type="dxa"/>
            <w:vAlign w:val="bottom"/>
            <w:gridSpan w:val="2"/>
          </w:tcPr>
          <w:p>
            <w:pPr>
              <w:spacing w:after="0" w:line="19" w:lineRule="exact"/>
              <w:rPr>
                <w:sz w:val="20"/>
                <w:szCs w:val="20"/>
                <w:color w:val="auto"/>
              </w:rPr>
            </w:pPr>
            <w:r>
              <w:rPr>
                <w:rFonts w:ascii="Arial" w:cs="Arial" w:eastAsia="Arial" w:hAnsi="Arial"/>
                <w:sz w:val="2"/>
                <w:szCs w:val="2"/>
                <w:color w:val="auto"/>
              </w:rPr>
              <w:t>due 6/2021)</w:t>
            </w:r>
          </w:p>
        </w:tc>
        <w:tc>
          <w:tcPr>
            <w:tcW w:w="10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gridSpan w:val="2"/>
          </w:tcPr>
          <w:p>
            <w:pPr>
              <w:jc w:val="right"/>
              <w:ind w:right="19"/>
              <w:spacing w:after="0"/>
              <w:rPr>
                <w:sz w:val="20"/>
                <w:szCs w:val="20"/>
                <w:color w:val="auto"/>
              </w:rPr>
            </w:pPr>
            <w:r>
              <w:rPr>
                <w:rFonts w:ascii="Arial" w:cs="Arial" w:eastAsia="Arial" w:hAnsi="Arial"/>
                <w:sz w:val="13"/>
                <w:szCs w:val="13"/>
                <w:color w:val="auto"/>
              </w:rPr>
              <w:t>(3)</w:t>
            </w: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Office products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($36,529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1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36,366</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36,627</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5"/>
                <w:szCs w:val="15"/>
                <w:b w:val="1"/>
                <w:bCs w:val="1"/>
                <w:color w:val="auto"/>
              </w:rPr>
              <w:t>Oil, gas and consumable</w:t>
            </w:r>
          </w:p>
        </w:tc>
        <w:tc>
          <w:tcPr>
            <w:tcW w:w="2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fuels</w:t>
            </w: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Key Energy Services</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($10,771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54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11.25%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5/27/2015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10,454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10,717</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($51,537 par,</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13.00%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shd w:val="clear" w:color="auto" w:fill="CCEEFF"/>
          </w:tcPr>
          <w:p>
            <w:pPr>
              <w:ind w:left="1720"/>
              <w:spacing w:after="0"/>
              <w:rPr>
                <w:sz w:val="20"/>
                <w:szCs w:val="20"/>
                <w:color w:val="auto"/>
              </w:rPr>
            </w:pPr>
            <w:r>
              <w:rPr>
                <w:rFonts w:ascii="Arial" w:cs="Arial" w:eastAsia="Arial" w:hAnsi="Arial"/>
                <w:sz w:val="13"/>
                <w:szCs w:val="13"/>
                <w:color w:val="auto"/>
              </w:rPr>
              <w:t>(3)(7)</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1.50%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51,078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33,885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61,532</w:t>
            </w:r>
          </w:p>
        </w:tc>
        <w:tc>
          <w:tcPr>
            <w:tcW w:w="11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44,602</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($74,950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3"/>
          </w:tcPr>
          <w:p>
            <w:pPr>
              <w:jc w:val="right"/>
              <w:ind w:right="2280"/>
              <w:spacing w:after="0"/>
              <w:rPr>
                <w:sz w:val="20"/>
                <w:szCs w:val="20"/>
                <w:color w:val="auto"/>
              </w:rPr>
            </w:pPr>
            <w:r>
              <w:rPr>
                <w:rFonts w:ascii="Arial" w:cs="Arial" w:eastAsia="Arial" w:hAnsi="Arial"/>
                <w:sz w:val="13"/>
                <w:szCs w:val="13"/>
                <w:color w:val="auto"/>
              </w:rPr>
              <w:t>(4)(5)(9)</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10/2020)</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10/5/2015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74,184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74,575</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($23,918 par, due</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9/2020)</w:t>
            </w:r>
          </w:p>
        </w:tc>
        <w:tc>
          <w:tcPr>
            <w:tcW w:w="22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23,652</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23,858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Destination Maternity Corporation</w:t>
            </w:r>
            <w:r>
              <w:rPr>
                <w:rFonts w:ascii="Arial" w:cs="Arial" w:eastAsia="Arial" w:hAnsi="Arial"/>
                <w:sz w:val="13"/>
                <w:szCs w:val="13"/>
                <w:color w:val="auto"/>
              </w:rPr>
              <w:t>(3)(5)</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ABL FILO term loan ($17,371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3/25/2016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17,013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17,328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Payless Inc.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($50,000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8.00%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10/3/2016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48,736</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49,125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Bond (EUR 5,699 par, due 12/2020)</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5,170</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5/26/2015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6,036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4,901)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Sears</w:t>
            </w:r>
            <w:r>
              <w:rPr>
                <w:rFonts w:ascii="Arial" w:cs="Arial" w:eastAsia="Arial" w:hAnsi="Arial"/>
                <w:sz w:val="13"/>
                <w:szCs w:val="13"/>
                <w:color w:val="auto"/>
              </w:rPr>
              <w:t>(3)(4)(6)</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($3,642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5.50%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1/28/2016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3,457</w:t>
            </w:r>
          </w:p>
        </w:tc>
        <w:tc>
          <w:tcPr>
            <w:tcW w:w="780" w:type="dxa"/>
            <w:vAlign w:val="bottom"/>
          </w:tcPr>
          <w:p>
            <w:pPr>
              <w:jc w:val="right"/>
              <w:spacing w:after="0"/>
              <w:rPr>
                <w:sz w:val="20"/>
                <w:szCs w:val="20"/>
                <w:color w:val="auto"/>
              </w:rPr>
            </w:pPr>
            <w:r>
              <w:rPr>
                <w:rFonts w:ascii="Arial" w:cs="Arial" w:eastAsia="Arial" w:hAnsi="Arial"/>
                <w:sz w:val="15"/>
                <w:szCs w:val="15"/>
                <w:color w:val="auto"/>
              </w:rPr>
              <w:t>3,487</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ABL loan ($22,727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3/18/2016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22,143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22,727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($25,500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10/9/2014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25,349</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25,118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146,386</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146,813</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($12,878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3/17/2015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12,342</w:t>
            </w: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12,610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5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95"/>
              </w:rPr>
              <w:t>1,627,465</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1,629,836</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Chemicals</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Vertellus Specialties, Inc.</w:t>
            </w: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Common Units (2,672,990 units)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5"/>
              </w:rPr>
              <w:t>10/31/2016</w:t>
            </w: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3,828</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3,627</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E Preferred Equity (214,132</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3,846</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Network Merchants, Inc.</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Non-Voting Preferred Units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(774,099 units)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9/12/2013</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780</w:t>
            </w:r>
          </w:p>
        </w:tc>
        <w:tc>
          <w:tcPr>
            <w:tcW w:w="780" w:type="dxa"/>
            <w:vAlign w:val="bottom"/>
          </w:tcPr>
          <w:p>
            <w:pPr>
              <w:jc w:val="right"/>
              <w:spacing w:after="0"/>
              <w:rPr>
                <w:sz w:val="20"/>
                <w:szCs w:val="20"/>
                <w:color w:val="auto"/>
              </w:rPr>
            </w:pPr>
            <w:r>
              <w:rPr>
                <w:rFonts w:ascii="Arial" w:cs="Arial" w:eastAsia="Arial" w:hAnsi="Arial"/>
                <w:sz w:val="15"/>
                <w:szCs w:val="15"/>
                <w:color w:val="auto"/>
              </w:rPr>
              <w:t>1,550</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9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Common Shares (995,419 shares)</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8/5/2015</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6,673</w:t>
            </w:r>
          </w:p>
        </w:tc>
        <w:tc>
          <w:tcPr>
            <w:tcW w:w="78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6,580</w:t>
            </w:r>
          </w:p>
        </w:tc>
        <w:tc>
          <w:tcPr>
            <w:tcW w:w="3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0.7%</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(4)</w:t>
            </w:r>
          </w:p>
        </w:tc>
        <w:tc>
          <w:tcPr>
            <w:tcW w:w="2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11,299</w:t>
            </w:r>
          </w:p>
        </w:tc>
        <w:tc>
          <w:tcPr>
            <w:tcW w:w="11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12,678</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Healthcare</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 (358</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358</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369</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B (196</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Warrants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685</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877</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(EUR 648)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SRS Parent Corp.</w:t>
            </w: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(1,980 shares)</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50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(2,953,020</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20</w:t>
            </w: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3,241</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2,594</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2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Amortized</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300" w:type="dxa"/>
            <w:vAlign w:val="bottom"/>
            <w:gridSpan w:val="2"/>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5"/>
              </w:rPr>
              <w:t>Interest</w:t>
            </w: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Cost</w:t>
            </w:r>
            <w:r>
              <w:rPr>
                <w:rFonts w:ascii="Arial" w:cs="Arial" w:eastAsia="Arial" w:hAnsi="Arial"/>
                <w:sz w:val="10"/>
                <w:szCs w:val="10"/>
                <w:b w:val="1"/>
                <w:bCs w:val="1"/>
                <w:color w:val="auto"/>
                <w:w w:val="89"/>
              </w:rPr>
              <w:t>(2)(8)</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w w:val="71"/>
              </w:rPr>
              <w:t>Hotel,</w:t>
            </w:r>
          </w:p>
        </w:tc>
        <w:tc>
          <w:tcPr>
            <w:tcW w:w="36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5"/>
                <w:szCs w:val="15"/>
                <w:b w:val="1"/>
                <w:bCs w:val="1"/>
                <w:color w:val="auto"/>
              </w:rPr>
              <w:t>gaming, and leisure</w:t>
            </w:r>
          </w:p>
        </w:tc>
        <w:tc>
          <w:tcPr>
            <w:tcW w:w="2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98</w:t>
            </w:r>
          </w:p>
        </w:tc>
        <w:tc>
          <w:tcPr>
            <w:tcW w:w="2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30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146</w:t>
            </w: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 (933 units)</w:t>
            </w: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8,874</w:t>
            </w:r>
          </w:p>
        </w:tc>
        <w:tc>
          <w:tcPr>
            <w:tcW w:w="220" w:type="dxa"/>
            <w:vAlign w:val="bottom"/>
            <w:shd w:val="clear" w:color="auto" w:fill="CCEEFF"/>
          </w:tcPr>
          <w:p>
            <w:pPr>
              <w:spacing w:after="0" w:line="20" w:lineRule="exact"/>
              <w:rPr>
                <w:sz w:val="1"/>
                <w:szCs w:val="1"/>
                <w:color w:val="auto"/>
              </w:rPr>
            </w:pPr>
          </w:p>
        </w:tc>
        <w:tc>
          <w:tcPr>
            <w:tcW w:w="960" w:type="dxa"/>
            <w:vAlign w:val="bottom"/>
            <w:gridSpan w:val="2"/>
            <w:shd w:val="clear" w:color="auto" w:fill="CCEEFF"/>
          </w:tcPr>
          <w:p>
            <w:pPr>
              <w:ind w:left="480"/>
              <w:spacing w:after="0" w:line="6"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30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line="162" w:lineRule="exact"/>
              <w:rPr>
                <w:sz w:val="20"/>
                <w:szCs w:val="20"/>
                <w:color w:val="auto"/>
              </w:rPr>
            </w:pPr>
            <w:r>
              <w:rPr>
                <w:rFonts w:ascii="Arial" w:cs="Arial" w:eastAsia="Arial" w:hAnsi="Arial"/>
                <w:sz w:val="15"/>
                <w:szCs w:val="15"/>
                <w:color w:val="auto"/>
              </w:rPr>
              <w:t>Oak Hill Credit Partners</w:t>
            </w:r>
            <w:r>
              <w:rPr>
                <w:rFonts w:ascii="Arial" w:cs="Arial" w:eastAsia="Arial" w:hAnsi="Arial"/>
                <w:sz w:val="13"/>
                <w:szCs w:val="13"/>
                <w:color w:val="auto"/>
              </w:rPr>
              <w:t>(4)(6)</w:t>
            </w:r>
          </w:p>
        </w:tc>
        <w:tc>
          <w:tcPr>
            <w:tcW w:w="250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6.38%</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3,345</w:t>
            </w: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3,162</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6"/>
        </w:trPr>
        <w:tc>
          <w:tcPr>
            <w:tcW w:w="43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5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2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6.63%</w:t>
            </w: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5,638</w:t>
            </w: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5,360</w:t>
            </w:r>
          </w:p>
        </w:tc>
        <w:tc>
          <w:tcPr>
            <w:tcW w:w="2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0.6%</w:t>
            </w:r>
          </w:p>
        </w:tc>
        <w:tc>
          <w:tcPr>
            <w:tcW w:w="0" w:type="dxa"/>
            <w:vAlign w:val="bottom"/>
          </w:tcPr>
          <w:p>
            <w:pPr>
              <w:spacing w:after="0" w:line="20" w:lineRule="exact"/>
              <w:rPr>
                <w:sz w:val="1"/>
                <w:szCs w:val="1"/>
                <w:color w:val="auto"/>
              </w:rPr>
            </w:pPr>
          </w:p>
        </w:tc>
      </w:tr>
      <w:tr>
        <w:trPr>
          <w:trHeight w:val="156"/>
        </w:trPr>
        <w:tc>
          <w:tcPr>
            <w:tcW w:w="43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(4)(6)</w:t>
            </w:r>
          </w:p>
        </w:tc>
        <w:tc>
          <w:tcPr>
            <w:tcW w:w="2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8,983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8,522</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3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40,222</w:t>
            </w:r>
          </w:p>
        </w:tc>
        <w:tc>
          <w:tcPr>
            <w:tcW w:w="240" w:type="dxa"/>
            <w:vAlign w:val="bottom"/>
            <w:gridSpan w:val="2"/>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27,567</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1,667,687</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1,657,403</w:t>
            </w:r>
          </w:p>
        </w:tc>
        <w:tc>
          <w:tcPr>
            <w:tcW w:w="24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173.8%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360" w:hanging="332"/>
        <w:spacing w:after="0" w:line="24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4"/>
          <w:szCs w:val="14"/>
          <w:color w:val="auto"/>
        </w:rPr>
      </w:pPr>
    </w:p>
    <w:p>
      <w:pPr>
        <w:ind w:left="340" w:hanging="332"/>
        <w:spacing w:after="0" w:line="225"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year ended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2"/>
                <w:szCs w:val="12"/>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30,</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2016</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jc w:val="right"/>
              <w:ind w:right="10"/>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5,491</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(494)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(7,794)</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33,885</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$6,746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26,816</w:t>
            </w: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8,358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(3,200)</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31,974</w:t>
            </w:r>
          </w:p>
        </w:tc>
        <w:tc>
          <w:tcPr>
            <w:tcW w:w="120" w:type="dxa"/>
            <w:vAlign w:val="bottom"/>
          </w:tcPr>
          <w:p>
            <w:pPr>
              <w:spacing w:after="0"/>
              <w:rPr>
                <w:sz w:val="14"/>
                <w:szCs w:val="14"/>
                <w:color w:val="auto"/>
              </w:rPr>
            </w:pPr>
          </w:p>
        </w:tc>
        <w:tc>
          <w:tcPr>
            <w:tcW w:w="4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ind w:right="10"/>
              <w:spacing w:after="0" w:line="162" w:lineRule="exact"/>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63,498</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1"/>
              </w:rPr>
              <w:t>13,849</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(494)</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6"/>
              </w:rPr>
              <w:t>(10,994)</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65,859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204</w:t>
            </w:r>
          </w:p>
        </w:tc>
        <w:tc>
          <w:tcPr>
            <w:tcW w:w="6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w:t>
      </w:r>
    </w:p>
    <w:p>
      <w:pPr>
        <w:ind w:left="340" w:hanging="332"/>
        <w:spacing w:after="0" w:line="225"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As of December 31, 2016, the tax cost of the Company’s investments approximates their amortized cost.</w:t>
      </w:r>
    </w:p>
    <w:p>
      <w:pPr>
        <w:ind w:left="340" w:right="400" w:hanging="332"/>
        <w:spacing w:after="0" w:line="239"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60" w:type="dxa"/>
            <w:vAlign w:val="bottom"/>
          </w:tcPr>
          <w:p>
            <w:pPr>
              <w:spacing w:after="0"/>
              <w:rPr>
                <w:sz w:val="12"/>
                <w:szCs w:val="12"/>
                <w:color w:val="auto"/>
              </w:rPr>
            </w:pP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Debt Investments Automotive</w:t>
            </w:r>
          </w:p>
        </w:tc>
        <w:tc>
          <w:tcPr>
            <w:tcW w:w="17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40" w:type="dxa"/>
            <w:vAlign w:val="bottom"/>
            <w:gridSpan w:val="2"/>
          </w:tcPr>
          <w:p>
            <w:pPr>
              <w:spacing w:after="0" w:line="122" w:lineRule="exact"/>
              <w:rPr>
                <w:sz w:val="20"/>
                <w:szCs w:val="20"/>
                <w:color w:val="auto"/>
              </w:rPr>
            </w:pPr>
            <w:r>
              <w:rPr>
                <w:rFonts w:ascii="Arial" w:cs="Arial" w:eastAsia="Arial" w:hAnsi="Arial"/>
                <w:sz w:val="14"/>
                <w:szCs w:val="14"/>
                <w:color w:val="auto"/>
              </w:rPr>
              <w:t>Heartland Automotive Holdings, LLC</w:t>
            </w:r>
          </w:p>
        </w:tc>
        <w:tc>
          <w:tcPr>
            <w:tcW w:w="1760" w:type="dxa"/>
            <w:vAlign w:val="bottom"/>
            <w:vMerge w:val="restart"/>
          </w:tcPr>
          <w:p>
            <w:pPr>
              <w:jc w:val="right"/>
              <w:ind w:right="1535"/>
              <w:spacing w:after="0"/>
              <w:rPr>
                <w:sz w:val="20"/>
                <w:szCs w:val="20"/>
                <w:color w:val="auto"/>
              </w:rPr>
            </w:pPr>
            <w:r>
              <w:rPr>
                <w:rFonts w:ascii="Arial" w:cs="Arial" w:eastAsia="Arial" w:hAnsi="Arial"/>
                <w:sz w:val="13"/>
                <w:szCs w:val="13"/>
                <w:color w:val="auto"/>
                <w:w w:val="87"/>
              </w:rPr>
              <w:t>(3)</w:t>
            </w:r>
          </w:p>
        </w:tc>
        <w:tc>
          <w:tcPr>
            <w:tcW w:w="2400" w:type="dxa"/>
            <w:vAlign w:val="bottom"/>
            <w:gridSpan w:val="2"/>
          </w:tcPr>
          <w:p>
            <w:pPr>
              <w:spacing w:after="0" w:line="122" w:lineRule="exact"/>
              <w:rPr>
                <w:sz w:val="20"/>
                <w:szCs w:val="20"/>
                <w:color w:val="auto"/>
              </w:rPr>
            </w:pPr>
            <w:r>
              <w:rPr>
                <w:rFonts w:ascii="Arial" w:cs="Arial" w:eastAsia="Arial" w:hAnsi="Arial"/>
                <w:sz w:val="14"/>
                <w:szCs w:val="14"/>
                <w:color w:val="auto"/>
              </w:rPr>
              <w:t>First-lien loan ($31,271 par,</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6/2017)</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8/28/2012</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  30,977</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  30,176</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($2,722 par, due 6/2017)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10.75%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33,652</w:t>
            </w: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32,704</w:t>
            </w:r>
          </w:p>
        </w:tc>
        <w:tc>
          <w:tcPr>
            <w:tcW w:w="10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w w:val="99"/>
              </w:rPr>
              <w:t>Beverage, food and tobacco</w:t>
            </w: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AFS Technologies,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($63,660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tcPr>
          <w:p>
            <w:pPr>
              <w:ind w:left="1460"/>
              <w:spacing w:after="0"/>
              <w:rPr>
                <w:sz w:val="20"/>
                <w:szCs w:val="20"/>
                <w:color w:val="auto"/>
              </w:rPr>
            </w:pPr>
            <w:r>
              <w:rPr>
                <w:rFonts w:ascii="Arial" w:cs="Arial" w:eastAsia="Arial" w:hAnsi="Arial"/>
                <w:sz w:val="13"/>
                <w:szCs w:val="13"/>
                <w:color w:val="auto"/>
              </w:rPr>
              <w:t>(3)(5)</w:t>
            </w:r>
          </w:p>
        </w:tc>
        <w:tc>
          <w:tcPr>
            <w:tcW w:w="1760" w:type="dxa"/>
            <w:vAlign w:val="bottom"/>
          </w:tcPr>
          <w:p>
            <w:pPr>
              <w:spacing w:after="0"/>
              <w:rPr>
                <w:sz w:val="14"/>
                <w:szCs w:val="14"/>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3/2020)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3/3/2014</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62,575</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62,705</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Business services</w:t>
            </w: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Actian Corporation</w:t>
            </w:r>
            <w:r>
              <w:rPr>
                <w:rFonts w:ascii="Arial" w:cs="Arial" w:eastAsia="Arial" w:hAnsi="Arial"/>
                <w:sz w:val="13"/>
                <w:szCs w:val="13"/>
                <w:color w:val="auto"/>
              </w:rPr>
              <w:t>(3)(5)</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($59,915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4/2018)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4/11/2013</w:t>
            </w:r>
          </w:p>
        </w:tc>
        <w:tc>
          <w:tcPr>
            <w:tcW w:w="660" w:type="dxa"/>
            <w:vAlign w:val="bottom"/>
          </w:tcPr>
          <w:p>
            <w:pPr>
              <w:jc w:val="right"/>
              <w:spacing w:after="0"/>
              <w:rPr>
                <w:sz w:val="20"/>
                <w:szCs w:val="20"/>
                <w:color w:val="auto"/>
              </w:rPr>
            </w:pPr>
            <w:r>
              <w:rPr>
                <w:rFonts w:ascii="Arial" w:cs="Arial" w:eastAsia="Arial" w:hAnsi="Arial"/>
                <w:sz w:val="15"/>
                <w:szCs w:val="15"/>
                <w:color w:val="auto"/>
              </w:rPr>
              <w:t>58,781</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62,462</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Bullhorn,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($45,000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(3)(5)</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11/2020)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11/12/2015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43,916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43,763</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Clarabridge, Inc.</w:t>
            </w:r>
            <w:r>
              <w:rPr>
                <w:rFonts w:ascii="Arial" w:cs="Arial" w:eastAsia="Arial" w:hAnsi="Arial"/>
                <w:sz w:val="13"/>
                <w:szCs w:val="13"/>
                <w:color w:val="auto"/>
              </w:rPr>
              <w:t>(3)</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($22,388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4/2019)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5/20/2015</w:t>
            </w:r>
          </w:p>
        </w:tc>
        <w:tc>
          <w:tcPr>
            <w:tcW w:w="660" w:type="dxa"/>
            <w:vAlign w:val="bottom"/>
          </w:tcPr>
          <w:p>
            <w:pPr>
              <w:jc w:val="right"/>
              <w:spacing w:after="0"/>
              <w:rPr>
                <w:sz w:val="20"/>
                <w:szCs w:val="20"/>
                <w:color w:val="auto"/>
              </w:rPr>
            </w:pPr>
            <w:r>
              <w:rPr>
                <w:rFonts w:ascii="Arial" w:cs="Arial" w:eastAsia="Arial" w:hAnsi="Arial"/>
                <w:sz w:val="15"/>
                <w:szCs w:val="15"/>
                <w:color w:val="auto"/>
              </w:rPr>
              <w:t>21,963</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21,641</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Idera,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($62,500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10/9/2015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56,446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55,937</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($28,565 par, due</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6/2019)</w:t>
            </w:r>
          </w:p>
        </w:tc>
        <w:tc>
          <w:tcPr>
            <w:tcW w:w="12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6/30/2014</w:t>
            </w:r>
          </w:p>
        </w:tc>
        <w:tc>
          <w:tcPr>
            <w:tcW w:w="660" w:type="dxa"/>
            <w:vAlign w:val="bottom"/>
          </w:tcPr>
          <w:p>
            <w:pPr>
              <w:jc w:val="right"/>
              <w:spacing w:after="0"/>
              <w:rPr>
                <w:sz w:val="20"/>
                <w:szCs w:val="20"/>
                <w:color w:val="auto"/>
              </w:rPr>
            </w:pPr>
            <w:r>
              <w:rPr>
                <w:rFonts w:ascii="Arial" w:cs="Arial" w:eastAsia="Arial" w:hAnsi="Arial"/>
                <w:sz w:val="15"/>
                <w:szCs w:val="15"/>
                <w:color w:val="auto"/>
              </w:rPr>
              <w:t>28,085</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27,877</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Network Merchants,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($25,782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4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7.75%</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9/12/2013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25,481</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25,981</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ScentAir Technologies,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($18,857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tcPr>
          <w:p>
            <w:pPr>
              <w:ind w:left="1720"/>
              <w:spacing w:after="0"/>
              <w:rPr>
                <w:sz w:val="20"/>
                <w:szCs w:val="20"/>
                <w:color w:val="auto"/>
              </w:rPr>
            </w:pPr>
            <w:r>
              <w:rPr>
                <w:rFonts w:ascii="Arial" w:cs="Arial" w:eastAsia="Arial" w:hAnsi="Arial"/>
                <w:sz w:val="13"/>
                <w:szCs w:val="13"/>
                <w:color w:val="auto"/>
              </w:rPr>
              <w:t>(3)</w:t>
            </w:r>
          </w:p>
        </w:tc>
        <w:tc>
          <w:tcPr>
            <w:tcW w:w="1760" w:type="dxa"/>
            <w:vAlign w:val="bottom"/>
          </w:tcPr>
          <w:p>
            <w:pPr>
              <w:spacing w:after="0"/>
              <w:rPr>
                <w:sz w:val="14"/>
                <w:szCs w:val="14"/>
                <w:color w:val="auto"/>
              </w:rPr>
            </w:pP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12/2019)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8"/>
              </w:rPr>
              <w:t>12/30/2014</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18,505</w:t>
            </w:r>
          </w:p>
        </w:tc>
        <w:tc>
          <w:tcPr>
            <w:tcW w:w="260" w:type="dxa"/>
            <w:vAlign w:val="bottom"/>
            <w:vMerge w:val="restart"/>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18,463</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253,177</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256,124</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69"/>
        </w:trPr>
        <w:tc>
          <w:tcPr>
            <w:tcW w:w="234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Chemicals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Vertellus Specialties, Inc.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($10,839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10.50%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8"/>
              </w:rPr>
              <w:t>10/31/2014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10,148</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7,804</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Education</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Campus Management, Inc.</w:t>
            </w:r>
            <w:r>
              <w:rPr>
                <w:rFonts w:ascii="Arial" w:cs="Arial" w:eastAsia="Arial" w:hAnsi="Arial"/>
                <w:sz w:val="13"/>
                <w:szCs w:val="13"/>
                <w:color w:val="auto"/>
              </w:rPr>
              <w:t>(3)(5)</w:t>
            </w: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($26,277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25,879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26,277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62"/>
        </w:trPr>
        <w:tc>
          <w:tcPr>
            <w:tcW w:w="234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Electronics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MyAlarm Center, LLC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($62,371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42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1/9/2014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61,766</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61,887</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APX Group Inc.</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Senior notes 8.75% ($24,818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12/2020)</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12/11/2014</w:t>
            </w:r>
          </w:p>
        </w:tc>
        <w:tc>
          <w:tcPr>
            <w:tcW w:w="660" w:type="dxa"/>
            <w:vAlign w:val="bottom"/>
          </w:tcPr>
          <w:p>
            <w:pPr>
              <w:jc w:val="right"/>
              <w:spacing w:after="0"/>
              <w:rPr>
                <w:sz w:val="20"/>
                <w:szCs w:val="20"/>
                <w:color w:val="auto"/>
              </w:rPr>
            </w:pPr>
            <w:r>
              <w:rPr>
                <w:rFonts w:ascii="Arial" w:cs="Arial" w:eastAsia="Arial" w:hAnsi="Arial"/>
                <w:sz w:val="15"/>
                <w:szCs w:val="15"/>
                <w:color w:val="auto"/>
              </w:rPr>
              <w:t>21,689</w:t>
            </w:r>
          </w:p>
        </w:tc>
        <w:tc>
          <w:tcPr>
            <w:tcW w:w="26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20,165</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83,455</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82,052</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9"/>
        </w:trPr>
        <w:tc>
          <w:tcPr>
            <w:tcW w:w="234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Financial services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AppStar Financial, LLC</w:t>
            </w:r>
          </w:p>
        </w:tc>
        <w:tc>
          <w:tcPr>
            <w:tcW w:w="1760" w:type="dxa"/>
            <w:vAlign w:val="bottom"/>
            <w:shd w:val="clear" w:color="auto" w:fill="CCEEFF"/>
          </w:tcPr>
          <w:p>
            <w:pPr>
              <w:spacing w:after="0" w:line="20" w:lineRule="exact"/>
              <w:rPr>
                <w:sz w:val="1"/>
                <w:szCs w:val="1"/>
                <w:color w:val="auto"/>
              </w:rPr>
            </w:pP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($23,400 par, due</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4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rPr>
              <w:t>(3)</w:t>
            </w:r>
          </w:p>
        </w:tc>
        <w:tc>
          <w:tcPr>
            <w:tcW w:w="1760" w:type="dxa"/>
            <w:vAlign w:val="bottom"/>
            <w:shd w:val="clear" w:color="auto" w:fill="CCEEFF"/>
          </w:tcPr>
          <w:p>
            <w:pPr>
              <w:spacing w:after="0"/>
              <w:rPr>
                <w:sz w:val="14"/>
                <w:szCs w:val="14"/>
                <w:color w:val="auto"/>
              </w:rPr>
            </w:pP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8/2020)</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8/18/2015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22,862</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22,765</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18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AvidXchange, Inc.</w:t>
            </w:r>
            <w:r>
              <w:rPr>
                <w:rFonts w:ascii="Arial" w:cs="Arial" w:eastAsia="Arial" w:hAnsi="Arial"/>
                <w:sz w:val="13"/>
                <w:szCs w:val="13"/>
                <w:color w:val="auto"/>
              </w:rPr>
              <w:t>(3)</w:t>
            </w:r>
          </w:p>
        </w:tc>
        <w:tc>
          <w:tcPr>
            <w:tcW w:w="176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Second-lien loan ($31,897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10.50%</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8/2020)</w:t>
            </w:r>
          </w:p>
        </w:tc>
        <w:tc>
          <w:tcPr>
            <w:tcW w:w="120" w:type="dxa"/>
            <w:vAlign w:val="bottom"/>
          </w:tcPr>
          <w:p>
            <w:pPr>
              <w:spacing w:after="0"/>
              <w:rPr>
                <w:sz w:val="16"/>
                <w:szCs w:val="16"/>
                <w:color w:val="auto"/>
              </w:rPr>
            </w:pPr>
          </w:p>
        </w:tc>
        <w:tc>
          <w:tcPr>
            <w:tcW w:w="1060" w:type="dxa"/>
            <w:vAlign w:val="bottom"/>
            <w:gridSpan w:val="2"/>
          </w:tcPr>
          <w:p>
            <w:pPr>
              <w:ind w:left="42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8/7/2015</w:t>
            </w:r>
          </w:p>
        </w:tc>
        <w:tc>
          <w:tcPr>
            <w:tcW w:w="660" w:type="dxa"/>
            <w:vAlign w:val="bottom"/>
          </w:tcPr>
          <w:p>
            <w:pPr>
              <w:jc w:val="right"/>
              <w:spacing w:after="0"/>
              <w:rPr>
                <w:sz w:val="20"/>
                <w:szCs w:val="20"/>
                <w:color w:val="auto"/>
              </w:rPr>
            </w:pPr>
            <w:r>
              <w:rPr>
                <w:rFonts w:ascii="Arial" w:cs="Arial" w:eastAsia="Arial" w:hAnsi="Arial"/>
                <w:sz w:val="15"/>
                <w:szCs w:val="15"/>
                <w:color w:val="auto"/>
              </w:rPr>
              <w:t>31,380</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30,910</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PayLease, LLC</w:t>
            </w:r>
            <w:r>
              <w:rPr>
                <w:rFonts w:ascii="Arial" w:cs="Arial" w:eastAsia="Arial" w:hAnsi="Arial"/>
                <w:sz w:val="13"/>
                <w:szCs w:val="13"/>
                <w:color w:val="auto"/>
              </w:rPr>
              <w:t>(3)</w:t>
            </w:r>
          </w:p>
        </w:tc>
        <w:tc>
          <w:tcPr>
            <w:tcW w:w="176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($33,639 par,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10.00%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3/2020)</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PIK)</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32,980</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32,769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87,222</w:t>
            </w:r>
          </w:p>
        </w:tc>
        <w:tc>
          <w:tcPr>
            <w:tcW w:w="260" w:type="dxa"/>
            <w:vAlign w:val="bottom"/>
          </w:tcPr>
          <w:p>
            <w:pPr>
              <w:spacing w:after="0"/>
              <w:rPr>
                <w:sz w:val="14"/>
                <w:szCs w:val="14"/>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86,444</w:t>
            </w:r>
          </w:p>
        </w:tc>
        <w:tc>
          <w:tcPr>
            <w:tcW w:w="10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22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Healthcare</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Aesynt Incorporated</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($33,250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5/2019)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5/8/2014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32,598</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33,918</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(3)(4)</w:t>
            </w: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(EUR 35,912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40,572</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42,402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37,349)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5"/>
                <w:szCs w:val="15"/>
                <w:color w:val="auto"/>
              </w:rPr>
              <w:t>435</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11.50%</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261</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(EUR 400)</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MatrixCare,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($45,000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12/2021)</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6.25%</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5"/>
              </w:rPr>
              <w:t>12/17/2015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44,184</w:t>
            </w: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44,100</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MedeAnalytics,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($45,411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9.00%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260"/>
              <w:spacing w:after="0"/>
              <w:rPr>
                <w:sz w:val="20"/>
                <w:szCs w:val="20"/>
                <w:color w:val="auto"/>
              </w:rPr>
            </w:pPr>
            <w:r>
              <w:rPr>
                <w:rFonts w:ascii="Arial" w:cs="Arial" w:eastAsia="Arial" w:hAnsi="Arial"/>
                <w:sz w:val="13"/>
                <w:szCs w:val="13"/>
                <w:color w:val="auto"/>
              </w:rPr>
              <w:t>(3)(5)</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9/2020)</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44,022</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43,708</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Mediware Information Systems,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($67,574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226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5/2018)</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7.00%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11/9/2012</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66,725</w:t>
            </w: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68,250</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40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($31,875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31,508</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31,477</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263,655</w:t>
            </w:r>
          </w:p>
        </w:tc>
        <w:tc>
          <w:tcPr>
            <w:tcW w:w="2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264,398</w:t>
            </w:r>
          </w:p>
        </w:tc>
        <w:tc>
          <w:tcPr>
            <w:tcW w:w="30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Hotel, gaming, and leisure</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CrunchTime Information Systems, Inc.</w:t>
            </w:r>
            <w:r>
              <w:rPr>
                <w:rFonts w:ascii="Arial" w:cs="Arial" w:eastAsia="Arial" w:hAnsi="Arial"/>
                <w:sz w:val="13"/>
                <w:szCs w:val="13"/>
                <w:color w:val="auto"/>
              </w:rPr>
              <w:t>(3)</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($25,452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9.00%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5"/>
                <w:szCs w:val="15"/>
                <w:color w:val="auto"/>
              </w:rPr>
              <w:t>4/2020)</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2.50%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4/16/2015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24,873</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24,200</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($20,260 par, due</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10.10%</w:t>
            </w: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(3)(7)</w:t>
            </w:r>
          </w:p>
        </w:tc>
        <w:tc>
          <w:tcPr>
            <w:tcW w:w="2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9/2019)</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w w:val="99"/>
              </w:rPr>
              <w:t>(incl. 5.00%</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9/29/2015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20,260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19,500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revolver loan ($7,448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10.10%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660" w:type="dxa"/>
            <w:vAlign w:val="bottom"/>
          </w:tcPr>
          <w:p>
            <w:pPr>
              <w:jc w:val="right"/>
              <w:spacing w:after="0"/>
              <w:rPr>
                <w:sz w:val="20"/>
                <w:szCs w:val="20"/>
                <w:color w:val="auto"/>
              </w:rPr>
            </w:pPr>
            <w:r>
              <w:rPr>
                <w:rFonts w:ascii="Arial" w:cs="Arial" w:eastAsia="Arial" w:hAnsi="Arial"/>
                <w:sz w:val="15"/>
                <w:szCs w:val="15"/>
                <w:color w:val="auto"/>
              </w:rPr>
              <w:t>7,448</w:t>
            </w:r>
          </w:p>
        </w:tc>
        <w:tc>
          <w:tcPr>
            <w:tcW w:w="2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7,169</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20,375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30,781</w:t>
            </w: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(4)</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(GBP 20,884)</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9/20/2013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33,055</w:t>
            </w:r>
          </w:p>
        </w:tc>
        <w:tc>
          <w:tcPr>
            <w:tcW w:w="1220" w:type="dxa"/>
            <w:vAlign w:val="bottom"/>
            <w:gridSpan w:val="2"/>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85,636</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81,650</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Human resource support services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Saba Software, Inc.</w:t>
            </w:r>
            <w:r>
              <w:rPr>
                <w:rFonts w:ascii="Arial" w:cs="Arial" w:eastAsia="Arial" w:hAnsi="Arial"/>
                <w:sz w:val="13"/>
                <w:szCs w:val="13"/>
                <w:color w:val="auto"/>
              </w:rPr>
              <w:t>(3)(5)</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($54,725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3/2021)</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9.75%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54,141</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53,767</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Skillsoft</w:t>
            </w:r>
            <w:r>
              <w:rPr>
                <w:rFonts w:ascii="Arial" w:cs="Arial" w:eastAsia="Arial" w:hAnsi="Arial"/>
                <w:sz w:val="13"/>
                <w:szCs w:val="13"/>
                <w:color w:val="auto"/>
              </w:rPr>
              <w:t>(3)</w:t>
            </w: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($500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4/2021)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438</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54,579</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54,152</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($65,452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780"/>
              <w:spacing w:after="0"/>
              <w:rPr>
                <w:sz w:val="20"/>
                <w:szCs w:val="20"/>
                <w:color w:val="auto"/>
              </w:rPr>
            </w:pPr>
            <w:r>
              <w:rPr>
                <w:rFonts w:ascii="Arial" w:cs="Arial" w:eastAsia="Arial" w:hAnsi="Arial"/>
                <w:sz w:val="13"/>
                <w:szCs w:val="13"/>
                <w:color w:val="auto"/>
              </w:rPr>
              <w:t>(3)(5)</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10/31/2014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64,782</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63,980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Internet services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($50,987 par, due</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460"/>
              <w:spacing w:after="0"/>
              <w:rPr>
                <w:sz w:val="20"/>
                <w:szCs w:val="20"/>
                <w:color w:val="auto"/>
              </w:rPr>
            </w:pPr>
            <w:r>
              <w:rPr>
                <w:rFonts w:ascii="Arial" w:cs="Arial" w:eastAsia="Arial" w:hAnsi="Arial"/>
                <w:sz w:val="13"/>
                <w:szCs w:val="13"/>
                <w:color w:val="auto"/>
              </w:rPr>
              <w:t>(3)</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7/2018)</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3/7/2014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50,474</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50,095</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9"/>
              </w:rPr>
              <w:t>First-lien revolving loan ($2,800 par,</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7/2018)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2,748</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53,249</w:t>
            </w:r>
          </w:p>
        </w:tc>
        <w:tc>
          <w:tcPr>
            <w:tcW w:w="12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52,843</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Manufacturing</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5"/>
                <w:szCs w:val="15"/>
                <w:color w:val="auto"/>
              </w:rPr>
              <w:t>Jeeves Information Systems AB</w:t>
            </w:r>
            <w:r>
              <w:rPr>
                <w:rFonts w:ascii="Arial" w:cs="Arial" w:eastAsia="Arial" w:hAnsi="Arial"/>
                <w:sz w:val="13"/>
                <w:szCs w:val="13"/>
                <w:color w:val="auto"/>
              </w:rPr>
              <w:t>(3)(4)(5)</w:t>
            </w:r>
          </w:p>
        </w:tc>
        <w:tc>
          <w:tcPr>
            <w:tcW w:w="240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(SEK 192,573 par,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5"/>
                <w:szCs w:val="15"/>
                <w:color w:val="auto"/>
              </w:rPr>
              <w:t>23,470</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6/5/2013</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29,289</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(SEK 197,869)</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Office products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8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4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($36,811 par,</w:t>
            </w: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2"/>
          </w:tcPr>
          <w:p>
            <w:pPr>
              <w:ind w:left="1700"/>
              <w:spacing w:after="0"/>
              <w:rPr>
                <w:sz w:val="20"/>
                <w:szCs w:val="20"/>
                <w:color w:val="auto"/>
              </w:rPr>
            </w:pPr>
            <w:r>
              <w:rPr>
                <w:rFonts w:ascii="Arial" w:cs="Arial" w:eastAsia="Arial" w:hAnsi="Arial"/>
                <w:sz w:val="13"/>
                <w:szCs w:val="13"/>
                <w:color w:val="auto"/>
              </w:rPr>
              <w:t>(3)</w:t>
            </w:r>
          </w:p>
        </w:tc>
        <w:tc>
          <w:tcPr>
            <w:tcW w:w="2400" w:type="dxa"/>
            <w:vAlign w:val="bottom"/>
            <w:gridSpan w:val="2"/>
            <w:vMerge w:val="restart"/>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7.25%</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3/11/2014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36,579</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36,370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Initial</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tcPr>
          <w:p>
            <w:pPr>
              <w:spacing w:after="0"/>
              <w:rPr>
                <w:sz w:val="14"/>
                <w:szCs w:val="14"/>
                <w:color w:val="auto"/>
              </w:rPr>
            </w:pPr>
          </w:p>
        </w:tc>
        <w:tc>
          <w:tcPr>
            <w:tcW w:w="10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31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Investment</w:t>
            </w:r>
          </w:p>
        </w:tc>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Interest</w:t>
            </w:r>
          </w:p>
        </w:tc>
        <w:tc>
          <w:tcPr>
            <w:tcW w:w="11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80" w:type="dxa"/>
            <w:vAlign w:val="bottom"/>
            <w:vMerge w:val="continue"/>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2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Cost </w:t>
            </w:r>
            <w:r>
              <w:rPr>
                <w:rFonts w:ascii="Arial" w:cs="Arial" w:eastAsia="Arial" w:hAnsi="Arial"/>
                <w:sz w:val="12"/>
                <w:szCs w:val="12"/>
                <w:b w:val="1"/>
                <w:bCs w:val="1"/>
                <w:color w:val="auto"/>
                <w:w w:val="90"/>
              </w:rPr>
              <w:t>(2)(8)</w:t>
            </w:r>
          </w:p>
        </w:tc>
        <w:tc>
          <w:tcPr>
            <w:tcW w:w="1020" w:type="dxa"/>
            <w:vAlign w:val="bottom"/>
            <w:vMerge w:val="continue"/>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5"/>
                <w:szCs w:val="15"/>
                <w:b w:val="1"/>
                <w:bCs w:val="1"/>
                <w:color w:val="auto"/>
              </w:rPr>
              <w:t>Oil, gas and consumable fuels</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Key Energy Services</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($13,504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440"/>
              <w:spacing w:after="0"/>
              <w:rPr>
                <w:sz w:val="20"/>
                <w:szCs w:val="20"/>
                <w:color w:val="auto"/>
              </w:rPr>
            </w:pPr>
            <w:r>
              <w:rPr>
                <w:rFonts w:ascii="Arial" w:cs="Arial" w:eastAsia="Arial" w:hAnsi="Arial"/>
                <w:sz w:val="13"/>
                <w:szCs w:val="13"/>
                <w:color w:val="auto"/>
              </w:rPr>
              <w:t>(3)</w:t>
            </w:r>
          </w:p>
        </w:tc>
        <w:tc>
          <w:tcPr>
            <w:tcW w:w="2380" w:type="dxa"/>
            <w:vAlign w:val="bottom"/>
            <w:gridSpan w:val="2"/>
            <w:vMerge w:val="restart"/>
          </w:tcPr>
          <w:p>
            <w:pPr>
              <w:spacing w:after="0"/>
              <w:rPr>
                <w:sz w:val="20"/>
                <w:szCs w:val="20"/>
                <w:color w:val="auto"/>
              </w:rPr>
            </w:pPr>
            <w:r>
              <w:rPr>
                <w:rFonts w:ascii="Arial" w:cs="Arial" w:eastAsia="Arial" w:hAnsi="Arial"/>
                <w:sz w:val="15"/>
                <w:szCs w:val="15"/>
                <w:color w:val="auto"/>
              </w:rPr>
              <w:t>due 6/2020)</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10.25%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5/27/2015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13,043</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10,533</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Mississippi Resources,</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($46,679 par,</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auto"/>
              </w:rPr>
              <w:t>13.00%</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LLC</w:t>
            </w:r>
            <w:r>
              <w:rPr>
                <w:rFonts w:ascii="Arial" w:cs="Arial" w:eastAsia="Arial" w:hAnsi="Arial"/>
                <w:sz w:val="13"/>
                <w:szCs w:val="13"/>
                <w:color w:val="auto"/>
              </w:rPr>
              <w:t>(3)(7)</w:t>
            </w:r>
          </w:p>
        </w:tc>
        <w:tc>
          <w:tcPr>
            <w:tcW w:w="23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6/2018)</w:t>
            </w: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(incl. 1.50%</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PIK)</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6/4/2014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46,081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36,682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59,124</w:t>
            </w:r>
          </w:p>
        </w:tc>
        <w:tc>
          <w:tcPr>
            <w:tcW w:w="11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47,215</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($74,950 par, due</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180"/>
              <w:spacing w:after="0"/>
              <w:rPr>
                <w:sz w:val="20"/>
                <w:szCs w:val="20"/>
                <w:color w:val="auto"/>
              </w:rPr>
            </w:pPr>
            <w:r>
              <w:rPr>
                <w:rFonts w:ascii="Arial" w:cs="Arial" w:eastAsia="Arial" w:hAnsi="Arial"/>
                <w:sz w:val="13"/>
                <w:szCs w:val="13"/>
                <w:color w:val="auto"/>
              </w:rPr>
              <w:t>(4)(5)(9)</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10/2020)</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10/5/2015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74,005</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73,076</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Real estate</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JL Secured Promissory Note</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Secured note ($10,224 par, due</w:t>
            </w:r>
          </w:p>
        </w:tc>
        <w:tc>
          <w:tcPr>
            <w:tcW w:w="10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7.00%</w:t>
            </w: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80" w:type="dxa"/>
            <w:vAlign w:val="bottom"/>
            <w:gridSpan w:val="3"/>
          </w:tcPr>
          <w:p>
            <w:pPr>
              <w:jc w:val="right"/>
              <w:ind w:right="1960"/>
              <w:spacing w:after="0"/>
              <w:rPr>
                <w:sz w:val="20"/>
                <w:szCs w:val="20"/>
                <w:color w:val="auto"/>
              </w:rPr>
            </w:pPr>
            <w:r>
              <w:rPr>
                <w:rFonts w:ascii="Arial" w:cs="Arial" w:eastAsia="Arial" w:hAnsi="Arial"/>
                <w:sz w:val="13"/>
                <w:szCs w:val="13"/>
                <w:color w:val="auto"/>
              </w:rPr>
              <w:t>(4)</w:t>
            </w:r>
          </w:p>
        </w:tc>
        <w:tc>
          <w:tcPr>
            <w:tcW w:w="2280" w:type="dxa"/>
            <w:vAlign w:val="bottom"/>
            <w:vMerge w:val="restart"/>
          </w:tcPr>
          <w:p>
            <w:pPr>
              <w:spacing w:after="0"/>
              <w:rPr>
                <w:sz w:val="20"/>
                <w:szCs w:val="20"/>
                <w:color w:val="auto"/>
              </w:rPr>
            </w:pPr>
            <w:r>
              <w:rPr>
                <w:rFonts w:ascii="Arial" w:cs="Arial" w:eastAsia="Arial" w:hAnsi="Arial"/>
                <w:sz w:val="15"/>
                <w:szCs w:val="15"/>
                <w:color w:val="auto"/>
              </w:rPr>
              <w:t>9/2017)</w:t>
            </w:r>
          </w:p>
        </w:tc>
        <w:tc>
          <w:tcPr>
            <w:tcW w:w="100" w:type="dxa"/>
            <w:vAlign w:val="bottom"/>
          </w:tcPr>
          <w:p>
            <w:pPr>
              <w:spacing w:after="0"/>
              <w:rPr>
                <w:sz w:val="13"/>
                <w:szCs w:val="13"/>
                <w:color w:val="auto"/>
              </w:rPr>
            </w:pPr>
          </w:p>
        </w:tc>
        <w:tc>
          <w:tcPr>
            <w:tcW w:w="1080" w:type="dxa"/>
            <w:vAlign w:val="bottom"/>
            <w:gridSpan w:val="2"/>
            <w:vMerge w:val="restart"/>
          </w:tcPr>
          <w:p>
            <w:pPr>
              <w:ind w:left="440"/>
              <w:spacing w:after="0"/>
              <w:rPr>
                <w:sz w:val="20"/>
                <w:szCs w:val="20"/>
                <w:color w:val="auto"/>
              </w:rPr>
            </w:pPr>
            <w:r>
              <w:rPr>
                <w:rFonts w:ascii="Arial" w:cs="Arial" w:eastAsia="Arial" w:hAnsi="Arial"/>
                <w:sz w:val="15"/>
                <w:szCs w:val="15"/>
                <w:color w:val="auto"/>
              </w:rPr>
              <w:t>PIK</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9/29/2015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10,224</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10,224</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($25,000 par, due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9/2020)</w:t>
            </w:r>
          </w:p>
        </w:tc>
        <w:tc>
          <w:tcPr>
            <w:tcW w:w="10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9/30/2015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24,664</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24,563</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8"/>
              </w:rPr>
              <w:t>Bond (EUR 7,599 par, due 12/2017)</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7,801</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8.88%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5/26/2015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7,181)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Sears</w:t>
            </w:r>
            <w:r>
              <w:rPr>
                <w:rFonts w:ascii="Arial" w:cs="Arial" w:eastAsia="Arial" w:hAnsi="Arial"/>
                <w:sz w:val="13"/>
                <w:szCs w:val="13"/>
                <w:color w:val="auto"/>
              </w:rPr>
              <w:t>(4)(6)</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First-lien ABL revolving loan ($303</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par, due 4/2016)</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2.84%</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4/15/2015</w:t>
            </w:r>
          </w:p>
        </w:tc>
        <w:tc>
          <w:tcPr>
            <w:tcW w:w="660" w:type="dxa"/>
            <w:vAlign w:val="bottom"/>
          </w:tcPr>
          <w:p>
            <w:pPr>
              <w:jc w:val="right"/>
              <w:spacing w:after="0"/>
              <w:rPr>
                <w:sz w:val="20"/>
                <w:szCs w:val="20"/>
                <w:color w:val="auto"/>
              </w:rPr>
            </w:pPr>
            <w:r>
              <w:rPr>
                <w:rFonts w:ascii="Arial" w:cs="Arial" w:eastAsia="Arial" w:hAnsi="Arial"/>
                <w:sz w:val="15"/>
                <w:szCs w:val="15"/>
                <w:color w:val="auto"/>
              </w:rPr>
              <w:t>116</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257</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Sports Authority</w:t>
            </w:r>
            <w:r>
              <w:rPr>
                <w:rFonts w:ascii="Arial" w:cs="Arial" w:eastAsia="Arial" w:hAnsi="Arial"/>
                <w:sz w:val="13"/>
                <w:szCs w:val="13"/>
                <w:color w:val="auto"/>
              </w:rPr>
              <w:t>(3)(5)</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ABL FILO term loan ($45,000 par,</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6/2017)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11/3/2015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44,249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43,762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ABL FILO term loan ($51,000 par,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10/9/2014</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50,313</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49,470</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127,404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125,853</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($13,441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1/2019)</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3/17/2015</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12,631</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12,500</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38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($62,500 par,</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gridSpan w:val="3"/>
          </w:tcPr>
          <w:p>
            <w:pPr>
              <w:jc w:val="right"/>
              <w:ind w:right="2820"/>
              <w:spacing w:after="0"/>
              <w:rPr>
                <w:sz w:val="20"/>
                <w:szCs w:val="20"/>
                <w:color w:val="auto"/>
              </w:rPr>
            </w:pPr>
            <w:r>
              <w:rPr>
                <w:rFonts w:ascii="Arial" w:cs="Arial" w:eastAsia="Arial" w:hAnsi="Arial"/>
                <w:sz w:val="13"/>
                <w:szCs w:val="13"/>
                <w:color w:val="auto"/>
              </w:rPr>
              <w:t>(3)(4)</w:t>
            </w:r>
          </w:p>
        </w:tc>
        <w:tc>
          <w:tcPr>
            <w:tcW w:w="2380" w:type="dxa"/>
            <w:vAlign w:val="bottom"/>
            <w:gridSpan w:val="2"/>
            <w:vMerge w:val="restart"/>
          </w:tcPr>
          <w:p>
            <w:pPr>
              <w:spacing w:after="0"/>
              <w:rPr>
                <w:sz w:val="20"/>
                <w:szCs w:val="20"/>
                <w:color w:val="auto"/>
              </w:rPr>
            </w:pPr>
            <w:r>
              <w:rPr>
                <w:rFonts w:ascii="Arial" w:cs="Arial" w:eastAsia="Arial" w:hAnsi="Arial"/>
                <w:sz w:val="15"/>
                <w:szCs w:val="15"/>
                <w:color w:val="auto"/>
              </w:rPr>
              <w:t>due 10/2019)</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9.50%</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10/2/2013</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61,614</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59,531</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74,245</w:t>
            </w:r>
          </w:p>
        </w:tc>
        <w:tc>
          <w:tcPr>
            <w:tcW w:w="11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72,031</w:t>
            </w: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1,488,879</w:t>
            </w:r>
          </w:p>
        </w:tc>
        <w:tc>
          <w:tcPr>
            <w:tcW w:w="26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1,459,372</w:t>
            </w:r>
          </w:p>
        </w:tc>
        <w:tc>
          <w:tcPr>
            <w:tcW w:w="300" w:type="dxa"/>
            <w:vAlign w:val="bottom"/>
          </w:tcPr>
          <w:p>
            <w:pPr>
              <w:spacing w:after="0"/>
              <w:rPr>
                <w:sz w:val="15"/>
                <w:szCs w:val="15"/>
                <w:color w:val="auto"/>
              </w:rPr>
            </w:pP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Business services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Non-Voting Preferred Units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(774,099 units)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E Preferred Equity (214,132</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3,846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23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Common Shares (1,633,660 shares)</w:t>
            </w: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8/5/2015</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10,943</w:t>
            </w:r>
          </w:p>
        </w:tc>
        <w:tc>
          <w:tcPr>
            <w:tcW w:w="11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9,933</w:t>
            </w:r>
          </w:p>
        </w:tc>
        <w:tc>
          <w:tcPr>
            <w:tcW w:w="1020" w:type="dxa"/>
            <w:vAlign w:val="bottom"/>
            <w:gridSpan w:val="2"/>
            <w:shd w:val="clear" w:color="auto" w:fill="CCEEFF"/>
          </w:tcPr>
          <w:p>
            <w:pPr>
              <w:jc w:val="right"/>
              <w:ind w:right="60"/>
              <w:spacing w:after="0" w:line="6" w:lineRule="exact"/>
              <w:rPr>
                <w:sz w:val="20"/>
                <w:szCs w:val="20"/>
                <w:color w:val="auto"/>
              </w:rPr>
            </w:pPr>
            <w:r>
              <w:rPr>
                <w:rFonts w:ascii="Arial" w:cs="Arial" w:eastAsia="Arial" w:hAnsi="Arial"/>
                <w:sz w:val="1"/>
                <w:szCs w:val="1"/>
                <w:color w:val="auto"/>
              </w:rPr>
              <w:t>1.2%</w:t>
            </w:r>
          </w:p>
        </w:tc>
        <w:tc>
          <w:tcPr>
            <w:tcW w:w="0" w:type="dxa"/>
            <w:vAlign w:val="bottom"/>
          </w:tcPr>
          <w:p>
            <w:pPr>
              <w:spacing w:after="0" w:line="20" w:lineRule="exact"/>
              <w:rPr>
                <w:sz w:val="1"/>
                <w:szCs w:val="1"/>
                <w:color w:val="auto"/>
              </w:rPr>
            </w:pPr>
          </w:p>
        </w:tc>
      </w:tr>
      <w:tr>
        <w:trPr>
          <w:trHeight w:val="163"/>
        </w:trPr>
        <w:tc>
          <w:tcPr>
            <w:tcW w:w="3880" w:type="dxa"/>
            <w:vAlign w:val="bottom"/>
            <w:gridSpan w:val="3"/>
          </w:tcPr>
          <w:p>
            <w:pPr>
              <w:jc w:val="right"/>
              <w:ind w:right="2500"/>
              <w:spacing w:after="0"/>
              <w:rPr>
                <w:sz w:val="20"/>
                <w:szCs w:val="20"/>
                <w:color w:val="auto"/>
              </w:rPr>
            </w:pPr>
            <w:r>
              <w:rPr>
                <w:rFonts w:ascii="Arial" w:cs="Arial" w:eastAsia="Arial" w:hAnsi="Arial"/>
                <w:sz w:val="13"/>
                <w:szCs w:val="13"/>
                <w:color w:val="auto"/>
              </w:rPr>
              <w:t>(4)</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14,789</w:t>
            </w:r>
          </w:p>
        </w:tc>
        <w:tc>
          <w:tcPr>
            <w:tcW w:w="11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13,779</w:t>
            </w:r>
          </w:p>
        </w:tc>
        <w:tc>
          <w:tcPr>
            <w:tcW w:w="10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Healthcare</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 (598</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(196</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660" w:type="dxa"/>
            <w:vAlign w:val="bottom"/>
          </w:tcPr>
          <w:p>
            <w:pPr>
              <w:jc w:val="right"/>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214</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Warrants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5"/>
                <w:szCs w:val="15"/>
                <w:color w:val="auto"/>
              </w:rPr>
              <w:t>965</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888)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23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(1,980 shares)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12/28/2012</w:t>
            </w:r>
          </w:p>
        </w:tc>
        <w:tc>
          <w:tcPr>
            <w:tcW w:w="660" w:type="dxa"/>
            <w:vAlign w:val="bottom"/>
          </w:tcPr>
          <w:p>
            <w:pPr>
              <w:jc w:val="right"/>
              <w:spacing w:after="0"/>
              <w:rPr>
                <w:sz w:val="20"/>
                <w:szCs w:val="20"/>
                <w:color w:val="auto"/>
              </w:rPr>
            </w:pPr>
            <w:r>
              <w:rPr>
                <w:rFonts w:ascii="Arial" w:cs="Arial" w:eastAsia="Arial" w:hAnsi="Arial"/>
                <w:sz w:val="15"/>
                <w:szCs w:val="15"/>
                <w:color w:val="auto"/>
              </w:rPr>
              <w:t>1,980</w:t>
            </w:r>
          </w:p>
        </w:tc>
        <w:tc>
          <w:tcPr>
            <w:tcW w:w="2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1,173</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6"/>
              </w:rPr>
              <w:t>Common Shares Class B (2,953,020</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26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3,093</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3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Hotel,</w:t>
            </w:r>
          </w:p>
        </w:tc>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gaming, and leisure</w:t>
            </w:r>
          </w:p>
        </w:tc>
        <w:tc>
          <w:tcPr>
            <w:tcW w:w="2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1200" w:type="dxa"/>
            <w:vAlign w:val="bottom"/>
            <w:gridSpan w:val="3"/>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97</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6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50</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147</w:t>
            </w: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 (933 units)</w:t>
            </w: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8,874</w:t>
            </w:r>
          </w:p>
        </w:tc>
        <w:tc>
          <w:tcPr>
            <w:tcW w:w="240" w:type="dxa"/>
            <w:vAlign w:val="bottom"/>
            <w:shd w:val="clear" w:color="auto" w:fill="CCEEFF"/>
          </w:tcPr>
          <w:p>
            <w:pPr>
              <w:spacing w:after="0" w:line="20" w:lineRule="exact"/>
              <w:rPr>
                <w:sz w:val="1"/>
                <w:szCs w:val="1"/>
                <w:color w:val="auto"/>
              </w:rPr>
            </w:pPr>
          </w:p>
        </w:tc>
        <w:tc>
          <w:tcPr>
            <w:tcW w:w="960" w:type="dxa"/>
            <w:vAlign w:val="bottom"/>
            <w:gridSpan w:val="2"/>
            <w:shd w:val="clear" w:color="auto" w:fill="CCEEFF"/>
          </w:tcPr>
          <w:p>
            <w:pPr>
              <w:jc w:val="right"/>
              <w:ind w:right="340"/>
              <w:spacing w:after="0" w:line="6" w:lineRule="exact"/>
              <w:rPr>
                <w:sz w:val="20"/>
                <w:szCs w:val="20"/>
                <w:color w:val="auto"/>
              </w:rPr>
            </w:pPr>
            <w:r>
              <w:rPr>
                <w:rFonts w:ascii="Arial" w:cs="Arial" w:eastAsia="Arial" w:hAnsi="Arial"/>
                <w:sz w:val="1"/>
                <w:szCs w:val="1"/>
                <w:color w:val="auto"/>
              </w:rPr>
              <w:t>—</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6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line="162" w:lineRule="exact"/>
              <w:rPr>
                <w:sz w:val="20"/>
                <w:szCs w:val="20"/>
                <w:color w:val="auto"/>
              </w:rPr>
            </w:pPr>
            <w:r>
              <w:rPr>
                <w:rFonts w:ascii="Arial" w:cs="Arial" w:eastAsia="Arial" w:hAnsi="Arial"/>
                <w:sz w:val="15"/>
                <w:szCs w:val="15"/>
                <w:color w:val="auto"/>
              </w:rPr>
              <w:t>Oak Hill Credit Partners</w:t>
            </w:r>
            <w:r>
              <w:rPr>
                <w:rFonts w:ascii="Arial" w:cs="Arial" w:eastAsia="Arial" w:hAnsi="Arial"/>
                <w:sz w:val="13"/>
                <w:szCs w:val="13"/>
                <w:color w:val="auto"/>
              </w:rPr>
              <w:t>(4)(6)</w:t>
            </w:r>
          </w:p>
        </w:tc>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5.82%</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3,293</w:t>
            </w:r>
          </w:p>
        </w:tc>
        <w:tc>
          <w:tcPr>
            <w:tcW w:w="120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3,099</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6"/>
        </w:trPr>
        <w:tc>
          <w:tcPr>
            <w:tcW w:w="42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3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6.07%</w:t>
            </w:r>
          </w:p>
        </w:tc>
        <w:tc>
          <w:tcPr>
            <w:tcW w:w="10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5,583</w:t>
            </w:r>
          </w:p>
        </w:tc>
        <w:tc>
          <w:tcPr>
            <w:tcW w:w="1200" w:type="dxa"/>
            <w:vAlign w:val="bottom"/>
            <w:gridSpan w:val="3"/>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5,100</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0.6%</w:t>
            </w:r>
          </w:p>
        </w:tc>
        <w:tc>
          <w:tcPr>
            <w:tcW w:w="0" w:type="dxa"/>
            <w:vAlign w:val="bottom"/>
          </w:tcPr>
          <w:p>
            <w:pPr>
              <w:spacing w:after="0" w:line="20" w:lineRule="exact"/>
              <w:rPr>
                <w:sz w:val="1"/>
                <w:szCs w:val="1"/>
                <w:color w:val="auto"/>
              </w:rPr>
            </w:pPr>
          </w:p>
        </w:tc>
      </w:tr>
      <w:tr>
        <w:trPr>
          <w:trHeight w:val="156"/>
        </w:trPr>
        <w:tc>
          <w:tcPr>
            <w:tcW w:w="42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(4)(6)</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8,876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8,199</w:t>
            </w: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40,797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26,337</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1,529,676</w:t>
            </w: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1,485,709</w:t>
            </w:r>
          </w:p>
        </w:tc>
        <w:tc>
          <w:tcPr>
            <w:tcW w:w="260" w:type="dxa"/>
            <w:vAlign w:val="bottom"/>
            <w:vMerge w:val="continue"/>
          </w:tcPr>
          <w:p>
            <w:pPr>
              <w:spacing w:after="0"/>
              <w:rPr>
                <w:sz w:val="14"/>
                <w:szCs w:val="14"/>
                <w:color w:val="auto"/>
              </w:rPr>
            </w:pPr>
          </w:p>
        </w:tc>
        <w:tc>
          <w:tcPr>
            <w:tcW w:w="10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180.8%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20" w:hanging="332"/>
        <w:spacing w:after="0" w:line="225"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360" w:hanging="332"/>
        <w:spacing w:after="0" w:line="241"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4"/>
          <w:szCs w:val="14"/>
          <w:color w:val="auto"/>
        </w:rPr>
      </w:pPr>
    </w:p>
    <w:p>
      <w:pPr>
        <w:ind w:left="340" w:hanging="332"/>
        <w:spacing w:after="0" w:line="225"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year ended December 31,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2"/>
                <w:szCs w:val="12"/>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7,833</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(459)</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(12,328)</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$6,003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5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31,704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(4,888)</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26,816</w:t>
            </w:r>
          </w:p>
        </w:tc>
        <w:tc>
          <w:tcPr>
            <w:tcW w:w="120" w:type="dxa"/>
            <w:vAlign w:val="bottom"/>
          </w:tcPr>
          <w:p>
            <w:pPr>
              <w:spacing w:after="0"/>
              <w:rPr>
                <w:sz w:val="14"/>
                <w:szCs w:val="14"/>
                <w:color w:val="auto"/>
              </w:rPr>
            </w:pPr>
          </w:p>
        </w:tc>
        <w:tc>
          <w:tcPr>
            <w:tcW w:w="4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41,636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1"/>
              </w:rPr>
              <w:t>39,537</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(459)</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6"/>
              </w:rPr>
              <w:t>(17,216)</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63,498</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240</w:t>
            </w:r>
          </w:p>
        </w:tc>
        <w:tc>
          <w:tcPr>
            <w:tcW w:w="6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w:t>
      </w:r>
    </w:p>
    <w:p>
      <w:pPr>
        <w:ind w:left="340" w:hanging="332"/>
        <w:spacing w:after="0" w:line="225" w:lineRule="auto"/>
        <w:tabs>
          <w:tab w:leader="none" w:pos="3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As of December 31, 2015, the tax cost of the Company’s investments approximates their amortized cost.</w:t>
      </w:r>
    </w:p>
    <w:p>
      <w:pPr>
        <w:ind w:left="340" w:right="400" w:hanging="332"/>
        <w:spacing w:after="0" w:line="239" w:lineRule="auto"/>
        <w:tabs>
          <w:tab w:leader="none" w:pos="3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107,333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95,298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104,475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29,802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realized losses</w:t>
            </w: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(3,162)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137,007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63,568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85,050</w:t>
            </w:r>
          </w:p>
        </w:tc>
        <w:tc>
          <w:tcPr>
            <w:tcW w:w="0" w:type="dxa"/>
            <w:vAlign w:val="bottom"/>
          </w:tcPr>
          <w:p>
            <w:pPr>
              <w:spacing w:after="0"/>
              <w:rPr>
                <w:sz w:val="1"/>
                <w:szCs w:val="1"/>
                <w:color w:val="auto"/>
              </w:rPr>
            </w:pPr>
          </w:p>
        </w:tc>
      </w:tr>
      <w:tr>
        <w:trPr>
          <w:trHeight w:val="205"/>
        </w:trPr>
        <w:tc>
          <w:tcPr>
            <w:tcW w:w="612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Share Transactions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234,419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10,337</w:t>
            </w: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6,095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22,566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(82,777)</w:t>
            </w: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(62,332)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(80,077)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(10,017)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5"/>
        </w:trPr>
        <w:tc>
          <w:tcPr>
            <w:tcW w:w="612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160" w:type="dxa"/>
            <w:vAlign w:val="bottom"/>
          </w:tcPr>
          <w:p>
            <w:pPr>
              <w:spacing w:after="0"/>
              <w:rPr>
                <w:sz w:val="20"/>
                <w:szCs w:val="20"/>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(5,536)</w:t>
            </w:r>
          </w:p>
        </w:tc>
        <w:tc>
          <w:tcPr>
            <w:tcW w:w="16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(78,232)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175,659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(Decrease) in Net Assets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131,471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260,709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820,741</w:t>
            </w: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835,405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952,212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820,741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the End of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50,142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27,521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20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83"/>
        </w:trPr>
        <w:tc>
          <w:tcPr>
            <w:tcW w:w="6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137,007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63,568</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85,050</w:t>
            </w:r>
          </w:p>
        </w:tc>
      </w:tr>
      <w:tr>
        <w:trPr>
          <w:trHeight w:val="185"/>
        </w:trPr>
        <w:tc>
          <w:tcPr>
            <w:tcW w:w="6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used in operating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(33,682)</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34,225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28,895</w:t>
            </w:r>
          </w:p>
        </w:tc>
      </w:tr>
      <w:tr>
        <w:trPr>
          <w:trHeight w:val="185"/>
        </w:trPr>
        <w:tc>
          <w:tcPr>
            <w:tcW w:w="6200" w:type="dxa"/>
            <w:vAlign w:val="bottom"/>
            <w:shd w:val="clear" w:color="auto" w:fill="CCEEFF"/>
          </w:tcPr>
          <w:p>
            <w:pPr>
              <w:ind w:left="700"/>
              <w:spacing w:after="0" w:line="185" w:lineRule="exact"/>
              <w:rPr>
                <w:sz w:val="20"/>
                <w:szCs w:val="20"/>
                <w:color w:val="auto"/>
              </w:rPr>
            </w:pPr>
            <w:r>
              <w:rPr>
                <w:rFonts w:ascii="Arial" w:cs="Arial" w:eastAsia="Arial" w:hAnsi="Arial"/>
                <w:sz w:val="17"/>
                <w:szCs w:val="17"/>
                <w:color w:val="auto"/>
              </w:rPr>
              <w:t>Net change in unrealized (gains) losses on foreign</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2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currency Transactions</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3,547</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(6,275)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(11,173)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618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losses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772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5,042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realized gains on foreign currency transactions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(870)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(195)</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(15,624)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(12,729)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(19,627)</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2,238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5,874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2,553</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Accretion of discount on 2019 Convertible Senior Notes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589</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560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300</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or originations of investments, net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(720,728)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(757,295)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(974,824)</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71,355</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39,077</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100,656</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524,194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474,483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620,671</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(8,920)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(5,410)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(2,748)</w:t>
            </w:r>
          </w:p>
        </w:tc>
      </w:tr>
      <w:tr>
        <w:trPr>
          <w:trHeight w:val="203"/>
        </w:trPr>
        <w:tc>
          <w:tcPr>
            <w:tcW w:w="6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478</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(3,725)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(1,167)</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4,364</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9,836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(12,443)</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739</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643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3,307</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974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(1,040)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(181)</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(1,426)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(4,734)</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(27,378)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31,972</w:t>
            </w:r>
          </w:p>
        </w:tc>
      </w:tr>
      <w:tr>
        <w:trPr>
          <w:trHeight w:val="27"/>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(37,895)</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(183,506)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(148,831)</w:t>
            </w:r>
          </w:p>
        </w:tc>
      </w:tr>
      <w:tr>
        <w:trPr>
          <w:trHeight w:val="206"/>
        </w:trPr>
        <w:tc>
          <w:tcPr>
            <w:tcW w:w="62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580,364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847,547</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1,108,097</w:t>
            </w: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Payments on debt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(533,772)</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(584,481)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(1,135,388)</w:t>
            </w: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(2,892)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(1,452)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(6,766)</w:t>
            </w:r>
          </w:p>
        </w:tc>
      </w:tr>
      <w:tr>
        <w:trPr>
          <w:trHeight w:val="185"/>
        </w:trPr>
        <w:tc>
          <w:tcPr>
            <w:tcW w:w="6200" w:type="dxa"/>
            <w:vAlign w:val="bottom"/>
          </w:tcPr>
          <w:p>
            <w:pPr>
              <w:spacing w:after="0" w:line="185" w:lineRule="exact"/>
              <w:rPr>
                <w:sz w:val="20"/>
                <w:szCs w:val="20"/>
                <w:color w:val="auto"/>
              </w:rPr>
            </w:pPr>
            <w:r>
              <w:rPr>
                <w:rFonts w:ascii="Arial" w:cs="Arial" w:eastAsia="Arial" w:hAnsi="Arial"/>
                <w:sz w:val="17"/>
                <w:szCs w:val="17"/>
                <w:color w:val="auto"/>
              </w:rPr>
              <w:t>Proceeds from issuance of common stock, net of offering and underwriting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78,250</w:t>
            </w: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234,419</w:t>
            </w:r>
          </w:p>
        </w:tc>
      </w:tr>
      <w:tr>
        <w:trPr>
          <w:trHeight w:val="20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Purchases of treasury stock</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(1,329)</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Dividends paid to stockholders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(80,291)</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(78,063)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(52,589)</w:t>
            </w:r>
          </w:p>
        </w:tc>
      </w:tr>
      <w:tr>
        <w:trPr>
          <w:trHeight w:val="27"/>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40,330</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183,524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147,773</w:t>
            </w:r>
          </w:p>
        </w:tc>
      </w:tr>
      <w:tr>
        <w:trPr>
          <w:trHeight w:val="210"/>
        </w:trPr>
        <w:tc>
          <w:tcPr>
            <w:tcW w:w="6200" w:type="dxa"/>
            <w:vAlign w:val="bottom"/>
          </w:tcPr>
          <w:p>
            <w:pPr>
              <w:ind w:left="70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2,435</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8"/>
                <w:szCs w:val="18"/>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2,413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3,471</w:t>
            </w:r>
          </w:p>
        </w:tc>
      </w:tr>
      <w:tr>
        <w:trPr>
          <w:trHeight w:val="210"/>
        </w:trPr>
        <w:tc>
          <w:tcPr>
            <w:tcW w:w="6200" w:type="dxa"/>
            <w:vAlign w:val="bottom"/>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4,866</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Supplemental Information: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Interest paid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22,008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16,175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11,394</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Excise taxes paid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w:t>
            </w:r>
          </w:p>
        </w:tc>
      </w:tr>
      <w:tr>
        <w:trPr>
          <w:trHeight w:val="203"/>
        </w:trPr>
        <w:tc>
          <w:tcPr>
            <w:tcW w:w="6200" w:type="dxa"/>
            <w:vAlign w:val="bottom"/>
          </w:tcPr>
          <w:p>
            <w:pPr>
              <w:ind w:left="700"/>
              <w:spacing w:after="0"/>
              <w:rPr>
                <w:sz w:val="20"/>
                <w:szCs w:val="20"/>
                <w:color w:val="auto"/>
              </w:rPr>
            </w:pPr>
            <w:r>
              <w:rPr>
                <w:rFonts w:ascii="Arial" w:cs="Arial" w:eastAsia="Arial" w:hAnsi="Arial"/>
                <w:sz w:val="17"/>
                <w:szCs w:val="17"/>
                <w:color w:val="auto"/>
              </w:rPr>
              <w:t>Dividends declared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92,794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84,297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81,326</w:t>
            </w:r>
          </w:p>
        </w:tc>
      </w:tr>
      <w:tr>
        <w:trPr>
          <w:trHeight w:val="203"/>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10,337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22,566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80" w:hanging="325"/>
        <w:spacing w:after="0" w:line="286"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has identified and requested them to perform. At December 31,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38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in other assets and a portion of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yield method, or straight-line method, over the stated maturity of the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yield method.</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April 2015, the Financial Accounting Standards Board issued Accounting Standards Update No. 2015-03 (“ASU 2015-03”), “Interest – Imputation of Interest (Subtopic 835-30): Simplifying the Presentation of Debt Issuance Costs.” ASU 2015-03 requires that debt issuance costs be presented as a direct 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“Presentation of Financial Statements – Going Concern (Subtopic 205 – 40): Disclosure of Uncertainties About an Entity’s Ability to Continue as a Going Concern.” ASU 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ASU 2014-15 is effective for the annual period ending after December 31, 2016 and for annual periods and interim periods thereafter, with early adoption permitted. The Company adopted this guidance during the quarter ended June 30, 2016. The adoption of this guidance did not have an impact on the Company’s financial position,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is currently evaluating the impact of adopting this ASU on its consolidated financial statements.</w:t>
      </w:r>
    </w:p>
    <w:p>
      <w:pPr>
        <w:spacing w:after="0" w:line="173"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In November 2016, the Financial Accounting Standards Board issued Accounting Standards Update 2016-18 (“ASU 2016-18”), “Statement of Cash Flows (Topic 230): Restricted Cash.” The standard requires an entity’s reconciliation of the beginning-of-period and end-of-period total amounts shown on the statement of cash flows to include in cash and cash equivalents amounts generally described as restricted cash and restricted cash equivalents. ASU</w:t>
      </w:r>
    </w:p>
    <w:p>
      <w:pPr>
        <w:ind w:right="20"/>
        <w:spacing w:after="0" w:line="323" w:lineRule="auto"/>
        <w:rPr>
          <w:sz w:val="20"/>
          <w:szCs w:val="20"/>
          <w:color w:val="auto"/>
        </w:rPr>
      </w:pPr>
      <w:r>
        <w:rPr>
          <w:rFonts w:ascii="Arial" w:cs="Arial" w:eastAsia="Arial" w:hAnsi="Arial"/>
          <w:sz w:val="16"/>
          <w:szCs w:val="16"/>
          <w:color w:val="auto"/>
        </w:rPr>
        <w:t>2016-18 is effective for public business entities for annual and interim periods in fiscal years beginning after December 15, 2017. Early adoption is permitted, including adoption in an interim period. The Company is currently evaluating the impact of adopting this ASU on its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2016, 2015 and 2014, the Company incurred expenses of $3.1 million, $3.6 million and $2.7 million, respectively, for administrative services payable to the Adviser under the terms of the Administration Agreement.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November 2016, the Board renewed the Administration Agreement. Unless earlier terminated as described below, the Administration Agreement will remain in effect until November 2017,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Administration Agreement was subsequently amended on February 22, 2017 to make certain clarifications to the agreement, including with respect to the scope of the costs and expenses of the Administrator’s services. In February 2017, the Board approved an amendment to the Administration Agreement. Unless earlier terminated as described below, the Administration Agreement will remain in effect until February 2018, and may be extended subject to required approvals.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2016, 2015 and 2014, Management Fees were $24.3 million, $21.3 million and $18.3 million,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the Company’s initial public offering ( the “IPO”), the Adviser had waived its right to receive the Management Fee in excess of the sum of</w:t>
      </w:r>
    </w:p>
    <w:p>
      <w:pPr>
        <w:spacing w:after="0" w:line="35" w:lineRule="exact"/>
        <w:rPr>
          <w:sz w:val="20"/>
          <w:szCs w:val="20"/>
          <w:color w:val="auto"/>
        </w:rPr>
      </w:pPr>
    </w:p>
    <w:p>
      <w:pPr>
        <w:ind w:right="360" w:firstLine="8"/>
        <w:spacing w:after="0" w:line="261"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Company expenses) as determined as of the end of any calendar quarter (the “Pre-IPO Waiver”).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Adviser has voluntarily waived the Management Fee on the Company’s ownership of shares of common stock in TICC Capital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“TICC Shares”) for any period in which TICC Capital Corp. remains a portfolio company of the Company.</w:t>
      </w:r>
    </w:p>
    <w:p>
      <w:pPr>
        <w:spacing w:after="0" w:line="21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For the year ended December 31, 2016 and 2015, Management Fees of $0.1 million, and $0.1 million, respectively, were waived, consisting solely of Management Fees attributable to the Company’s ownership of the TICC shares. For the year ended December 31, 2014, Management Fees of $2.5 million were waived pursuant to the Pre-IPO Waiver. Any waived Management Fees are not subject to recoupment by the Adviser.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1" w:lineRule="exact"/>
        <w:rPr>
          <w:sz w:val="20"/>
          <w:szCs w:val="20"/>
          <w:color w:val="auto"/>
        </w:rPr>
      </w:pPr>
    </w:p>
    <w:p>
      <w:pPr>
        <w:ind w:left="920" w:right="100"/>
        <w:spacing w:after="0" w:line="273" w:lineRule="auto"/>
        <w:rPr>
          <w:sz w:val="20"/>
          <w:szCs w:val="20"/>
          <w:color w:val="auto"/>
        </w:rPr>
      </w:pPr>
      <w:r>
        <w:rPr>
          <w:rFonts w:ascii="Arial" w:cs="Arial" w:eastAsia="Arial" w:hAnsi="Arial"/>
          <w:sz w:val="17"/>
          <w:szCs w:val="17"/>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342" w:lineRule="auto"/>
        <w:rPr>
          <w:sz w:val="20"/>
          <w:szCs w:val="20"/>
          <w:color w:val="auto"/>
        </w:rPr>
      </w:pPr>
      <w:r>
        <w:rPr>
          <w:rFonts w:ascii="Arial" w:cs="Arial" w:eastAsia="Arial" w:hAnsi="Arial"/>
          <w:sz w:val="16"/>
          <w:szCs w:val="16"/>
          <w:color w:val="auto"/>
        </w:rPr>
        <w:t>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9"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its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For the year ended December 31, 2016, Incentive Fees were $22.7 million which were realized and payable to the Adviser. For the year ended December 31, 2015, Incentive Fees were $20.2 million which were realized and payable to the Adviser. For the year ended December 31, 2014, Incentive Fees were $17.8 million, of which $20.8 million were realized and payable to the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For the years ended December 31, 2016 and 2015, Incentive Fees of $0.3 million and $0.2 million, respectively, were waived, consisting solely of Incentive Fees attributable to the Company’s ownership of the TICC Shares. For the year ending December 31, 2014 no Incentive Fees were waived, as the Company did not hold any TICC Shares during such periods. Any waived Incentive Fees are not subject to recoupment by the Adviser.</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2016 and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0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1,592,753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$1,599,578</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23,959</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19,577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10,753</w:t>
            </w:r>
          </w:p>
        </w:tc>
        <w:tc>
          <w:tcPr>
            <w:tcW w:w="1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40,222</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27,567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1,667,687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1,657,403</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0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126,049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121,222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29,751</w:t>
            </w:r>
          </w:p>
        </w:tc>
        <w:tc>
          <w:tcPr>
            <w:tcW w:w="1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27,966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40,796</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26,338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1,529,676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2016 and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12.2%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Office products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Transportation</w:t>
            </w:r>
          </w:p>
        </w:tc>
        <w:tc>
          <w:tcPr>
            <w:tcW w:w="160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60" w:type="dxa"/>
            <w:vAlign w:val="bottom"/>
            <w:gridSpan w:val="3"/>
          </w:tcPr>
          <w:p>
            <w:pPr>
              <w:jc w:val="right"/>
              <w:ind w:right="224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2016 and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2016</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24.5%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forward exchange rate as of the measurement date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During the year ended December 31, 2016, the Company entered into foreign currency forward contracts to facilitate settlement of purchases and sales of investments denominated in foreign currencies. The Company did not have any open foreign currency forward contracts as of December 31, 2016.</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(losses)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June 2014, in connection with the issuance of the 2019 Convertible Senior Notes,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jc w:val="both"/>
        <w:ind w:right="46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gross and net information on the Company’s interest rate swap transactions that are eligible for offset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as of December 31,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w:t>
            </w: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the</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Amount of</w:t>
            </w:r>
          </w:p>
        </w:tc>
        <w:tc>
          <w:tcPr>
            <w:tcW w:w="360" w:type="dxa"/>
            <w:vAlign w:val="bottom"/>
          </w:tcPr>
          <w:p>
            <w:pPr>
              <w:spacing w:after="0"/>
              <w:rPr>
                <w:sz w:val="12"/>
                <w:szCs w:val="12"/>
                <w:color w:val="auto"/>
              </w:rPr>
            </w:pPr>
          </w:p>
        </w:tc>
        <w:tc>
          <w:tcPr>
            <w:tcW w:w="13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Offset in the</w:t>
            </w: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60" w:type="dxa"/>
            <w:vAlign w:val="bottom"/>
          </w:tcPr>
          <w:p>
            <w:pPr>
              <w:spacing w:after="0"/>
              <w:rPr>
                <w:sz w:val="12"/>
                <w:szCs w:val="12"/>
                <w:color w:val="auto"/>
              </w:rPr>
            </w:pPr>
          </w:p>
        </w:tc>
        <w:tc>
          <w:tcPr>
            <w:tcW w:w="13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14"/>
                <w:szCs w:val="14"/>
                <w:color w:val="auto"/>
              </w:rPr>
              <w:t>($ in thousands)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9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12/15/2019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10/5/2018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276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276</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276</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Amount</w:t>
            </w: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the</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Amount of</w:t>
            </w:r>
          </w:p>
        </w:tc>
        <w:tc>
          <w:tcPr>
            <w:tcW w:w="4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480" w:type="dxa"/>
            <w:vAlign w:val="bottom"/>
          </w:tcPr>
          <w:p>
            <w:pPr>
              <w:spacing w:after="0"/>
              <w:rPr>
                <w:sz w:val="12"/>
                <w:szCs w:val="12"/>
                <w:color w:val="auto"/>
              </w:rPr>
            </w:pP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6"/>
              </w:rPr>
              <w:t>Recognized</w:t>
            </w:r>
          </w:p>
        </w:tc>
        <w:tc>
          <w:tcPr>
            <w:tcW w:w="4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color w:val="auto"/>
              </w:rPr>
              <w:t>($ in thousands)</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4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Balance Sheets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8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12/15/2019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$ 115,000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10/5/2018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92,500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274</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During the years ended December 31, 2016, 2015 and 2014, the Company received $5.2 million, $5.2 million, and $2.6 million, respectively, and paid $4.1 million, $3.7 million, and $1.6 million, respectively, related to the quarterly settlements of its $115 million notional amount interest rate swap. The net amounts of these settlements are reductions to interest expense in the Company’s consolidated statements of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 ended December 31, 2016 the Company received $0.5 million and paid $1.1 million related to the quarterly settlements of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$92.5 million notional amount interest rate swap. The net amounts of these settlements are a reduction to interest income in the Company’s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w:t>
      </w:r>
    </w:p>
    <w:p>
      <w:pPr>
        <w:spacing w:after="0" w:line="21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For the years ended December 31, 2016 and 2015, the Company recognized ($0.3) million and ($0.6) million, respectively, in unrealized depreciation on derivatives in the consolidated statement of operations related to the swap transactions. As of December 31, 2016, and 2015, the swap transactions had a fair value of $0.1 million, and $0.4 million, respectively, which is included in receivable for interest rate swaps on the Company’s consolidated balance sheet.</w:t>
      </w:r>
    </w:p>
    <w:p>
      <w:pPr>
        <w:spacing w:after="0" w:line="14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(e.g., a so-called “margin call”) may result in a default. In the event of a default by a counterparty, the Company would be an unsecured creditor to the extent of any such overcollateralization. As of December 31, 2016, $1.1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4"/>
              </w:rPr>
              <w:t>Fair Value Hierarchy at December 31, 2016</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76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1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3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8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$ 145,491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$ 1,454,087</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$ 1,599,578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16,227</w:t>
            </w:r>
          </w:p>
        </w:tc>
        <w:tc>
          <w:tcPr>
            <w:tcW w:w="4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3,350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19,577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5,511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6,580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8,522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12,465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27,567</w:t>
            </w: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$ 12,091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$ 175,410</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$ 1,469,902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$ 1,657,403</w:t>
            </w:r>
          </w:p>
        </w:tc>
        <w:tc>
          <w:tcPr>
            <w:tcW w:w="6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12,091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$ 175,479</w:t>
            </w: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$ 1,469,902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$ 1,657,472</w:t>
            </w:r>
          </w:p>
        </w:tc>
        <w:tc>
          <w:tcPr>
            <w:tcW w:w="6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8"/>
          </w:tcPr>
          <w:p>
            <w:pPr>
              <w:ind w:left="200"/>
              <w:spacing w:after="0"/>
              <w:rPr>
                <w:sz w:val="20"/>
                <w:szCs w:val="20"/>
                <w:color w:val="auto"/>
              </w:rPr>
            </w:pPr>
            <w:r>
              <w:rPr>
                <w:rFonts w:ascii="Arial" w:cs="Arial" w:eastAsia="Arial" w:hAnsi="Arial"/>
                <w:sz w:val="14"/>
                <w:szCs w:val="14"/>
                <w:b w:val="1"/>
                <w:bCs w:val="1"/>
                <w:color w:val="auto"/>
              </w:rPr>
              <w:t>Fair Value Hierarchy at December 31, 2015</w:t>
            </w: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3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8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$ 80,692</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$ 1,229,491</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$ 1,310,183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480"/>
              <w:spacing w:after="0"/>
              <w:rPr>
                <w:sz w:val="20"/>
                <w:szCs w:val="20"/>
                <w:color w:val="auto"/>
              </w:rPr>
            </w:pPr>
            <w:r>
              <w:rPr>
                <w:rFonts w:ascii="Arial" w:cs="Arial" w:eastAsia="Arial" w:hAnsi="Arial"/>
                <w:sz w:val="18"/>
                <w:szCs w:val="18"/>
                <w:color w:val="auto"/>
              </w:rPr>
              <w:t>30,781</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90,441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121,222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20,165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7,801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27,966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9,933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8,200</w:t>
            </w: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$9,933</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$ 139,838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$ 1,335,938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$ 1,485,709</w:t>
            </w:r>
          </w:p>
        </w:tc>
        <w:tc>
          <w:tcPr>
            <w:tcW w:w="6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9,933</w:t>
            </w:r>
          </w:p>
        </w:tc>
        <w:tc>
          <w:tcPr>
            <w:tcW w:w="152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$ 140,240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$ 1,335,938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$ 1,486,111</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4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First-lien</w:t>
            </w: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9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8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investments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investments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675,813</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675,808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(455,697)</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(62,500)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(520,362)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18,593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672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12,483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Transfers within Level 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34,082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(34,082)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(58,456)</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3,828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(57,310)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1,454,087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3,350</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12,465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1,469,902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Idera and Quiksilver – Boardriders SA were transferred out of Level 3 for fair value measurement purposes during the year ended December 31, 2016, as a result of changes in the observability of inputs into these securities valuations. Vertellus was transferred into Level 3 fair value measurement purposes as a result of changes in the observability of inputs into the valuation. APX Group was transferred into Level 1 as a result of changes in the observability of inputs into the valuation.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40" w:type="dxa"/>
            <w:vAlign w:val="bottom"/>
          </w:tcPr>
          <w:p>
            <w:pPr>
              <w:spacing w:after="0"/>
              <w:rPr>
                <w:sz w:val="10"/>
                <w:szCs w:val="10"/>
                <w:color w:val="auto"/>
              </w:rPr>
            </w:pPr>
          </w:p>
        </w:tc>
        <w:tc>
          <w:tcPr>
            <w:tcW w:w="11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Mezzanine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$1,059,336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61,250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632,277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30,201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7,843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670,321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(22,344)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(438,438)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(443,325)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(6,169)</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1,229,491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90,441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2016 and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5080" w:type="dxa"/>
            <w:vAlign w:val="bottom"/>
          </w:tcPr>
          <w:p>
            <w:pPr>
              <w:spacing w:after="0"/>
              <w:rPr>
                <w:sz w:val="12"/>
                <w:szCs w:val="12"/>
                <w:color w:val="auto"/>
              </w:rPr>
            </w:pPr>
          </w:p>
        </w:tc>
        <w:tc>
          <w:tcPr>
            <w:tcW w:w="2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December 31, 2016 on</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December 31, 2015 on</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2015</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(2,374)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(7,378)</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(18,815)</w:t>
            </w: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803"/>
              <w:spacing w:after="0"/>
              <w:rPr>
                <w:sz w:val="20"/>
                <w:szCs w:val="20"/>
                <w:color w:val="auto"/>
              </w:rPr>
            </w:pPr>
            <w:r>
              <w:rPr>
                <w:rFonts w:ascii="Arial" w:cs="Arial" w:eastAsia="Arial" w:hAnsi="Arial"/>
                <w:sz w:val="14"/>
                <w:szCs w:val="14"/>
                <w:b w:val="1"/>
                <w:bCs w:val="1"/>
                <w:color w:val="auto"/>
                <w:w w:val="96"/>
              </w:rPr>
              <w:t>December 31, 2016</w:t>
            </w: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0"/>
                <w:szCs w:val="10"/>
                <w:color w:val="auto"/>
              </w:rPr>
            </w:pPr>
          </w:p>
        </w:tc>
        <w:tc>
          <w:tcPr>
            <w:tcW w:w="3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c>
          <w:tcPr>
            <w:tcW w:w="120" w:type="dxa"/>
            <w:vAlign w:val="bottom"/>
          </w:tcPr>
          <w:p>
            <w:pPr>
              <w:spacing w:after="0"/>
              <w:rPr>
                <w:sz w:val="16"/>
                <w:szCs w:val="16"/>
                <w:color w:val="auto"/>
              </w:rPr>
            </w:pPr>
          </w:p>
        </w:tc>
        <w:tc>
          <w:tcPr>
            <w:tcW w:w="3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1,454,087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6.6%—12.9%</w:t>
            </w:r>
          </w:p>
        </w:tc>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3,350</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tcPr>
          <w:p>
            <w:pPr>
              <w:spacing w:after="0"/>
              <w:rPr>
                <w:sz w:val="20"/>
                <w:szCs w:val="20"/>
                <w:color w:val="auto"/>
              </w:rPr>
            </w:pPr>
            <w:r>
              <w:rPr>
                <w:rFonts w:ascii="Arial" w:cs="Arial" w:eastAsia="Arial" w:hAnsi="Arial"/>
                <w:sz w:val="16"/>
                <w:szCs w:val="16"/>
                <w:color w:val="auto"/>
              </w:rPr>
              <w:t>Market yield</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13.6%—13.6%</w:t>
            </w:r>
          </w:p>
        </w:tc>
        <w:tc>
          <w:tcPr>
            <w:tcW w:w="1520" w:type="dxa"/>
            <w:vAlign w:val="bottom"/>
          </w:tcPr>
          <w:p>
            <w:pPr>
              <w:ind w:lef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gridSpan w:val="3"/>
            <w:vMerge w:val="restart"/>
            <w:shd w:val="clear" w:color="auto" w:fill="CCEEFF"/>
          </w:tcPr>
          <w:p>
            <w:pPr>
              <w:ind w:left="80"/>
              <w:spacing w:after="0"/>
              <w:rPr>
                <w:sz w:val="20"/>
                <w:szCs w:val="20"/>
                <w:color w:val="auto"/>
              </w:rPr>
            </w:pPr>
            <w:r>
              <w:rPr>
                <w:rFonts w:ascii="Arial" w:cs="Arial" w:eastAsia="Arial" w:hAnsi="Arial"/>
                <w:sz w:val="16"/>
                <w:szCs w:val="16"/>
                <w:color w:val="auto"/>
              </w:rPr>
              <w:t>Market Multiple</w:t>
            </w:r>
            <w:r>
              <w:rPr>
                <w:rFonts w:ascii="Arial" w:cs="Arial" w:eastAsia="Arial" w:hAnsi="Arial"/>
                <w:sz w:val="27"/>
                <w:szCs w:val="27"/>
                <w:color w:val="auto"/>
                <w:vertAlign w:val="superscript"/>
              </w:rPr>
              <w:t>(2)</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Comparable</w:t>
            </w: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12,465</w:t>
            </w:r>
          </w:p>
        </w:tc>
        <w:tc>
          <w:tcPr>
            <w:tcW w:w="1880" w:type="dxa"/>
            <w:vAlign w:val="bottom"/>
            <w:gridSpan w:val="3"/>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multiple</w:t>
            </w:r>
          </w:p>
        </w:tc>
        <w:tc>
          <w:tcPr>
            <w:tcW w:w="12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4"/>
              </w:rPr>
              <w:t>8.4x —13.5x (10.1x)</w:t>
            </w: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 waterfall of the asset valuation.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0"/>
                <w:szCs w:val="10"/>
                <w:color w:val="auto"/>
              </w:rPr>
            </w:pP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c>
          <w:tcPr>
            <w:tcW w:w="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1,229,491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3.9%—15.3% (10.8%)</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90,441</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tcPr>
          <w:p>
            <w:pPr>
              <w:spacing w:after="0"/>
              <w:rPr>
                <w:sz w:val="20"/>
                <w:szCs w:val="20"/>
                <w:color w:val="auto"/>
              </w:rPr>
            </w:pPr>
            <w:r>
              <w:rPr>
                <w:rFonts w:ascii="Arial" w:cs="Arial" w:eastAsia="Arial" w:hAnsi="Arial"/>
                <w:sz w:val="16"/>
                <w:szCs w:val="16"/>
                <w:color w:val="auto"/>
              </w:rPr>
              <w:t>Market yield</w:t>
            </w:r>
          </w:p>
        </w:tc>
        <w:tc>
          <w:tcPr>
            <w:tcW w:w="120" w:type="dxa"/>
            <w:vAlign w:val="bottom"/>
          </w:tcPr>
          <w:p>
            <w:pPr>
              <w:spacing w:after="0"/>
              <w:rPr>
                <w:sz w:val="17"/>
                <w:szCs w:val="17"/>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12.1%—13.8% (13.2%)</w:t>
            </w:r>
          </w:p>
        </w:tc>
        <w:tc>
          <w:tcPr>
            <w:tcW w:w="160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9"/>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7,801</w:t>
            </w:r>
          </w:p>
        </w:tc>
        <w:tc>
          <w:tcPr>
            <w:tcW w:w="1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Income approach</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12.6%—12.6% (12.6%)</w:t>
            </w: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Comparable</w:t>
            </w:r>
          </w:p>
        </w:tc>
        <w:tc>
          <w:tcPr>
            <w:tcW w:w="120" w:type="dxa"/>
            <w:vAlign w:val="bottom"/>
          </w:tcPr>
          <w:p>
            <w:pPr>
              <w:spacing w:after="0"/>
              <w:rPr>
                <w:sz w:val="16"/>
                <w:szCs w:val="16"/>
                <w:color w:val="auto"/>
              </w:rPr>
            </w:pP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4"/>
              </w:rPr>
              <w:t>8.4x —13.5x (11.8x)</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Market Multiple or</w:t>
            </w:r>
          </w:p>
        </w:tc>
        <w:tc>
          <w:tcPr>
            <w:tcW w:w="1240" w:type="dxa"/>
            <w:vAlign w:val="bottom"/>
          </w:tcPr>
          <w:p>
            <w:pPr>
              <w:spacing w:after="0"/>
              <w:rPr>
                <w:sz w:val="20"/>
                <w:szCs w:val="20"/>
                <w:color w:val="auto"/>
              </w:rPr>
            </w:pPr>
            <w:r>
              <w:rPr>
                <w:rFonts w:ascii="Arial" w:cs="Arial" w:eastAsia="Arial" w:hAnsi="Arial"/>
                <w:sz w:val="16"/>
                <w:szCs w:val="16"/>
                <w:color w:val="auto"/>
              </w:rPr>
              <w:t>multiple or</w:t>
            </w:r>
          </w:p>
        </w:tc>
        <w:tc>
          <w:tcPr>
            <w:tcW w:w="120" w:type="dxa"/>
            <w:vAlign w:val="bottom"/>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8,205</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w w:val="95"/>
              </w:rPr>
              <w:t xml:space="preserve">Discounted Cash Flow </w:t>
            </w:r>
            <w:r>
              <w:rPr>
                <w:rFonts w:ascii="Arial" w:cs="Arial" w:eastAsia="Arial" w:hAnsi="Arial"/>
                <w:sz w:val="27"/>
                <w:szCs w:val="27"/>
                <w:color w:val="auto"/>
                <w:w w:val="95"/>
                <w:vertAlign w:val="superscript"/>
              </w:rPr>
              <w:t>(2)</w:t>
            </w:r>
          </w:p>
        </w:tc>
        <w:tc>
          <w:tcPr>
            <w:tcW w:w="1240" w:type="dxa"/>
            <w:vAlign w:val="bottom"/>
          </w:tcPr>
          <w:p>
            <w:pPr>
              <w:spacing w:after="0"/>
              <w:rPr>
                <w:sz w:val="20"/>
                <w:szCs w:val="20"/>
                <w:color w:val="auto"/>
              </w:rPr>
            </w:pPr>
            <w:r>
              <w:rPr>
                <w:rFonts w:ascii="Arial" w:cs="Arial" w:eastAsia="Arial" w:hAnsi="Arial"/>
                <w:sz w:val="16"/>
                <w:szCs w:val="16"/>
                <w:color w:val="auto"/>
              </w:rPr>
              <w:t>discount rate</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or 12.0%</w:t>
            </w:r>
          </w:p>
        </w:tc>
        <w:tc>
          <w:tcPr>
            <w:tcW w:w="1600" w:type="dxa"/>
            <w:vAlign w:val="bottom"/>
          </w:tcPr>
          <w:p>
            <w:pPr>
              <w:spacing w:after="0"/>
              <w:rPr>
                <w:sz w:val="20"/>
                <w:szCs w:val="20"/>
                <w:color w:val="auto"/>
              </w:rPr>
            </w:pPr>
            <w:r>
              <w:rPr>
                <w:rFonts w:ascii="Arial" w:cs="Arial" w:eastAsia="Arial" w:hAnsi="Arial"/>
                <w:sz w:val="16"/>
                <w:szCs w:val="16"/>
                <w:color w:val="auto"/>
              </w:rPr>
              <w:t>Increase or decrease</w:t>
            </w:r>
          </w:p>
        </w:tc>
        <w:tc>
          <w:tcPr>
            <w:tcW w:w="0" w:type="dxa"/>
            <w:vAlign w:val="bottom"/>
          </w:tcPr>
          <w:p>
            <w:pPr>
              <w:spacing w:after="0"/>
              <w:rPr>
                <w:sz w:val="1"/>
                <w:szCs w:val="1"/>
                <w:color w:val="auto"/>
              </w:rPr>
            </w:pPr>
          </w:p>
        </w:tc>
      </w:tr>
    </w:tbl>
    <w:p>
      <w:pPr>
        <w:ind w:left="460" w:right="40" w:hanging="452"/>
        <w:spacing w:after="0" w:line="249"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transacted value of the investments.</w:t>
      </w:r>
    </w:p>
    <w:p>
      <w:pPr>
        <w:ind w:left="460" w:right="380" w:hanging="452"/>
        <w:spacing w:after="0" w:line="261"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transacted value of the investments.</w:t>
      </w:r>
    </w:p>
    <w:p>
      <w:pPr>
        <w:spacing w:after="0" w:line="184"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December 31, 2016, approximates its carrying value as the outstanding balance is callable at carrying value. The fair value of the Company’s 2019 Convertible Senior Notes, which is categorized as Level 2 within the fair value hierarchy, as of December 31, 2016, was $117.6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2019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2016 and 2015, the Company’s asset coverage was 237.7% and 225.7%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3"/>
              </w:rPr>
              <w:t>December 31, 2016</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12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300" w:type="dxa"/>
            <w:vAlign w:val="bottom"/>
          </w:tcPr>
          <w:p>
            <w:pPr>
              <w:spacing w:after="0"/>
              <w:rPr>
                <w:sz w:val="10"/>
                <w:szCs w:val="10"/>
                <w:color w:val="auto"/>
              </w:rPr>
            </w:pPr>
          </w:p>
        </w:tc>
        <w:tc>
          <w:tcPr>
            <w:tcW w:w="14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136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578,657</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$ 366,343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$569,919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115,000</w:t>
            </w:r>
          </w:p>
        </w:tc>
        <w:tc>
          <w:tcPr>
            <w:tcW w:w="6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110,790</w:t>
            </w:r>
          </w:p>
        </w:tc>
      </w:tr>
      <w:tr>
        <w:trPr>
          <w:trHeight w:val="27"/>
        </w:trPr>
        <w:tc>
          <w:tcPr>
            <w:tcW w:w="5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693,657</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$ 366,343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680,709</w:t>
            </w:r>
          </w:p>
        </w:tc>
      </w:tr>
      <w:tr>
        <w:trPr>
          <w:trHeight w:val="20"/>
        </w:trPr>
        <w:tc>
          <w:tcPr>
            <w:tcW w:w="5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460" w:right="3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December 31, 2015</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360" w:type="dxa"/>
            <w:vAlign w:val="bottom"/>
          </w:tcPr>
          <w:p>
            <w:pPr>
              <w:spacing w:after="0"/>
              <w:rPr>
                <w:sz w:val="10"/>
                <w:szCs w:val="10"/>
                <w:color w:val="auto"/>
              </w:rPr>
            </w:pPr>
          </w:p>
        </w:tc>
        <w:tc>
          <w:tcPr>
            <w:tcW w:w="14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7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Amount Committed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7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540,305</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$532,996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115,000</w:t>
            </w:r>
          </w:p>
        </w:tc>
        <w:tc>
          <w:tcPr>
            <w:tcW w:w="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109,427</w:t>
            </w:r>
          </w:p>
        </w:tc>
      </w:tr>
      <w:tr>
        <w:trPr>
          <w:trHeight w:val="27"/>
        </w:trPr>
        <w:tc>
          <w:tcPr>
            <w:tcW w:w="3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936,250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655,305</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642,423</w:t>
            </w:r>
          </w:p>
        </w:tc>
      </w:tr>
      <w:tr>
        <w:trPr>
          <w:trHeight w:val="20"/>
        </w:trPr>
        <w:tc>
          <w:tcPr>
            <w:tcW w:w="3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$7.3 million and $3.1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years ended December 31, 2016, 2015 and 2014,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Commitment fees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2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1-month LIBOR rate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w:t>
      </w:r>
    </w:p>
    <w:p>
      <w:pPr>
        <w:spacing w:after="0"/>
        <w:rPr>
          <w:sz w:val="20"/>
          <w:szCs w:val="20"/>
          <w:color w:val="auto"/>
        </w:rPr>
      </w:pPr>
      <w:r>
        <w:rPr>
          <w:rFonts w:ascii="Arial" w:cs="Arial" w:eastAsia="Arial" w:hAnsi="Arial"/>
          <w:sz w:val="16"/>
          <w:szCs w:val="16"/>
          <w:color w:val="auto"/>
        </w:rPr>
        <w:t>$350 million. The facility included an uncommitted accordion feature that allowed the Company, under certain circumstances, to increase the size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up to $550 million. On September 30, 2013, the Company exercised its right under the accordion feature and increased the size of the facility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 million. On January 27, 2014, the Company again exercised its right under the accordion feature and increased the size of the facility to $420 million.</w:t>
      </w:r>
    </w:p>
    <w:p>
      <w:pPr>
        <w:spacing w:after="0" w:line="23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31" w:lineRule="exact"/>
        <w:rPr>
          <w:sz w:val="20"/>
          <w:szCs w:val="20"/>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2016, the Company had outstanding debt denominated in Euro (EUR) of 47.1 million and Pound Sterling (GBP) of 13.3 million on its Revolving Credit Facility, included in the Outstanding Principal amount in the table above.</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2019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jc w:val="both"/>
        <w:ind w:right="100" w:firstLine="456"/>
        <w:spacing w:after="0" w:line="273" w:lineRule="auto"/>
        <w:rPr>
          <w:sz w:val="20"/>
          <w:szCs w:val="20"/>
          <w:color w:val="auto"/>
        </w:rPr>
      </w:pPr>
      <w:r>
        <w:rPr>
          <w:rFonts w:ascii="Arial" w:cs="Arial" w:eastAsia="Arial" w:hAnsi="Arial"/>
          <w:sz w:val="17"/>
          <w:szCs w:val="17"/>
          <w:color w:val="auto"/>
        </w:rPr>
        <w:t>On May 8, 2012, the “Closing Date,” the Company’s wholly owned subsidiary TPG SL SPV, LLC,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60" w:right="2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availability under the borrowing base, which was based on the amount of TPG SL SPV’s assets from time to time, and satisfaction of certain conditions, including an asset coverage test, an asset quality test and certain concentration limits.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On June 10,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60" w:right="3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2019 Convertible Senior Notes at their option at any time prior to June 15, 2019 only under the following circumstances:</w:t>
      </w:r>
    </w:p>
    <w:p>
      <w:pPr>
        <w:spacing w:after="0" w:line="46" w:lineRule="exact"/>
        <w:rPr>
          <w:sz w:val="20"/>
          <w:szCs w:val="20"/>
          <w:color w:val="auto"/>
        </w:rPr>
      </w:pPr>
    </w:p>
    <w:p>
      <w:pPr>
        <w:ind w:firstLine="8"/>
        <w:spacing w:after="0" w:line="281" w:lineRule="auto"/>
        <w:tabs>
          <w:tab w:leader="none" w:pos="2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00" w:firstLine="8"/>
        <w:spacing w:after="0" w:line="292" w:lineRule="auto"/>
        <w:tabs>
          <w:tab w:leader="none" w:pos="2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2016 and 2015, the components of interest expense related to the 2019 Convertible Senior Notes were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2016</w:t>
            </w:r>
          </w:p>
        </w:tc>
        <w:tc>
          <w:tcPr>
            <w:tcW w:w="2440" w:type="dxa"/>
            <w:vAlign w:val="bottom"/>
            <w:gridSpan w:val="4"/>
          </w:tcPr>
          <w:p>
            <w:pPr>
              <w:ind w:left="1220"/>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2016 and 2015, the Company received $5.2 million and $5.2 million, respectively, and paid $4.1 million and $3.7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December 31, 2016 and December 31, 2015, the principal amount of the 2019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December 31, 2016 and December 31, 2015, the components of the carrying value of the 2019 Convertible Senior Notes and the stated interest rate were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115,000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115,000</w:t>
            </w:r>
          </w:p>
        </w:tc>
        <w:tc>
          <w:tcPr>
            <w:tcW w:w="2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(2,517)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(3,056)</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Carrying value of debt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110,790</w:t>
            </w: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109,427</w:t>
            </w:r>
          </w:p>
        </w:tc>
        <w:tc>
          <w:tcPr>
            <w:tcW w:w="2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2016 was three-month LIBOR plus 286 basis points. Please see Note 5 for further information about the Company’s interest rate swaps.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2019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2019 Convertible Senior Notes under certain circumstances. These covenants are subject to important limitations and exceptions that are described in the 2019 Convertible Senior Notes Indenture. As of December 31, 2016, the Company was in compliance with the terms of the 2019 Convertible Senior Notes Indenture.</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2019 Convertible Senior Notes are accounted for in accordance with Accounting Standards Codification (“ASC”) 470-20. Upon conversion of any of the 2019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2019 Convertible Senior Notes Indenture. The Company has determined that the embedded conversion option in the 2019 Convertible Senior Notes are not required to be separately accounted for as a derivative under U.S. GAAP. In accounting for the 2019 Convertible Senior Notes, the Company estimated at the time of issuance separate debt and equity components of the 2019 Convertible Senior Notes. An original issue discount equal to the equity components of the 2019 Convertible Senior Notes was recorded in “additional paid-in capital” in the accompanying consolidated balance sheet. Additionally, the issuance costs associated with the 2019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December 31, 2015,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and December 31, 2015, the Company had the following commitments to fund investments in current portfolio companies: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15,385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4,139</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3,903</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Marketo,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Sears - ABL Revolver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17,913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 - Revolver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2016, the Company had additional unfunded commitments of $50.0 million to fund investments to new borrowers that were not current portfolio companies as of December 31, 2016. As of December 31, 2015, the Company did not have any unfunded commitments to fund investments to new borrowers that were not current portfolio companies as of December 31, 2015.</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2016,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20"/>
          </w:cols>
          <w:pgMar w:left="24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2016 and 2015.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w w:val="92"/>
              </w:rPr>
              <w:t>Year Ended December 31, 2016</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Record Date</w:t>
            </w:r>
          </w:p>
        </w:tc>
        <w:tc>
          <w:tcPr>
            <w:tcW w:w="5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Date Shares Issued</w:t>
            </w:r>
          </w:p>
        </w:tc>
        <w:tc>
          <w:tcPr>
            <w:tcW w:w="5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2015</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2016</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2016</w:t>
            </w:r>
          </w:p>
        </w:tc>
        <w:tc>
          <w:tcPr>
            <w:tcW w:w="520" w:type="dxa"/>
            <w:vAlign w:val="bottom"/>
          </w:tcPr>
          <w:p>
            <w:pPr>
              <w:spacing w:after="0"/>
              <w:rPr>
                <w:sz w:val="18"/>
                <w:szCs w:val="18"/>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May 2, 2016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2016</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August 1, 2016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168,621</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3, 2016</w:t>
            </w:r>
          </w:p>
        </w:tc>
        <w:tc>
          <w:tcPr>
            <w:tcW w:w="1760" w:type="dxa"/>
            <w:vAlign w:val="bottom"/>
          </w:tcPr>
          <w:p>
            <w:pPr>
              <w:jc w:val="right"/>
              <w:spacing w:after="0"/>
              <w:rPr>
                <w:sz w:val="20"/>
                <w:szCs w:val="20"/>
                <w:color w:val="auto"/>
              </w:rPr>
            </w:pPr>
            <w:r>
              <w:rPr>
                <w:rFonts w:ascii="Arial" w:cs="Arial" w:eastAsia="Arial" w:hAnsi="Arial"/>
                <w:sz w:val="18"/>
                <w:szCs w:val="18"/>
                <w:color w:val="auto"/>
              </w:rPr>
              <w:t>September 30, 2016</w:t>
            </w:r>
          </w:p>
        </w:tc>
        <w:tc>
          <w:tcPr>
            <w:tcW w:w="520" w:type="dxa"/>
            <w:vAlign w:val="bottom"/>
          </w:tcPr>
          <w:p>
            <w:pPr>
              <w:spacing w:after="0"/>
              <w:rPr>
                <w:sz w:val="19"/>
                <w:szCs w:val="19"/>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November 1, 2016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638,326</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0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w w:val="92"/>
              </w:rPr>
              <w:t>Year Ended December 31, 2015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Record Date</w:t>
            </w:r>
          </w:p>
        </w:tc>
        <w:tc>
          <w:tcPr>
            <w:tcW w:w="5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Date Shares Issued</w:t>
            </w:r>
          </w:p>
        </w:tc>
        <w:tc>
          <w:tcPr>
            <w:tcW w:w="5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2014</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 2015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2015</w:t>
            </w:r>
          </w:p>
        </w:tc>
        <w:tc>
          <w:tcPr>
            <w:tcW w:w="520" w:type="dxa"/>
            <w:vAlign w:val="bottom"/>
          </w:tcPr>
          <w:p>
            <w:pPr>
              <w:spacing w:after="0"/>
              <w:rPr>
                <w:sz w:val="18"/>
                <w:szCs w:val="18"/>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May 1, 2015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41,441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2015</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August 3, 2015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26,258</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2015</w:t>
            </w:r>
          </w:p>
        </w:tc>
        <w:tc>
          <w:tcPr>
            <w:tcW w:w="1760" w:type="dxa"/>
            <w:vAlign w:val="bottom"/>
          </w:tcPr>
          <w:p>
            <w:pPr>
              <w:jc w:val="right"/>
              <w:spacing w:after="0"/>
              <w:rPr>
                <w:sz w:val="20"/>
                <w:szCs w:val="20"/>
                <w:color w:val="auto"/>
              </w:rPr>
            </w:pPr>
            <w:r>
              <w:rPr>
                <w:rFonts w:ascii="Arial" w:cs="Arial" w:eastAsia="Arial" w:hAnsi="Arial"/>
                <w:sz w:val="18"/>
                <w:szCs w:val="18"/>
                <w:color w:val="auto"/>
              </w:rPr>
              <w:t>September 30, 2015</w:t>
            </w:r>
          </w:p>
        </w:tc>
        <w:tc>
          <w:tcPr>
            <w:tcW w:w="520" w:type="dxa"/>
            <w:vAlign w:val="bottom"/>
          </w:tcPr>
          <w:p>
            <w:pPr>
              <w:spacing w:after="0"/>
              <w:rPr>
                <w:sz w:val="19"/>
                <w:szCs w:val="19"/>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color w:val="auto"/>
              </w:rPr>
              <w:t>November 2, 2015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368,602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60"/>
          </w:cols>
          <w:pgMar w:left="240" w:top="460" w:right="2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During the year ended December 31, 2016, the Company repurchased 86,081 shares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 On February 22, 2017, the Board authorized the extension of the termination date of the Company 10b5-1 Plan to August 3, 2017.</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For dates prior to December 3, 2013, the Company has retroactively applied the effect of the stock split to the financial information presented herein by multiplying numbers of shares outstanding by 66.676 and dividing per share amounts by 66.676.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 Ended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2016</w:t>
            </w:r>
          </w:p>
        </w:tc>
        <w:tc>
          <w:tcPr>
            <w:tcW w:w="196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91"/>
              </w:rPr>
              <w:t>December 31, 2015</w:t>
            </w:r>
          </w:p>
        </w:tc>
        <w:tc>
          <w:tcPr>
            <w:tcW w:w="1960" w:type="dxa"/>
            <w:vAlign w:val="bottom"/>
            <w:gridSpan w:val="3"/>
          </w:tcPr>
          <w:p>
            <w:pPr>
              <w:ind w:left="800"/>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60" w:type="dxa"/>
            <w:vAlign w:val="bottom"/>
          </w:tcPr>
          <w:p>
            <w:pPr>
              <w:spacing w:after="0"/>
              <w:rPr>
                <w:sz w:val="12"/>
                <w:szCs w:val="12"/>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60" w:type="dxa"/>
            <w:vAlign w:val="bottom"/>
            <w:shd w:val="clear" w:color="auto" w:fill="CCEEFF"/>
          </w:tcPr>
          <w:p>
            <w:pPr>
              <w:spacing w:after="0"/>
              <w:rPr>
                <w:sz w:val="20"/>
                <w:szCs w:val="20"/>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outstanding—basic and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58,591,380</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54,006,322</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50,509,692</w:t>
            </w:r>
          </w:p>
        </w:tc>
        <w:tc>
          <w:tcPr>
            <w:tcW w:w="60" w:type="dxa"/>
            <w:vAlign w:val="bottom"/>
          </w:tcPr>
          <w:p>
            <w:pPr>
              <w:spacing w:after="0"/>
              <w:rPr>
                <w:sz w:val="20"/>
                <w:szCs w:val="20"/>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2016 was less than the conversion price for the 2019 Convertible Senior Notes outstanding as of December 31, 2016. Therefore, for all periods presented in the financial statements, the underlying shares for the intrinsic value of the embedded options in the 2019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8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2"/>
                <w:szCs w:val="12"/>
                <w:color w:val="auto"/>
              </w:rPr>
            </w:pPr>
          </w:p>
        </w:tc>
        <w:tc>
          <w:tcPr>
            <w:tcW w:w="17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2016</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29, 2016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May 4, 2016</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2016</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July 29, 2016</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August 3, 2016</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September 30, 2016</w:t>
            </w:r>
          </w:p>
        </w:tc>
        <w:tc>
          <w:tcPr>
            <w:tcW w:w="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October 31, 2016</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November 7, 2016</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2016</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January 31, 2017</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1.56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60" w:type="dxa"/>
            <w:vAlign w:val="bottom"/>
            <w:gridSpan w:val="2"/>
            <w:vMerge w:val="restart"/>
          </w:tcPr>
          <w:p>
            <w:pPr>
              <w:ind w:left="720"/>
              <w:spacing w:after="0"/>
              <w:rPr>
                <w:sz w:val="20"/>
                <w:szCs w:val="20"/>
                <w:color w:val="auto"/>
              </w:rPr>
            </w:pPr>
            <w:r>
              <w:rPr>
                <w:rFonts w:ascii="Arial" w:cs="Arial" w:eastAsia="Arial" w:hAnsi="Arial"/>
                <w:sz w:val="18"/>
                <w:szCs w:val="18"/>
                <w:color w:val="auto"/>
              </w:rPr>
              <w:t>F-40</w:t>
            </w: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8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2"/>
                <w:szCs w:val="12"/>
                <w:color w:val="auto"/>
              </w:rPr>
            </w:pPr>
          </w:p>
        </w:tc>
        <w:tc>
          <w:tcPr>
            <w:tcW w:w="17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2015</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May 7, 2015</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2015</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July 31, 2015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September 30, 2015</w:t>
            </w:r>
          </w:p>
        </w:tc>
        <w:tc>
          <w:tcPr>
            <w:tcW w:w="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October 30, 2015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November 3, 2015</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2015</w:t>
            </w:r>
          </w:p>
        </w:tc>
        <w:tc>
          <w:tcPr>
            <w:tcW w:w="4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January 29, 2016</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1.56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2016 and December 31, 2015,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2016, 2015 and 2014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2014</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89,916</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Capital Gains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9,366</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1,249</w:t>
            </w:r>
          </w:p>
        </w:tc>
      </w:tr>
      <w:tr>
        <w:trPr>
          <w:trHeight w:val="27"/>
        </w:trPr>
        <w:tc>
          <w:tcPr>
            <w:tcW w:w="2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92,794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84,298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81,326</w:t>
            </w:r>
          </w:p>
        </w:tc>
      </w:tr>
      <w:tr>
        <w:trPr>
          <w:trHeight w:val="20"/>
        </w:trPr>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the years ended December 31, 2016, 2015 and 2014, 82.52%, 83.04%, and 78.85% of ordinary income qualified as interest related dividend which is exempt from U.S. withholding tax applicable to non-U.S. shareholders.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2016, 2015 and 2014, to taxable income at December 31, 2016,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82"/>
        </w:trPr>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137,007</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63,568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(29,802)</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28,568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17,722</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income (loss) for tax purposes,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not book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2,249</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(2,930)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2,073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106,134</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00"/>
          </w:cols>
          <w:pgMar w:left="240" w:top="459" w:right="3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jc w:val="both"/>
        <w:ind w:right="460" w:firstLine="456"/>
        <w:spacing w:after="0" w:line="288" w:lineRule="auto"/>
        <w:rPr>
          <w:sz w:val="20"/>
          <w:szCs w:val="20"/>
          <w:color w:val="auto"/>
        </w:rPr>
      </w:pPr>
      <w:r>
        <w:rPr>
          <w:rFonts w:ascii="Arial" w:cs="Arial" w:eastAsia="Arial" w:hAnsi="Arial"/>
          <w:sz w:val="16"/>
          <w:szCs w:val="16"/>
          <w:color w:val="auto"/>
        </w:rPr>
        <w:t>During the year ended December 31, 2016, permanent differences were principally related to $2.3 million of recharacterization of income for tax purposes between ordinary income and capital gains, $1.8 million attributable to accrued U.S. federal excise taxes, $1.0 million of recharacterization of prepayment penalties for tax purposes between ordinary income and capital gains, and $0.4 million attributable to the foreign currency reclassifications.</w:t>
      </w:r>
    </w:p>
    <w:p>
      <w:pPr>
        <w:ind w:right="140"/>
        <w:spacing w:after="0" w:line="271" w:lineRule="auto"/>
        <w:rPr>
          <w:sz w:val="20"/>
          <w:szCs w:val="20"/>
          <w:color w:val="auto"/>
        </w:rPr>
      </w:pPr>
      <w:r>
        <w:rPr>
          <w:rFonts w:ascii="Arial" w:cs="Arial" w:eastAsia="Arial" w:hAnsi="Arial"/>
          <w:sz w:val="17"/>
          <w:szCs w:val="17"/>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2016, the Company had a deferred tax asset of $3.1 million pertaining to operating losses, related to one of its investments. Given the losses generated by the entity, the deferred tax asset has been offset by a valuation allowance of $3.1 million. 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2016 and 2015,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2016, 2015, 2014, 2013, and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5"/>
                <w:szCs w:val="15"/>
                <w:b w:val="1"/>
                <w:bCs w:val="1"/>
                <w:color w:val="auto"/>
              </w:rPr>
              <w:t>(5)(7)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Net realized and unrealized gain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(loss)</w:t>
            </w: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from operations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Issuance of common stock, net of offering costs</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Dividends declared from realized gains</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b w:val="1"/>
                <w:bCs w:val="1"/>
                <w:color w:val="auto"/>
              </w:rPr>
              <w:t>Net Asset Value, End of Period</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59,716,205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54,163,960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53,797,358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37,026,023</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31,582,954</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Ratio of net investment income to average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Portfolio turnover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574,696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479,803</w:t>
            </w:r>
          </w:p>
        </w:tc>
      </w:tr>
    </w:tbl>
    <w:p>
      <w:pPr>
        <w:spacing w:after="0" w:line="22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61"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9.43% and 9.33% for the years ended December 31, 2016 and 2015, respectively. For the years ended December 31, 2014, 2013, and 2012, the Company’s did not own any shares of common stock of TICC Capital Corp. For the years ended December 31, 2014, 2013, and 2012, the ratio of net expenses to average net assets in the table above reflects the Adviser’s waivers of its right to receive a portion of the Management Fee prior to our IPO. Excluding the effects of the waiver, the ratio of net expenses to average net assets would have been 7.88%, 7.94% and 8.03% for the years ended December 31, 2014, 2013, and 2012,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5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$49,708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$53,917</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$46,034</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$42,751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$21,641</w:t>
            </w:r>
          </w:p>
        </w:tc>
        <w:tc>
          <w:tcPr>
            <w:tcW w:w="1320" w:type="dxa"/>
            <w:vAlign w:val="bottom"/>
            <w:gridSpan w:val="8"/>
          </w:tcPr>
          <w:p>
            <w:pPr>
              <w:jc w:val="right"/>
              <w:ind w:right="400"/>
              <w:spacing w:after="0"/>
              <w:rPr>
                <w:sz w:val="20"/>
                <w:szCs w:val="20"/>
                <w:color w:val="auto"/>
              </w:rPr>
            </w:pPr>
            <w:r>
              <w:rPr>
                <w:rFonts w:ascii="Arial" w:cs="Arial" w:eastAsia="Arial" w:hAnsi="Arial"/>
                <w:sz w:val="18"/>
                <w:szCs w:val="18"/>
                <w:color w:val="auto"/>
              </w:rPr>
              <w:t>$23,346</w:t>
            </w: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$20,531</w:t>
            </w:r>
          </w:p>
        </w:tc>
        <w:tc>
          <w:tcPr>
            <w:tcW w:w="640" w:type="dxa"/>
            <w:vAlign w:val="bottom"/>
            <w:gridSpan w:val="3"/>
          </w:tcPr>
          <w:p>
            <w:pPr>
              <w:spacing w:after="0"/>
              <w:rPr>
                <w:sz w:val="20"/>
                <w:szCs w:val="20"/>
                <w:color w:val="auto"/>
              </w:rPr>
            </w:pPr>
            <w:r>
              <w:rPr>
                <w:rFonts w:ascii="Arial" w:cs="Arial" w:eastAsia="Arial" w:hAnsi="Arial"/>
                <w:sz w:val="18"/>
                <w:szCs w:val="18"/>
                <w:color w:val="auto"/>
                <w:w w:val="95"/>
              </w:rPr>
              <w:t>$19,559</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92"/>
              </w:rPr>
              <w:t>$28,067</w:t>
            </w:r>
          </w:p>
        </w:tc>
        <w:tc>
          <w:tcPr>
            <w:tcW w:w="132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$30,571</w:t>
            </w: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$25,503</w:t>
            </w: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$23,192</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$ 4,656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rPr>
              <w:t>6,304</w:t>
            </w: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$24,135</w:t>
            </w:r>
          </w:p>
        </w:tc>
        <w:tc>
          <w:tcPr>
            <w:tcW w:w="700" w:type="dxa"/>
            <w:vAlign w:val="bottom"/>
            <w:gridSpan w:val="4"/>
          </w:tcPr>
          <w:p>
            <w:pPr>
              <w:spacing w:after="0"/>
              <w:rPr>
                <w:sz w:val="20"/>
                <w:szCs w:val="20"/>
                <w:color w:val="auto"/>
              </w:rPr>
            </w:pPr>
            <w:r>
              <w:rPr>
                <w:rFonts w:ascii="Arial" w:cs="Arial" w:eastAsia="Arial" w:hAnsi="Arial"/>
                <w:sz w:val="18"/>
                <w:szCs w:val="18"/>
                <w:color w:val="auto"/>
                <w:w w:val="94"/>
              </w:rPr>
              <w:t>$ (5,421)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92"/>
              </w:rPr>
              <w:t>$32,723</w:t>
            </w:r>
          </w:p>
        </w:tc>
        <w:tc>
          <w:tcPr>
            <w:tcW w:w="132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$36,875</w:t>
            </w: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$49,638</w:t>
            </w: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$17,771</w:t>
            </w:r>
          </w:p>
        </w:tc>
        <w:tc>
          <w:tcPr>
            <w:tcW w:w="60" w:type="dxa"/>
            <w:vAlign w:val="bottom"/>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$ 15.95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rPr>
              <w:t>15.78</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$ 15.55</w:t>
            </w:r>
          </w:p>
        </w:tc>
        <w:tc>
          <w:tcPr>
            <w:tcW w:w="4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$ 15.11</w:t>
            </w:r>
          </w:p>
        </w:tc>
        <w:tc>
          <w:tcPr>
            <w:tcW w:w="60" w:type="dxa"/>
            <w:vAlign w:val="bottom"/>
          </w:tcPr>
          <w:p>
            <w:pPr>
              <w:spacing w:after="0"/>
              <w:rPr>
                <w:sz w:val="20"/>
                <w:szCs w:val="20"/>
                <w:color w:val="auto"/>
              </w:rPr>
            </w:pPr>
          </w:p>
        </w:tc>
      </w:tr>
      <w:tr>
        <w:trPr>
          <w:trHeight w:val="377"/>
        </w:trPr>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$ 43,559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$ 46,774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$45,352</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$37,730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w w:val="91"/>
              </w:rPr>
              <w:t>$ 19,916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6"/>
          </w:tcPr>
          <w:p>
            <w:pPr>
              <w:ind w:left="160"/>
              <w:spacing w:after="0"/>
              <w:rPr>
                <w:sz w:val="20"/>
                <w:szCs w:val="20"/>
                <w:color w:val="auto"/>
              </w:rPr>
            </w:pPr>
            <w:r>
              <w:rPr>
                <w:rFonts w:ascii="Arial" w:cs="Arial" w:eastAsia="Arial" w:hAnsi="Arial"/>
                <w:sz w:val="18"/>
                <w:szCs w:val="18"/>
                <w:color w:val="auto"/>
                <w:w w:val="96"/>
              </w:rPr>
              <w:t>$ 20,926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89"/>
              </w:rPr>
              <w:t>$20,332</w:t>
            </w:r>
          </w:p>
        </w:tc>
        <w:tc>
          <w:tcPr>
            <w:tcW w:w="480" w:type="dxa"/>
            <w:vAlign w:val="bottom"/>
          </w:tcPr>
          <w:p>
            <w:pPr>
              <w:spacing w:after="0"/>
              <w:rPr>
                <w:sz w:val="18"/>
                <w:szCs w:val="18"/>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89"/>
              </w:rPr>
              <w:t>$16,943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1"/>
              </w:rPr>
              <w:t>$ 23,643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6"/>
              </w:rPr>
              <w:t>$ 25,849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$25,020</w:t>
            </w:r>
          </w:p>
        </w:tc>
        <w:tc>
          <w:tcPr>
            <w:tcW w:w="4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$20,787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90"/>
              </w:rPr>
              <w:t>$(27,985)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7"/>
          </w:tcPr>
          <w:p>
            <w:pPr>
              <w:ind w:left="160"/>
              <w:spacing w:after="0"/>
              <w:rPr>
                <w:sz w:val="20"/>
                <w:szCs w:val="20"/>
                <w:color w:val="auto"/>
              </w:rPr>
            </w:pPr>
            <w:r>
              <w:rPr>
                <w:rFonts w:ascii="Arial" w:cs="Arial" w:eastAsia="Arial" w:hAnsi="Arial"/>
                <w:sz w:val="18"/>
                <w:szCs w:val="18"/>
                <w:color w:val="auto"/>
                <w:w w:val="95"/>
              </w:rPr>
              <w:t>$(16,512)</w:t>
            </w:r>
          </w:p>
        </w:tc>
        <w:tc>
          <w:tcPr>
            <w:tcW w:w="40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$ 9,085</w:t>
            </w:r>
          </w:p>
        </w:tc>
        <w:tc>
          <w:tcPr>
            <w:tcW w:w="480" w:type="dxa"/>
            <w:vAlign w:val="bottom"/>
          </w:tcPr>
          <w:p>
            <w:pPr>
              <w:spacing w:after="0"/>
              <w:rPr>
                <w:sz w:val="18"/>
                <w:szCs w:val="18"/>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$ 3,681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9,337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$34,105</w:t>
            </w:r>
          </w:p>
        </w:tc>
        <w:tc>
          <w:tcPr>
            <w:tcW w:w="4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$24,468</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15.62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$ 15.84</w:t>
            </w:r>
          </w:p>
        </w:tc>
        <w:tc>
          <w:tcPr>
            <w:tcW w:w="480" w:type="dxa"/>
            <w:vAlign w:val="bottom"/>
          </w:tcPr>
          <w:p>
            <w:pPr>
              <w:spacing w:after="0"/>
              <w:rPr>
                <w:sz w:val="20"/>
                <w:szCs w:val="20"/>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$ 15.60</w:t>
            </w:r>
          </w:p>
        </w:tc>
      </w:tr>
      <w:tr>
        <w:trPr>
          <w:trHeight w:val="377"/>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$45,657</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$33,481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880" w:type="dxa"/>
            <w:vAlign w:val="bottom"/>
            <w:gridSpan w:val="6"/>
          </w:tcPr>
          <w:p>
            <w:pPr>
              <w:ind w:left="100"/>
              <w:spacing w:after="0"/>
              <w:rPr>
                <w:sz w:val="20"/>
                <w:szCs w:val="20"/>
                <w:color w:val="auto"/>
              </w:rPr>
            </w:pPr>
            <w:r>
              <w:rPr>
                <w:rFonts w:ascii="Arial" w:cs="Arial" w:eastAsia="Arial" w:hAnsi="Arial"/>
                <w:sz w:val="18"/>
                <w:szCs w:val="18"/>
                <w:color w:val="auto"/>
              </w:rPr>
              <w:t>$ 15,094</w:t>
            </w:r>
          </w:p>
        </w:tc>
        <w:tc>
          <w:tcPr>
            <w:tcW w:w="140" w:type="dxa"/>
            <w:vAlign w:val="bottom"/>
          </w:tcPr>
          <w:p>
            <w:pPr>
              <w:spacing w:after="0"/>
              <w:rPr>
                <w:sz w:val="18"/>
                <w:szCs w:val="18"/>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8"/>
                <w:szCs w:val="18"/>
                <w:color w:val="auto"/>
              </w:rPr>
              <w:t>$15,288</w:t>
            </w:r>
          </w:p>
        </w:tc>
        <w:tc>
          <w:tcPr>
            <w:tcW w:w="400" w:type="dxa"/>
            <w:vAlign w:val="bottom"/>
          </w:tcPr>
          <w:p>
            <w:pPr>
              <w:spacing w:after="0"/>
              <w:rPr>
                <w:sz w:val="18"/>
                <w:szCs w:val="18"/>
                <w:color w:val="auto"/>
              </w:rPr>
            </w:pPr>
          </w:p>
        </w:tc>
        <w:tc>
          <w:tcPr>
            <w:tcW w:w="11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$16,224</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89"/>
              </w:rPr>
              <w:t>$12,239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$ 30,684</w:t>
            </w:r>
          </w:p>
        </w:tc>
        <w:tc>
          <w:tcPr>
            <w:tcW w:w="14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$23,116</w:t>
            </w:r>
          </w:p>
        </w:tc>
        <w:tc>
          <w:tcPr>
            <w:tcW w:w="4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$29,433</w:t>
            </w: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$21,242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80" w:type="dxa"/>
            <w:vAlign w:val="bottom"/>
            <w:gridSpan w:val="6"/>
          </w:tcPr>
          <w:p>
            <w:pPr>
              <w:ind w:left="100"/>
              <w:spacing w:after="0"/>
              <w:rPr>
                <w:sz w:val="20"/>
                <w:szCs w:val="20"/>
                <w:color w:val="auto"/>
              </w:rPr>
            </w:pPr>
            <w:r>
              <w:rPr>
                <w:rFonts w:ascii="Arial" w:cs="Arial" w:eastAsia="Arial" w:hAnsi="Arial"/>
                <w:sz w:val="18"/>
                <w:szCs w:val="18"/>
                <w:color w:val="auto"/>
                <w:w w:val="98"/>
              </w:rPr>
              <w:t>$(16,879)</w:t>
            </w:r>
          </w:p>
        </w:tc>
        <w:tc>
          <w:tcPr>
            <w:tcW w:w="140" w:type="dxa"/>
            <w:vAlign w:val="bottom"/>
          </w:tcPr>
          <w:p>
            <w:pPr>
              <w:spacing w:after="0"/>
              <w:rPr>
                <w:sz w:val="18"/>
                <w:szCs w:val="18"/>
                <w:color w:val="auto"/>
              </w:rPr>
            </w:pPr>
          </w:p>
        </w:tc>
        <w:tc>
          <w:tcPr>
            <w:tcW w:w="1320" w:type="dxa"/>
            <w:vAlign w:val="bottom"/>
            <w:gridSpan w:val="8"/>
          </w:tcPr>
          <w:p>
            <w:pPr>
              <w:jc w:val="right"/>
              <w:ind w:right="400"/>
              <w:spacing w:after="0"/>
              <w:rPr>
                <w:sz w:val="20"/>
                <w:szCs w:val="20"/>
                <w:color w:val="auto"/>
              </w:rPr>
            </w:pPr>
            <w:r>
              <w:rPr>
                <w:rFonts w:ascii="Arial" w:cs="Arial" w:eastAsia="Arial" w:hAnsi="Arial"/>
                <w:sz w:val="18"/>
                <w:szCs w:val="18"/>
                <w:color w:val="auto"/>
              </w:rPr>
              <w:t>$ (4,513)</w:t>
            </w:r>
          </w:p>
        </w:tc>
        <w:tc>
          <w:tcPr>
            <w:tcW w:w="1140" w:type="dxa"/>
            <w:vAlign w:val="bottom"/>
            <w:gridSpan w:val="5"/>
          </w:tcPr>
          <w:p>
            <w:pPr>
              <w:jc w:val="right"/>
              <w:ind w:right="420"/>
              <w:spacing w:after="0"/>
              <w:rPr>
                <w:sz w:val="20"/>
                <w:szCs w:val="20"/>
                <w:color w:val="auto"/>
              </w:rPr>
            </w:pPr>
            <w:r>
              <w:rPr>
                <w:rFonts w:ascii="Arial" w:cs="Arial" w:eastAsia="Arial" w:hAnsi="Arial"/>
                <w:sz w:val="18"/>
                <w:szCs w:val="18"/>
                <w:color w:val="auto"/>
                <w:w w:val="97"/>
              </w:rPr>
              <w:t>$ (2,139)</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$ 4,106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$ 13,805</w:t>
            </w:r>
          </w:p>
        </w:tc>
        <w:tc>
          <w:tcPr>
            <w:tcW w:w="14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$18,603</w:t>
            </w:r>
          </w:p>
        </w:tc>
        <w:tc>
          <w:tcPr>
            <w:tcW w:w="4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89"/>
              </w:rPr>
              <w:t>$27,294</w:t>
            </w: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$25,348</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ind w:left="160"/>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15.66</w:t>
            </w:r>
          </w:p>
        </w:tc>
        <w:tc>
          <w:tcPr>
            <w:tcW w:w="400" w:type="dxa"/>
            <w:vAlign w:val="bottom"/>
          </w:tcPr>
          <w:p>
            <w:pPr>
              <w:spacing w:after="0"/>
              <w:rPr>
                <w:sz w:val="20"/>
                <w:szCs w:val="20"/>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6"/>
              </w:rPr>
              <w:t>$ 15.70</w:t>
            </w:r>
          </w:p>
        </w:tc>
        <w:tc>
          <w:tcPr>
            <w:tcW w:w="480" w:type="dxa"/>
            <w:vAlign w:val="bottom"/>
          </w:tcPr>
          <w:p>
            <w:pPr>
              <w:spacing w:after="0"/>
              <w:rPr>
                <w:sz w:val="20"/>
                <w:szCs w:val="20"/>
                <w:color w:val="auto"/>
              </w:rPr>
            </w:pP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6"/>
              </w:rPr>
              <w:t>$ 15.51</w:t>
            </w: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Net expenses include income taxes, including excise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1, 2017, the Company issued in a private offering $100 million aggregate principal amount of 4.50% Convertible Senior Notes due 2022 (the “2022 Convertible Senior Notes”). On February 3, 2017,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Company issued an additional $15 million aggregate principal amount of the 2022 Convertible Senior Notes pursuant to the exercise in full of the over-allotment option to purchase additional notes granted to the initial purchasers. The 2022 Convertible Senior Notes are unsecured, and bear interest at a rate of 4.50% per year, payable semiannually. The 2022 Convertible Senior Notes will mature on August 1, 2022. In certain circumstances, the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$110.6 million. The Company used the net proceeds of the 2022 Convertible Senior Notes issuances to pay down debt under its Revolving Credit Facility.</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1, 2017, in connection with the issuance of the 2022 Convertible Senior Notes, the Company entered into an interest rate swap transaction with a notional amount of $115 million. The Company pays three-month LIBOR plus 237.2 basis points and receives fixed rate interest at 4.50%. The swap transaction matures on August 1, 2022.</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$1,483,055 and $1,567,673,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1,518,165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$104,018 and $100,014,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62,113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$1,587,073 and $1,667,687,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1,580,278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(includes restricted cash of $2,601 and $1,088,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1,606,880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1,675,532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 of $14,096 and $11,019,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603,999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23,337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647,239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723,320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59,928,121 and 59,805,285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59,839,041 and 59,716,205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900,596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48,619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11,912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959,641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1,606,880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1,675,532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47,770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2,125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49,896</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from investments</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50,948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42,751</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6,865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6,071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21,679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19,222</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Management and incentive fees waived (Note 3)</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21,679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29,269</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28,519</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11,240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120" w:type="dxa"/>
            <w:vAlign w:val="bottom"/>
          </w:tcPr>
          <w:p>
            <w:pPr>
              <w:spacing w:after="0"/>
              <w:rPr>
                <w:sz w:val="18"/>
                <w:szCs w:val="18"/>
                <w:color w:val="auto"/>
              </w:rPr>
            </w:pPr>
          </w:p>
        </w:tc>
        <w:tc>
          <w:tcPr>
            <w:tcW w:w="2300" w:type="dxa"/>
            <w:vAlign w:val="bottom"/>
            <w:gridSpan w:val="2"/>
          </w:tcPr>
          <w:p>
            <w:pPr>
              <w:jc w:val="right"/>
              <w:ind w:right="1060"/>
              <w:spacing w:after="0"/>
              <w:rPr>
                <w:sz w:val="20"/>
                <w:szCs w:val="20"/>
                <w:color w:val="auto"/>
              </w:rPr>
            </w:pPr>
            <w:r>
              <w:rPr>
                <w:rFonts w:ascii="Arial" w:cs="Arial" w:eastAsia="Arial" w:hAnsi="Arial"/>
                <w:sz w:val="18"/>
                <w:szCs w:val="18"/>
                <w:color w:val="auto"/>
              </w:rPr>
              <w:t>(7,750)</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(5,793)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change in unrealized losses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Realized gains: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12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realized gains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420"/>
              <w:spacing w:after="0"/>
              <w:rPr>
                <w:sz w:val="20"/>
                <w:szCs w:val="20"/>
                <w:color w:val="auto"/>
              </w:rPr>
            </w:pPr>
            <w:r>
              <w:rPr>
                <w:rFonts w:ascii="Arial" w:cs="Arial" w:eastAsia="Arial" w:hAnsi="Arial"/>
                <w:sz w:val="18"/>
                <w:szCs w:val="18"/>
                <w:b w:val="1"/>
                <w:bCs w:val="1"/>
                <w:color w:val="auto"/>
              </w:rPr>
              <w:t>Total Unrealized and Realized Gains (Losses)</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28,278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59,796,731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Schedule of Investments as of March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Initial</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780" w:type="dxa"/>
            <w:vAlign w:val="bottom"/>
          </w:tcPr>
          <w:p>
            <w:pPr>
              <w:spacing w:after="0"/>
              <w:rPr>
                <w:sz w:val="11"/>
                <w:szCs w:val="11"/>
                <w:color w:val="auto"/>
              </w:rPr>
            </w:pPr>
          </w:p>
        </w:tc>
        <w:tc>
          <w:tcPr>
            <w:tcW w:w="2480" w:type="dxa"/>
            <w:vAlign w:val="bottom"/>
            <w:vMerge w:val="restart"/>
          </w:tcPr>
          <w:p>
            <w:pPr>
              <w:ind w:left="92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600" w:type="dxa"/>
            <w:vAlign w:val="bottom"/>
          </w:tcPr>
          <w:p>
            <w:pPr>
              <w:jc w:val="right"/>
              <w:ind w:right="103"/>
              <w:spacing w:after="0" w:line="135"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4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Interest</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40" w:type="dxa"/>
            <w:vAlign w:val="bottom"/>
          </w:tcPr>
          <w:p>
            <w:pPr>
              <w:spacing w:after="0"/>
              <w:rPr>
                <w:sz w:val="13"/>
                <w:szCs w:val="13"/>
                <w:color w:val="auto"/>
              </w:rPr>
            </w:pPr>
          </w:p>
        </w:tc>
        <w:tc>
          <w:tcPr>
            <w:tcW w:w="600" w:type="dxa"/>
            <w:vAlign w:val="bottom"/>
          </w:tcPr>
          <w:p>
            <w:pPr>
              <w:jc w:val="right"/>
              <w:ind w:right="8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8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780" w:type="dxa"/>
            <w:vAlign w:val="bottom"/>
            <w:shd w:val="clear" w:color="auto" w:fill="CCEEFF"/>
          </w:tcPr>
          <w:p>
            <w:pPr>
              <w:spacing w:after="0"/>
              <w:rPr>
                <w:sz w:val="15"/>
                <w:szCs w:val="15"/>
                <w:color w:val="auto"/>
              </w:rPr>
            </w:pPr>
          </w:p>
        </w:tc>
        <w:tc>
          <w:tcPr>
            <w:tcW w:w="24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($28,635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6/2017)</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9.75%</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8/28/2012</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$ 28,587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$ 28,635</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($1,583 par, due 6/2017)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30,218</w:t>
            </w: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780" w:type="dxa"/>
            <w:vAlign w:val="bottom"/>
            <w:shd w:val="clear" w:color="auto" w:fill="CCEEFF"/>
          </w:tcPr>
          <w:p>
            <w:pPr>
              <w:spacing w:after="0"/>
              <w:rPr>
                <w:sz w:val="17"/>
                <w:szCs w:val="17"/>
                <w:color w:val="auto"/>
              </w:rPr>
            </w:pPr>
          </w:p>
        </w:tc>
        <w:tc>
          <w:tcPr>
            <w:tcW w:w="24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($61,105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3/2020)</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8.90%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3/3/2014</w:t>
            </w:r>
          </w:p>
        </w:tc>
        <w:tc>
          <w:tcPr>
            <w:tcW w:w="620" w:type="dxa"/>
            <w:vAlign w:val="bottom"/>
          </w:tcPr>
          <w:p>
            <w:pPr>
              <w:jc w:val="right"/>
              <w:spacing w:after="0"/>
              <w:rPr>
                <w:sz w:val="20"/>
                <w:szCs w:val="20"/>
                <w:color w:val="auto"/>
              </w:rPr>
            </w:pPr>
            <w:r>
              <w:rPr>
                <w:rFonts w:ascii="Arial" w:cs="Arial" w:eastAsia="Arial" w:hAnsi="Arial"/>
                <w:sz w:val="16"/>
                <w:szCs w:val="16"/>
                <w:color w:val="auto"/>
              </w:rPr>
              <w:t>60,322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55,300</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24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($53,977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4/2018)</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7.69%</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4/11/2013</w:t>
            </w:r>
          </w:p>
        </w:tc>
        <w:tc>
          <w:tcPr>
            <w:tcW w:w="620" w:type="dxa"/>
            <w:vAlign w:val="bottom"/>
          </w:tcPr>
          <w:p>
            <w:pPr>
              <w:jc w:val="right"/>
              <w:spacing w:after="0"/>
              <w:rPr>
                <w:sz w:val="20"/>
                <w:szCs w:val="20"/>
                <w:color w:val="auto"/>
              </w:rPr>
            </w:pPr>
            <w:r>
              <w:rPr>
                <w:rFonts w:ascii="Arial" w:cs="Arial" w:eastAsia="Arial" w:hAnsi="Arial"/>
                <w:sz w:val="16"/>
                <w:szCs w:val="16"/>
                <w:color w:val="auto"/>
              </w:rPr>
              <w:t>53,483</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54,651</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($45,000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11/2020)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8.54%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11/12/2015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45,675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Idera, Inc.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($61,719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4/2021)</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6.50%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10/9/2015</w:t>
            </w:r>
          </w:p>
        </w:tc>
        <w:tc>
          <w:tcPr>
            <w:tcW w:w="620" w:type="dxa"/>
            <w:vAlign w:val="bottom"/>
          </w:tcPr>
          <w:p>
            <w:pPr>
              <w:jc w:val="right"/>
              <w:spacing w:after="0"/>
              <w:rPr>
                <w:sz w:val="20"/>
                <w:szCs w:val="20"/>
                <w:color w:val="auto"/>
              </w:rPr>
            </w:pPr>
            <w:r>
              <w:rPr>
                <w:rFonts w:ascii="Arial" w:cs="Arial" w:eastAsia="Arial" w:hAnsi="Arial"/>
                <w:sz w:val="16"/>
                <w:szCs w:val="16"/>
                <w:color w:val="auto"/>
              </w:rPr>
              <w:t>56,920</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61,719</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3"/>
                <w:szCs w:val="23"/>
                <w:color w:val="auto"/>
                <w:vertAlign w:val="superscript"/>
              </w:rPr>
              <w:t>(3)(4)</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($26,721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6/2019)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6/30/2014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26,865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Marketo, Inc.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($28,125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8/2021)</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10.65%</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8/16/2016</w:t>
            </w:r>
          </w:p>
        </w:tc>
        <w:tc>
          <w:tcPr>
            <w:tcW w:w="620" w:type="dxa"/>
            <w:vAlign w:val="bottom"/>
          </w:tcPr>
          <w:p>
            <w:pPr>
              <w:jc w:val="right"/>
              <w:spacing w:after="0"/>
              <w:rPr>
                <w:sz w:val="20"/>
                <w:szCs w:val="20"/>
                <w:color w:val="auto"/>
              </w:rPr>
            </w:pPr>
            <w:r>
              <w:rPr>
                <w:rFonts w:ascii="Arial" w:cs="Arial" w:eastAsia="Arial" w:hAnsi="Arial"/>
                <w:sz w:val="16"/>
                <w:szCs w:val="16"/>
                <w:color w:val="auto"/>
              </w:rPr>
              <w:t>27,314</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28,125</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Motus, LLC</w:t>
            </w:r>
            <w:r>
              <w:rPr>
                <w:rFonts w:ascii="Arial" w:cs="Arial" w:eastAsia="Arial" w:hAnsi="Arial"/>
                <w:sz w:val="23"/>
                <w:szCs w:val="23"/>
                <w:color w:val="auto"/>
                <w:vertAlign w:val="superscript"/>
              </w:rPr>
              <w:t>(3)</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($20,311 par, due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11.04%</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7/2021)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(incl. 3.00%</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8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PIK)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7/29/2016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19,865</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20,464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Qlik Technologies, Inc.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($40,298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8/2022)</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9.25%</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8/22/2016</w:t>
            </w:r>
          </w:p>
        </w:tc>
        <w:tc>
          <w:tcPr>
            <w:tcW w:w="620" w:type="dxa"/>
            <w:vAlign w:val="bottom"/>
          </w:tcPr>
          <w:p>
            <w:pPr>
              <w:jc w:val="right"/>
              <w:spacing w:after="0"/>
              <w:rPr>
                <w:sz w:val="20"/>
                <w:szCs w:val="20"/>
                <w:color w:val="auto"/>
              </w:rPr>
            </w:pPr>
            <w:r>
              <w:rPr>
                <w:rFonts w:ascii="Arial" w:cs="Arial" w:eastAsia="Arial" w:hAnsi="Arial"/>
                <w:sz w:val="16"/>
                <w:szCs w:val="16"/>
                <w:color w:val="auto"/>
              </w:rPr>
              <w:t>39,615</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42,312</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SailPoint Technologies, Inc.</w:t>
            </w:r>
            <w:r>
              <w:rPr>
                <w:rFonts w:ascii="Arial" w:cs="Arial" w:eastAsia="Arial" w:hAnsi="Arial"/>
                <w:sz w:val="23"/>
                <w:szCs w:val="23"/>
                <w:color w:val="auto"/>
                <w:vertAlign w:val="superscript"/>
              </w:rPr>
              <w:t>(3)</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($26,304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8/2021)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8/16/2016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26,235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($19,986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12/2019)</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8.00%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12/30/2014</w:t>
            </w:r>
          </w:p>
        </w:tc>
        <w:tc>
          <w:tcPr>
            <w:tcW w:w="620" w:type="dxa"/>
            <w:vAlign w:val="bottom"/>
          </w:tcPr>
          <w:p>
            <w:pPr>
              <w:jc w:val="right"/>
              <w:spacing w:after="0"/>
              <w:rPr>
                <w:sz w:val="20"/>
                <w:szCs w:val="20"/>
                <w:color w:val="auto"/>
              </w:rPr>
            </w:pPr>
            <w:r>
              <w:rPr>
                <w:rFonts w:ascii="Arial" w:cs="Arial" w:eastAsia="Arial" w:hAnsi="Arial"/>
                <w:sz w:val="16"/>
                <w:szCs w:val="16"/>
                <w:color w:val="auto"/>
              </w:rPr>
              <w:t>19,737</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20,318</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Sovos Compliance, LLC</w:t>
            </w:r>
            <w:r>
              <w:rPr>
                <w:rFonts w:ascii="Arial" w:cs="Arial" w:eastAsia="Arial" w:hAnsi="Arial"/>
                <w:sz w:val="23"/>
                <w:szCs w:val="23"/>
                <w:color w:val="auto"/>
                <w:vertAlign w:val="superscript"/>
              </w:rPr>
              <w:t>(3)</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($29,103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3/2022)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341,889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355,841</w:t>
            </w: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Chemicals</w:t>
            </w:r>
          </w:p>
        </w:tc>
        <w:tc>
          <w:tcPr>
            <w:tcW w:w="780" w:type="dxa"/>
            <w:vAlign w:val="bottom"/>
            <w:shd w:val="clear" w:color="auto" w:fill="CCEEFF"/>
          </w:tcPr>
          <w:p>
            <w:pPr>
              <w:spacing w:after="0"/>
              <w:rPr>
                <w:sz w:val="17"/>
                <w:szCs w:val="17"/>
                <w:color w:val="auto"/>
              </w:rPr>
            </w:pPr>
          </w:p>
        </w:tc>
        <w:tc>
          <w:tcPr>
            <w:tcW w:w="24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($4,967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4/2018)</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10/31/2016</w:t>
            </w:r>
          </w:p>
        </w:tc>
        <w:tc>
          <w:tcPr>
            <w:tcW w:w="620" w:type="dxa"/>
            <w:vAlign w:val="bottom"/>
          </w:tcPr>
          <w:p>
            <w:pPr>
              <w:jc w:val="right"/>
              <w:spacing w:after="0"/>
              <w:rPr>
                <w:sz w:val="20"/>
                <w:szCs w:val="20"/>
                <w:color w:val="auto"/>
              </w:rPr>
            </w:pPr>
            <w:r>
              <w:rPr>
                <w:rFonts w:ascii="Arial" w:cs="Arial" w:eastAsia="Arial" w:hAnsi="Arial"/>
                <w:sz w:val="16"/>
                <w:szCs w:val="16"/>
                <w:color w:val="auto"/>
              </w:rPr>
              <w:t>4,942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4,954</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Second-lien loan</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($3,341 par, due 10/2021)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10/31/2016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8,312</w:t>
            </w: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Education</w:t>
            </w:r>
          </w:p>
        </w:tc>
        <w:tc>
          <w:tcPr>
            <w:tcW w:w="780" w:type="dxa"/>
            <w:vAlign w:val="bottom"/>
            <w:shd w:val="clear" w:color="auto" w:fill="CCEEFF"/>
          </w:tcPr>
          <w:p>
            <w:pPr>
              <w:spacing w:after="0"/>
              <w:rPr>
                <w:sz w:val="17"/>
                <w:szCs w:val="17"/>
                <w:color w:val="auto"/>
              </w:rPr>
            </w:pPr>
          </w:p>
        </w:tc>
        <w:tc>
          <w:tcPr>
            <w:tcW w:w="24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Finalsite Holdings, Inc.</w:t>
            </w:r>
            <w:r>
              <w:rPr>
                <w:rFonts w:ascii="Arial" w:cs="Arial" w:eastAsia="Arial" w:hAnsi="Arial"/>
                <w:sz w:val="22"/>
                <w:szCs w:val="22"/>
                <w:color w:val="auto"/>
                <w:vertAlign w:val="superscript"/>
              </w:rPr>
              <w:t>(3)(5)</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($45,000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8/2022)</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8.15%</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8/31/2016</w:t>
            </w:r>
          </w:p>
        </w:tc>
        <w:tc>
          <w:tcPr>
            <w:tcW w:w="620" w:type="dxa"/>
            <w:vAlign w:val="bottom"/>
          </w:tcPr>
          <w:p>
            <w:pPr>
              <w:jc w:val="right"/>
              <w:spacing w:after="0"/>
              <w:rPr>
                <w:sz w:val="20"/>
                <w:szCs w:val="20"/>
                <w:color w:val="auto"/>
              </w:rPr>
            </w:pPr>
            <w:r>
              <w:rPr>
                <w:rFonts w:ascii="Arial" w:cs="Arial" w:eastAsia="Arial" w:hAnsi="Arial"/>
                <w:sz w:val="16"/>
                <w:szCs w:val="16"/>
                <w:color w:val="auto"/>
              </w:rPr>
              <w:t>43,879</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44,662</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9"/>
        </w:trPr>
        <w:tc>
          <w:tcPr>
            <w:tcW w:w="34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Frontline Technologies Group LLC</w:t>
            </w:r>
            <w:r>
              <w:rPr>
                <w:rFonts w:ascii="Arial" w:cs="Arial" w:eastAsia="Arial" w:hAnsi="Arial"/>
                <w:sz w:val="23"/>
                <w:szCs w:val="23"/>
                <w:color w:val="auto"/>
                <w:vertAlign w:val="superscript"/>
              </w:rPr>
              <w:t>(3)(5)</w:t>
            </w: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First-lien loan ($54,450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4/2021)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7.90%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99,657</w:t>
            </w: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Electronics</w:t>
            </w:r>
          </w:p>
        </w:tc>
        <w:tc>
          <w:tcPr>
            <w:tcW w:w="780" w:type="dxa"/>
            <w:vAlign w:val="bottom"/>
            <w:shd w:val="clear" w:color="auto" w:fill="CCEEFF"/>
          </w:tcPr>
          <w:p>
            <w:pPr>
              <w:spacing w:after="0"/>
              <w:rPr>
                <w:sz w:val="17"/>
                <w:szCs w:val="17"/>
                <w:color w:val="auto"/>
              </w:rPr>
            </w:pPr>
          </w:p>
        </w:tc>
        <w:tc>
          <w:tcPr>
            <w:tcW w:w="24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First-lien loan ($63,761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Arial" w:cs="Arial" w:eastAsia="Arial" w:hAnsi="Arial"/>
                <w:sz w:val="16"/>
                <w:szCs w:val="16"/>
                <w:color w:val="auto"/>
              </w:rPr>
              <w:t>1/2019)</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9.00%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1/9/2014</w:t>
            </w:r>
          </w:p>
        </w:tc>
        <w:tc>
          <w:tcPr>
            <w:tcW w:w="620" w:type="dxa"/>
            <w:vAlign w:val="bottom"/>
          </w:tcPr>
          <w:p>
            <w:pPr>
              <w:jc w:val="right"/>
              <w:spacing w:after="0"/>
              <w:rPr>
                <w:sz w:val="20"/>
                <w:szCs w:val="20"/>
                <w:color w:val="auto"/>
              </w:rPr>
            </w:pPr>
            <w:r>
              <w:rPr>
                <w:rFonts w:ascii="Arial" w:cs="Arial" w:eastAsia="Arial" w:hAnsi="Arial"/>
                <w:sz w:val="16"/>
                <w:szCs w:val="16"/>
                <w:color w:val="auto"/>
              </w:rPr>
              <w:t>62,256</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63,761</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Initial</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76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Amortized</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040" w:type="dxa"/>
            <w:vAlign w:val="bottom"/>
            <w:gridSpan w:val="2"/>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Date</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27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Financial services</w:t>
            </w:r>
          </w:p>
        </w:tc>
        <w:tc>
          <w:tcPr>
            <w:tcW w:w="276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3"/>
                <w:szCs w:val="23"/>
                <w:color w:val="auto"/>
                <w:vertAlign w:val="superscript"/>
              </w:rPr>
              <w:t>(3)</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($21,900 par, due 8/2020)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8/18/2015</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21,511</w:t>
            </w:r>
          </w:p>
        </w:tc>
        <w:tc>
          <w:tcPr>
            <w:tcW w:w="920" w:type="dxa"/>
            <w:vAlign w:val="bottom"/>
          </w:tcPr>
          <w:p>
            <w:pPr>
              <w:jc w:val="right"/>
              <w:spacing w:after="0"/>
              <w:rPr>
                <w:sz w:val="20"/>
                <w:szCs w:val="20"/>
                <w:color w:val="auto"/>
              </w:rPr>
            </w:pPr>
            <w:r>
              <w:rPr>
                <w:rFonts w:ascii="Arial" w:cs="Arial" w:eastAsia="Arial" w:hAnsi="Arial"/>
                <w:sz w:val="16"/>
                <w:szCs w:val="16"/>
                <w:color w:val="auto"/>
              </w:rPr>
              <w:t>22,378</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AvidXchange, Inc.</w:t>
            </w:r>
            <w:r>
              <w:rPr>
                <w:rFonts w:ascii="Arial" w:cs="Arial" w:eastAsia="Arial" w:hAnsi="Arial"/>
                <w:sz w:val="22"/>
                <w:szCs w:val="22"/>
                <w:color w:val="auto"/>
                <w:vertAlign w:val="superscript"/>
              </w:rPr>
              <w:t>(3)</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loan ($53,953 par, due 8/2020)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10.50%</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(incl. 2.38%</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54,087</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3"/>
                <w:szCs w:val="23"/>
                <w:color w:val="auto"/>
                <w:vertAlign w:val="superscript"/>
              </w:rPr>
              <w:t>(3)</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($21,704 par, due 9/2018)</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7.75%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9/12/2013</w:t>
            </w:r>
          </w:p>
        </w:tc>
        <w:tc>
          <w:tcPr>
            <w:tcW w:w="580" w:type="dxa"/>
            <w:vAlign w:val="bottom"/>
          </w:tcPr>
          <w:p>
            <w:pPr>
              <w:jc w:val="right"/>
              <w:spacing w:after="0"/>
              <w:rPr>
                <w:sz w:val="20"/>
                <w:szCs w:val="20"/>
                <w:color w:val="auto"/>
              </w:rPr>
            </w:pPr>
            <w:r>
              <w:rPr>
                <w:rFonts w:ascii="Arial" w:cs="Arial" w:eastAsia="Arial" w:hAnsi="Arial"/>
                <w:sz w:val="16"/>
                <w:szCs w:val="16"/>
                <w:color w:val="auto"/>
              </w:rPr>
              <w:t>21,561</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21,985</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loan ($34,718 par, due 3/2020)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line="192" w:lineRule="exact"/>
              <w:rPr>
                <w:sz w:val="20"/>
                <w:szCs w:val="20"/>
                <w:color w:val="auto"/>
              </w:rPr>
            </w:pPr>
            <w:r>
              <w:rPr>
                <w:rFonts w:ascii="Arial" w:cs="Arial" w:eastAsia="Arial" w:hAnsi="Arial"/>
                <w:sz w:val="14"/>
                <w:szCs w:val="14"/>
                <w:color w:val="auto"/>
              </w:rPr>
              <w:t>PaySimple, Inc.</w:t>
            </w:r>
            <w:r>
              <w:rPr>
                <w:rFonts w:ascii="Arial" w:cs="Arial" w:eastAsia="Arial" w:hAnsi="Arial"/>
                <w:sz w:val="22"/>
                <w:szCs w:val="22"/>
                <w:color w:val="auto"/>
                <w:vertAlign w:val="superscript"/>
              </w:rPr>
              <w:t>(3)</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($30,029 par, due 3/2022)</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9.38%</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(incl. 1.75%</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3/7/2017</w:t>
            </w:r>
          </w:p>
        </w:tc>
        <w:tc>
          <w:tcPr>
            <w:tcW w:w="580" w:type="dxa"/>
            <w:vAlign w:val="bottom"/>
          </w:tcPr>
          <w:p>
            <w:pPr>
              <w:jc w:val="right"/>
              <w:spacing w:after="0"/>
              <w:rPr>
                <w:sz w:val="20"/>
                <w:szCs w:val="20"/>
                <w:color w:val="auto"/>
              </w:rPr>
            </w:pPr>
            <w:r>
              <w:rPr>
                <w:rFonts w:ascii="Arial" w:cs="Arial" w:eastAsia="Arial" w:hAnsi="Arial"/>
                <w:sz w:val="16"/>
                <w:szCs w:val="16"/>
                <w:color w:val="auto"/>
              </w:rPr>
              <w:t>29,436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29,416</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Smarsh, Inc.</w:t>
            </w:r>
            <w:r>
              <w:rPr>
                <w:rFonts w:ascii="Arial" w:cs="Arial" w:eastAsia="Arial" w:hAnsi="Arial"/>
                <w:sz w:val="24"/>
                <w:szCs w:val="24"/>
                <w:color w:val="auto"/>
                <w:vertAlign w:val="superscript"/>
              </w:rPr>
              <w:t>(3)(5)</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loan ($30,000 par, due 1/2021)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1/7/2016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189,359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193,557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w:t>
            </w: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line="192" w:lineRule="exact"/>
              <w:rPr>
                <w:sz w:val="20"/>
                <w:szCs w:val="20"/>
                <w:color w:val="auto"/>
              </w:rPr>
            </w:pPr>
            <w:r>
              <w:rPr>
                <w:rFonts w:ascii="Arial" w:cs="Arial" w:eastAsia="Arial" w:hAnsi="Arial"/>
                <w:sz w:val="14"/>
                <w:szCs w:val="14"/>
                <w:color w:val="auto"/>
              </w:rPr>
              <w:t>Helix Health, Ltd.</w:t>
            </w:r>
            <w:r>
              <w:rPr>
                <w:rFonts w:ascii="Arial" w:cs="Arial" w:eastAsia="Arial" w:hAnsi="Arial"/>
                <w:sz w:val="22"/>
                <w:szCs w:val="22"/>
                <w:color w:val="auto"/>
                <w:vertAlign w:val="superscript"/>
              </w:rPr>
              <w:t>(3)(4)</w:t>
            </w:r>
          </w:p>
        </w:tc>
        <w:tc>
          <w:tcPr>
            <w:tcW w:w="2760" w:type="dxa"/>
            <w:vAlign w:val="bottom"/>
          </w:tcPr>
          <w:p>
            <w:pPr>
              <w:spacing w:after="0"/>
              <w:rPr>
                <w:sz w:val="20"/>
                <w:szCs w:val="20"/>
                <w:color w:val="auto"/>
              </w:rPr>
            </w:pPr>
            <w:r>
              <w:rPr>
                <w:rFonts w:ascii="Arial" w:cs="Arial" w:eastAsia="Arial" w:hAnsi="Arial"/>
                <w:sz w:val="16"/>
                <w:szCs w:val="16"/>
                <w:color w:val="auto"/>
              </w:rPr>
              <w:t>First-lien loan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45,184</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(EUR 40,043 par, due 9/2019)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11.50%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9/30/2014</w:t>
            </w:r>
          </w:p>
        </w:tc>
        <w:tc>
          <w:tcPr>
            <w:tcW w:w="580" w:type="dxa"/>
            <w:vAlign w:val="bottom"/>
          </w:tcPr>
          <w:p>
            <w:pPr>
              <w:jc w:val="right"/>
              <w:spacing w:after="0"/>
              <w:rPr>
                <w:sz w:val="20"/>
                <w:szCs w:val="20"/>
                <w:color w:val="auto"/>
              </w:rPr>
            </w:pPr>
            <w:r>
              <w:rPr>
                <w:rFonts w:ascii="Arial" w:cs="Arial" w:eastAsia="Arial" w:hAnsi="Arial"/>
                <w:sz w:val="16"/>
                <w:szCs w:val="16"/>
                <w:color w:val="auto"/>
              </w:rPr>
              <w:t>47,288</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(EUR 42,245)</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 (EUR 300 par,</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9/30/2014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(EUR 520)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line="192" w:lineRule="exact"/>
              <w:rPr>
                <w:sz w:val="20"/>
                <w:szCs w:val="20"/>
                <w:color w:val="auto"/>
              </w:rPr>
            </w:pPr>
            <w:r>
              <w:rPr>
                <w:rFonts w:ascii="Arial" w:cs="Arial" w:eastAsia="Arial" w:hAnsi="Arial"/>
                <w:sz w:val="14"/>
                <w:szCs w:val="14"/>
                <w:color w:val="auto"/>
              </w:rPr>
              <w:t>MatrixCare, Inc.</w:t>
            </w:r>
            <w:r>
              <w:rPr>
                <w:rFonts w:ascii="Arial" w:cs="Arial" w:eastAsia="Arial" w:hAnsi="Arial"/>
                <w:sz w:val="22"/>
                <w:szCs w:val="22"/>
                <w:color w:val="auto"/>
                <w:vertAlign w:val="superscript"/>
              </w:rPr>
              <w:t>(3)(5)</w:t>
            </w:r>
          </w:p>
        </w:tc>
        <w:tc>
          <w:tcPr>
            <w:tcW w:w="2760" w:type="dxa"/>
            <w:vAlign w:val="bottom"/>
          </w:tcPr>
          <w:p>
            <w:pPr>
              <w:spacing w:after="0"/>
              <w:rPr>
                <w:sz w:val="20"/>
                <w:szCs w:val="20"/>
                <w:color w:val="auto"/>
              </w:rPr>
            </w:pPr>
            <w:r>
              <w:rPr>
                <w:rFonts w:ascii="Arial" w:cs="Arial" w:eastAsia="Arial" w:hAnsi="Arial"/>
                <w:sz w:val="16"/>
                <w:szCs w:val="16"/>
                <w:color w:val="auto"/>
              </w:rPr>
              <w:t>First-lien loan ($44,550 par, due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12/2021)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6.40%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12/17/2015</w:t>
            </w:r>
          </w:p>
        </w:tc>
        <w:tc>
          <w:tcPr>
            <w:tcW w:w="580" w:type="dxa"/>
            <w:vAlign w:val="bottom"/>
          </w:tcPr>
          <w:p>
            <w:pPr>
              <w:jc w:val="right"/>
              <w:spacing w:after="0"/>
              <w:rPr>
                <w:sz w:val="20"/>
                <w:szCs w:val="20"/>
                <w:color w:val="auto"/>
              </w:rPr>
            </w:pPr>
            <w:r>
              <w:rPr>
                <w:rFonts w:ascii="Arial" w:cs="Arial" w:eastAsia="Arial" w:hAnsi="Arial"/>
                <w:sz w:val="16"/>
                <w:szCs w:val="16"/>
                <w:color w:val="auto"/>
              </w:rPr>
              <w:t>43,877</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45,330</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MedeAnalytics, Inc.</w:t>
            </w:r>
            <w:r>
              <w:rPr>
                <w:rFonts w:ascii="Arial" w:cs="Arial" w:eastAsia="Arial" w:hAnsi="Arial"/>
                <w:sz w:val="23"/>
                <w:szCs w:val="23"/>
                <w:color w:val="auto"/>
                <w:vertAlign w:val="superscript"/>
              </w:rPr>
              <w:t>(3)(5)</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loan ($47,486 par, due 9/2020)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9.65%</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(incl. 2.50%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9/30/2015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46,404</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Quantros, Inc.</w:t>
            </w:r>
            <w:r>
              <w:rPr>
                <w:rFonts w:ascii="Arial" w:cs="Arial" w:eastAsia="Arial" w:hAnsi="Arial"/>
                <w:sz w:val="23"/>
                <w:szCs w:val="23"/>
                <w:color w:val="auto"/>
                <w:vertAlign w:val="superscript"/>
              </w:rPr>
              <w:t>(3)(5)</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($29,700 par, due 2/2021)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8.90%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2/29/2016</w:t>
            </w:r>
          </w:p>
        </w:tc>
        <w:tc>
          <w:tcPr>
            <w:tcW w:w="580" w:type="dxa"/>
            <w:vAlign w:val="bottom"/>
          </w:tcPr>
          <w:p>
            <w:pPr>
              <w:jc w:val="right"/>
              <w:spacing w:after="0"/>
              <w:rPr>
                <w:sz w:val="20"/>
                <w:szCs w:val="20"/>
                <w:color w:val="auto"/>
              </w:rPr>
            </w:pPr>
            <w:r>
              <w:rPr>
                <w:rFonts w:ascii="Arial" w:cs="Arial" w:eastAsia="Arial" w:hAnsi="Arial"/>
                <w:sz w:val="16"/>
                <w:szCs w:val="16"/>
                <w:color w:val="auto"/>
              </w:rPr>
              <w:t>28,862</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30,443</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166,693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169,236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4"/>
        </w:trPr>
        <w:tc>
          <w:tcPr>
            <w:tcW w:w="4040" w:type="dxa"/>
            <w:vAlign w:val="bottom"/>
            <w:gridSpan w:val="2"/>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2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3"/>
                <w:szCs w:val="23"/>
                <w:color w:val="auto"/>
                <w:vertAlign w:val="superscript"/>
              </w:rPr>
              <w:t>(3)</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loan ($26,112 par, due 4/2020)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9.28%</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(incl. 2.50%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4/16/2015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26,393</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line="192" w:lineRule="exact"/>
              <w:rPr>
                <w:sz w:val="20"/>
                <w:szCs w:val="20"/>
                <w:color w:val="auto"/>
              </w:rPr>
            </w:pPr>
            <w:r>
              <w:rPr>
                <w:rFonts w:ascii="Arial" w:cs="Arial" w:eastAsia="Arial" w:hAnsi="Arial"/>
                <w:sz w:val="14"/>
                <w:szCs w:val="14"/>
                <w:color w:val="auto"/>
              </w:rPr>
              <w:t>IRGSE Holding Corp.</w:t>
            </w:r>
            <w:r>
              <w:rPr>
                <w:rFonts w:ascii="Arial" w:cs="Arial" w:eastAsia="Arial" w:hAnsi="Arial"/>
                <w:sz w:val="22"/>
                <w:szCs w:val="22"/>
                <w:color w:val="auto"/>
                <w:vertAlign w:val="superscript"/>
              </w:rPr>
              <w:t>(3)(7)</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($21,581 par, due 9/2019)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10.65%</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(incl. 5.00%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9/29/2015</w:t>
            </w:r>
          </w:p>
        </w:tc>
        <w:tc>
          <w:tcPr>
            <w:tcW w:w="580" w:type="dxa"/>
            <w:vAlign w:val="bottom"/>
          </w:tcPr>
          <w:p>
            <w:pPr>
              <w:jc w:val="right"/>
              <w:spacing w:after="0"/>
              <w:rPr>
                <w:sz w:val="20"/>
                <w:szCs w:val="20"/>
                <w:color w:val="auto"/>
              </w:rPr>
            </w:pPr>
            <w:r>
              <w:rPr>
                <w:rFonts w:ascii="Arial" w:cs="Arial" w:eastAsia="Arial" w:hAnsi="Arial"/>
                <w:sz w:val="16"/>
                <w:szCs w:val="16"/>
                <w:color w:val="auto"/>
              </w:rPr>
              <w:t>21,581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17,697</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 ($16,703 par,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10.65%</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(incl. 5.00%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9/29/2015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64,042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57,786</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Human resource support services</w:t>
            </w: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Saba Software, Inc.</w:t>
            </w:r>
            <w:r>
              <w:rPr>
                <w:rFonts w:ascii="Arial" w:cs="Arial" w:eastAsia="Arial" w:hAnsi="Arial"/>
                <w:sz w:val="23"/>
                <w:szCs w:val="23"/>
                <w:color w:val="auto"/>
                <w:vertAlign w:val="superscript"/>
              </w:rPr>
              <w:t>(3)(5)</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($54,038 par, due 3/2021)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3/30/2015</w:t>
            </w:r>
          </w:p>
        </w:tc>
        <w:tc>
          <w:tcPr>
            <w:tcW w:w="580" w:type="dxa"/>
            <w:vAlign w:val="bottom"/>
          </w:tcPr>
          <w:p>
            <w:pPr>
              <w:jc w:val="right"/>
              <w:spacing w:after="0"/>
              <w:rPr>
                <w:sz w:val="20"/>
                <w:szCs w:val="20"/>
                <w:color w:val="auto"/>
              </w:rPr>
            </w:pPr>
            <w:r>
              <w:rPr>
                <w:rFonts w:ascii="Arial" w:cs="Arial" w:eastAsia="Arial" w:hAnsi="Arial"/>
                <w:sz w:val="16"/>
                <w:szCs w:val="16"/>
                <w:color w:val="auto"/>
              </w:rPr>
              <w:t>53,566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55,523</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First-lien loan ($8,616 par, due 4/2021)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60,484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63,434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Insurance</w:t>
            </w: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760" w:type="dxa"/>
            <w:vAlign w:val="bottom"/>
          </w:tcPr>
          <w:p>
            <w:pPr>
              <w:spacing w:after="0"/>
              <w:rPr>
                <w:sz w:val="20"/>
                <w:szCs w:val="20"/>
                <w:color w:val="auto"/>
              </w:rPr>
            </w:pPr>
            <w:r>
              <w:rPr>
                <w:rFonts w:ascii="Arial" w:cs="Arial" w:eastAsia="Arial" w:hAnsi="Arial"/>
                <w:sz w:val="16"/>
                <w:szCs w:val="16"/>
                <w:color w:val="auto"/>
              </w:rPr>
              <w:t>First-lien loan ($64,564 par, due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10/2020)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7.44%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10/31/2014</w:t>
            </w:r>
          </w:p>
        </w:tc>
        <w:tc>
          <w:tcPr>
            <w:tcW w:w="580" w:type="dxa"/>
            <w:vAlign w:val="bottom"/>
          </w:tcPr>
          <w:p>
            <w:pPr>
              <w:jc w:val="right"/>
              <w:spacing w:after="0"/>
              <w:rPr>
                <w:sz w:val="20"/>
                <w:szCs w:val="20"/>
                <w:color w:val="auto"/>
              </w:rPr>
            </w:pPr>
            <w:r>
              <w:rPr>
                <w:rFonts w:ascii="Arial" w:cs="Arial" w:eastAsia="Arial" w:hAnsi="Arial"/>
                <w:sz w:val="16"/>
                <w:szCs w:val="16"/>
                <w:color w:val="auto"/>
              </w:rPr>
              <w:t>64,041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65,209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Ecommerce Industries,</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($36,435 par, due 3/2019)</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Inc.</w:t>
            </w:r>
            <w:r>
              <w:rPr>
                <w:rFonts w:ascii="Arial" w:cs="Arial" w:eastAsia="Arial" w:hAnsi="Arial"/>
                <w:sz w:val="25"/>
                <w:szCs w:val="25"/>
                <w:color w:val="auto"/>
                <w:vertAlign w:val="superscript"/>
              </w:rPr>
              <w:t>(3)</w:t>
            </w:r>
          </w:p>
        </w:tc>
        <w:tc>
          <w:tcPr>
            <w:tcW w:w="27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7.40%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3/11/2014</w:t>
            </w:r>
          </w:p>
        </w:tc>
        <w:tc>
          <w:tcPr>
            <w:tcW w:w="580" w:type="dxa"/>
            <w:vAlign w:val="bottom"/>
          </w:tcPr>
          <w:p>
            <w:pPr>
              <w:jc w:val="right"/>
              <w:spacing w:after="0"/>
              <w:rPr>
                <w:sz w:val="20"/>
                <w:szCs w:val="20"/>
                <w:color w:val="auto"/>
              </w:rPr>
            </w:pPr>
            <w:r>
              <w:rPr>
                <w:rFonts w:ascii="Arial" w:cs="Arial" w:eastAsia="Arial" w:hAnsi="Arial"/>
                <w:sz w:val="16"/>
                <w:szCs w:val="16"/>
                <w:color w:val="auto"/>
              </w:rPr>
              <w:t>36,290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36,630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Oil, gas and consumable fuels</w:t>
            </w:r>
          </w:p>
        </w:tc>
        <w:tc>
          <w:tcPr>
            <w:tcW w:w="27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Mississippi Resources,</w:t>
            </w:r>
          </w:p>
        </w:tc>
        <w:tc>
          <w:tcPr>
            <w:tcW w:w="2760" w:type="dxa"/>
            <w:vAlign w:val="bottom"/>
          </w:tcPr>
          <w:p>
            <w:pPr>
              <w:spacing w:after="0"/>
              <w:rPr>
                <w:sz w:val="20"/>
                <w:szCs w:val="20"/>
                <w:color w:val="auto"/>
              </w:rPr>
            </w:pPr>
            <w:r>
              <w:rPr>
                <w:rFonts w:ascii="Arial" w:cs="Arial" w:eastAsia="Arial" w:hAnsi="Arial"/>
                <w:sz w:val="16"/>
                <w:szCs w:val="16"/>
                <w:color w:val="auto"/>
                <w:w w:val="95"/>
              </w:rPr>
              <w:t>First-lien loan ($53,380 par, due 6/2018)</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13.00%</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40" w:type="dxa"/>
            <w:vAlign w:val="bottom"/>
            <w:gridSpan w:val="2"/>
          </w:tcPr>
          <w:p>
            <w:pPr>
              <w:ind w:left="180"/>
              <w:spacing w:after="0"/>
              <w:rPr>
                <w:sz w:val="20"/>
                <w:szCs w:val="20"/>
                <w:color w:val="auto"/>
              </w:rPr>
            </w:pPr>
            <w:r>
              <w:rPr>
                <w:rFonts w:ascii="Arial" w:cs="Arial" w:eastAsia="Arial" w:hAnsi="Arial"/>
                <w:sz w:val="16"/>
                <w:szCs w:val="16"/>
                <w:color w:val="auto"/>
              </w:rPr>
              <w:t>LLC</w:t>
            </w:r>
            <w:r>
              <w:rPr>
                <w:rFonts w:ascii="Arial" w:cs="Arial" w:eastAsia="Arial" w:hAnsi="Arial"/>
                <w:sz w:val="13"/>
                <w:szCs w:val="13"/>
                <w:color w:val="auto"/>
              </w:rPr>
              <w:t>(3)(7)(10)</w:t>
            </w:r>
          </w:p>
        </w:tc>
        <w:tc>
          <w:tcPr>
            <w:tcW w:w="27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(incl. 1.50%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PIK)</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6/4/2014</w:t>
            </w:r>
          </w:p>
        </w:tc>
        <w:tc>
          <w:tcPr>
            <w:tcW w:w="580" w:type="dxa"/>
            <w:vAlign w:val="bottom"/>
          </w:tcPr>
          <w:p>
            <w:pPr>
              <w:jc w:val="right"/>
              <w:spacing w:after="0"/>
              <w:rPr>
                <w:sz w:val="20"/>
                <w:szCs w:val="20"/>
                <w:color w:val="auto"/>
              </w:rPr>
            </w:pPr>
            <w:r>
              <w:rPr>
                <w:rFonts w:ascii="Arial" w:cs="Arial" w:eastAsia="Arial" w:hAnsi="Arial"/>
                <w:sz w:val="16"/>
                <w:szCs w:val="16"/>
                <w:color w:val="auto"/>
              </w:rPr>
              <w:t>52,864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30,574</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1"/>
              </w:rPr>
              <w:t>Amortized</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760" w:type="dxa"/>
            <w:vAlign w:val="bottom"/>
          </w:tcPr>
          <w:p>
            <w:pPr>
              <w:spacing w:after="0"/>
              <w:rPr>
                <w:sz w:val="14"/>
                <w:szCs w:val="14"/>
                <w:color w:val="auto"/>
              </w:rPr>
            </w:pPr>
          </w:p>
        </w:tc>
        <w:tc>
          <w:tcPr>
            <w:tcW w:w="232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Interest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Fair Value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32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Pharmaceuticals</w:t>
            </w:r>
          </w:p>
        </w:tc>
        <w:tc>
          <w:tcPr>
            <w:tcW w:w="760" w:type="dxa"/>
            <w:vAlign w:val="bottom"/>
            <w:shd w:val="clear" w:color="auto" w:fill="CCEEFF"/>
          </w:tcPr>
          <w:p>
            <w:pPr>
              <w:spacing w:after="0"/>
              <w:rPr>
                <w:sz w:val="15"/>
                <w:szCs w:val="15"/>
                <w:color w:val="auto"/>
              </w:rPr>
            </w:pPr>
          </w:p>
        </w:tc>
        <w:tc>
          <w:tcPr>
            <w:tcW w:w="232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Ironwood Pharmaceuticals,</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Secured note ($33,333 par, due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18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(4)(5)(9)</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9/2026)</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8.38%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1/5/2017</w:t>
            </w:r>
          </w:p>
        </w:tc>
        <w:tc>
          <w:tcPr>
            <w:tcW w:w="680" w:type="dxa"/>
            <w:vAlign w:val="bottom"/>
          </w:tcPr>
          <w:p>
            <w:pPr>
              <w:jc w:val="right"/>
              <w:spacing w:after="0"/>
              <w:rPr>
                <w:sz w:val="20"/>
                <w:szCs w:val="20"/>
                <w:color w:val="auto"/>
              </w:rPr>
            </w:pPr>
            <w:r>
              <w:rPr>
                <w:rFonts w:ascii="Arial" w:cs="Arial" w:eastAsia="Arial" w:hAnsi="Arial"/>
                <w:sz w:val="16"/>
                <w:szCs w:val="16"/>
                <w:color w:val="auto"/>
              </w:rPr>
              <w:t>33,183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33,166</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Model N, Inc.</w:t>
            </w:r>
            <w:r>
              <w:rPr>
                <w:rFonts w:ascii="Arial" w:cs="Arial" w:eastAsia="Arial" w:hAnsi="Arial"/>
                <w:sz w:val="23"/>
                <w:szCs w:val="23"/>
                <w:color w:val="auto"/>
                <w:vertAlign w:val="superscript"/>
              </w:rPr>
              <w:t>(3)(4)</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First-lien loan ($30,000 par, due</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1/2022)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1/5/2017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2" w:lineRule="exact"/>
              <w:rPr>
                <w:sz w:val="20"/>
                <w:szCs w:val="20"/>
                <w:color w:val="auto"/>
              </w:rPr>
            </w:pPr>
            <w:r>
              <w:rPr>
                <w:rFonts w:ascii="Arial" w:cs="Arial" w:eastAsia="Arial" w:hAnsi="Arial"/>
                <w:sz w:val="14"/>
                <w:szCs w:val="14"/>
                <w:color w:val="auto"/>
              </w:rPr>
              <w:t>Nektar Therapeutics</w:t>
            </w:r>
            <w:r>
              <w:rPr>
                <w:rFonts w:ascii="Arial" w:cs="Arial" w:eastAsia="Arial" w:hAnsi="Arial"/>
                <w:sz w:val="22"/>
                <w:szCs w:val="22"/>
                <w:color w:val="auto"/>
                <w:vertAlign w:val="superscript"/>
              </w:rPr>
              <w:t>(4)(5)(9)</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Secured note ($74,950 par, due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10/2020)</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7.75%</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10/5/2015</w:t>
            </w:r>
          </w:p>
        </w:tc>
        <w:tc>
          <w:tcPr>
            <w:tcW w:w="680" w:type="dxa"/>
            <w:vAlign w:val="bottom"/>
          </w:tcPr>
          <w:p>
            <w:pPr>
              <w:jc w:val="right"/>
              <w:spacing w:after="0"/>
              <w:rPr>
                <w:sz w:val="20"/>
                <w:szCs w:val="20"/>
                <w:color w:val="auto"/>
              </w:rPr>
            </w:pPr>
            <w:r>
              <w:rPr>
                <w:rFonts w:ascii="Arial" w:cs="Arial" w:eastAsia="Arial" w:hAnsi="Arial"/>
                <w:sz w:val="16"/>
                <w:szCs w:val="16"/>
                <w:color w:val="auto"/>
              </w:rPr>
              <w:t>74,227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75,700</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136,833</w:t>
            </w: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138,416</w:t>
            </w:r>
          </w:p>
        </w:tc>
        <w:tc>
          <w:tcPr>
            <w:tcW w:w="100" w:type="dxa"/>
            <w:vAlign w:val="bottom"/>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gridSpan w:val="2"/>
          </w:tcPr>
          <w:p>
            <w:pPr>
              <w:ind w:left="340"/>
              <w:spacing w:after="0"/>
              <w:rPr>
                <w:sz w:val="20"/>
                <w:szCs w:val="20"/>
                <w:color w:val="auto"/>
              </w:rPr>
            </w:pPr>
            <w:r>
              <w:rPr>
                <w:rFonts w:ascii="Arial" w:cs="Arial" w:eastAsia="Arial" w:hAnsi="Arial"/>
                <w:sz w:val="16"/>
                <w:szCs w:val="16"/>
                <w:b w:val="1"/>
                <w:bCs w:val="1"/>
                <w:color w:val="auto"/>
              </w:rPr>
              <w:t>Retail and consumer products</w:t>
            </w: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American Achievement Corporation</w:t>
            </w:r>
            <w:r>
              <w:rPr>
                <w:rFonts w:ascii="Arial" w:cs="Arial" w:eastAsia="Arial" w:hAnsi="Arial"/>
                <w:sz w:val="23"/>
                <w:szCs w:val="23"/>
                <w:color w:val="auto"/>
                <w:vertAlign w:val="superscript"/>
              </w:rPr>
              <w:t>(3)(5)</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First-lien loan ($23,729 par, due</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9/2020)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9/30/2015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2" w:lineRule="exact"/>
              <w:rPr>
                <w:sz w:val="20"/>
                <w:szCs w:val="20"/>
                <w:color w:val="auto"/>
              </w:rPr>
            </w:pPr>
            <w:r>
              <w:rPr>
                <w:rFonts w:ascii="Arial" w:cs="Arial" w:eastAsia="Arial" w:hAnsi="Arial"/>
                <w:sz w:val="14"/>
                <w:szCs w:val="14"/>
                <w:color w:val="auto"/>
              </w:rPr>
              <w:t>Eddie Bauer LLC</w:t>
            </w:r>
            <w:r>
              <w:rPr>
                <w:rFonts w:ascii="Arial" w:cs="Arial" w:eastAsia="Arial" w:hAnsi="Arial"/>
                <w:sz w:val="22"/>
                <w:szCs w:val="22"/>
                <w:color w:val="auto"/>
                <w:vertAlign w:val="superscript"/>
              </w:rPr>
              <w:t>(3)</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ABL FILO term loan</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($28,000 par, due 6/2019)</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10.25%</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3/31/2017</w:t>
            </w:r>
          </w:p>
        </w:tc>
        <w:tc>
          <w:tcPr>
            <w:tcW w:w="680" w:type="dxa"/>
            <w:vAlign w:val="bottom"/>
          </w:tcPr>
          <w:p>
            <w:pPr>
              <w:jc w:val="right"/>
              <w:spacing w:after="0"/>
              <w:rPr>
                <w:sz w:val="20"/>
                <w:szCs w:val="20"/>
                <w:color w:val="auto"/>
              </w:rPr>
            </w:pPr>
            <w:r>
              <w:rPr>
                <w:rFonts w:ascii="Arial" w:cs="Arial" w:eastAsia="Arial" w:hAnsi="Arial"/>
                <w:sz w:val="16"/>
                <w:szCs w:val="16"/>
                <w:color w:val="auto"/>
              </w:rPr>
              <w:t>27,440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27,400</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Destination Maternity Corporation</w:t>
            </w:r>
            <w:r>
              <w:rPr>
                <w:rFonts w:ascii="Arial" w:cs="Arial" w:eastAsia="Arial" w:hAnsi="Arial"/>
                <w:sz w:val="23"/>
                <w:szCs w:val="23"/>
                <w:color w:val="auto"/>
                <w:vertAlign w:val="superscript"/>
              </w:rPr>
              <w:t>(3)(5)</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ABL FILO term loan</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($16,914 par, due 3/2021)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3/25/2016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2" w:lineRule="exact"/>
              <w:rPr>
                <w:sz w:val="20"/>
                <w:szCs w:val="20"/>
                <w:color w:val="auto"/>
              </w:rPr>
            </w:pPr>
            <w:r>
              <w:rPr>
                <w:rFonts w:ascii="Arial" w:cs="Arial" w:eastAsia="Arial" w:hAnsi="Arial"/>
                <w:sz w:val="14"/>
                <w:szCs w:val="14"/>
                <w:color w:val="auto"/>
              </w:rPr>
              <w:t>Payless Inc.</w:t>
            </w:r>
            <w:r>
              <w:rPr>
                <w:rFonts w:ascii="Arial" w:cs="Arial" w:eastAsia="Arial" w:hAnsi="Arial"/>
                <w:sz w:val="22"/>
                <w:szCs w:val="22"/>
                <w:color w:val="auto"/>
                <w:vertAlign w:val="superscript"/>
              </w:rPr>
              <w:t>(3)</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ABL FILO term loan</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($50,000 par, due 3/2019)</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8.00%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10/3/2016</w:t>
            </w:r>
          </w:p>
        </w:tc>
        <w:tc>
          <w:tcPr>
            <w:tcW w:w="680" w:type="dxa"/>
            <w:vAlign w:val="bottom"/>
          </w:tcPr>
          <w:p>
            <w:pPr>
              <w:jc w:val="right"/>
              <w:spacing w:after="0"/>
              <w:rPr>
                <w:sz w:val="20"/>
                <w:szCs w:val="20"/>
                <w:color w:val="auto"/>
              </w:rPr>
            </w:pPr>
            <w:r>
              <w:rPr>
                <w:rFonts w:ascii="Arial" w:cs="Arial" w:eastAsia="Arial" w:hAnsi="Arial"/>
                <w:sz w:val="16"/>
                <w:szCs w:val="16"/>
                <w:color w:val="auto"/>
              </w:rPr>
              <w:t>48,867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53,250</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Sears</w:t>
            </w:r>
            <w:r>
              <w:rPr>
                <w:rFonts w:ascii="Arial" w:cs="Arial" w:eastAsia="Arial" w:hAnsi="Arial"/>
                <w:sz w:val="13"/>
                <w:szCs w:val="13"/>
                <w:color w:val="auto"/>
              </w:rPr>
              <w:t>(3)(4)(6)</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First-lien ABL loan</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($17,296 par, due 7/2020)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3/18/2016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2" w:lineRule="exact"/>
              <w:rPr>
                <w:sz w:val="20"/>
                <w:szCs w:val="20"/>
                <w:color w:val="auto"/>
              </w:rPr>
            </w:pPr>
            <w:r>
              <w:rPr>
                <w:rFonts w:ascii="Arial" w:cs="Arial" w:eastAsia="Arial" w:hAnsi="Arial"/>
                <w:sz w:val="14"/>
                <w:szCs w:val="14"/>
                <w:color w:val="auto"/>
              </w:rPr>
              <w:t>Sears Canada Inc.</w:t>
            </w:r>
            <w:r>
              <w:rPr>
                <w:rFonts w:ascii="Arial" w:cs="Arial" w:eastAsia="Arial" w:hAnsi="Arial"/>
                <w:sz w:val="22"/>
                <w:szCs w:val="22"/>
                <w:color w:val="auto"/>
                <w:vertAlign w:val="superscript"/>
              </w:rPr>
              <w:t>(3)(4)</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First-lien ABL loan</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($20,884 par, due 3/2022)</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10.50%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3/20/2017</w:t>
            </w:r>
          </w:p>
        </w:tc>
        <w:tc>
          <w:tcPr>
            <w:tcW w:w="680" w:type="dxa"/>
            <w:vAlign w:val="bottom"/>
          </w:tcPr>
          <w:p>
            <w:pPr>
              <w:jc w:val="right"/>
              <w:spacing w:after="0"/>
              <w:rPr>
                <w:sz w:val="20"/>
                <w:szCs w:val="20"/>
                <w:color w:val="auto"/>
              </w:rPr>
            </w:pPr>
            <w:r>
              <w:rPr>
                <w:rFonts w:ascii="Arial" w:cs="Arial" w:eastAsia="Arial" w:hAnsi="Arial"/>
                <w:sz w:val="16"/>
                <w:szCs w:val="16"/>
                <w:color w:val="auto"/>
              </w:rPr>
              <w:t>20,364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20,362</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23"/>
                <w:szCs w:val="23"/>
                <w:color w:val="auto"/>
                <w:vertAlign w:val="superscript"/>
              </w:rPr>
              <w:t>(3)</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ABL FILO term loan</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($20,500 par, due 10/2019)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10/9/2014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20,395</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20,398</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174,006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179,694</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Transportation</w:t>
            </w: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2" w:lineRule="exact"/>
              <w:rPr>
                <w:sz w:val="20"/>
                <w:szCs w:val="20"/>
                <w:color w:val="auto"/>
              </w:rPr>
            </w:pPr>
            <w:r>
              <w:rPr>
                <w:rFonts w:ascii="Arial" w:cs="Arial" w:eastAsia="Arial" w:hAnsi="Arial"/>
                <w:sz w:val="14"/>
                <w:szCs w:val="14"/>
                <w:color w:val="auto"/>
              </w:rPr>
              <w:t>Carrix, Inc.</w:t>
            </w:r>
            <w:r>
              <w:rPr>
                <w:rFonts w:ascii="Arial" w:cs="Arial" w:eastAsia="Arial" w:hAnsi="Arial"/>
                <w:sz w:val="22"/>
                <w:szCs w:val="22"/>
                <w:color w:val="auto"/>
                <w:vertAlign w:val="superscript"/>
              </w:rPr>
              <w:t>(3)</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First-lien loan ($12,671 par, due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1/2019)</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5.50%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3/17/2015</w:t>
            </w:r>
          </w:p>
        </w:tc>
        <w:tc>
          <w:tcPr>
            <w:tcW w:w="680" w:type="dxa"/>
            <w:vAlign w:val="bottom"/>
          </w:tcPr>
          <w:p>
            <w:pPr>
              <w:jc w:val="right"/>
              <w:spacing w:after="0"/>
              <w:rPr>
                <w:sz w:val="20"/>
                <w:szCs w:val="20"/>
                <w:color w:val="auto"/>
              </w:rPr>
            </w:pPr>
            <w:r>
              <w:rPr>
                <w:rFonts w:ascii="Arial" w:cs="Arial" w:eastAsia="Arial" w:hAnsi="Arial"/>
                <w:sz w:val="16"/>
                <w:szCs w:val="16"/>
                <w:color w:val="auto"/>
              </w:rPr>
              <w:t>12,205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12,397</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2"/>
        </w:trPr>
        <w:tc>
          <w:tcPr>
            <w:tcW w:w="34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Debt Investments</w:t>
            </w:r>
          </w:p>
        </w:tc>
        <w:tc>
          <w:tcPr>
            <w:tcW w:w="760" w:type="dxa"/>
            <w:vAlign w:val="bottom"/>
            <w:shd w:val="clear" w:color="auto" w:fill="CCEEFF"/>
          </w:tcPr>
          <w:p>
            <w:pPr>
              <w:spacing w:after="0"/>
              <w:rPr>
                <w:sz w:val="14"/>
                <w:szCs w:val="14"/>
                <w:color w:val="auto"/>
              </w:rPr>
            </w:pPr>
          </w:p>
        </w:tc>
        <w:tc>
          <w:tcPr>
            <w:tcW w:w="23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8"/>
              </w:rPr>
              <w:t>1,556,847</w:t>
            </w:r>
          </w:p>
        </w:tc>
        <w:tc>
          <w:tcPr>
            <w:tcW w:w="160" w:type="dxa"/>
            <w:vAlign w:val="bottom"/>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1,560,022</w:t>
            </w:r>
          </w:p>
        </w:tc>
        <w:tc>
          <w:tcPr>
            <w:tcW w:w="100" w:type="dxa"/>
            <w:vAlign w:val="bottom"/>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Equity and Other Investments</w:t>
            </w:r>
          </w:p>
        </w:tc>
        <w:tc>
          <w:tcPr>
            <w:tcW w:w="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Chemicals</w:t>
            </w: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spacing w:after="0"/>
              <w:rPr>
                <w:sz w:val="20"/>
                <w:szCs w:val="20"/>
                <w:color w:val="auto"/>
              </w:rPr>
            </w:pPr>
            <w:r>
              <w:rPr>
                <w:rFonts w:ascii="Arial" w:cs="Arial" w:eastAsia="Arial" w:hAnsi="Arial"/>
                <w:sz w:val="16"/>
                <w:szCs w:val="16"/>
                <w:color w:val="auto"/>
              </w:rPr>
              <w:t>Vertellus Specialties, Inc.</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w w:val="98"/>
              </w:rPr>
              <w:t>Common Units (2,672,990 units)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10/31/2016</w:t>
            </w:r>
          </w:p>
        </w:tc>
        <w:tc>
          <w:tcPr>
            <w:tcW w:w="680" w:type="dxa"/>
            <w:vAlign w:val="bottom"/>
          </w:tcPr>
          <w:p>
            <w:pPr>
              <w:jc w:val="right"/>
              <w:spacing w:after="0"/>
              <w:rPr>
                <w:sz w:val="20"/>
                <w:szCs w:val="20"/>
                <w:color w:val="auto"/>
              </w:rPr>
            </w:pPr>
            <w:r>
              <w:rPr>
                <w:rFonts w:ascii="Arial" w:cs="Arial" w:eastAsia="Arial" w:hAnsi="Arial"/>
                <w:sz w:val="16"/>
                <w:szCs w:val="16"/>
                <w:color w:val="auto"/>
              </w:rPr>
              <w:t>3,828</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rPr>
                <w:sz w:val="20"/>
                <w:szCs w:val="20"/>
                <w:color w:val="auto"/>
              </w:rPr>
            </w:pPr>
            <w:r>
              <w:rPr>
                <w:rFonts w:ascii="Arial" w:cs="Arial" w:eastAsia="Arial" w:hAnsi="Arial"/>
                <w:sz w:val="16"/>
                <w:szCs w:val="16"/>
                <w:color w:val="auto"/>
              </w:rPr>
              <w:t>AvidXchange, Inc.</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Series E Preferred Equity</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(214,132 shares)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8/7/2015</w:t>
            </w:r>
          </w:p>
        </w:tc>
        <w:tc>
          <w:tcPr>
            <w:tcW w:w="680" w:type="dxa"/>
            <w:vAlign w:val="bottom"/>
          </w:tcPr>
          <w:p>
            <w:pPr>
              <w:jc w:val="right"/>
              <w:spacing w:after="0"/>
              <w:rPr>
                <w:sz w:val="20"/>
                <w:szCs w:val="20"/>
                <w:color w:val="auto"/>
              </w:rPr>
            </w:pPr>
            <w:r>
              <w:rPr>
                <w:rFonts w:ascii="Arial" w:cs="Arial" w:eastAsia="Arial" w:hAnsi="Arial"/>
                <w:sz w:val="16"/>
                <w:szCs w:val="16"/>
                <w:color w:val="auto"/>
              </w:rPr>
              <w:t>3,846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5,760</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Network Merchants, Inc.</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Non-Voting Preferred Units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(774,099 units)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line="202" w:lineRule="exact"/>
              <w:rPr>
                <w:sz w:val="20"/>
                <w:szCs w:val="20"/>
                <w:color w:val="auto"/>
              </w:rPr>
            </w:pPr>
            <w:r>
              <w:rPr>
                <w:rFonts w:ascii="Arial" w:cs="Arial" w:eastAsia="Arial" w:hAnsi="Arial"/>
                <w:sz w:val="14"/>
                <w:szCs w:val="14"/>
                <w:color w:val="auto"/>
              </w:rPr>
              <w:t>TICC Capital Corp.</w:t>
            </w:r>
            <w:r>
              <w:rPr>
                <w:rFonts w:ascii="Arial" w:cs="Arial" w:eastAsia="Arial" w:hAnsi="Arial"/>
                <w:sz w:val="23"/>
                <w:szCs w:val="23"/>
                <w:color w:val="auto"/>
                <w:vertAlign w:val="superscript"/>
              </w:rPr>
              <w:t>(4)</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Common Shares (1,059 shares)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8/5/2015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7,529</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w:t>
            </w: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Global Healthcare Exchange, LLC</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Common Shares Class A (358</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shares)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3/11/2014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Common Shares Class B</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(196 shares)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3/11/2014</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346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Helix Health, Ltd.</w:t>
            </w:r>
            <w:r>
              <w:rPr>
                <w:rFonts w:ascii="Arial" w:cs="Arial" w:eastAsia="Arial" w:hAnsi="Arial"/>
                <w:sz w:val="23"/>
                <w:szCs w:val="23"/>
                <w:color w:val="auto"/>
                <w:vertAlign w:val="superscript"/>
              </w:rPr>
              <w:t>(4)</w:t>
            </w: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Warrants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9/30/2014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(EUR 845)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Common Shares Class A</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(1,980 shares)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12/28/2012</w:t>
            </w:r>
          </w:p>
        </w:tc>
        <w:tc>
          <w:tcPr>
            <w:tcW w:w="680" w:type="dxa"/>
            <w:vAlign w:val="bottom"/>
          </w:tcPr>
          <w:p>
            <w:pPr>
              <w:jc w:val="right"/>
              <w:spacing w:after="0"/>
              <w:rPr>
                <w:sz w:val="20"/>
                <w:szCs w:val="20"/>
                <w:color w:val="auto"/>
              </w:rPr>
            </w:pPr>
            <w:r>
              <w:rPr>
                <w:rFonts w:ascii="Arial" w:cs="Arial" w:eastAsia="Arial" w:hAnsi="Arial"/>
                <w:sz w:val="16"/>
                <w:szCs w:val="16"/>
                <w:color w:val="auto"/>
              </w:rPr>
              <w:t>1,980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Common Shares Class B</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(2,953,020 shares)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12/28/2012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2,873</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76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(7)</w:t>
            </w:r>
          </w:p>
        </w:tc>
        <w:tc>
          <w:tcPr>
            <w:tcW w:w="3080" w:type="dxa"/>
            <w:vAlign w:val="bottom"/>
            <w:gridSpan w:val="2"/>
          </w:tcPr>
          <w:p>
            <w:pPr>
              <w:ind w:left="760"/>
              <w:spacing w:after="0"/>
              <w:rPr>
                <w:sz w:val="20"/>
                <w:szCs w:val="20"/>
                <w:color w:val="auto"/>
              </w:rPr>
            </w:pPr>
            <w:r>
              <w:rPr>
                <w:rFonts w:ascii="Arial" w:cs="Arial" w:eastAsia="Arial" w:hAnsi="Arial"/>
                <w:sz w:val="16"/>
                <w:szCs w:val="16"/>
                <w:color w:val="auto"/>
              </w:rPr>
              <w:t>Class A Units (5,000,000 units)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9/29/2015</w:t>
            </w:r>
          </w:p>
        </w:tc>
        <w:tc>
          <w:tcPr>
            <w:tcW w:w="680" w:type="dxa"/>
            <w:vAlign w:val="bottom"/>
          </w:tcPr>
          <w:p>
            <w:pPr>
              <w:jc w:val="right"/>
              <w:spacing w:after="0"/>
              <w:rPr>
                <w:sz w:val="20"/>
                <w:szCs w:val="20"/>
                <w:color w:val="auto"/>
              </w:rPr>
            </w:pPr>
            <w:r>
              <w:rPr>
                <w:rFonts w:ascii="Arial" w:cs="Arial" w:eastAsia="Arial" w:hAnsi="Arial"/>
                <w:sz w:val="16"/>
                <w:szCs w:val="16"/>
                <w:color w:val="auto"/>
              </w:rPr>
              <w:t>3,897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308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w w:val="96"/>
              </w:rPr>
              <w:t>Class C-1 Units (8,800,000 units)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9/29/2015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Initial</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10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20" w:type="dxa"/>
            <w:vAlign w:val="bottom"/>
          </w:tcPr>
          <w:p>
            <w:pPr>
              <w:spacing w:after="0"/>
              <w:rPr>
                <w:sz w:val="11"/>
                <w:szCs w:val="11"/>
                <w:color w:val="auto"/>
              </w:rPr>
            </w:pPr>
          </w:p>
        </w:tc>
        <w:tc>
          <w:tcPr>
            <w:tcW w:w="8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660" w:type="dxa"/>
            <w:vAlign w:val="bottom"/>
            <w:gridSpan w:val="2"/>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Interest</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Date</w:t>
            </w:r>
          </w:p>
        </w:tc>
        <w:tc>
          <w:tcPr>
            <w:tcW w:w="20" w:type="dxa"/>
            <w:vAlign w:val="bottom"/>
          </w:tcPr>
          <w:p>
            <w:pPr>
              <w:spacing w:after="0"/>
              <w:rPr>
                <w:sz w:val="13"/>
                <w:szCs w:val="13"/>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Fair 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83"/>
        </w:trPr>
        <w:tc>
          <w:tcPr>
            <w:tcW w:w="620" w:type="dxa"/>
            <w:vAlign w:val="bottom"/>
            <w:tcBorders>
              <w:top w:val="single" w:sz="8" w:color="auto"/>
            </w:tcBorders>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Oil,</w:t>
            </w:r>
          </w:p>
        </w:tc>
        <w:tc>
          <w:tcPr>
            <w:tcW w:w="4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gas and consumable fuels</w:t>
            </w: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60" w:type="dxa"/>
            <w:vAlign w:val="bottom"/>
            <w:gridSpan w:val="2"/>
          </w:tcPr>
          <w:p>
            <w:pPr>
              <w:spacing w:after="0" w:line="192"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2"/>
                <w:szCs w:val="22"/>
                <w:color w:val="auto"/>
                <w:vertAlign w:val="superscript"/>
              </w:rPr>
              <w:t>(7)(10)</w:t>
            </w:r>
          </w:p>
        </w:tc>
        <w:tc>
          <w:tcPr>
            <w:tcW w:w="2100" w:type="dxa"/>
            <w:vAlign w:val="bottom"/>
            <w:gridSpan w:val="2"/>
          </w:tcPr>
          <w:p>
            <w:pPr>
              <w:spacing w:after="0"/>
              <w:rPr>
                <w:sz w:val="20"/>
                <w:szCs w:val="20"/>
                <w:color w:val="auto"/>
              </w:rPr>
            </w:pPr>
            <w:r>
              <w:rPr>
                <w:rFonts w:ascii="Arial" w:cs="Arial" w:eastAsia="Arial" w:hAnsi="Arial"/>
                <w:sz w:val="16"/>
                <w:szCs w:val="16"/>
                <w:color w:val="auto"/>
              </w:rPr>
              <w:t>Class A Member Units (933</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units)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6/4/2014</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8,874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Other</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4"/>
                <w:szCs w:val="14"/>
                <w:color w:val="auto"/>
              </w:rPr>
              <w:t>Symphony</w:t>
            </w:r>
            <w:r>
              <w:rPr>
                <w:rFonts w:ascii="Arial" w:cs="Arial" w:eastAsia="Arial" w:hAnsi="Arial"/>
                <w:sz w:val="23"/>
                <w:szCs w:val="23"/>
                <w:color w:val="auto"/>
                <w:vertAlign w:val="superscript"/>
              </w:rPr>
              <w:t>(4)(6)</w:t>
            </w:r>
          </w:p>
        </w:tc>
        <w:tc>
          <w:tcPr>
            <w:tcW w:w="2100" w:type="dxa"/>
            <w:vAlign w:val="bottom"/>
            <w:gridSpan w:val="2"/>
          </w:tcPr>
          <w:p>
            <w:pPr>
              <w:spacing w:after="0"/>
              <w:rPr>
                <w:sz w:val="20"/>
                <w:szCs w:val="20"/>
                <w:color w:val="auto"/>
              </w:rPr>
            </w:pPr>
            <w:r>
              <w:rPr>
                <w:rFonts w:ascii="Arial" w:cs="Arial" w:eastAsia="Arial" w:hAnsi="Arial"/>
                <w:sz w:val="16"/>
                <w:szCs w:val="16"/>
                <w:color w:val="auto"/>
              </w:rPr>
              <w:t>Structured Product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6.77%</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11/17/2014</w:t>
            </w: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5,986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30,226</w:t>
            </w:r>
          </w:p>
        </w:tc>
        <w:tc>
          <w:tcPr>
            <w:tcW w:w="1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20,256</w:t>
            </w: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Investments</w:t>
            </w: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1,587,073</w:t>
            </w: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1,580,278</w:t>
            </w:r>
          </w:p>
        </w:tc>
        <w:tc>
          <w:tcPr>
            <w:tcW w:w="240" w:type="dxa"/>
            <w:vAlign w:val="bottom"/>
            <w:vMerge w:val="continue"/>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100" w:hanging="332"/>
        <w:spacing w:after="0" w:line="225"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syndicate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5"/>
          <w:szCs w:val="15"/>
          <w:color w:val="auto"/>
        </w:rPr>
      </w:pPr>
    </w:p>
    <w:p>
      <w:pPr>
        <w:ind w:left="340" w:hanging="332"/>
        <w:spacing w:after="0" w:line="225"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2017 in which the issuer was an Affiliated Person of and was deemed to Control a portfolio company are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Controlled, Affiliated Investments during the three months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Fair Value at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Fair Value at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83"/>
              </w:rPr>
              <w:t>Additions</w:t>
            </w:r>
          </w:p>
        </w:tc>
        <w:tc>
          <w:tcPr>
            <w:tcW w:w="18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86"/>
              </w:rPr>
              <w:t>March 31,</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4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(b)</w:t>
            </w:r>
          </w:p>
        </w:tc>
        <w:tc>
          <w:tcPr>
            <w:tcW w:w="1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9"/>
              <w:spacing w:after="0"/>
              <w:rPr>
                <w:sz w:val="20"/>
                <w:szCs w:val="20"/>
                <w:color w:val="auto"/>
              </w:rPr>
            </w:pPr>
            <w:r>
              <w:rPr>
                <w:rFonts w:ascii="Arial" w:cs="Arial" w:eastAsia="Arial" w:hAnsi="Arial"/>
                <w:sz w:val="13"/>
                <w:szCs w:val="13"/>
                <w:b w:val="1"/>
                <w:bCs w:val="1"/>
                <w:color w:val="auto"/>
              </w:rPr>
              <w:t>2017</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50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color w:val="auto"/>
                <w:w w:val="87"/>
              </w:rPr>
              <w:t>33,885</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3,431</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5"/>
              </w:rPr>
              <w:t>(1,646)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9"/>
              </w:rPr>
              <w:t>(5,096)</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30,574</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31,974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2,218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(2,653)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31,539</w:t>
            </w:r>
          </w:p>
        </w:tc>
        <w:tc>
          <w:tcPr>
            <w:tcW w:w="160" w:type="dxa"/>
            <w:vAlign w:val="bottom"/>
          </w:tcPr>
          <w:p>
            <w:pPr>
              <w:spacing w:after="0"/>
              <w:rPr>
                <w:sz w:val="14"/>
                <w:szCs w:val="14"/>
                <w:color w:val="auto"/>
              </w:rPr>
            </w:pPr>
          </w:p>
        </w:tc>
        <w:tc>
          <w:tcPr>
            <w:tcW w:w="4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973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7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b w:val="1"/>
                <w:bCs w:val="1"/>
                <w:color w:val="auto"/>
              </w:rPr>
              <w:t>65,859</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5,649</w:t>
            </w:r>
          </w:p>
        </w:tc>
        <w:tc>
          <w:tcPr>
            <w:tcW w:w="2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b w:val="1"/>
                <w:bCs w:val="1"/>
                <w:color w:val="auto"/>
              </w:rPr>
              <w:t>(1,646)</w:t>
            </w:r>
          </w:p>
        </w:tc>
        <w:tc>
          <w:tcPr>
            <w:tcW w:w="32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72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b w:val="1"/>
                <w:bCs w:val="1"/>
                <w:color w:val="auto"/>
              </w:rPr>
              <w:t>(7,749)</w:t>
            </w:r>
          </w:p>
        </w:tc>
        <w:tc>
          <w:tcPr>
            <w:tcW w:w="28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gridSpan w:val="2"/>
            <w:shd w:val="clear" w:color="auto" w:fill="CCEEFF"/>
          </w:tcPr>
          <w:p>
            <w:pPr>
              <w:ind w:left="360"/>
              <w:spacing w:after="0" w:line="162" w:lineRule="exact"/>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62,113</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52</w:t>
            </w:r>
          </w:p>
        </w:tc>
        <w:tc>
          <w:tcPr>
            <w:tcW w:w="2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color w:val="auto"/>
                <w:w w:val="90"/>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Arial" w:cs="Arial" w:eastAsia="Arial" w:hAnsi="Arial"/>
          <w:sz w:val="15"/>
          <w:szCs w:val="15"/>
          <w:color w:val="auto"/>
        </w:rPr>
      </w:pPr>
    </w:p>
    <w:p>
      <w:pPr>
        <w:ind w:left="340" w:hanging="332"/>
        <w:spacing w:after="0" w:line="225" w:lineRule="auto"/>
        <w:tabs>
          <w:tab w:leader="none" w:pos="3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As of March 31, 2017, the tax cost of the Company’s investments approximates their amortized cost.</w:t>
      </w:r>
    </w:p>
    <w:p>
      <w:pPr>
        <w:ind w:left="340" w:right="400" w:hanging="332"/>
        <w:spacing w:after="0" w:line="225" w:lineRule="auto"/>
        <w:tabs>
          <w:tab w:leader="none" w:pos="3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 on investments.</w:t>
      </w:r>
    </w:p>
    <w:p>
      <w:pPr>
        <w:ind w:left="340" w:hanging="332"/>
        <w:spacing w:after="0"/>
        <w:tabs>
          <w:tab w:leader="none" w:pos="3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Investment on non-accrual as of March 31,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280" w:type="dxa"/>
            <w:vAlign w:val="bottom"/>
            <w:gridSpan w:val="2"/>
            <w:vMerge w:val="restart"/>
          </w:tcPr>
          <w:p>
            <w:pPr>
              <w:ind w:left="78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Amortized</w:t>
            </w:r>
          </w:p>
        </w:tc>
        <w:tc>
          <w:tcPr>
            <w:tcW w:w="260" w:type="dxa"/>
            <w:vAlign w:val="bottom"/>
          </w:tcPr>
          <w:p>
            <w:pPr>
              <w:spacing w:after="0"/>
              <w:rPr>
                <w:sz w:val="11"/>
                <w:szCs w:val="11"/>
                <w:color w:val="auto"/>
              </w:rPr>
            </w:pPr>
          </w:p>
        </w:tc>
        <w:tc>
          <w:tcPr>
            <w:tcW w:w="8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Fair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4320" w:type="dxa"/>
            <w:vAlign w:val="bottom"/>
            <w:gridSpan w:val="2"/>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26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Value</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($29,233</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9.75%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8/28/2012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$ 29,136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$ 29,159</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($1,417 par, due 6/2017)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8/28/2012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30,537</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30,562</w:t>
            </w: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($61,542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8.75%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3/3/2014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60,698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57,850</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($54,982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7.50%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4/11/2013</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54,366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56,219</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11/2020)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11/12/2015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45,225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Clarabridge,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($19,719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4/2019)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5/20/2015</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19,446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19,774</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Idera,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($61,875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4/2021)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10/9/2015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61,875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2"/>
                <w:szCs w:val="22"/>
                <w:color w:val="auto"/>
                <w:vertAlign w:val="superscript"/>
              </w:rPr>
              <w:t>(3)(4)</w:t>
            </w:r>
          </w:p>
        </w:tc>
        <w:tc>
          <w:tcPr>
            <w:tcW w:w="2280" w:type="dxa"/>
            <w:vAlign w:val="bottom"/>
            <w:gridSpan w:val="2"/>
          </w:tcPr>
          <w:p>
            <w:pPr>
              <w:spacing w:after="0"/>
              <w:rPr>
                <w:sz w:val="20"/>
                <w:szCs w:val="20"/>
                <w:color w:val="auto"/>
              </w:rPr>
            </w:pPr>
            <w:r>
              <w:rPr>
                <w:rFonts w:ascii="Arial" w:cs="Arial" w:eastAsia="Arial" w:hAnsi="Arial"/>
                <w:sz w:val="16"/>
                <w:szCs w:val="16"/>
                <w:color w:val="auto"/>
                <w:w w:val="99"/>
              </w:rPr>
              <w:t>First-lien loan ($27,090 par, due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6/2019)</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7.50%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6/30/2014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26,752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27,163</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Marketo,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($28,125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8/2021)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8/16/2016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27,750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Motus, LLC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($20,157 par,</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11.00%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7/2021)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(incl. 3.00%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PIK)</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7/29/2016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19,690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20,106</w:t>
            </w: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Qlik Technologies,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($40,399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8/2022)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8/22/2016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39,691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40,096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SailPoint Technologies,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($27,500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8/2021)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8/16/2016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26,973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27,285</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($19,986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12/30/2014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20,263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Sovos Compliance, LLC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($29,177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3/2022)</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8.25%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7/1/2016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28,621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29,027</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Tibco Software</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($247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1/26/2016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363,664</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375,031</w:t>
            </w:r>
          </w:p>
        </w:tc>
        <w:tc>
          <w:tcPr>
            <w:tcW w:w="2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39.3%</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Chemicals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($4,967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10/31/2016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4,937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4,942</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loan ($3,341</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10/2021)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10/31/2016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8,278</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8,292</w:t>
            </w:r>
          </w:p>
        </w:tc>
        <w:tc>
          <w:tcPr>
            <w:tcW w:w="2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Education</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Finalsite Holdings, Inc.</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($45,000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8/2022)</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8.00%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8/31/2016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43,830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44,325</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Frontline Technologies Group LLC</w:t>
            </w:r>
            <w:r>
              <w:rPr>
                <w:rFonts w:ascii="Arial" w:cs="Arial" w:eastAsia="Arial" w:hAnsi="Arial"/>
                <w:sz w:val="23"/>
                <w:szCs w:val="23"/>
                <w:color w:val="auto"/>
                <w:vertAlign w:val="superscript"/>
              </w:rPr>
              <w:t>(3)(5)</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($54,725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4/2021)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4/1/2016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53,447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97,277</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99,187</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8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Fair</w:t>
            </w:r>
          </w:p>
        </w:tc>
        <w:tc>
          <w:tcPr>
            <w:tcW w:w="9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3740" w:type="dxa"/>
            <w:vAlign w:val="bottom"/>
            <w:gridSpan w:val="2"/>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Value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Electronics</w:t>
            </w: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($63,761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1/2019)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1/9/2014</w:t>
            </w:r>
          </w:p>
        </w:tc>
        <w:tc>
          <w:tcPr>
            <w:tcW w:w="600" w:type="dxa"/>
            <w:vAlign w:val="bottom"/>
          </w:tcPr>
          <w:p>
            <w:pPr>
              <w:jc w:val="right"/>
              <w:spacing w:after="0"/>
              <w:rPr>
                <w:sz w:val="20"/>
                <w:szCs w:val="20"/>
                <w:color w:val="auto"/>
              </w:rPr>
            </w:pPr>
            <w:r>
              <w:rPr>
                <w:rFonts w:ascii="Arial" w:cs="Arial" w:eastAsia="Arial" w:hAnsi="Arial"/>
                <w:sz w:val="16"/>
                <w:szCs w:val="16"/>
                <w:color w:val="auto"/>
              </w:rPr>
              <w:t>63,342</w:t>
            </w:r>
          </w:p>
        </w:tc>
        <w:tc>
          <w:tcPr>
            <w:tcW w:w="2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64,568</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APX Group Inc.</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notes 8.75%</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($5,470 par, due 12/2020)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12/11/2014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5,511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68,059</w:t>
            </w:r>
          </w:p>
        </w:tc>
        <w:tc>
          <w:tcPr>
            <w:tcW w:w="2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70,079</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($22,200 par, due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8/2020)</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8/18/2015</w:t>
            </w:r>
          </w:p>
        </w:tc>
        <w:tc>
          <w:tcPr>
            <w:tcW w:w="600" w:type="dxa"/>
            <w:vAlign w:val="bottom"/>
          </w:tcPr>
          <w:p>
            <w:pPr>
              <w:jc w:val="right"/>
              <w:spacing w:after="0"/>
              <w:rPr>
                <w:sz w:val="20"/>
                <w:szCs w:val="20"/>
                <w:color w:val="auto"/>
              </w:rPr>
            </w:pPr>
            <w:r>
              <w:rPr>
                <w:rFonts w:ascii="Arial" w:cs="Arial" w:eastAsia="Arial" w:hAnsi="Arial"/>
                <w:sz w:val="16"/>
                <w:szCs w:val="16"/>
                <w:color w:val="auto"/>
              </w:rPr>
              <w:t>21,781</w:t>
            </w:r>
          </w:p>
        </w:tc>
        <w:tc>
          <w:tcPr>
            <w:tcW w:w="2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22,261</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AvidXchange, Inc.</w:t>
            </w:r>
            <w:r>
              <w:rPr>
                <w:rFonts w:ascii="Arial" w:cs="Arial" w:eastAsia="Arial" w:hAnsi="Arial"/>
                <w:sz w:val="23"/>
                <w:szCs w:val="23"/>
                <w:color w:val="auto"/>
                <w:vertAlign w:val="superscript"/>
              </w:rPr>
              <w:t>(3)</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($53,528 par, due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8/2020)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(incl. 2.38%</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53,394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($25,782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9/2018)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9/12/2013</w:t>
            </w:r>
          </w:p>
        </w:tc>
        <w:tc>
          <w:tcPr>
            <w:tcW w:w="600" w:type="dxa"/>
            <w:vAlign w:val="bottom"/>
          </w:tcPr>
          <w:p>
            <w:pPr>
              <w:jc w:val="right"/>
              <w:spacing w:after="0"/>
              <w:rPr>
                <w:sz w:val="20"/>
                <w:szCs w:val="20"/>
                <w:color w:val="auto"/>
              </w:rPr>
            </w:pPr>
            <w:r>
              <w:rPr>
                <w:rFonts w:ascii="Arial" w:cs="Arial" w:eastAsia="Arial" w:hAnsi="Arial"/>
                <w:sz w:val="16"/>
                <w:szCs w:val="16"/>
                <w:color w:val="auto"/>
              </w:rPr>
              <w:t>25,585</w:t>
            </w:r>
          </w:p>
        </w:tc>
        <w:tc>
          <w:tcPr>
            <w:tcW w:w="2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25,981</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($34,502 par,</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(incl. 2.50%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34,700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Smarsh, Inc.</w:t>
            </w:r>
            <w:r>
              <w:rPr>
                <w:rFonts w:ascii="Arial" w:cs="Arial" w:eastAsia="Arial" w:hAnsi="Arial"/>
                <w:sz w:val="22"/>
                <w:szCs w:val="22"/>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($30,000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1/2021)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1/7/2016</w:t>
            </w:r>
          </w:p>
        </w:tc>
        <w:tc>
          <w:tcPr>
            <w:tcW w:w="600" w:type="dxa"/>
            <w:vAlign w:val="bottom"/>
          </w:tcPr>
          <w:p>
            <w:pPr>
              <w:jc w:val="right"/>
              <w:spacing w:after="0"/>
              <w:rPr>
                <w:sz w:val="20"/>
                <w:szCs w:val="20"/>
                <w:color w:val="auto"/>
              </w:rPr>
            </w:pPr>
            <w:r>
              <w:rPr>
                <w:rFonts w:ascii="Arial" w:cs="Arial" w:eastAsia="Arial" w:hAnsi="Arial"/>
                <w:sz w:val="16"/>
                <w:szCs w:val="16"/>
                <w:color w:val="auto"/>
              </w:rPr>
              <w:t>29,343</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30,300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0"/>
        </w:trPr>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163,467</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166,636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4"/>
        </w:trPr>
        <w:tc>
          <w:tcPr>
            <w:tcW w:w="374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Helix Health, Ltd.</w:t>
            </w:r>
            <w:r>
              <w:rPr>
                <w:rFonts w:ascii="Arial" w:cs="Arial" w:eastAsia="Arial" w:hAnsi="Arial"/>
                <w:sz w:val="23"/>
                <w:szCs w:val="23"/>
                <w:color w:val="auto"/>
                <w:vertAlign w:val="superscript"/>
              </w:rPr>
              <w:t>(3)(4)</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(EUR 40,573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44,934</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9/30/2014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47,830</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43,158)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w w:val="99"/>
              </w:rPr>
              <w:t>First-lien revolving loan (EUR 300</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527</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par, due 9/2019)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11.50%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9/30/2014</w:t>
            </w:r>
          </w:p>
        </w:tc>
        <w:tc>
          <w:tcPr>
            <w:tcW w:w="600" w:type="dxa"/>
            <w:vAlign w:val="bottom"/>
          </w:tcPr>
          <w:p>
            <w:pPr>
              <w:jc w:val="right"/>
              <w:spacing w:after="0"/>
              <w:rPr>
                <w:sz w:val="20"/>
                <w:szCs w:val="20"/>
                <w:color w:val="auto"/>
              </w:rPr>
            </w:pPr>
            <w:r>
              <w:rPr>
                <w:rFonts w:ascii="Arial" w:cs="Arial" w:eastAsia="Arial" w:hAnsi="Arial"/>
                <w:sz w:val="16"/>
                <w:szCs w:val="16"/>
                <w:color w:val="auto"/>
              </w:rPr>
              <w:t>253</w:t>
            </w:r>
          </w:p>
        </w:tc>
        <w:tc>
          <w:tcPr>
            <w:tcW w:w="2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(EUR 500)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MatrixCare, Inc.</w:t>
            </w:r>
            <w:r>
              <w:rPr>
                <w:rFonts w:ascii="Arial" w:cs="Arial" w:eastAsia="Arial" w:hAnsi="Arial"/>
                <w:sz w:val="23"/>
                <w:szCs w:val="23"/>
                <w:color w:val="auto"/>
                <w:vertAlign w:val="superscript"/>
              </w:rPr>
              <w:t>(3)(5)</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($44,663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12/17/2015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43,959</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45,109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MedeAnalytics, Inc.</w:t>
            </w:r>
            <w:r>
              <w:rPr>
                <w:rFonts w:ascii="Arial" w:cs="Arial" w:eastAsia="Arial" w:hAnsi="Arial"/>
                <w:sz w:val="22"/>
                <w:szCs w:val="22"/>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($47,066 par, due</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9.50%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9/2020)</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(incl. 2.50%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9/30/2015</w:t>
            </w:r>
          </w:p>
        </w:tc>
        <w:tc>
          <w:tcPr>
            <w:tcW w:w="600" w:type="dxa"/>
            <w:vAlign w:val="bottom"/>
          </w:tcPr>
          <w:p>
            <w:pPr>
              <w:jc w:val="right"/>
              <w:spacing w:after="0"/>
              <w:rPr>
                <w:sz w:val="20"/>
                <w:szCs w:val="20"/>
                <w:color w:val="auto"/>
              </w:rPr>
            </w:pPr>
            <w:r>
              <w:rPr>
                <w:rFonts w:ascii="Arial" w:cs="Arial" w:eastAsia="Arial" w:hAnsi="Arial"/>
                <w:sz w:val="16"/>
                <w:szCs w:val="16"/>
                <w:color w:val="auto"/>
              </w:rPr>
              <w:t>45,920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47,184</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Quantros, Inc.</w:t>
            </w:r>
            <w:r>
              <w:rPr>
                <w:rFonts w:ascii="Arial" w:cs="Arial" w:eastAsia="Arial" w:hAnsi="Arial"/>
                <w:sz w:val="23"/>
                <w:szCs w:val="23"/>
                <w:color w:val="auto"/>
                <w:vertAlign w:val="superscript"/>
              </w:rPr>
              <w:t>(3)(5)</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($29,775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2/2021)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2/29/2016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29,849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($30,000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12/2017)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12/28/2012</w:t>
            </w:r>
          </w:p>
        </w:tc>
        <w:tc>
          <w:tcPr>
            <w:tcW w:w="600" w:type="dxa"/>
            <w:vAlign w:val="bottom"/>
          </w:tcPr>
          <w:p>
            <w:pPr>
              <w:jc w:val="right"/>
              <w:spacing w:after="0"/>
              <w:rPr>
                <w:sz w:val="20"/>
                <w:szCs w:val="20"/>
                <w:color w:val="auto"/>
              </w:rPr>
            </w:pPr>
            <w:r>
              <w:rPr>
                <w:rFonts w:ascii="Arial" w:cs="Arial" w:eastAsia="Arial" w:hAnsi="Arial"/>
                <w:sz w:val="16"/>
                <w:szCs w:val="16"/>
                <w:color w:val="auto"/>
              </w:rPr>
              <w:t>29,820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30,000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($2,000 par, due 12/2017)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12/28/2012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198,667</w:t>
            </w:r>
          </w:p>
        </w:tc>
        <w:tc>
          <w:tcPr>
            <w:tcW w:w="2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199,603</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2"/>
                <w:szCs w:val="22"/>
                <w:color w:val="auto"/>
                <w:vertAlign w:val="superscript"/>
              </w:rPr>
              <w:t>(3)</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9.27%</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($26,104 par, due</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(incl. 2.50%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4/2020)</w:t>
            </w: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4/16/2015</w:t>
            </w:r>
          </w:p>
        </w:tc>
        <w:tc>
          <w:tcPr>
            <w:tcW w:w="600" w:type="dxa"/>
            <w:vAlign w:val="bottom"/>
          </w:tcPr>
          <w:p>
            <w:pPr>
              <w:jc w:val="right"/>
              <w:spacing w:after="0"/>
              <w:rPr>
                <w:sz w:val="20"/>
                <w:szCs w:val="20"/>
                <w:color w:val="auto"/>
              </w:rPr>
            </w:pPr>
            <w:r>
              <w:rPr>
                <w:rFonts w:ascii="Arial" w:cs="Arial" w:eastAsia="Arial" w:hAnsi="Arial"/>
                <w:sz w:val="16"/>
                <w:szCs w:val="16"/>
                <w:color w:val="auto"/>
              </w:rPr>
              <w:t>25,643</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26,104</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(3)(7)</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($21,311 par, due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9/2019)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(incl. 5.00%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9/29/2015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21,311</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18,807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revolver loan</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10.50%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($14,755 par, due 9/2019)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(incl. 5.00%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9/29/2015</w:t>
            </w:r>
          </w:p>
        </w:tc>
        <w:tc>
          <w:tcPr>
            <w:tcW w:w="600" w:type="dxa"/>
            <w:vAlign w:val="bottom"/>
          </w:tcPr>
          <w:p>
            <w:pPr>
              <w:jc w:val="right"/>
              <w:spacing w:after="0"/>
              <w:rPr>
                <w:sz w:val="20"/>
                <w:szCs w:val="20"/>
                <w:color w:val="auto"/>
              </w:rPr>
            </w:pPr>
            <w:r>
              <w:rPr>
                <w:rFonts w:ascii="Arial" w:cs="Arial" w:eastAsia="Arial" w:hAnsi="Arial"/>
                <w:sz w:val="16"/>
                <w:szCs w:val="16"/>
                <w:color w:val="auto"/>
              </w:rPr>
              <w:t>14,755</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13,021</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Soho House</w:t>
            </w:r>
            <w:r>
              <w:rPr>
                <w:rFonts w:ascii="Arial" w:cs="Arial" w:eastAsia="Arial" w:hAnsi="Arial"/>
                <w:sz w:val="23"/>
                <w:szCs w:val="23"/>
                <w:color w:val="auto"/>
                <w:vertAlign w:val="superscript"/>
              </w:rPr>
              <w:t>(4)</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bond (GBP 12,875</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16,227</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10/2018)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9.13%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9/20/2013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20,618</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(GBP 13,133)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82,327</w:t>
            </w:r>
          </w:p>
        </w:tc>
        <w:tc>
          <w:tcPr>
            <w:tcW w:w="2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74,159</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Human resource support services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spacing w:after="0" w:line="192" w:lineRule="exact"/>
              <w:rPr>
                <w:sz w:val="20"/>
                <w:szCs w:val="20"/>
                <w:color w:val="auto"/>
              </w:rPr>
            </w:pPr>
            <w:r>
              <w:rPr>
                <w:rFonts w:ascii="Arial" w:cs="Arial" w:eastAsia="Arial" w:hAnsi="Arial"/>
                <w:sz w:val="14"/>
                <w:szCs w:val="14"/>
                <w:color w:val="auto"/>
              </w:rPr>
              <w:t>Saba Software, Inc.</w:t>
            </w:r>
            <w:r>
              <w:rPr>
                <w:rFonts w:ascii="Arial" w:cs="Arial" w:eastAsia="Arial" w:hAnsi="Arial"/>
                <w:sz w:val="22"/>
                <w:szCs w:val="22"/>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($54,175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3/2021)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3/30/2015</w:t>
            </w:r>
          </w:p>
        </w:tc>
        <w:tc>
          <w:tcPr>
            <w:tcW w:w="600" w:type="dxa"/>
            <w:vAlign w:val="bottom"/>
          </w:tcPr>
          <w:p>
            <w:pPr>
              <w:jc w:val="right"/>
              <w:spacing w:after="0"/>
              <w:rPr>
                <w:sz w:val="20"/>
                <w:szCs w:val="20"/>
                <w:color w:val="auto"/>
              </w:rPr>
            </w:pPr>
            <w:r>
              <w:rPr>
                <w:rFonts w:ascii="Arial" w:cs="Arial" w:eastAsia="Arial" w:hAnsi="Arial"/>
                <w:sz w:val="16"/>
                <w:szCs w:val="16"/>
                <w:color w:val="auto"/>
              </w:rPr>
              <w:t>53,680</w:t>
            </w:r>
          </w:p>
        </w:tc>
        <w:tc>
          <w:tcPr>
            <w:tcW w:w="2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54,310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($9,571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4/2021)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5.84%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7,629</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8,709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61,309</w:t>
            </w:r>
          </w:p>
        </w:tc>
        <w:tc>
          <w:tcPr>
            <w:tcW w:w="26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63,019</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7"/>
              </w:rPr>
              <w:t>Amortized</w:t>
            </w: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9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3740" w:type="dxa"/>
            <w:vAlign w:val="bottom"/>
            <w:gridSpan w:val="3"/>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Insurance</w:t>
            </w: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($64,978</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par, due 10/2020)</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10/31/2014</w:t>
            </w:r>
          </w:p>
        </w:tc>
        <w:tc>
          <w:tcPr>
            <w:tcW w:w="700" w:type="dxa"/>
            <w:vAlign w:val="bottom"/>
          </w:tcPr>
          <w:p>
            <w:pPr>
              <w:jc w:val="right"/>
              <w:spacing w:after="0"/>
              <w:rPr>
                <w:sz w:val="20"/>
                <w:szCs w:val="20"/>
                <w:color w:val="auto"/>
              </w:rPr>
            </w:pPr>
            <w:r>
              <w:rPr>
                <w:rFonts w:ascii="Arial" w:cs="Arial" w:eastAsia="Arial" w:hAnsi="Arial"/>
                <w:sz w:val="16"/>
                <w:szCs w:val="16"/>
                <w:color w:val="auto"/>
              </w:rPr>
              <w:t>64,423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65,952</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Internet services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($47,988 par, due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7/2018)</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3/7/2014</w:t>
            </w:r>
          </w:p>
        </w:tc>
        <w:tc>
          <w:tcPr>
            <w:tcW w:w="700" w:type="dxa"/>
            <w:vAlign w:val="bottom"/>
          </w:tcPr>
          <w:p>
            <w:pPr>
              <w:jc w:val="right"/>
              <w:spacing w:after="0"/>
              <w:rPr>
                <w:sz w:val="20"/>
                <w:szCs w:val="20"/>
                <w:color w:val="auto"/>
              </w:rPr>
            </w:pPr>
            <w:r>
              <w:rPr>
                <w:rFonts w:ascii="Arial" w:cs="Arial" w:eastAsia="Arial" w:hAnsi="Arial"/>
                <w:sz w:val="16"/>
                <w:szCs w:val="16"/>
                <w:color w:val="auto"/>
              </w:rPr>
              <w:t>47,679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48,588</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revolving loan ($3,000</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7/2018)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3/7/2014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50,664</w:t>
            </w: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51,626</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Manufacturing</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Power Solutions International, Inc.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ABL FILO term loan ($53,550</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par, due 6/2021)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10.75%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6/28/2016</w:t>
            </w:r>
          </w:p>
        </w:tc>
        <w:tc>
          <w:tcPr>
            <w:tcW w:w="700" w:type="dxa"/>
            <w:vAlign w:val="bottom"/>
          </w:tcPr>
          <w:p>
            <w:pPr>
              <w:jc w:val="right"/>
              <w:spacing w:after="0"/>
              <w:rPr>
                <w:sz w:val="20"/>
                <w:szCs w:val="20"/>
                <w:color w:val="auto"/>
              </w:rPr>
            </w:pPr>
            <w:r>
              <w:rPr>
                <w:rFonts w:ascii="Arial" w:cs="Arial" w:eastAsia="Arial" w:hAnsi="Arial"/>
                <w:sz w:val="16"/>
                <w:szCs w:val="16"/>
                <w:color w:val="auto"/>
              </w:rPr>
              <w:t>47,285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52,613</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Office products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Ecommerce Industries,</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($36,529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Inc.</w:t>
            </w:r>
            <w:r>
              <w:rPr>
                <w:rFonts w:ascii="Arial" w:cs="Arial" w:eastAsia="Arial" w:hAnsi="Arial"/>
                <w:sz w:val="25"/>
                <w:szCs w:val="25"/>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due 3/2019)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3/11/2014</w:t>
            </w:r>
          </w:p>
        </w:tc>
        <w:tc>
          <w:tcPr>
            <w:tcW w:w="700" w:type="dxa"/>
            <w:vAlign w:val="bottom"/>
          </w:tcPr>
          <w:p>
            <w:pPr>
              <w:jc w:val="right"/>
              <w:spacing w:after="0"/>
              <w:rPr>
                <w:sz w:val="20"/>
                <w:szCs w:val="20"/>
                <w:color w:val="auto"/>
              </w:rPr>
            </w:pPr>
            <w:r>
              <w:rPr>
                <w:rFonts w:ascii="Arial" w:cs="Arial" w:eastAsia="Arial" w:hAnsi="Arial"/>
                <w:sz w:val="16"/>
                <w:szCs w:val="16"/>
                <w:color w:val="auto"/>
              </w:rPr>
              <w:t>36,366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36,627</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Oil, gas and consumable fuels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Key Energy Services</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($10,771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12/2021)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11.25%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5/27/2015</w:t>
            </w:r>
          </w:p>
        </w:tc>
        <w:tc>
          <w:tcPr>
            <w:tcW w:w="700" w:type="dxa"/>
            <w:vAlign w:val="bottom"/>
          </w:tcPr>
          <w:p>
            <w:pPr>
              <w:jc w:val="right"/>
              <w:spacing w:after="0"/>
              <w:rPr>
                <w:sz w:val="20"/>
                <w:szCs w:val="20"/>
                <w:color w:val="auto"/>
              </w:rPr>
            </w:pPr>
            <w:r>
              <w:rPr>
                <w:rFonts w:ascii="Arial" w:cs="Arial" w:eastAsia="Arial" w:hAnsi="Arial"/>
                <w:sz w:val="16"/>
                <w:szCs w:val="16"/>
                <w:color w:val="auto"/>
              </w:rPr>
              <w:t>10,454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10,717</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3"/>
                <w:szCs w:val="23"/>
                <w:color w:val="auto"/>
                <w:vertAlign w:val="superscript"/>
              </w:rPr>
              <w:t>(3)(7)</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($51,537 par,</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(incl. 1.50%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6/2018)</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6/4/2014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61,532</w:t>
            </w: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44,602</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Pharmaceuticals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Nektar Therapeutics</w:t>
            </w:r>
            <w:r>
              <w:rPr>
                <w:rFonts w:ascii="Arial" w:cs="Arial" w:eastAsia="Arial" w:hAnsi="Arial"/>
                <w:sz w:val="22"/>
                <w:szCs w:val="22"/>
                <w:color w:val="auto"/>
                <w:vertAlign w:val="superscript"/>
              </w:rPr>
              <w:t>(4)(5)(9)</w:t>
            </w:r>
          </w:p>
        </w:tc>
        <w:tc>
          <w:tcPr>
            <w:tcW w:w="2400" w:type="dxa"/>
            <w:vAlign w:val="bottom"/>
            <w:gridSpan w:val="2"/>
          </w:tcPr>
          <w:p>
            <w:pPr>
              <w:spacing w:after="0"/>
              <w:rPr>
                <w:sz w:val="20"/>
                <w:szCs w:val="20"/>
                <w:color w:val="auto"/>
              </w:rPr>
            </w:pPr>
            <w:r>
              <w:rPr>
                <w:rFonts w:ascii="Arial" w:cs="Arial" w:eastAsia="Arial" w:hAnsi="Arial"/>
                <w:sz w:val="16"/>
                <w:szCs w:val="16"/>
                <w:color w:val="auto"/>
              </w:rPr>
              <w:t>Secured note ($74,950 par, due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10/2020)</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10/5/2015</w:t>
            </w:r>
          </w:p>
        </w:tc>
        <w:tc>
          <w:tcPr>
            <w:tcW w:w="700" w:type="dxa"/>
            <w:vAlign w:val="bottom"/>
          </w:tcPr>
          <w:p>
            <w:pPr>
              <w:jc w:val="right"/>
              <w:spacing w:after="0"/>
              <w:rPr>
                <w:sz w:val="20"/>
                <w:szCs w:val="20"/>
                <w:color w:val="auto"/>
              </w:rPr>
            </w:pPr>
            <w:r>
              <w:rPr>
                <w:rFonts w:ascii="Arial" w:cs="Arial" w:eastAsia="Arial" w:hAnsi="Arial"/>
                <w:sz w:val="16"/>
                <w:szCs w:val="16"/>
                <w:color w:val="auto"/>
              </w:rPr>
              <w:t>74,184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74,575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Retail and consumer products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American Achievement Corporation</w:t>
            </w:r>
            <w:r>
              <w:rPr>
                <w:rFonts w:ascii="Arial" w:cs="Arial" w:eastAsia="Arial" w:hAnsi="Arial"/>
                <w:sz w:val="22"/>
                <w:szCs w:val="22"/>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($23,918 par, due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9/2020)</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8.25%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9/30/2015</w:t>
            </w:r>
          </w:p>
        </w:tc>
        <w:tc>
          <w:tcPr>
            <w:tcW w:w="700" w:type="dxa"/>
            <w:vAlign w:val="bottom"/>
          </w:tcPr>
          <w:p>
            <w:pPr>
              <w:jc w:val="right"/>
              <w:spacing w:after="0"/>
              <w:rPr>
                <w:sz w:val="20"/>
                <w:szCs w:val="20"/>
                <w:color w:val="auto"/>
              </w:rPr>
            </w:pPr>
            <w:r>
              <w:rPr>
                <w:rFonts w:ascii="Arial" w:cs="Arial" w:eastAsia="Arial" w:hAnsi="Arial"/>
                <w:sz w:val="16"/>
                <w:szCs w:val="16"/>
                <w:color w:val="auto"/>
              </w:rPr>
              <w:t>23,652</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23,858</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Destination Maternity Corporation</w:t>
            </w:r>
            <w:r>
              <w:rPr>
                <w:rFonts w:ascii="Arial" w:cs="Arial" w:eastAsia="Arial" w:hAnsi="Arial"/>
                <w:sz w:val="23"/>
                <w:szCs w:val="23"/>
                <w:color w:val="auto"/>
                <w:vertAlign w:val="superscript"/>
              </w:rPr>
              <w:t>(3)(5)</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ABL FILO term loan ($17,371</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3/2021)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3/25/2016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14"/>
                <w:szCs w:val="14"/>
                <w:color w:val="auto"/>
              </w:rPr>
              <w:t>Payless Inc.</w:t>
            </w:r>
            <w:r>
              <w:rPr>
                <w:rFonts w:ascii="Arial" w:cs="Arial" w:eastAsia="Arial" w:hAnsi="Arial"/>
                <w:sz w:val="22"/>
                <w:szCs w:val="22"/>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ABL FILO term loan ($50,000</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par, due 3/2019)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8.00%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10/3/2016</w:t>
            </w:r>
          </w:p>
        </w:tc>
        <w:tc>
          <w:tcPr>
            <w:tcW w:w="700" w:type="dxa"/>
            <w:vAlign w:val="bottom"/>
          </w:tcPr>
          <w:p>
            <w:pPr>
              <w:jc w:val="right"/>
              <w:spacing w:after="0"/>
              <w:rPr>
                <w:sz w:val="20"/>
                <w:szCs w:val="20"/>
                <w:color w:val="auto"/>
              </w:rPr>
            </w:pPr>
            <w:r>
              <w:rPr>
                <w:rFonts w:ascii="Arial" w:cs="Arial" w:eastAsia="Arial" w:hAnsi="Arial"/>
                <w:sz w:val="16"/>
                <w:szCs w:val="16"/>
                <w:color w:val="auto"/>
              </w:rPr>
              <w:t>48,736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49,125</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Quiksilver - Boardriders SA</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Bond (EUR 5,699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5/26/2015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(EUR 4,901)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Sears</w:t>
            </w:r>
            <w:r>
              <w:rPr>
                <w:rFonts w:ascii="Arial" w:cs="Arial" w:eastAsia="Arial" w:hAnsi="Arial"/>
                <w:sz w:val="13"/>
                <w:szCs w:val="13"/>
                <w:color w:val="auto"/>
              </w:rPr>
              <w:t>(3)(4)(6)</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($3,642 par,</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due 6/2018)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5.50%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1/28/2016</w:t>
            </w:r>
          </w:p>
        </w:tc>
        <w:tc>
          <w:tcPr>
            <w:tcW w:w="700" w:type="dxa"/>
            <w:vAlign w:val="bottom"/>
          </w:tcPr>
          <w:p>
            <w:pPr>
              <w:jc w:val="right"/>
              <w:spacing w:after="0"/>
              <w:rPr>
                <w:sz w:val="20"/>
                <w:szCs w:val="20"/>
                <w:color w:val="auto"/>
              </w:rPr>
            </w:pPr>
            <w:r>
              <w:rPr>
                <w:rFonts w:ascii="Arial" w:cs="Arial" w:eastAsia="Arial" w:hAnsi="Arial"/>
                <w:sz w:val="16"/>
                <w:szCs w:val="16"/>
                <w:color w:val="auto"/>
              </w:rPr>
              <w:t>3,457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3,487</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ABL loan ($22,727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7/2020)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3/18/2016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Toys ‘R’ Us-Delaware,</w:t>
            </w:r>
          </w:p>
        </w:tc>
        <w:tc>
          <w:tcPr>
            <w:tcW w:w="2400" w:type="dxa"/>
            <w:vAlign w:val="bottom"/>
            <w:gridSpan w:val="2"/>
          </w:tcPr>
          <w:p>
            <w:pPr>
              <w:spacing w:after="0"/>
              <w:rPr>
                <w:sz w:val="20"/>
                <w:szCs w:val="20"/>
                <w:color w:val="auto"/>
              </w:rPr>
            </w:pPr>
            <w:r>
              <w:rPr>
                <w:rFonts w:ascii="Arial" w:cs="Arial" w:eastAsia="Arial" w:hAnsi="Arial"/>
                <w:sz w:val="16"/>
                <w:szCs w:val="16"/>
                <w:color w:val="auto"/>
              </w:rPr>
              <w:t>ABL FILO term loan</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Inc.</w:t>
            </w:r>
            <w:r>
              <w:rPr>
                <w:rFonts w:ascii="Arial" w:cs="Arial" w:eastAsia="Arial" w:hAnsi="Arial"/>
                <w:sz w:val="25"/>
                <w:szCs w:val="25"/>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($25,500 par, due 10/2019)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8.25%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10/9/2014</w:t>
            </w:r>
          </w:p>
        </w:tc>
        <w:tc>
          <w:tcPr>
            <w:tcW w:w="700" w:type="dxa"/>
            <w:vAlign w:val="bottom"/>
          </w:tcPr>
          <w:p>
            <w:pPr>
              <w:jc w:val="right"/>
              <w:spacing w:after="0"/>
              <w:rPr>
                <w:sz w:val="20"/>
                <w:szCs w:val="20"/>
                <w:color w:val="auto"/>
              </w:rPr>
            </w:pPr>
            <w:r>
              <w:rPr>
                <w:rFonts w:ascii="Arial" w:cs="Arial" w:eastAsia="Arial" w:hAnsi="Arial"/>
                <w:sz w:val="16"/>
                <w:szCs w:val="16"/>
                <w:color w:val="auto"/>
              </w:rPr>
              <w:t>25,349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25,118</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146,386</w:t>
            </w: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146,813</w:t>
            </w:r>
          </w:p>
        </w:tc>
        <w:tc>
          <w:tcPr>
            <w:tcW w:w="9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gridSpan w:val="2"/>
          </w:tcPr>
          <w:p>
            <w:pPr>
              <w:ind w:left="320"/>
              <w:spacing w:after="0"/>
              <w:rPr>
                <w:sz w:val="20"/>
                <w:szCs w:val="20"/>
                <w:color w:val="auto"/>
              </w:rPr>
            </w:pPr>
            <w:r>
              <w:rPr>
                <w:rFonts w:ascii="Arial" w:cs="Arial" w:eastAsia="Arial" w:hAnsi="Arial"/>
                <w:sz w:val="16"/>
                <w:szCs w:val="16"/>
                <w:b w:val="1"/>
                <w:bCs w:val="1"/>
                <w:color w:val="auto"/>
              </w:rPr>
              <w:t>Transportation</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Carrix, Inc.</w:t>
            </w:r>
            <w:r>
              <w:rPr>
                <w:rFonts w:ascii="Arial" w:cs="Arial" w:eastAsia="Arial" w:hAnsi="Arial"/>
                <w:sz w:val="23"/>
                <w:szCs w:val="23"/>
                <w:color w:val="auto"/>
                <w:vertAlign w:val="superscript"/>
              </w:rPr>
              <w:t>(3)</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($12,878 par,</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1/2019)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3/17/2015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2"/>
            <w:vMerge w:val="continue"/>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1,627,465</w:t>
            </w:r>
          </w:p>
        </w:tc>
        <w:tc>
          <w:tcPr>
            <w:tcW w:w="260" w:type="dxa"/>
            <w:vAlign w:val="bottom"/>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1,629,836</w:t>
            </w:r>
          </w:p>
        </w:tc>
        <w:tc>
          <w:tcPr>
            <w:tcW w:w="300" w:type="dxa"/>
            <w:vAlign w:val="bottom"/>
          </w:tcPr>
          <w:p>
            <w:pPr>
              <w:spacing w:after="0"/>
              <w:rPr>
                <w:sz w:val="15"/>
                <w:szCs w:val="15"/>
                <w:color w:val="auto"/>
              </w:rPr>
            </w:pPr>
          </w:p>
        </w:tc>
        <w:tc>
          <w:tcPr>
            <w:tcW w:w="9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 Chemicals</w:t>
            </w: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Vertellus Specialties, Inc.</w:t>
            </w:r>
          </w:p>
        </w:tc>
        <w:tc>
          <w:tcPr>
            <w:tcW w:w="2400" w:type="dxa"/>
            <w:vAlign w:val="bottom"/>
            <w:gridSpan w:val="2"/>
          </w:tcPr>
          <w:p>
            <w:pPr>
              <w:spacing w:after="0"/>
              <w:rPr>
                <w:sz w:val="20"/>
                <w:szCs w:val="20"/>
                <w:color w:val="auto"/>
              </w:rPr>
            </w:pPr>
            <w:r>
              <w:rPr>
                <w:rFonts w:ascii="Arial" w:cs="Arial" w:eastAsia="Arial" w:hAnsi="Arial"/>
                <w:sz w:val="16"/>
                <w:szCs w:val="16"/>
                <w:color w:val="auto"/>
              </w:rPr>
              <w:t>Common Units (2,672,990 units)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10/31/2016</w:t>
            </w:r>
          </w:p>
        </w:tc>
        <w:tc>
          <w:tcPr>
            <w:tcW w:w="700" w:type="dxa"/>
            <w:vAlign w:val="bottom"/>
          </w:tcPr>
          <w:p>
            <w:pPr>
              <w:jc w:val="right"/>
              <w:spacing w:after="0"/>
              <w:rPr>
                <w:sz w:val="20"/>
                <w:szCs w:val="20"/>
                <w:color w:val="auto"/>
              </w:rPr>
            </w:pPr>
            <w:r>
              <w:rPr>
                <w:rFonts w:ascii="Arial" w:cs="Arial" w:eastAsia="Arial" w:hAnsi="Arial"/>
                <w:sz w:val="16"/>
                <w:szCs w:val="16"/>
                <w:color w:val="auto"/>
              </w:rPr>
              <w:t>3,828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3,627</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AvidXchange, Inc.</w:t>
            </w:r>
          </w:p>
        </w:tc>
        <w:tc>
          <w:tcPr>
            <w:tcW w:w="2400" w:type="dxa"/>
            <w:vAlign w:val="bottom"/>
            <w:gridSpan w:val="2"/>
          </w:tcPr>
          <w:p>
            <w:pPr>
              <w:spacing w:after="0"/>
              <w:rPr>
                <w:sz w:val="20"/>
                <w:szCs w:val="20"/>
                <w:color w:val="auto"/>
              </w:rPr>
            </w:pPr>
            <w:r>
              <w:rPr>
                <w:rFonts w:ascii="Arial" w:cs="Arial" w:eastAsia="Arial" w:hAnsi="Arial"/>
                <w:sz w:val="16"/>
                <w:szCs w:val="16"/>
                <w:color w:val="auto"/>
                <w:w w:val="95"/>
              </w:rPr>
              <w:t>Series E Preferred Equity (214,132</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shares)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8/7/2015</w:t>
            </w:r>
          </w:p>
        </w:tc>
        <w:tc>
          <w:tcPr>
            <w:tcW w:w="700" w:type="dxa"/>
            <w:vAlign w:val="bottom"/>
          </w:tcPr>
          <w:p>
            <w:pPr>
              <w:jc w:val="right"/>
              <w:spacing w:after="0"/>
              <w:rPr>
                <w:sz w:val="20"/>
                <w:szCs w:val="20"/>
                <w:color w:val="auto"/>
              </w:rPr>
            </w:pPr>
            <w:r>
              <w:rPr>
                <w:rFonts w:ascii="Arial" w:cs="Arial" w:eastAsia="Arial" w:hAnsi="Arial"/>
                <w:sz w:val="16"/>
                <w:szCs w:val="16"/>
                <w:color w:val="auto"/>
              </w:rPr>
              <w:t>3,846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4,548</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Network Merchants, Inc.</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Non-Voting Preferred Units</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(774,099 units)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9/12/2013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spacing w:after="0" w:line="202" w:lineRule="exact"/>
              <w:rPr>
                <w:sz w:val="20"/>
                <w:szCs w:val="20"/>
                <w:color w:val="auto"/>
              </w:rPr>
            </w:pPr>
            <w:r>
              <w:rPr>
                <w:rFonts w:ascii="Arial" w:cs="Arial" w:eastAsia="Arial" w:hAnsi="Arial"/>
                <w:sz w:val="14"/>
                <w:szCs w:val="14"/>
                <w:color w:val="auto"/>
              </w:rPr>
              <w:t>TICC Capital Corp.</w:t>
            </w:r>
            <w:r>
              <w:rPr>
                <w:rFonts w:ascii="Arial" w:cs="Arial" w:eastAsia="Arial" w:hAnsi="Arial"/>
                <w:sz w:val="23"/>
                <w:szCs w:val="23"/>
                <w:color w:val="auto"/>
                <w:vertAlign w:val="superscript"/>
              </w:rPr>
              <w:t>(4)</w:t>
            </w:r>
          </w:p>
        </w:tc>
        <w:tc>
          <w:tcPr>
            <w:tcW w:w="2400" w:type="dxa"/>
            <w:vAlign w:val="bottom"/>
            <w:gridSpan w:val="2"/>
          </w:tcPr>
          <w:p>
            <w:pPr>
              <w:spacing w:after="0"/>
              <w:rPr>
                <w:sz w:val="20"/>
                <w:szCs w:val="20"/>
                <w:color w:val="auto"/>
              </w:rPr>
            </w:pPr>
            <w:r>
              <w:rPr>
                <w:rFonts w:ascii="Arial" w:cs="Arial" w:eastAsia="Arial" w:hAnsi="Arial"/>
                <w:sz w:val="16"/>
                <w:szCs w:val="16"/>
                <w:color w:val="auto"/>
                <w:w w:val="96"/>
              </w:rPr>
              <w:t>Common Shares (995,419 shares)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8/5/2015</w:t>
            </w:r>
          </w:p>
        </w:tc>
        <w:tc>
          <w:tcPr>
            <w:tcW w:w="700" w:type="dxa"/>
            <w:vAlign w:val="bottom"/>
          </w:tcPr>
          <w:p>
            <w:pPr>
              <w:jc w:val="right"/>
              <w:spacing w:after="0"/>
              <w:rPr>
                <w:sz w:val="20"/>
                <w:szCs w:val="20"/>
                <w:color w:val="auto"/>
              </w:rPr>
            </w:pPr>
            <w:r>
              <w:rPr>
                <w:rFonts w:ascii="Arial" w:cs="Arial" w:eastAsia="Arial" w:hAnsi="Arial"/>
                <w:sz w:val="16"/>
                <w:szCs w:val="16"/>
                <w:color w:val="auto"/>
              </w:rPr>
              <w:t>6,673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6,580</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11,299</w:t>
            </w:r>
          </w:p>
        </w:tc>
        <w:tc>
          <w:tcPr>
            <w:tcW w:w="11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12,678</w:t>
            </w:r>
          </w:p>
        </w:tc>
        <w:tc>
          <w:tcPr>
            <w:tcW w:w="9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4100" w:type="dxa"/>
            <w:vAlign w:val="bottom"/>
            <w:gridSpan w:val="3"/>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5"/>
              </w:rPr>
              <w:t>Interest</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5"/>
                <w:szCs w:val="15"/>
                <w:b w:val="1"/>
                <w:bCs w:val="1"/>
                <w:color w:val="auto"/>
              </w:rPr>
              <w:t>Healthcare</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Global Healthcare Exchange, LLC</w:t>
            </w:r>
          </w:p>
        </w:tc>
        <w:tc>
          <w:tcPr>
            <w:tcW w:w="2400" w:type="dxa"/>
            <w:vAlign w:val="bottom"/>
            <w:gridSpan w:val="2"/>
          </w:tcPr>
          <w:p>
            <w:pPr>
              <w:spacing w:after="0"/>
              <w:rPr>
                <w:sz w:val="20"/>
                <w:szCs w:val="20"/>
                <w:color w:val="auto"/>
              </w:rPr>
            </w:pPr>
            <w:r>
              <w:rPr>
                <w:rFonts w:ascii="Arial" w:cs="Arial" w:eastAsia="Arial" w:hAnsi="Arial"/>
                <w:sz w:val="16"/>
                <w:szCs w:val="16"/>
                <w:color w:val="auto"/>
              </w:rPr>
              <w:t>Common Shares Class A (358</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shares)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3/11/2014</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358</w:t>
            </w:r>
          </w:p>
        </w:tc>
        <w:tc>
          <w:tcPr>
            <w:tcW w:w="800" w:type="dxa"/>
            <w:vAlign w:val="bottom"/>
          </w:tcPr>
          <w:p>
            <w:pPr>
              <w:jc w:val="right"/>
              <w:spacing w:after="0"/>
              <w:rPr>
                <w:sz w:val="20"/>
                <w:szCs w:val="20"/>
                <w:color w:val="auto"/>
              </w:rPr>
            </w:pPr>
            <w:r>
              <w:rPr>
                <w:rFonts w:ascii="Arial" w:cs="Arial" w:eastAsia="Arial" w:hAnsi="Arial"/>
                <w:sz w:val="16"/>
                <w:szCs w:val="16"/>
                <w:color w:val="auto"/>
              </w:rPr>
              <w:t>369</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Class B (196</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3/11/2014</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80" w:type="dxa"/>
            <w:vAlign w:val="bottom"/>
            <w:gridSpan w:val="2"/>
          </w:tcPr>
          <w:p>
            <w:pPr>
              <w:spacing w:after="0" w:line="192" w:lineRule="exact"/>
              <w:rPr>
                <w:sz w:val="20"/>
                <w:szCs w:val="20"/>
                <w:color w:val="auto"/>
              </w:rPr>
            </w:pPr>
            <w:r>
              <w:rPr>
                <w:rFonts w:ascii="Arial" w:cs="Arial" w:eastAsia="Arial" w:hAnsi="Arial"/>
                <w:sz w:val="14"/>
                <w:szCs w:val="14"/>
                <w:color w:val="auto"/>
              </w:rPr>
              <w:t>Helix Health, Ltd.</w:t>
            </w:r>
            <w:r>
              <w:rPr>
                <w:rFonts w:ascii="Arial" w:cs="Arial" w:eastAsia="Arial" w:hAnsi="Arial"/>
                <w:sz w:val="22"/>
                <w:szCs w:val="22"/>
                <w:color w:val="auto"/>
                <w:vertAlign w:val="superscript"/>
              </w:rPr>
              <w:t>(4)</w:t>
            </w:r>
          </w:p>
        </w:tc>
        <w:tc>
          <w:tcPr>
            <w:tcW w:w="2400" w:type="dxa"/>
            <w:vAlign w:val="bottom"/>
            <w:gridSpan w:val="2"/>
          </w:tcPr>
          <w:p>
            <w:pPr>
              <w:spacing w:after="0"/>
              <w:rPr>
                <w:sz w:val="20"/>
                <w:szCs w:val="20"/>
                <w:color w:val="auto"/>
              </w:rPr>
            </w:pPr>
            <w:r>
              <w:rPr>
                <w:rFonts w:ascii="Arial" w:cs="Arial" w:eastAsia="Arial" w:hAnsi="Arial"/>
                <w:sz w:val="16"/>
                <w:szCs w:val="16"/>
                <w:color w:val="auto"/>
              </w:rPr>
              <w:t>Warrants</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9/30/2014</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877</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(EUR 648)</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SRS Parent Corp.</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Class A</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(1,980 shares)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12/28/2012</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1,980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Common Shares Class B</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(2,953,020 shares)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12/28/2012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3,241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2,594</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Hotel, gaming, and leisure</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(7)</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 Units (5,000,000 units)</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9/29/2015</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3,897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Class C-1 Units (8,800,000 units)</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9/29/2015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3,997</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Oil, gas and consumable fuels</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Mississippi Resources,</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Class A Member Units (933 units)</w:t>
            </w: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LLC</w:t>
            </w:r>
            <w:r>
              <w:rPr>
                <w:rFonts w:ascii="Arial" w:cs="Arial" w:eastAsia="Arial" w:hAnsi="Arial"/>
                <w:sz w:val="25"/>
                <w:szCs w:val="25"/>
                <w:color w:val="auto"/>
                <w:vertAlign w:val="superscript"/>
              </w:rPr>
              <w:t>(7)</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6/4/2014</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8,874</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Other</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Oak Hill Credit Partners</w:t>
            </w:r>
            <w:r>
              <w:rPr>
                <w:rFonts w:ascii="Arial" w:cs="Arial" w:eastAsia="Arial" w:hAnsi="Arial"/>
                <w:sz w:val="23"/>
                <w:szCs w:val="23"/>
                <w:color w:val="auto"/>
                <w:vertAlign w:val="superscript"/>
              </w:rPr>
              <w:t>(4)(6)</w:t>
            </w: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Structured Product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8/21/2015</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3,345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4"/>
                <w:szCs w:val="14"/>
                <w:color w:val="auto"/>
              </w:rPr>
              <w:t>Symphony</w:t>
            </w:r>
            <w:r>
              <w:rPr>
                <w:rFonts w:ascii="Arial" w:cs="Arial" w:eastAsia="Arial" w:hAnsi="Arial"/>
                <w:sz w:val="23"/>
                <w:szCs w:val="23"/>
                <w:color w:val="auto"/>
                <w:vertAlign w:val="superscript"/>
              </w:rPr>
              <w:t>(4)(6)</w:t>
            </w:r>
          </w:p>
        </w:tc>
        <w:tc>
          <w:tcPr>
            <w:tcW w:w="2400" w:type="dxa"/>
            <w:vAlign w:val="bottom"/>
            <w:gridSpan w:val="2"/>
          </w:tcPr>
          <w:p>
            <w:pPr>
              <w:spacing w:after="0"/>
              <w:rPr>
                <w:sz w:val="20"/>
                <w:szCs w:val="20"/>
                <w:color w:val="auto"/>
              </w:rPr>
            </w:pPr>
            <w:r>
              <w:rPr>
                <w:rFonts w:ascii="Arial" w:cs="Arial" w:eastAsia="Arial" w:hAnsi="Arial"/>
                <w:sz w:val="16"/>
                <w:szCs w:val="16"/>
                <w:color w:val="auto"/>
              </w:rPr>
              <w:t>Structured Product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6.63%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11/17/2014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5,638</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5,360</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8,983</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8,522</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Equity and Other Investments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40,222</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27,567</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Investments</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0"/>
              </w:rPr>
              <w:t>$ 1,667,687</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8"/>
              </w:rPr>
              <w:t>$ 1,657,403</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20" w:hanging="332"/>
        <w:spacing w:after="0" w:line="225" w:lineRule="auto"/>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100" w:hanging="332"/>
        <w:spacing w:after="0" w:line="225" w:lineRule="auto"/>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syndicate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0" w:right="60" w:hanging="332"/>
        <w:spacing w:after="0" w:line="236" w:lineRule="auto"/>
        <w:tabs>
          <w:tab w:leader="none" w:pos="34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Controlled, Affiliated Investments during the year ended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3"/>
                <w:szCs w:val="13"/>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0"/>
              </w:rPr>
              <w:t>Fair Value at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8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11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December 30,</w:t>
            </w: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Interest</w:t>
            </w: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2016</w:t>
            </w:r>
          </w:p>
        </w:tc>
        <w:tc>
          <w:tcPr>
            <w:tcW w:w="3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5,491</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(494)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(7,794)</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33,885</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$6,746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26,816</w:t>
            </w: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8,358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(3,200)</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31,974</w:t>
            </w:r>
          </w:p>
        </w:tc>
        <w:tc>
          <w:tcPr>
            <w:tcW w:w="120" w:type="dxa"/>
            <w:vAlign w:val="bottom"/>
          </w:tcPr>
          <w:p>
            <w:pPr>
              <w:spacing w:after="0"/>
              <w:rPr>
                <w:sz w:val="14"/>
                <w:szCs w:val="14"/>
                <w:color w:val="auto"/>
              </w:rPr>
            </w:pPr>
          </w:p>
        </w:tc>
        <w:tc>
          <w:tcPr>
            <w:tcW w:w="4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63,498</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1"/>
              </w:rPr>
              <w:t>13,849</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(494)</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w w:val="96"/>
              </w:rPr>
              <w:t>(10,994)</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2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65,859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4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204</w:t>
            </w:r>
          </w:p>
        </w:tc>
        <w:tc>
          <w:tcPr>
            <w:tcW w:w="6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00" w:right="180" w:hanging="454"/>
        <w:spacing w:after="0" w:line="233" w:lineRule="auto"/>
        <w:tabs>
          <w:tab w:leader="none" w:pos="80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premiums on debt investments, as applicable.</w:t>
      </w:r>
    </w:p>
    <w:p>
      <w:pPr>
        <w:ind w:left="340" w:hanging="332"/>
        <w:spacing w:after="0" w:line="225" w:lineRule="auto"/>
        <w:tabs>
          <w:tab w:leader="none" w:pos="3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As of December 31, 2016, the tax cost of the Company’s investments approximates their amortized cost.</w:t>
      </w:r>
    </w:p>
    <w:p>
      <w:pPr>
        <w:ind w:left="340" w:right="400" w:hanging="332"/>
        <w:spacing w:after="0" w:line="239" w:lineRule="auto"/>
        <w:tabs>
          <w:tab w:leader="none" w:pos="3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 on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28,519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losses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1,908</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28,278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78,275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(23,337)</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Senior Notes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7,429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73,930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952,212</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959,641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894,671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 End of the Period</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48,619</w:t>
            </w:r>
          </w:p>
        </w:tc>
        <w:tc>
          <w:tcPr>
            <w:tcW w:w="1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28,278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17,771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 cash provided</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by (used) in 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Net change in unrealized (gains) losses on investments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(3,490)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change in unrealized losses on foreign currency transactions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5,793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Net change in unrealized gains on interest rate swaps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(154)</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realized gains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(1,322)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Net realized gains on foreign currency transactions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(355)</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amortization of discount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(9,425)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735</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Accretion of discount on Convertible Senior Notes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Purchases and originations of investments, net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(163,626)</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(137,352)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Proceeds from investments, net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73,732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Repayments on investments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178,366</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61,470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Paid-in-kind interest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(1,880)</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receivable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1,584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Interest receivable paid-in-kind</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180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(9,007)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Management fees payable to affiliate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(198)</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Incentive fees 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161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80"/>
              <w:spacing w:after="0"/>
              <w:rPr>
                <w:sz w:val="20"/>
                <w:szCs w:val="20"/>
                <w:color w:val="auto"/>
              </w:rPr>
            </w:pPr>
            <w:r>
              <w:rPr>
                <w:rFonts w:ascii="Arial" w:cs="Arial" w:eastAsia="Arial" w:hAnsi="Arial"/>
                <w:sz w:val="17"/>
                <w:szCs w:val="17"/>
                <w:color w:val="auto"/>
              </w:rPr>
              <w:t>Payable to affiliate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825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100,153</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Borrowings on debt</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255,500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95,500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Payments on debt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(329,608)</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(3,812)</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Purchases of treasury stock</w:t>
            </w:r>
          </w:p>
        </w:tc>
        <w:tc>
          <w:tcPr>
            <w:tcW w:w="140" w:type="dxa"/>
            <w:vAlign w:val="bottom"/>
          </w:tcPr>
          <w:p>
            <w:pPr>
              <w:spacing w:after="0"/>
              <w:rPr>
                <w:sz w:val="17"/>
                <w:szCs w:val="17"/>
                <w:color w:val="auto"/>
              </w:rPr>
            </w:pPr>
          </w:p>
        </w:tc>
        <w:tc>
          <w:tcPr>
            <w:tcW w:w="2320" w:type="dxa"/>
            <w:vAlign w:val="bottom"/>
            <w:gridSpan w:val="2"/>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(21,157)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(18,814)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(99,077)</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Net Increase in Cash, Cash Equivalents, and Restricted Cash</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1,076</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5,954</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7,030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4,861</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7"/>
                <w:szCs w:val="17"/>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paid during the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4,224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Excise taxes paid during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 declared during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23,337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Reinvestment of dividends during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2016, which was filed with the Securities and Exchange Commission (“SEC”), on February 22, 2017.</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Company is an investment company and, therefore, applies the specialized accounting and reporting guidance in Accounting Standards Codification (“ASC”) Topic 946, 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86" w:lineRule="auto"/>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2017,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380" w:hanging="325"/>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in other assets and a portion of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24"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(“ASU 2016-18”), “Statement of Cash Flows (Topic 230) –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statement of cash flows to reflect the 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three months ended March 31, 2017 and 2016, the Company incurred expenses of $1.0 million and $0.9 million, respectively, for administrative services payable to the Adviser under the terms of the Administration Agreement.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Administration Agreement was subsequently amended on February 22, 2017 to make certain clarifications to the agreement, including with respect to the scope of the costs and expenses of the Administrator’s services. 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2017 and 2016, Management Fees were $6.1 million and $5.7 million, respectively.</w:t>
      </w:r>
    </w:p>
    <w:p>
      <w:pPr>
        <w:spacing w:after="0" w:line="225"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For the periods ended December 31, 2016 and prior, the Adviser voluntarily waived the Management Fee on the Company’s ownership of shares of common stock in TICC Capital Corp. (the “TICC Shares”). The Adviser did not waive any Management Fees for the three months ended March 31, 2017.</w:t>
      </w:r>
    </w:p>
    <w:p>
      <w:pPr>
        <w:spacing w:after="0" w:line="12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For the three months ended March 31, 2016, Management Fees of $14.6 were waived, consisting solely of Management Fees attributable to the Company’s ownership of the TICC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90" w:lineRule="auto"/>
        <w:rPr>
          <w:rFonts w:ascii="Arial" w:cs="Arial" w:eastAsia="Arial" w:hAnsi="Arial"/>
          <w:sz w:val="16"/>
          <w:szCs w:val="16"/>
          <w:color w:val="auto"/>
        </w:rPr>
      </w:pPr>
      <w:r>
        <w:rPr>
          <w:rFonts w:ascii="Arial" w:cs="Arial" w:eastAsia="Arial" w:hAnsi="Arial"/>
          <w:sz w:val="16"/>
          <w:szCs w:val="16"/>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6"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three months ended March 31, 2017 and 2016, Incentive Fees were $6.0 million and $4.9 million, respectively, of which $6.0 million and $4.8 million, respectively, were realized and payable to the Adviser.</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For the periods ended December 31, 2016 and prior, the Adviser voluntarily waived the Incentive Fees attributable to pre-Incentive Fee net investment income accrued by the Company as a result of the Company’s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54"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Adviser did not waive any Incentive Fees for the three months ended March 31, 2017. For the three months ended March 31, 2016, Incentive Fees of $0.1 million were waived consisting solely of Incentive Fees attributable to the Company’s ownership of the TICC Shares. Any waived Incentive Fees are not subject to recoupment by the Adviser.</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40"/>
          </w:cols>
          <w:pgMar w:left="240" w:top="459" w:right="3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consisted of the following at March 31, 2017 and December 31,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3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Amortized Cost</w:t>
            </w:r>
            <w:r>
              <w:rPr>
                <w:rFonts w:ascii="Arial" w:cs="Arial" w:eastAsia="Arial" w:hAnsi="Arial"/>
                <w:sz w:val="12"/>
                <w:szCs w:val="12"/>
                <w:b w:val="1"/>
                <w:bCs w:val="1"/>
                <w:color w:val="auto"/>
                <w:w w:val="91"/>
              </w:rPr>
              <w:t>(1)</w:t>
            </w:r>
          </w:p>
        </w:tc>
        <w:tc>
          <w:tcPr>
            <w:tcW w:w="520" w:type="dxa"/>
            <w:vAlign w:val="bottom"/>
          </w:tcPr>
          <w:p>
            <w:pPr>
              <w:spacing w:after="0"/>
              <w:rPr>
                <w:sz w:val="10"/>
                <w:szCs w:val="10"/>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1,553,506</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$1,556,664</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3,342</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3,358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30,225</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20,256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1,587,073</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1,580,278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20" w:type="dxa"/>
            <w:vAlign w:val="bottom"/>
          </w:tcPr>
          <w:p>
            <w:pPr>
              <w:spacing w:after="0"/>
              <w:rPr>
                <w:sz w:val="10"/>
                <w:szCs w:val="10"/>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1,592,753</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$1,599,578</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23,959</w:t>
            </w: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19,577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26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40,222</w:t>
            </w: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27,567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7"/>
        </w:trPr>
        <w:tc>
          <w:tcPr>
            <w:tcW w:w="51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1,667,687</w:t>
            </w:r>
          </w:p>
        </w:tc>
        <w:tc>
          <w:tcPr>
            <w:tcW w:w="26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1,657,403</w:t>
            </w:r>
          </w:p>
        </w:tc>
        <w:tc>
          <w:tcPr>
            <w:tcW w:w="42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March 31, 2017 and December 31, 2016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2017</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8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3.5%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Chemicals</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0.8%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10.9%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18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8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2.3%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500" w:type="dxa"/>
            <w:vAlign w:val="bottom"/>
            <w:gridSpan w:val="3"/>
          </w:tcPr>
          <w:p>
            <w:pPr>
              <w:jc w:val="right"/>
              <w:ind w:right="520"/>
              <w:spacing w:after="0"/>
              <w:rPr>
                <w:sz w:val="20"/>
                <w:szCs w:val="20"/>
                <w:color w:val="auto"/>
              </w:rPr>
            </w:pPr>
            <w:r>
              <w:rPr>
                <w:rFonts w:ascii="Arial" w:cs="Arial" w:eastAsia="Arial" w:hAnsi="Arial"/>
                <w:sz w:val="18"/>
                <w:szCs w:val="18"/>
                <w:color w:val="auto"/>
              </w:rPr>
              <w:t>11.4%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8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8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Arial" w:cs="Arial" w:eastAsia="Arial" w:hAnsi="Arial"/>
                <w:sz w:val="18"/>
                <w:szCs w:val="18"/>
                <w:color w:val="auto"/>
              </w:rPr>
              <w:t>F-68</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2017 and December 31, 2016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2017</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9.6%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South</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20.3%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3.0%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January 2017, in connection with a fixed rate investment, the Company entered into an interest rate swap transaction with a $33.3 million notional amount. The Company receives three-month LIBOR plus 665.25 basis points and pays fixed rate interest at 8.375%. The swap transaction matures on January 10, 2020.</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March 31, 2017 and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of Assets in</w:t>
            </w: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2"/>
                <w:szCs w:val="2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the</w:t>
            </w: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Offset in the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Maturity Date</w:t>
            </w: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11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color w:val="auto"/>
              </w:rPr>
              <w:t>($ in thousands)</w:t>
            </w: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Sheets</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9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10/5/2018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417</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12/15/2019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(482)</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355,833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740</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Net Amount</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w:t>
            </w: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the</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Notional</w:t>
            </w: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Amount of</w:t>
            </w:r>
          </w:p>
        </w:tc>
        <w:tc>
          <w:tcPr>
            <w:tcW w:w="36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6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4"/>
                <w:szCs w:val="14"/>
                <w:color w:val="auto"/>
              </w:rPr>
              <w:t>($ in thousands)</w:t>
            </w: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2"/>
                <w:szCs w:val="12"/>
                <w:b w:val="1"/>
                <w:bCs w:val="1"/>
                <w:color w:val="auto"/>
                <w:w w:val="97"/>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Sheets</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8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12/15/2019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10/5/2018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276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276</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276</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During the three months ended March 31, 2017 and 2016, the Company received $1.3 million and $1.3 million, respectively, and paid $1.2 million and $1.0 million, respectively, related to the quarterly settlements of its total $115 million notional amount interest rate swaps, which mature on December 15, 2019. The net amounts of these settlements are reductions to interest expense in the Company’s consolidated statements of operations.</w:t>
      </w:r>
    </w:p>
    <w:p>
      <w:pPr>
        <w:spacing w:after="0" w:line="14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During the three months ended March 31, 2017 and 2016, the Company received $0.2 million and $0.1 million, respectively, and paid $0.3 million and $0.3 million, respectively, related to the quarterly settlement of its total $92.5 million notional amount interest rate swaps, which mature on October 5, 2018. The net amounts of these settlements are a reduction to interest income in the Company’s consolidated statements of operations.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March 31, 2017 and 2016, the Company recognized $0.2 million and $1.2 million, respectively, of unrealized appreciation on derivatives in the consolidated statement of operations related to the swap transactions. As of March 31, 2017 and December 31, 2016, the swap transactions had a fair value of $0.2 million and $0.1 million, respectively, which is included in receivable for interest rate swaps on the Company’s consolidated balance sheet.</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2017, $2.6 million of cash is pledged as collateral under the Company’s derivative instruments and is included in restricted cash as a component of cash and cash equivalents on the Company’s consolidated balance sheet. The Company had $1.1 million of cash collateral posted as of December 31, 2016, which is also included in restricted cash as a component of cash and cash equivalents on the Company’s consolidated balance sheet.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2017 and December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11"/>
          </w:tcPr>
          <w:p>
            <w:pPr>
              <w:ind w:left="60"/>
              <w:spacing w:after="0"/>
              <w:rPr>
                <w:sz w:val="20"/>
                <w:szCs w:val="20"/>
                <w:color w:val="auto"/>
              </w:rPr>
            </w:pPr>
            <w:r>
              <w:rPr>
                <w:rFonts w:ascii="Arial" w:cs="Arial" w:eastAsia="Arial" w:hAnsi="Arial"/>
                <w:sz w:val="14"/>
                <w:szCs w:val="14"/>
                <w:b w:val="1"/>
                <w:bCs w:val="1"/>
                <w:color w:val="auto"/>
              </w:rPr>
              <w:t>Fair Value Hierarchy at March 31, 2017</w:t>
            </w:r>
          </w:p>
        </w:tc>
      </w:tr>
      <w:tr>
        <w:trPr>
          <w:trHeight w:val="142"/>
        </w:trPr>
        <w:tc>
          <w:tcPr>
            <w:tcW w:w="5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Level 1</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Level 3</w:t>
            </w:r>
          </w:p>
        </w:tc>
        <w:tc>
          <w:tcPr>
            <w:tcW w:w="8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$120,023</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$1,436,641</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$1,556,664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460"/>
              <w:spacing w:after="0"/>
              <w:rPr>
                <w:sz w:val="20"/>
                <w:szCs w:val="20"/>
                <w:color w:val="auto"/>
              </w:rPr>
            </w:pPr>
            <w:r>
              <w:rPr>
                <w:rFonts w:ascii="Arial" w:cs="Arial" w:eastAsia="Arial" w:hAnsi="Arial"/>
                <w:sz w:val="18"/>
                <w:szCs w:val="18"/>
                <w:color w:val="auto"/>
              </w:rPr>
              <w:t>3,358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3,358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5,986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14,262</w:t>
            </w:r>
          </w:p>
        </w:tc>
        <w:tc>
          <w:tcPr>
            <w:tcW w:w="4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20,256</w:t>
            </w:r>
          </w:p>
        </w:tc>
        <w:tc>
          <w:tcPr>
            <w:tcW w:w="4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8</w:t>
            </w:r>
          </w:p>
        </w:tc>
        <w:tc>
          <w:tcPr>
            <w:tcW w:w="14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$126,009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$1,454,261</w:t>
            </w:r>
          </w:p>
        </w:tc>
        <w:tc>
          <w:tcPr>
            <w:tcW w:w="4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$1,580,278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126,232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1,454,261</w:t>
            </w:r>
          </w:p>
        </w:tc>
        <w:tc>
          <w:tcPr>
            <w:tcW w:w="4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1,580,501</w:t>
            </w:r>
          </w:p>
        </w:tc>
        <w:tc>
          <w:tcPr>
            <w:tcW w:w="4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5"/>
              </w:rPr>
              <w:t>Fair Value Hierarchy at December 31, 2016</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gridSpan w:val="2"/>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$ 145,491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$ 1,454,087</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$ 1,599,578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16,227</w:t>
            </w:r>
          </w:p>
        </w:tc>
        <w:tc>
          <w:tcPr>
            <w:tcW w:w="3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3,350</w:t>
            </w:r>
          </w:p>
        </w:tc>
        <w:tc>
          <w:tcPr>
            <w:tcW w:w="4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19,577</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10,681</w:t>
            </w: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12,465</w:t>
            </w:r>
          </w:p>
        </w:tc>
        <w:tc>
          <w:tcPr>
            <w:tcW w:w="4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27,567</w:t>
            </w:r>
          </w:p>
        </w:tc>
        <w:tc>
          <w:tcPr>
            <w:tcW w:w="4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$ 12,091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$ 175,410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$ 1,469,902</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$ 1,657,403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12,091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$ 175,479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$ 1,469,902</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$ 1,657,472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9"/>
          </w:tcPr>
          <w:p>
            <w:pPr>
              <w:jc w:val="center"/>
              <w:ind w:right="500"/>
              <w:spacing w:after="0"/>
              <w:rPr>
                <w:sz w:val="20"/>
                <w:szCs w:val="20"/>
                <w:color w:val="auto"/>
              </w:rPr>
            </w:pPr>
            <w:r>
              <w:rPr>
                <w:rFonts w:ascii="Arial" w:cs="Arial" w:eastAsia="Arial" w:hAnsi="Arial"/>
                <w:sz w:val="14"/>
                <w:szCs w:val="14"/>
                <w:b w:val="1"/>
                <w:bCs w:val="1"/>
                <w:color w:val="auto"/>
                <w:w w:val="94"/>
              </w:rPr>
              <w:t>As of and for the Three Months Ended March 31, 2017</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9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First-lien</w:t>
            </w:r>
          </w:p>
        </w:tc>
        <w:tc>
          <w:tcPr>
            <w:tcW w:w="520" w:type="dxa"/>
            <w:vAlign w:val="bottom"/>
          </w:tcPr>
          <w:p>
            <w:pPr>
              <w:spacing w:after="0"/>
              <w:rPr>
                <w:sz w:val="10"/>
                <w:szCs w:val="10"/>
                <w:color w:val="auto"/>
              </w:rPr>
            </w:pPr>
          </w:p>
        </w:tc>
        <w:tc>
          <w:tcPr>
            <w:tcW w:w="10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Second-lien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Mezzanine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Equity</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debt</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debt</w:t>
            </w: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62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investments</w:t>
            </w:r>
          </w:p>
        </w:tc>
        <w:tc>
          <w:tcPr>
            <w:tcW w:w="5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investments</w:t>
            </w:r>
          </w:p>
        </w:tc>
        <w:tc>
          <w:tcPr>
            <w:tcW w:w="6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$1,454,087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$1,469,902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820" w:type="dxa"/>
            <w:vAlign w:val="bottom"/>
          </w:tcPr>
          <w:p>
            <w:pPr>
              <w:jc w:val="right"/>
              <w:spacing w:after="0"/>
              <w:rPr>
                <w:sz w:val="20"/>
                <w:szCs w:val="20"/>
                <w:color w:val="auto"/>
              </w:rPr>
            </w:pPr>
            <w:r>
              <w:rPr>
                <w:rFonts w:ascii="Arial" w:cs="Arial" w:eastAsia="Arial" w:hAnsi="Arial"/>
                <w:sz w:val="18"/>
                <w:szCs w:val="18"/>
                <w:color w:val="auto"/>
              </w:rPr>
              <w:t>163,626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163,626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(188,342)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(188,342)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Paid-in-kind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realized losses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1,436,641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1,454,261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9"/>
              <w:spacing w:after="0"/>
              <w:rPr>
                <w:sz w:val="20"/>
                <w:szCs w:val="20"/>
                <w:color w:val="auto"/>
              </w:rPr>
            </w:pPr>
            <w:r>
              <w:rPr>
                <w:rFonts w:ascii="Arial" w:cs="Arial" w:eastAsia="Arial" w:hAnsi="Arial"/>
                <w:sz w:val="18"/>
                <w:szCs w:val="18"/>
                <w:color w:val="auto"/>
              </w:rPr>
              <w:t>F-71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0"/>
          </w:tcPr>
          <w:p>
            <w:pPr>
              <w:jc w:val="center"/>
              <w:ind w:right="480"/>
              <w:spacing w:after="0"/>
              <w:rPr>
                <w:sz w:val="20"/>
                <w:szCs w:val="20"/>
                <w:color w:val="auto"/>
              </w:rPr>
            </w:pPr>
            <w:r>
              <w:rPr>
                <w:rFonts w:ascii="Arial" w:cs="Arial" w:eastAsia="Arial" w:hAnsi="Arial"/>
                <w:sz w:val="14"/>
                <w:szCs w:val="14"/>
                <w:b w:val="1"/>
                <w:bCs w:val="1"/>
                <w:color w:val="auto"/>
                <w:w w:val="93"/>
              </w:rPr>
              <w:t>As of and for the Three Months Ended March 31, 2016</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First-lien</w:t>
            </w:r>
          </w:p>
        </w:tc>
        <w:tc>
          <w:tcPr>
            <w:tcW w:w="260" w:type="dxa"/>
            <w:vAlign w:val="bottom"/>
          </w:tcPr>
          <w:p>
            <w:pPr>
              <w:spacing w:after="0"/>
              <w:rPr>
                <w:sz w:val="10"/>
                <w:szCs w:val="10"/>
                <w:color w:val="auto"/>
              </w:rPr>
            </w:pPr>
          </w:p>
        </w:tc>
        <w:tc>
          <w:tcPr>
            <w:tcW w:w="10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Second-lien</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Mezzanine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260" w:type="dxa"/>
            <w:vAlign w:val="bottom"/>
          </w:tcPr>
          <w:p>
            <w:pPr>
              <w:spacing w:after="0"/>
              <w:rPr>
                <w:sz w:val="12"/>
                <w:szCs w:val="12"/>
                <w:color w:val="auto"/>
              </w:rPr>
            </w:pPr>
          </w:p>
        </w:tc>
        <w:tc>
          <w:tcPr>
            <w:tcW w:w="15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unsecured debt</w:t>
            </w:r>
          </w:p>
        </w:tc>
        <w:tc>
          <w:tcPr>
            <w:tcW w:w="2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$1,229,491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90,442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92,438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92,433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(61,363)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Paid-in-kind interest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1,267,992</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91,416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1,373,423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2017 and 2016:</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4040" w:type="dxa"/>
            <w:vAlign w:val="bottom"/>
          </w:tcPr>
          <w:p>
            <w:pPr>
              <w:spacing w:after="0"/>
              <w:rPr>
                <w:sz w:val="12"/>
                <w:szCs w:val="12"/>
                <w:color w:val="auto"/>
              </w:rPr>
            </w:pPr>
          </w:p>
        </w:tc>
        <w:tc>
          <w:tcPr>
            <w:tcW w:w="352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040" w:type="dxa"/>
            <w:vAlign w:val="bottom"/>
          </w:tcPr>
          <w:p>
            <w:pPr>
              <w:spacing w:after="0"/>
              <w:rPr>
                <w:sz w:val="12"/>
                <w:szCs w:val="12"/>
                <w:color w:val="auto"/>
              </w:rPr>
            </w:pPr>
          </w:p>
        </w:tc>
        <w:tc>
          <w:tcPr>
            <w:tcW w:w="3520" w:type="dxa"/>
            <w:vAlign w:val="bottom"/>
            <w:gridSpan w:val="3"/>
          </w:tcPr>
          <w:p>
            <w:pPr>
              <w:jc w:val="center"/>
              <w:ind w:right="164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94"/>
              </w:rPr>
              <w:t>March 31, 2017 on</w:t>
            </w:r>
          </w:p>
        </w:tc>
        <w:tc>
          <w:tcPr>
            <w:tcW w:w="14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March 31, 2016 on</w:t>
            </w: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gridSpan w:val="2"/>
          </w:tcPr>
          <w:p>
            <w:pPr>
              <w:jc w:val="center"/>
              <w:ind w:right="176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3400" w:type="dxa"/>
            <w:vAlign w:val="bottom"/>
            <w:gridSpan w:val="2"/>
          </w:tcPr>
          <w:p>
            <w:pPr>
              <w:jc w:val="right"/>
              <w:ind w:right="16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Mezzanine and unsecured debt</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1,797</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March 31, 2017 and December 31, 2016. The tables are not intended to be all-inclusive, but instead capture the significant unobservable inputs relevant to the Company’s determination of fair values.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2017</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Unobservable</w:t>
            </w:r>
          </w:p>
        </w:tc>
        <w:tc>
          <w:tcPr>
            <w:tcW w:w="4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4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1,436,641</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5.2% — 12.12% (9.2%)</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3,358</w:t>
            </w:r>
          </w:p>
        </w:tc>
        <w:tc>
          <w:tcPr>
            <w:tcW w:w="16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tcPr>
          <w:p>
            <w:pPr>
              <w:ind w:left="100"/>
              <w:spacing w:after="0"/>
              <w:rPr>
                <w:sz w:val="20"/>
                <w:szCs w:val="20"/>
                <w:color w:val="auto"/>
              </w:rPr>
            </w:pPr>
            <w:r>
              <w:rPr>
                <w:rFonts w:ascii="Arial" w:cs="Arial" w:eastAsia="Arial" w:hAnsi="Arial"/>
                <w:sz w:val="16"/>
                <w:szCs w:val="16"/>
                <w:color w:val="auto"/>
              </w:rPr>
              <w:t>Market yield</w:t>
            </w: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13.5% — 13.5% (13.5%)</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Market Multiple</w:t>
            </w:r>
            <w:r>
              <w:rPr>
                <w:rFonts w:ascii="Arial" w:cs="Arial" w:eastAsia="Arial" w:hAnsi="Arial"/>
                <w:sz w:val="27"/>
                <w:szCs w:val="27"/>
                <w:color w:val="auto"/>
                <w:vertAlign w:val="superscript"/>
              </w:rPr>
              <w:t>(2)</w:t>
            </w:r>
          </w:p>
        </w:tc>
        <w:tc>
          <w:tcPr>
            <w:tcW w:w="1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Comparable</w:t>
            </w:r>
          </w:p>
        </w:tc>
        <w:tc>
          <w:tcPr>
            <w:tcW w:w="4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14,262</w:t>
            </w:r>
          </w:p>
        </w:tc>
        <w:tc>
          <w:tcPr>
            <w:tcW w:w="16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multiple</w:t>
            </w:r>
          </w:p>
        </w:tc>
        <w:tc>
          <w:tcPr>
            <w:tcW w:w="4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8.4x — 13.5x (10.3x)</w:t>
            </w:r>
          </w:p>
        </w:tc>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8"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Includes $77.2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Includes $0.1 million of equity investments which were valued using a weighted valuation approach.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4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6"/>
                <w:szCs w:val="16"/>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1,454,087</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6.6% — 12.9% (9.3%)</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3,350</w:t>
            </w:r>
          </w:p>
        </w:tc>
        <w:tc>
          <w:tcPr>
            <w:tcW w:w="16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Market yield</w:t>
            </w:r>
          </w:p>
        </w:tc>
        <w:tc>
          <w:tcPr>
            <w:tcW w:w="100" w:type="dxa"/>
            <w:vAlign w:val="bottom"/>
          </w:tcPr>
          <w:p>
            <w:pPr>
              <w:spacing w:after="0"/>
              <w:rPr>
                <w:sz w:val="17"/>
                <w:szCs w:val="17"/>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13.6% — 13.6% (13.6%)</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Market Multiple</w:t>
            </w:r>
            <w:r>
              <w:rPr>
                <w:rFonts w:ascii="Arial" w:cs="Arial" w:eastAsia="Arial" w:hAnsi="Arial"/>
                <w:sz w:val="27"/>
                <w:szCs w:val="27"/>
                <w:color w:val="auto"/>
                <w:vertAlign w:val="superscript"/>
              </w:rPr>
              <w:t>(2)</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Comparable</w:t>
            </w:r>
          </w:p>
        </w:tc>
        <w:tc>
          <w:tcPr>
            <w:tcW w:w="10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12,465</w:t>
            </w:r>
          </w:p>
        </w:tc>
        <w:tc>
          <w:tcPr>
            <w:tcW w:w="16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multiple</w:t>
            </w:r>
          </w:p>
        </w:tc>
        <w:tc>
          <w:tcPr>
            <w:tcW w:w="1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8.4x — 13.5x (10.1x)</w:t>
            </w:r>
          </w:p>
        </w:tc>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 waterfall of the asset valuation.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March 31, 2017, approximates its carrying value as the outstanding balance is callable at carrying value. The fair value of the Company’s Convertible Senior Notes, which are categorized as Level 2 within the fair value hierarchy, as of March 31, 2017, was $237.2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2017 and December 31, 2016, the Company’s asset coverage was 255.3% and 237.7%,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2017 and December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2017</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Aggregate Principal</w:t>
            </w:r>
          </w:p>
        </w:tc>
        <w:tc>
          <w:tcPr>
            <w:tcW w:w="300" w:type="dxa"/>
            <w:vAlign w:val="bottom"/>
          </w:tcPr>
          <w:p>
            <w:pPr>
              <w:spacing w:after="0"/>
              <w:rPr>
                <w:sz w:val="15"/>
                <w:szCs w:val="15"/>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88"/>
        </w:trPr>
        <w:tc>
          <w:tcPr>
            <w:tcW w:w="5120" w:type="dxa"/>
            <w:vAlign w:val="bottom"/>
          </w:tcPr>
          <w:p>
            <w:pPr>
              <w:spacing w:after="0"/>
              <w:rPr>
                <w:sz w:val="7"/>
                <w:szCs w:val="7"/>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Committed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390,216</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$ 554,784</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$381,899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3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115,000</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111,134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Senior Notes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115,000</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110,966</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620,216</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$ 554,784</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603,999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and 2022 Convertible Senior Notes are presented net of deferred financing costs of $8.3 million, $2.1 million, and $3.7 million, respectively.</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3"/>
              </w:rPr>
              <w:t>December 31, 2016</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Aggregate Principal</w:t>
            </w:r>
          </w:p>
        </w:tc>
        <w:tc>
          <w:tcPr>
            <w:tcW w:w="300" w:type="dxa"/>
            <w:vAlign w:val="bottom"/>
          </w:tcPr>
          <w:p>
            <w:pPr>
              <w:spacing w:after="0"/>
              <w:rPr>
                <w:sz w:val="15"/>
                <w:szCs w:val="15"/>
                <w:color w:val="auto"/>
              </w:rPr>
            </w:pPr>
          </w:p>
        </w:tc>
        <w:tc>
          <w:tcPr>
            <w:tcW w:w="14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120" w:type="dxa"/>
            <w:vAlign w:val="bottom"/>
          </w:tcPr>
          <w:p>
            <w:pPr>
              <w:spacing w:after="0"/>
              <w:rPr>
                <w:sz w:val="7"/>
                <w:szCs w:val="7"/>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Committed</w:t>
            </w:r>
          </w:p>
        </w:tc>
        <w:tc>
          <w:tcPr>
            <w:tcW w:w="30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3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578,657</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$ 366,343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$569,919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115,000</w:t>
            </w:r>
          </w:p>
        </w:tc>
        <w:tc>
          <w:tcPr>
            <w:tcW w:w="6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110,790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693,657</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$ 366,343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680,709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2017 and 2016,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2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Commitment fees</w:t>
            </w:r>
          </w:p>
        </w:tc>
        <w:tc>
          <w:tcPr>
            <w:tcW w:w="320" w:type="dxa"/>
            <w:vAlign w:val="bottom"/>
          </w:tcPr>
          <w:p>
            <w:pPr>
              <w:spacing w:after="0"/>
              <w:rPr>
                <w:sz w:val="18"/>
                <w:szCs w:val="18"/>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20" w:type="dxa"/>
            <w:vAlign w:val="bottom"/>
          </w:tcPr>
          <w:p>
            <w:pPr>
              <w:spacing w:after="0"/>
              <w:rPr>
                <w:sz w:val="18"/>
                <w:szCs w:val="18"/>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r>
              <w:rPr>
                <w:rFonts w:ascii="Arial" w:cs="Arial" w:eastAsia="Arial" w:hAnsi="Arial"/>
                <w:sz w:val="15"/>
                <w:szCs w:val="15"/>
                <w:color w:val="auto"/>
              </w:rPr>
              <w:t>(1)</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2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699.3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2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20" w:type="dxa"/>
            <w:vAlign w:val="bottom"/>
          </w:tcPr>
          <w:p>
            <w:pPr>
              <w:spacing w:after="0"/>
              <w:rPr>
                <w:sz w:val="18"/>
                <w:szCs w:val="18"/>
                <w:color w:val="auto"/>
              </w:rPr>
            </w:pPr>
          </w:p>
        </w:tc>
        <w:tc>
          <w:tcPr>
            <w:tcW w:w="1840" w:type="dxa"/>
            <w:vAlign w:val="bottom"/>
            <w:gridSpan w:val="2"/>
          </w:tcPr>
          <w:p>
            <w:pPr>
              <w:jc w:val="right"/>
              <w:ind w:right="1060"/>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Average 1-month LIBOR rate</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0.83%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r>
    </w:tbl>
    <w:p>
      <w:pPr>
        <w:spacing w:after="0" w:line="229"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Includes the quarterly settlement of the interest rate swap related to the Company’s 2019 Convertible Senior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340"/>
          </w:cols>
          <w:pgMar w:left="240" w:top="460" w:right="3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31" w:lineRule="exact"/>
        <w:rPr>
          <w:sz w:val="20"/>
          <w:szCs w:val="20"/>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Company may borrow amounts in U.S. dollars or certain other permitted currencies. As of March 31, 2017, the Company had outstanding debt denominated in Euro (EUR) of 40.9 million on its Revolving Credit Facility, included in the Outstanding Principal amount in the table above.</w:t>
      </w:r>
    </w:p>
    <w:p>
      <w:pPr>
        <w:spacing w:after="0" w:line="12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80"/>
          </w:cols>
          <w:pgMar w:left="240" w:top="459" w:right="3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2019 Convertible Senior Notes at their option at any time prior to June 15, 2019 only under the following circumstances:</w:t>
      </w:r>
    </w:p>
    <w:p>
      <w:pPr>
        <w:spacing w:after="0" w:line="46" w:lineRule="exact"/>
        <w:rPr>
          <w:sz w:val="20"/>
          <w:szCs w:val="20"/>
          <w:color w:val="auto"/>
        </w:rPr>
      </w:pPr>
    </w:p>
    <w:p>
      <w:pPr>
        <w:ind w:right="20" w:firstLine="8"/>
        <w:spacing w:after="0" w:line="281" w:lineRule="auto"/>
        <w:tabs>
          <w:tab w:leader="none" w:pos="2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20" w:firstLine="8"/>
        <w:spacing w:after="0" w:line="292" w:lineRule="auto"/>
        <w:tabs>
          <w:tab w:leader="none" w:pos="2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may convert their 2022 Convertible Senior Notes at their option at any time prior to February 1, 2022 only under the following circumstances:</w:t>
      </w:r>
    </w:p>
    <w:p>
      <w:pPr>
        <w:spacing w:after="0" w:line="46" w:lineRule="exact"/>
        <w:rPr>
          <w:sz w:val="20"/>
          <w:szCs w:val="20"/>
          <w:color w:val="auto"/>
        </w:rPr>
      </w:pPr>
    </w:p>
    <w:p>
      <w:pPr>
        <w:ind w:right="80" w:firstLine="8"/>
        <w:spacing w:after="0" w:line="287" w:lineRule="auto"/>
        <w:tabs>
          <w:tab w:leader="none" w:pos="2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2017 and 2016, the components of interest expense related to the Convertible Senior Notes were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2017</w:t>
            </w:r>
          </w:p>
        </w:tc>
        <w:tc>
          <w:tcPr>
            <w:tcW w:w="2040" w:type="dxa"/>
            <w:vAlign w:val="bottom"/>
            <w:gridSpan w:val="4"/>
          </w:tcPr>
          <w:p>
            <w:pPr>
              <w:ind w:left="1020"/>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Convertible Senior Notes. During the three months ended March 31, 2017 and 2016, the Company received $1.3 million and $1.3 million, respectively, and paid $1.2 million and $1.0 million, respectively, related to the quarterly settlements of its interest rate swaps related to the Convertible Senior Notes. These net amounts are reductions to interest expense in the Company’s consolidated statements of operations. Please see Note 5 for further information about the Company’s interest rate swaps.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2017, the principal amount of the 2019 and 2022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2017, the components of the carrying value of the 2019 and 2022 Convertible Senior Notes and the stated interest rate were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760" w:type="dxa"/>
            <w:vAlign w:val="bottom"/>
            <w:gridSpan w:val="4"/>
          </w:tcPr>
          <w:p>
            <w:pPr>
              <w:ind w:left="2260"/>
              <w:spacing w:after="0"/>
              <w:rPr>
                <w:sz w:val="20"/>
                <w:szCs w:val="20"/>
                <w:color w:val="auto"/>
              </w:rPr>
            </w:pPr>
            <w:r>
              <w:rPr>
                <w:rFonts w:ascii="Arial" w:cs="Arial" w:eastAsia="Arial" w:hAnsi="Arial"/>
                <w:sz w:val="14"/>
                <w:szCs w:val="14"/>
                <w:b w:val="1"/>
                <w:bCs w:val="1"/>
                <w:color w:val="auto"/>
              </w:rPr>
              <w:t>December 2019</w:t>
            </w: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August 2022</w:t>
            </w:r>
          </w:p>
        </w:tc>
      </w:tr>
      <w:tr>
        <w:trPr>
          <w:trHeight w:val="149"/>
        </w:trPr>
        <w:tc>
          <w:tcPr>
            <w:tcW w:w="3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Convertible</w:t>
            </w:r>
          </w:p>
        </w:tc>
      </w:tr>
      <w:tr>
        <w:trPr>
          <w:trHeight w:val="171"/>
        </w:trPr>
        <w:tc>
          <w:tcPr>
            <w:tcW w:w="3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Senior Notes</w:t>
            </w:r>
          </w:p>
        </w:tc>
        <w:tc>
          <w:tcPr>
            <w:tcW w:w="1400" w:type="dxa"/>
            <w:vAlign w:val="bottom"/>
            <w:gridSpan w:val="4"/>
          </w:tcPr>
          <w:p>
            <w:pPr>
              <w:ind w:left="400"/>
              <w:spacing w:after="0"/>
              <w:rPr>
                <w:sz w:val="20"/>
                <w:szCs w:val="20"/>
                <w:color w:val="auto"/>
              </w:rPr>
            </w:pPr>
            <w:r>
              <w:rPr>
                <w:rFonts w:ascii="Arial" w:cs="Arial" w:eastAsia="Arial" w:hAnsi="Arial"/>
                <w:sz w:val="14"/>
                <w:szCs w:val="14"/>
                <w:b w:val="1"/>
                <w:bCs w:val="1"/>
                <w:color w:val="auto"/>
              </w:rPr>
              <w:t>Senior Notes</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(1,775)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(3,687)</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Carrying value of debt</w:t>
            </w:r>
          </w:p>
        </w:tc>
        <w:tc>
          <w:tcPr>
            <w:tcW w:w="2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111,134</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110,967</w:t>
            </w:r>
          </w:p>
        </w:tc>
        <w:tc>
          <w:tcPr>
            <w:tcW w:w="20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365"/>
        </w:trPr>
        <w:tc>
          <w:tcPr>
            <w:tcW w:w="3520" w:type="dxa"/>
            <w:vAlign w:val="bottom"/>
          </w:tcPr>
          <w:p>
            <w:pPr>
              <w:spacing w:after="0"/>
              <w:rPr>
                <w:sz w:val="24"/>
                <w:szCs w:val="24"/>
                <w:color w:val="auto"/>
              </w:rPr>
            </w:pPr>
          </w:p>
        </w:tc>
        <w:tc>
          <w:tcPr>
            <w:tcW w:w="2360" w:type="dxa"/>
            <w:vAlign w:val="bottom"/>
            <w:gridSpan w:val="2"/>
          </w:tcPr>
          <w:p>
            <w:pPr>
              <w:ind w:left="640"/>
              <w:spacing w:after="0"/>
              <w:rPr>
                <w:sz w:val="20"/>
                <w:szCs w:val="20"/>
                <w:color w:val="auto"/>
              </w:rPr>
            </w:pPr>
            <w:r>
              <w:rPr>
                <w:rFonts w:ascii="Arial" w:cs="Arial" w:eastAsia="Arial" w:hAnsi="Arial"/>
                <w:sz w:val="18"/>
                <w:szCs w:val="18"/>
                <w:color w:val="auto"/>
              </w:rPr>
              <w:t>F-78</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2019 and 2022 Convertible Senior Notes is three month LIBOR plus 286 basis points, and three month LIBOR plus 237.2 basis points, respectively. Please see Note 5 for further information about the Company’s interest rate swaps.</w:t>
      </w:r>
    </w:p>
    <w:p>
      <w:pPr>
        <w:spacing w:after="0" w:line="18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2017, the Company was in compliance with the terms of the indentures governing the 2019 and 2022 Convertible Senior Notes.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and December 31, 2016,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of March 31, 2017 and December 31, 2016, the Company had the following commitments to fund investments in current portfolio companies: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1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8"/>
              </w:rPr>
              <w:t>2,000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CrunchTime Information Systems, Inc. - Delayed Draw</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2,000</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8"/>
              </w:rPr>
              <w:t>2,486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Eddie Bauer - Delayed Draw</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2,000</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 - Revolver</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8"/>
              </w:rPr>
              <w:t>3,972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4,139</w:t>
            </w:r>
          </w:p>
        </w:tc>
      </w:tr>
      <w:tr>
        <w:trPr>
          <w:trHeight w:val="365"/>
        </w:trPr>
        <w:tc>
          <w:tcPr>
            <w:tcW w:w="4320" w:type="dxa"/>
            <w:vAlign w:val="bottom"/>
          </w:tcPr>
          <w:p>
            <w:pPr>
              <w:spacing w:after="0"/>
              <w:rPr>
                <w:sz w:val="24"/>
                <w:szCs w:val="24"/>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rPr>
              <w:t>F-79</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2017</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Helix Health Ltd. - Revolver</w:t>
            </w: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Leaf US Holdings, Inc. - Revolver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Marketo, Inc. - Revolver</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1,875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My Alarm Center, LLC - Delayed Draw</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PayLease, LLC - Revolver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PaySimple - Revolver</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Sailpoint Technologies, Inc. - Revolver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2,143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Sovos Compliance, LLC - Revolver</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36,235</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2017, the Company had no additional unfunded commitments to fund investments to new borrowers that were not current portfolio companies as of March 31, 2017. As of December 31, 2016, the Company had additional unfunded commitments of $50.0 million to fund investments to new borrowers that were not current portfolio companies as of December 31, 2016.</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2017 and December 31, 2016,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2017 and 2016.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80" w:type="dxa"/>
            <w:vAlign w:val="bottom"/>
            <w:tcBorders>
              <w:bottom w:val="single" w:sz="8" w:color="auto"/>
            </w:tcBorders>
            <w:gridSpan w:val="4"/>
          </w:tcPr>
          <w:p>
            <w:pPr>
              <w:ind w:left="1520"/>
              <w:spacing w:after="0"/>
              <w:rPr>
                <w:sz w:val="20"/>
                <w:szCs w:val="20"/>
                <w:color w:val="auto"/>
              </w:rPr>
            </w:pPr>
            <w:r>
              <w:rPr>
                <w:rFonts w:ascii="Arial" w:cs="Arial" w:eastAsia="Arial" w:hAnsi="Arial"/>
                <w:sz w:val="14"/>
                <w:szCs w:val="14"/>
                <w:b w:val="1"/>
                <w:bCs w:val="1"/>
                <w:color w:val="auto"/>
              </w:rPr>
              <w:t>Three Months Ended March 31, 2017</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0"/>
                <w:szCs w:val="10"/>
                <w:color w:val="auto"/>
              </w:rPr>
            </w:pP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Record Date</w:t>
            </w:r>
          </w:p>
        </w:tc>
        <w:tc>
          <w:tcPr>
            <w:tcW w:w="520" w:type="dxa"/>
            <w:vAlign w:val="bottom"/>
            <w:vMerge w:val="restart"/>
          </w:tcPr>
          <w:p>
            <w:pPr>
              <w:spacing w:after="0"/>
              <w:rPr>
                <w:sz w:val="10"/>
                <w:szCs w:val="10"/>
                <w:color w:val="auto"/>
              </w:rPr>
            </w:pPr>
          </w:p>
        </w:tc>
        <w:tc>
          <w:tcPr>
            <w:tcW w:w="20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Date</w:t>
            </w: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6"/>
              </w:rPr>
              <w:t>Shares Issued</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5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2016</w:t>
            </w:r>
          </w:p>
        </w:tc>
        <w:tc>
          <w:tcPr>
            <w:tcW w:w="1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December 31, 2016</w:t>
            </w: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February 1, 2017</w:t>
            </w:r>
          </w:p>
        </w:tc>
        <w:tc>
          <w:tcPr>
            <w:tcW w:w="5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40" w:type="dxa"/>
            <w:vAlign w:val="bottom"/>
            <w:gridSpan w:val="2"/>
            <w:vMerge w:val="restart"/>
          </w:tcPr>
          <w:p>
            <w:pPr>
              <w:ind w:left="420"/>
              <w:spacing w:after="0"/>
              <w:rPr>
                <w:sz w:val="20"/>
                <w:szCs w:val="20"/>
                <w:color w:val="auto"/>
              </w:rPr>
            </w:pPr>
            <w:r>
              <w:rPr>
                <w:rFonts w:ascii="Arial" w:cs="Arial" w:eastAsia="Arial" w:hAnsi="Arial"/>
                <w:sz w:val="18"/>
                <w:szCs w:val="18"/>
                <w:color w:val="auto"/>
              </w:rPr>
              <w:t>F-80</w:t>
            </w: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80" w:type="dxa"/>
            <w:vAlign w:val="bottom"/>
            <w:tcBorders>
              <w:bottom w:val="single" w:sz="8" w:color="auto"/>
            </w:tcBorders>
            <w:gridSpan w:val="4"/>
          </w:tcPr>
          <w:p>
            <w:pPr>
              <w:ind w:left="1520"/>
              <w:spacing w:after="0"/>
              <w:rPr>
                <w:sz w:val="20"/>
                <w:szCs w:val="20"/>
                <w:color w:val="auto"/>
              </w:rPr>
            </w:pPr>
            <w:r>
              <w:rPr>
                <w:rFonts w:ascii="Arial" w:cs="Arial" w:eastAsia="Arial" w:hAnsi="Arial"/>
                <w:sz w:val="14"/>
                <w:szCs w:val="14"/>
                <w:b w:val="1"/>
                <w:bCs w:val="1"/>
                <w:color w:val="auto"/>
              </w:rPr>
              <w:t>Three Months Ended March 31, 2016</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0"/>
                <w:szCs w:val="10"/>
                <w:color w:val="auto"/>
              </w:rPr>
            </w:pP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Record Date</w:t>
            </w:r>
          </w:p>
        </w:tc>
        <w:tc>
          <w:tcPr>
            <w:tcW w:w="520" w:type="dxa"/>
            <w:vAlign w:val="bottom"/>
            <w:vMerge w:val="restart"/>
          </w:tcPr>
          <w:p>
            <w:pPr>
              <w:spacing w:after="0"/>
              <w:rPr>
                <w:sz w:val="10"/>
                <w:szCs w:val="10"/>
                <w:color w:val="auto"/>
              </w:rPr>
            </w:pPr>
          </w:p>
        </w:tc>
        <w:tc>
          <w:tcPr>
            <w:tcW w:w="20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Date</w:t>
            </w: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6"/>
              </w:rPr>
              <w:t>Shares Issued</w:t>
            </w:r>
          </w:p>
        </w:tc>
        <w:tc>
          <w:tcPr>
            <w:tcW w:w="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5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2015</w:t>
            </w:r>
          </w:p>
        </w:tc>
        <w:tc>
          <w:tcPr>
            <w:tcW w:w="1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December 31, 2015</w:t>
            </w: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February 1, 2016</w:t>
            </w:r>
          </w:p>
        </w:tc>
        <w:tc>
          <w:tcPr>
            <w:tcW w:w="5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During the three months ended March 31, 2017, no shares were repurchased under the Company 10b5-1 Plan. During the three months ended March 31, 2016, the Company repurchased 86,081 shares under the Company 10b5-1 Plan at a weighted average price per share of $15.44, inclusive of commissions, for a total cost of $1.3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31, 2017</w:t>
            </w:r>
          </w:p>
        </w:tc>
        <w:tc>
          <w:tcPr>
            <w:tcW w:w="192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auto"/>
                <w:w w:val="94"/>
              </w:rPr>
              <w:t>March 31, 2016</w:t>
            </w:r>
          </w:p>
        </w:tc>
        <w:tc>
          <w:tcPr>
            <w:tcW w:w="6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 outstanding—basic</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59,796,731</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55,802,270</w:t>
            </w:r>
          </w:p>
        </w:tc>
        <w:tc>
          <w:tcPr>
            <w:tcW w:w="6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closing price of the Company’s common stock for the three months ended March 31, 2017 was less than the conversion price for the 2019 and 2022 Convertible Senior Notes outstanding as of March 31, 2017. Therefore, for all periods presented in the consolidated financial statements, the underlying shares for the intrinsic value of the embedded options in the 2019 and 2022 Convertible Senior Notes have no impact on the computation of diluted earnings per common share.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360"/>
          </w:cols>
          <w:pgMar w:left="240" w:top="459" w:right="2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2017 and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Date Declared</w:t>
            </w: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4"/>
              </w:rPr>
              <w:t>March 31, 2017</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15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22, 2017</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April 7, 2017</w:t>
            </w:r>
          </w:p>
        </w:tc>
        <w:tc>
          <w:tcPr>
            <w:tcW w:w="500" w:type="dxa"/>
            <w:vAlign w:val="bottom"/>
            <w:tcBorders>
              <w:top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76"/>
              </w:rPr>
              <w:t>(1)</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28, 2017</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Date Declared</w:t>
            </w: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4"/>
              </w:rPr>
              <w:t>March 31, 2016</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Record Date</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3"/>
          </w:tcPr>
          <w:p>
            <w:pPr>
              <w:jc w:val="center"/>
              <w:ind w:right="80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2016</w:t>
            </w: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March 31, 2016</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29, 2016</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60" w:hanging="452"/>
        <w:spacing w:after="0" w:line="259"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three months ended March 31, 2017 and 2016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three months ended March 31, 2017 and 2016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31, 2017</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Capital Gains</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the three months ended March 31, 2017 and 2016, 88.5% and 81.8% of ordinary income qualified as interest related dividend which is exempt from U.S. withholding tax applicable to non U.S.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reconciles increase in net assets resulting from operations for the three months ended March 31, 2017 and 2016 to taxable income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2016</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income (loss) for tax purposes, not book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2,638</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33,466</w:t>
            </w:r>
          </w:p>
        </w:tc>
        <w:tc>
          <w:tcPr>
            <w:tcW w:w="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24,276</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Note: Taxable income as presented in the preceding table is an estimate and is not fully determined until the Company’s tax return is filed.</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the three months ended March 31, 2017, permanent differences were principally related to $8.0 million of recharacterization of prepayment penalties and fees for tax purposes between ordinary income and capital gains, $0.8 million attributable to accrued U.S. federal excise taxes, and $0.6 million attributable to foreign currency reclassifications. During the three months ended March 31, 2016, permanent differences were principally related to $1.6 million of recharacterization of prepayment penalties for tax purposes between ordinary income and capital gains, $0.4 million attributable to accrued U.S. federal excise taxes, and $0.2 million attributable to foreign currency reclassifications.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31, 2017 and December 31, 2016, the Company had deferred tax assets of $3.1 million and $3.1 million, respectively, pertaining to operating losses, related to one of its investments. Given the losses generated by the entity, the deferred tax assets have been offset by valuation allowances of $3.1 million and $3.1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March 31, 2017 and December 31, 2016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three months ended March 31, 2017 and 2016.</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8"/>
              </w:rPr>
              <w:t>March 31, 2017</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2016</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5"/>
                <w:szCs w:val="15"/>
                <w:b w:val="1"/>
                <w:bCs w:val="1"/>
                <w:color w:val="auto"/>
              </w:rPr>
              <w:t>(7)</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15.95</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operations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Issuance of common stock, net of offering costs</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Total increase (decrease) in net assets</w:t>
            </w:r>
          </w:p>
        </w:tc>
        <w:tc>
          <w:tcPr>
            <w:tcW w:w="8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20"/>
                <w:szCs w:val="20"/>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16.04</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8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59,839,041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59,225,688</w:t>
            </w: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Ratios / Supplemental Data</w:t>
            </w:r>
            <w:r>
              <w:rPr>
                <w:rFonts w:ascii="Arial" w:cs="Arial" w:eastAsia="Arial" w:hAnsi="Arial"/>
                <w:sz w:val="15"/>
                <w:szCs w:val="15"/>
                <w:b w:val="1"/>
                <w:bCs w:val="1"/>
                <w:color w:val="auto"/>
              </w:rPr>
              <w:t>(5)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(6)</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11.93%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10.82%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16.13%</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959,641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894,671</w:t>
            </w:r>
          </w:p>
        </w:tc>
        <w:tc>
          <w:tcPr>
            <w:tcW w:w="200" w:type="dxa"/>
            <w:vAlign w:val="bottom"/>
          </w:tcPr>
          <w:p>
            <w:pPr>
              <w:spacing w:after="0"/>
              <w:rPr>
                <w:sz w:val="20"/>
                <w:szCs w:val="20"/>
                <w:color w:val="auto"/>
              </w:rPr>
            </w:pPr>
          </w:p>
        </w:tc>
      </w:tr>
    </w:tbl>
    <w:p>
      <w:pPr>
        <w:spacing w:after="0" w:line="93"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three months ended March 31, 2017 and 2016 is 44.97% and 7.40%, respectively.</w:t>
      </w:r>
    </w:p>
    <w:p>
      <w:pPr>
        <w:spacing w:after="0" w:line="1"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three months ended March 31, 2017 and 2016 is 12.04% and 9.28%,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9.17% for the three months ended March 31, 2016. The Adviser did not waive any Management Fees or Incentive Fees for the three months ended March 31, 2017.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rPr>
              <w:t>TPG SPECIALTY LENDING, INC.</w:t>
            </w: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5"/>
              </w:rPr>
              <w:t>PART C</w:t>
            </w:r>
          </w:p>
        </w:tc>
        <w:tc>
          <w:tcPr>
            <w:tcW w:w="130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4"/>
              </w:rPr>
              <w:t>Other Information</w:t>
            </w:r>
          </w:p>
        </w:tc>
        <w:tc>
          <w:tcPr>
            <w:tcW w:w="1300" w:type="dxa"/>
            <w:vAlign w:val="bottom"/>
          </w:tcPr>
          <w:p>
            <w:pPr>
              <w:spacing w:after="0"/>
              <w:rPr>
                <w:sz w:val="20"/>
                <w:szCs w:val="20"/>
                <w:color w:val="auto"/>
              </w:rPr>
            </w:pPr>
          </w:p>
        </w:tc>
      </w:tr>
      <w:tr>
        <w:trPr>
          <w:trHeight w:val="581"/>
        </w:trPr>
        <w:tc>
          <w:tcPr>
            <w:tcW w:w="90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20" w:type="dxa"/>
            <w:vAlign w:val="bottom"/>
            <w:gridSpan w:val="14"/>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1300" w:type="dxa"/>
            <w:vAlign w:val="bottom"/>
          </w:tcPr>
          <w:p>
            <w:pPr>
              <w:spacing w:after="0"/>
              <w:rPr>
                <w:sz w:val="24"/>
                <w:szCs w:val="24"/>
                <w:color w:val="auto"/>
              </w:rPr>
            </w:pPr>
          </w:p>
        </w:tc>
      </w:tr>
      <w:tr>
        <w:trPr>
          <w:trHeight w:val="324"/>
        </w:trPr>
        <w:tc>
          <w:tcPr>
            <w:tcW w:w="10120" w:type="dxa"/>
            <w:vAlign w:val="bottom"/>
            <w:gridSpan w:val="15"/>
          </w:tcPr>
          <w:p>
            <w:pPr>
              <w:spacing w:after="0"/>
              <w:rPr>
                <w:sz w:val="20"/>
                <w:szCs w:val="20"/>
                <w:color w:val="auto"/>
              </w:rPr>
            </w:pPr>
            <w:r>
              <w:rPr>
                <w:rFonts w:ascii="Arial" w:cs="Arial" w:eastAsia="Arial" w:hAnsi="Arial"/>
                <w:sz w:val="18"/>
                <w:szCs w:val="18"/>
                <w:b w:val="1"/>
                <w:bCs w:val="1"/>
                <w:color w:val="auto"/>
              </w:rPr>
              <w:t>(1) Financial Statements</w:t>
            </w:r>
          </w:p>
        </w:tc>
        <w:tc>
          <w:tcPr>
            <w:tcW w:w="1300" w:type="dxa"/>
            <w:vAlign w:val="bottom"/>
          </w:tcPr>
          <w:p>
            <w:pPr>
              <w:spacing w:after="0"/>
              <w:rPr>
                <w:sz w:val="24"/>
                <w:szCs w:val="24"/>
                <w:color w:val="auto"/>
              </w:rPr>
            </w:pPr>
          </w:p>
        </w:tc>
      </w:tr>
      <w:tr>
        <w:trPr>
          <w:trHeight w:val="324"/>
        </w:trPr>
        <w:tc>
          <w:tcPr>
            <w:tcW w:w="10120" w:type="dxa"/>
            <w:vAlign w:val="bottom"/>
            <w:gridSpan w:val="15"/>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00" w:type="dxa"/>
            <w:vAlign w:val="bottom"/>
          </w:tcPr>
          <w:p>
            <w:pPr>
              <w:spacing w:after="0"/>
              <w:rPr>
                <w:sz w:val="24"/>
                <w:szCs w:val="24"/>
                <w:color w:val="auto"/>
              </w:rPr>
            </w:pPr>
          </w:p>
        </w:tc>
      </w:tr>
      <w:tr>
        <w:trPr>
          <w:trHeight w:val="445"/>
        </w:trPr>
        <w:tc>
          <w:tcPr>
            <w:tcW w:w="10120" w:type="dxa"/>
            <w:vAlign w:val="bottom"/>
            <w:gridSpan w:val="15"/>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00" w:type="dxa"/>
            <w:vAlign w:val="bottom"/>
          </w:tcPr>
          <w:p>
            <w:pPr>
              <w:spacing w:after="0"/>
              <w:rPr>
                <w:sz w:val="24"/>
                <w:szCs w:val="24"/>
                <w:color w:val="auto"/>
              </w:rPr>
            </w:pPr>
          </w:p>
        </w:tc>
      </w:tr>
      <w:tr>
        <w:trPr>
          <w:trHeight w:val="190"/>
        </w:trPr>
        <w:tc>
          <w:tcPr>
            <w:tcW w:w="10120" w:type="dxa"/>
            <w:vAlign w:val="bottom"/>
            <w:gridSpan w:val="15"/>
          </w:tcPr>
          <w:p>
            <w:pPr>
              <w:spacing w:after="0" w:line="190" w:lineRule="exact"/>
              <w:rPr>
                <w:rFonts w:ascii="Arial" w:cs="Arial" w:eastAsia="Arial" w:hAnsi="Arial"/>
                <w:sz w:val="18"/>
                <w:szCs w:val="18"/>
                <w:color w:val="0000EE"/>
              </w:rPr>
            </w:pPr>
            <w:hyperlink w:anchor="page196">
              <w:r>
                <w:rPr>
                  <w:rFonts w:ascii="Arial" w:cs="Arial" w:eastAsia="Arial" w:hAnsi="Arial"/>
                  <w:sz w:val="18"/>
                  <w:szCs w:val="18"/>
                  <w:color w:val="0000EE"/>
                </w:rPr>
                <w:t>Report of Independent Registered Public Accounting Firm</w:t>
              </w:r>
            </w:hyperlink>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Consolidated Balance Sheets as of December 31, 2016 and 2015</w:t>
              </w:r>
            </w:hyperlink>
          </w:p>
        </w:tc>
        <w:tc>
          <w:tcPr>
            <w:tcW w:w="5460" w:type="dxa"/>
            <w:vAlign w:val="bottom"/>
            <w:gridSpan w:val="1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Consolidated Statements of Operations for the Years Ended December 31, 2016, 2015 and 2014</w:t>
              </w:r>
            </w:hyperlink>
          </w:p>
        </w:tc>
        <w:tc>
          <w:tcPr>
            <w:tcW w:w="316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120" w:type="dxa"/>
            <w:vAlign w:val="bottom"/>
            <w:gridSpan w:val="15"/>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Schedules of Investments as of December 31, 2016 and 2015</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120" w:type="dxa"/>
            <w:vAlign w:val="bottom"/>
            <w:gridSpan w:val="15"/>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Changes in Net Assets for the Years Ended December 31, 2016, 2015 and 2014</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Consolidated Statements of Cash Flows for the Years Ended December 31, 2016, 2015 and 2014</w:t>
              </w:r>
            </w:hyperlink>
          </w:p>
        </w:tc>
        <w:tc>
          <w:tcPr>
            <w:tcW w:w="720" w:type="dxa"/>
            <w:vAlign w:val="bottom"/>
            <w:tcBorders>
              <w:top w:val="single" w:sz="8" w:color="0000EE"/>
            </w:tcBorders>
            <w:gridSpan w:val="4"/>
          </w:tcPr>
          <w:p>
            <w:pPr>
              <w:spacing w:after="0"/>
              <w:rPr>
                <w:sz w:val="17"/>
                <w:szCs w:val="17"/>
                <w:color w:val="auto"/>
              </w:rPr>
            </w:pPr>
          </w:p>
        </w:tc>
        <w:tc>
          <w:tcPr>
            <w:tcW w:w="238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Notes to Consolidated Financial Statements</w:t>
              </w:r>
            </w:hyperlink>
          </w:p>
        </w:tc>
        <w:tc>
          <w:tcPr>
            <w:tcW w:w="6960" w:type="dxa"/>
            <w:vAlign w:val="bottom"/>
            <w:gridSpan w:val="1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330"/>
        </w:trPr>
        <w:tc>
          <w:tcPr>
            <w:tcW w:w="10120" w:type="dxa"/>
            <w:vAlign w:val="bottom"/>
            <w:gridSpan w:val="15"/>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300" w:type="dxa"/>
            <w:vAlign w:val="bottom"/>
          </w:tcPr>
          <w:p>
            <w:pPr>
              <w:spacing w:after="0"/>
              <w:rPr>
                <w:sz w:val="24"/>
                <w:szCs w:val="24"/>
                <w:color w:val="auto"/>
              </w:rPr>
            </w:pPr>
          </w:p>
        </w:tc>
      </w:tr>
      <w:tr>
        <w:trPr>
          <w:trHeight w:val="190"/>
        </w:trPr>
        <w:tc>
          <w:tcPr>
            <w:tcW w:w="636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240">
              <w:r>
                <w:rPr>
                  <w:rFonts w:ascii="Arial" w:cs="Arial" w:eastAsia="Arial" w:hAnsi="Arial"/>
                  <w:sz w:val="18"/>
                  <w:szCs w:val="18"/>
                  <w:color w:val="0000EE"/>
                  <w:w w:val="89"/>
                </w:rPr>
                <w:t>Consolidated Balance Sheets as of March 31, 2017 (Unaudited) and December 31, 2016</w:t>
              </w:r>
            </w:hyperlink>
          </w:p>
        </w:tc>
        <w:tc>
          <w:tcPr>
            <w:tcW w:w="3760" w:type="dxa"/>
            <w:vAlign w:val="bottom"/>
            <w:gridSpan w:val="8"/>
          </w:tcPr>
          <w:p>
            <w:pPr>
              <w:spacing w:after="0"/>
              <w:rPr>
                <w:sz w:val="16"/>
                <w:szCs w:val="16"/>
                <w:color w:val="auto"/>
              </w:rPr>
            </w:pP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F-46</w:t>
            </w:r>
          </w:p>
        </w:tc>
      </w:tr>
      <w:tr>
        <w:trPr>
          <w:trHeight w:val="196"/>
        </w:trPr>
        <w:tc>
          <w:tcPr>
            <w:tcW w:w="7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Consolidated Statements of Operations for the three months ended March 31, 2017 and 2016 (Unaudited)</w:t>
              </w:r>
            </w:hyperlink>
          </w:p>
        </w:tc>
        <w:tc>
          <w:tcPr>
            <w:tcW w:w="250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F-47</w:t>
            </w:r>
          </w:p>
        </w:tc>
      </w:tr>
      <w:tr>
        <w:trPr>
          <w:trHeight w:val="196"/>
        </w:trPr>
        <w:tc>
          <w:tcPr>
            <w:tcW w:w="10120" w:type="dxa"/>
            <w:vAlign w:val="bottom"/>
            <w:gridSpan w:val="15"/>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Consolidated Schedules of Investments as of March 31, 2017 (Unaudited) and December 31, 2016</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r>
      <w:tr>
        <w:trPr>
          <w:trHeight w:val="20"/>
        </w:trPr>
        <w:tc>
          <w:tcPr>
            <w:tcW w:w="4080" w:type="dxa"/>
            <w:vAlign w:val="bottom"/>
            <w:gridSpan w:val="3"/>
            <w:shd w:val="clear" w:color="auto" w:fill="0000EE"/>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120" w:type="dxa"/>
            <w:vAlign w:val="bottom"/>
            <w:gridSpan w:val="15"/>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Consolidated Statements of Changes in Net Assets for the three months ended March 31, 2017 and 2016 (Unaudited)</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196"/>
        </w:trPr>
        <w:tc>
          <w:tcPr>
            <w:tcW w:w="844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252">
              <w:r>
                <w:rPr>
                  <w:rFonts w:ascii="Arial" w:cs="Arial" w:eastAsia="Arial" w:hAnsi="Arial"/>
                  <w:sz w:val="18"/>
                  <w:szCs w:val="18"/>
                  <w:color w:val="0000EE"/>
                  <w:w w:val="99"/>
                </w:rPr>
                <w:t>Consolidated Statements of Cash Flows for the three months ended March 31, 2017 and 2016 (Unaudited)</w:t>
              </w:r>
            </w:hyperlink>
          </w:p>
        </w:tc>
        <w:tc>
          <w:tcPr>
            <w:tcW w:w="16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196"/>
        </w:trPr>
        <w:tc>
          <w:tcPr>
            <w:tcW w:w="4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53">
              <w:r>
                <w:rPr>
                  <w:rFonts w:ascii="Arial" w:cs="Arial" w:eastAsia="Arial" w:hAnsi="Arial"/>
                  <w:sz w:val="18"/>
                  <w:szCs w:val="18"/>
                  <w:color w:val="0000EE"/>
                  <w:w w:val="90"/>
                </w:rPr>
                <w:t>Notes to Consolidated Financial Statements (Unaudited)</w:t>
              </w:r>
            </w:hyperlink>
          </w:p>
        </w:tc>
        <w:tc>
          <w:tcPr>
            <w:tcW w:w="3580" w:type="dxa"/>
            <w:vAlign w:val="bottom"/>
            <w:tcBorders>
              <w:top w:val="single" w:sz="8" w:color="0000EE"/>
            </w:tcBorders>
            <w:gridSpan w:val="9"/>
          </w:tcPr>
          <w:p>
            <w:pPr>
              <w:spacing w:after="0"/>
              <w:rPr>
                <w:sz w:val="17"/>
                <w:szCs w:val="17"/>
                <w:color w:val="auto"/>
              </w:rPr>
            </w:pPr>
          </w:p>
        </w:tc>
        <w:tc>
          <w:tcPr>
            <w:tcW w:w="24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F-59</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364" w:lineRule="exact"/>
        <w:rPr>
          <w:sz w:val="20"/>
          <w:szCs w:val="20"/>
          <w:color w:val="auto"/>
        </w:rPr>
      </w:pPr>
    </w:p>
    <w:p>
      <w:pPr>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880" w:right="180" w:hanging="872"/>
        <w:spacing w:after="0" w:line="277" w:lineRule="auto"/>
        <w:tabs>
          <w:tab w:leader="none" w:pos="8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58"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1" w:lineRule="exact"/>
        <w:rPr>
          <w:sz w:val="20"/>
          <w:szCs w:val="20"/>
          <w:color w:val="auto"/>
        </w:rPr>
      </w:pPr>
    </w:p>
    <w:p>
      <w:pPr>
        <w:ind w:left="880" w:right="40" w:hanging="879"/>
        <w:spacing w:after="0" w:line="261"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76" w:lineRule="exact"/>
        <w:rPr>
          <w:sz w:val="20"/>
          <w:szCs w:val="20"/>
          <w:color w:val="auto"/>
        </w:rPr>
      </w:pPr>
    </w:p>
    <w:p>
      <w:pPr>
        <w:ind w:left="880" w:right="840" w:hanging="879"/>
        <w:spacing w:after="0" w:line="308" w:lineRule="auto"/>
        <w:tabs>
          <w:tab w:leader="none" w:pos="86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80" w:right="100" w:hanging="879"/>
        <w:spacing w:after="0" w:line="277" w:lineRule="auto"/>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880" w:right="300" w:hanging="879"/>
        <w:spacing w:after="0" w:line="277" w:lineRule="auto"/>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ind w:left="880" w:hanging="872"/>
        <w:spacing w:after="0"/>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880" w:hanging="879"/>
        <w:spacing w:after="0" w:line="286" w:lineRule="auto"/>
        <w:tabs>
          <w:tab w:leader="none" w:pos="86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80" w:right="20" w:hanging="879"/>
        <w:spacing w:after="0" w:line="312" w:lineRule="auto"/>
        <w:tabs>
          <w:tab w:leader="none" w:pos="86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880" w:right="320" w:hanging="879"/>
        <w:spacing w:after="0" w:line="286" w:lineRule="auto"/>
        <w:tabs>
          <w:tab w:leader="none" w:pos="86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(k)(8)</w:t>
            </w: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Third Amendment to the Second Amended and Restated Senior Secured Revolving Credit Agreement, dated October 17, 2014,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(k)(9)</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Fourth Amendment to Second Amended and Restated Senior Secured Revolving Credit Agreement, dated October 2, 2015,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2015)</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(k)(10)</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Fifth Amendment to Second Amended and Restated Senior Secured Revolving Credit Agreement, dated December 22, 2016, among TPG</w:t>
            </w:r>
          </w:p>
        </w:tc>
      </w:tr>
      <w:tr>
        <w:trPr>
          <w:trHeight w:val="216"/>
        </w:trPr>
        <w:tc>
          <w:tcPr>
            <w:tcW w:w="78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10.15 to the Company’s Annual Report on Form 10-K filed on February 22, 2017)</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(k)(11)</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Amended and Restated Administration Agreement, dated as of February 22, 2017, between the Company and the Adviser (incorporated by</w:t>
            </w:r>
          </w:p>
        </w:tc>
      </w:tr>
      <w:tr>
        <w:trPr>
          <w:trHeight w:val="230"/>
        </w:trPr>
        <w:tc>
          <w:tcPr>
            <w:tcW w:w="78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10.16 to the Company’s Annual Report on Form 10-K filed on February 22, 2017)</w:t>
            </w:r>
          </w:p>
        </w:tc>
      </w:tr>
    </w:tbl>
    <w:p>
      <w:pPr>
        <w:spacing w:after="0" w:line="94" w:lineRule="exact"/>
        <w:rPr>
          <w:sz w:val="20"/>
          <w:szCs w:val="20"/>
          <w:color w:val="auto"/>
        </w:rPr>
      </w:pPr>
    </w:p>
    <w:p>
      <w:pPr>
        <w:ind w:left="1060" w:hanging="1052"/>
        <w:spacing w:after="0"/>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320"/>
              <w:spacing w:after="0"/>
              <w:rPr>
                <w:sz w:val="20"/>
                <w:szCs w:val="20"/>
                <w:color w:val="auto"/>
              </w:rPr>
            </w:pPr>
            <w:r>
              <w:rPr>
                <w:rFonts w:ascii="Arial" w:cs="Arial" w:eastAsia="Arial" w:hAnsi="Arial"/>
                <w:sz w:val="18"/>
                <w:szCs w:val="18"/>
                <w:color w:val="auto"/>
                <w:w w:val="92"/>
              </w:rPr>
              <w:t>Consent of Cleary Gottlieb Steen &amp; Hamilton LLP (1)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320"/>
              <w:spacing w:after="0"/>
              <w:rPr>
                <w:sz w:val="20"/>
                <w:szCs w:val="20"/>
                <w:color w:val="auto"/>
              </w:rPr>
            </w:pPr>
            <w:r>
              <w:rPr>
                <w:rFonts w:ascii="Arial" w:cs="Arial" w:eastAsia="Arial" w:hAnsi="Arial"/>
                <w:sz w:val="18"/>
                <w:szCs w:val="18"/>
                <w:color w:val="auto"/>
              </w:rPr>
              <w:t>Consent of KPMG LLP, dated May 19, 2017</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320"/>
              <w:spacing w:after="0"/>
              <w:rPr>
                <w:sz w:val="20"/>
                <w:szCs w:val="20"/>
                <w:color w:val="auto"/>
              </w:rPr>
            </w:pPr>
            <w:r>
              <w:rPr>
                <w:rFonts w:ascii="Arial" w:cs="Arial" w:eastAsia="Arial" w:hAnsi="Arial"/>
                <w:sz w:val="18"/>
                <w:szCs w:val="18"/>
                <w:color w:val="auto"/>
              </w:rPr>
              <w:t>Report of KPMG LLP, dated April 7, 2017 (1)</w:t>
            </w:r>
          </w:p>
        </w:tc>
      </w:tr>
    </w:tbl>
    <w:p>
      <w:pPr>
        <w:spacing w:after="0" w:line="94" w:lineRule="exact"/>
        <w:rPr>
          <w:sz w:val="20"/>
          <w:szCs w:val="20"/>
          <w:color w:val="auto"/>
        </w:rPr>
      </w:pPr>
    </w:p>
    <w:p>
      <w:pPr>
        <w:ind w:left="1060" w:hanging="1052"/>
        <w:spacing w:after="0"/>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400" w:type="dxa"/>
            <w:vAlign w:val="bottom"/>
          </w:tcPr>
          <w:p>
            <w:pPr>
              <w:ind w:left="340"/>
              <w:spacing w:after="0"/>
              <w:rPr>
                <w:sz w:val="20"/>
                <w:szCs w:val="20"/>
                <w:color w:val="auto"/>
              </w:rPr>
            </w:pPr>
            <w:r>
              <w:rPr>
                <w:rFonts w:ascii="Arial" w:cs="Arial" w:eastAsia="Arial" w:hAnsi="Arial"/>
                <w:sz w:val="18"/>
                <w:szCs w:val="18"/>
                <w:color w:val="auto"/>
                <w:w w:val="97"/>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Previously filed as an exhibit to this registration statement.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60"/>
          </w:cols>
          <w:pgMar w:left="240" w:top="460" w:right="49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28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4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$ 86,925*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FINRA filing fee</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Printing expenses</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40,000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10,075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28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31" w:lineRule="exact"/>
        <w:rPr>
          <w:sz w:val="20"/>
          <w:szCs w:val="20"/>
          <w:color w:val="auto"/>
        </w:rPr>
      </w:pPr>
    </w:p>
    <w:p>
      <w:pPr>
        <w:ind w:right="500" w:firstLine="8"/>
        <w:spacing w:after="0" w:line="500" w:lineRule="auto"/>
        <w:tabs>
          <w:tab w:leader="none" w:pos="44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$100,185.00 of this amount has been offset against filing fees associated with unsold securities registered under a previous registration statement.</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940" w:type="dxa"/>
            <w:vAlign w:val="bottom"/>
          </w:tcPr>
          <w:p>
            <w:pPr>
              <w:ind w:left="1560"/>
              <w:spacing w:after="0"/>
              <w:rPr>
                <w:sz w:val="20"/>
                <w:szCs w:val="20"/>
                <w:color w:val="auto"/>
              </w:rPr>
            </w:pPr>
            <w:r>
              <w:rPr>
                <w:rFonts w:ascii="Arial" w:cs="Arial" w:eastAsia="Arial" w:hAnsi="Arial"/>
                <w:sz w:val="14"/>
                <w:szCs w:val="14"/>
                <w:b w:val="1"/>
                <w:bCs w:val="1"/>
                <w:color w:val="auto"/>
              </w:rPr>
              <w:t>Title of Class</w:t>
            </w:r>
          </w:p>
        </w:tc>
        <w:tc>
          <w:tcPr>
            <w:tcW w:w="3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2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right="80" w:hanging="452"/>
        <w:spacing w:after="0" w:line="264"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440" w:hanging="567"/>
        <w:spacing w:after="0" w:line="264" w:lineRule="auto"/>
        <w:tabs>
          <w:tab w:leader="none" w:pos="148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460" w:right="2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900" w:hanging="446"/>
        <w:spacing w:after="0" w:line="271" w:lineRule="auto"/>
        <w:tabs>
          <w:tab w:leader="none" w:pos="90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900" w:right="40" w:hanging="446"/>
        <w:spacing w:after="0" w:line="259"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80" w:right="300" w:hanging="567"/>
        <w:spacing w:after="0" w:line="277" w:lineRule="auto"/>
        <w:tabs>
          <w:tab w:leader="none" w:pos="14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900" w:right="100" w:hanging="446"/>
        <w:spacing w:after="0" w:line="286" w:lineRule="auto"/>
        <w:tabs>
          <w:tab w:leader="none" w:pos="9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0" w:lineRule="exact"/>
        <w:rPr>
          <w:rFonts w:ascii="Arial" w:cs="Arial" w:eastAsia="Arial" w:hAnsi="Arial"/>
          <w:sz w:val="17"/>
          <w:szCs w:val="17"/>
          <w:color w:val="auto"/>
        </w:rPr>
      </w:pPr>
    </w:p>
    <w:p>
      <w:pPr>
        <w:ind w:left="900" w:hanging="446"/>
        <w:spacing w:after="0" w:line="264"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ind w:left="460" w:right="420" w:hanging="452"/>
        <w:spacing w:after="0" w:line="342" w:lineRule="auto"/>
        <w:tabs>
          <w:tab w:leader="none" w:pos="4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the State of New York on the 19th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Michael Fishman</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Co-Chief Executive Officer</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60" w:type="dxa"/>
            <w:vAlign w:val="bottom"/>
          </w:tcPr>
          <w:p>
            <w:pPr>
              <w:spacing w:after="0"/>
              <w:rPr>
                <w:sz w:val="16"/>
                <w:szCs w:val="16"/>
                <w:color w:val="auto"/>
              </w:rPr>
            </w:pPr>
          </w:p>
        </w:tc>
      </w:tr>
      <w:tr>
        <w:trPr>
          <w:trHeight w:val="412"/>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Fishman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and 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Michael Fishman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Director and Chairman of the</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Joshua Easterly</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Board of Directors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Ian Simmonds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Vice President and Principal Accounting Officer (Principal</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6"/>
              </w:rPr>
              <w:t>Michael Graf</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Audit Committee</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John A. Ross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Richard A. Higginbotham</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19, 2017</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Ronald K. Tanemura</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220"/>
          </w:cols>
          <w:pgMar w:left="240" w:top="459" w:right="4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22, 2017, with respect to the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and the effectiveness of internal control over financial reporting as of December 31, 2016, and our report dated April 7, 2017 on the consolidated senior securities schedule of the Company, included herein, and to the references to our firm under the headings “Senior Securities”, and “Experts” in the prospectus.</w:t>
      </w:r>
    </w:p>
    <w:p>
      <w:pPr>
        <w:spacing w:after="0" w:line="15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19, 2017</w:t>
      </w:r>
    </w:p>
    <w:p>
      <w:pPr>
        <w:sectPr>
          <w:pgSz w:w="11900" w:h="16838" w:orient="portrait"/>
          <w:cols w:equalWidth="0" w:num="1">
            <w:col w:w="11420"/>
          </w:cols>
          <w:pgMar w:left="240" w:top="122" w:right="239"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22980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May 19,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April 7, 2017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333-217207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that we received in a telephone conversation with the Staff on May 4, 2017 with respect to the above-referenced Registration Statement on Form N-2 filed on April 7, 2017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as defined in Amendment No. 1.</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1.</w:t>
      </w:r>
    </w:p>
    <w:p>
      <w:pPr>
        <w:spacing w:after="0" w:line="72" w:lineRule="exact"/>
        <w:rPr>
          <w:sz w:val="20"/>
          <w:szCs w:val="20"/>
          <w:color w:val="auto"/>
        </w:rPr>
      </w:pPr>
    </w:p>
    <w:p>
      <w:pPr>
        <w:ind w:left="460" w:hanging="452"/>
        <w:spacing w:after="0" w:line="282" w:lineRule="auto"/>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On page 15, under “Fees and Expenses,” we note that footnote 5 indicates you present management fees net of voluntary fee waivers. Typically fee waivers are not reflected in the fee tables unless there is a contractual agreement to waive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285750</wp:posOffset>
            </wp:positionV>
            <wp:extent cx="3790315" cy="1028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790315" cy="1028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60" w:right="160"/>
        <w:spacing w:after="0" w:line="282" w:lineRule="auto"/>
        <w:rPr>
          <w:sz w:val="20"/>
          <w:szCs w:val="20"/>
          <w:color w:val="auto"/>
        </w:rPr>
      </w:pPr>
      <w:r>
        <w:rPr>
          <w:rFonts w:ascii="Arial" w:cs="Arial" w:eastAsia="Arial" w:hAnsi="Arial"/>
          <w:sz w:val="18"/>
          <w:szCs w:val="18"/>
          <w:b w:val="1"/>
          <w:bCs w:val="1"/>
          <w:color w:val="auto"/>
        </w:rPr>
        <w:t>fees for at least one year from the effectiveness date and the fee arrangement cannot be modified without board approval. Please advise why your presentation is appropriate or revise accordingly.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Company respectfully advises the Staff that the fee tables as presented did not and do not include management fees that were waived, but instead reflect total management fees payable without giving effect to any waiver. Footnote 5 has been revised to make clear that the table does not include any fees that were waived.</w:t>
      </w:r>
    </w:p>
    <w:p>
      <w:pPr>
        <w:spacing w:after="0" w:line="83" w:lineRule="exact"/>
        <w:rPr>
          <w:sz w:val="20"/>
          <w:szCs w:val="20"/>
          <w:color w:val="auto"/>
        </w:rPr>
      </w:pPr>
    </w:p>
    <w:p>
      <w:pPr>
        <w:ind w:left="460" w:right="160" w:hanging="452"/>
        <w:spacing w:after="0" w:line="266" w:lineRule="auto"/>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On page 70, under “Net Realized and Unrealized Gains and Losses,” we note that you reference positive valuation adjustments and negative credit-related adjustments in your disclosure. Were any of these adjustments individually material? If so, please provide quantitative and qualitative disclosure about the adjustment and the underlying reasons for it.</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respectfully advises the Staff that none of the positive valuation adjustments or negative credit-related adjustments in the subject disclosure were individually material to the Company. In future filings, the Company will specifically identify and quantify any individual positive valuation adjustments or negative credit-related adjustments where such adjustments are material to the Company.</w:t>
      </w:r>
    </w:p>
    <w:p>
      <w:pPr>
        <w:spacing w:after="0" w:line="83" w:lineRule="exact"/>
        <w:rPr>
          <w:sz w:val="20"/>
          <w:szCs w:val="20"/>
          <w:color w:val="auto"/>
        </w:rPr>
      </w:pPr>
    </w:p>
    <w:p>
      <w:pPr>
        <w:ind w:left="460" w:hanging="452"/>
        <w:spacing w:after="0" w:line="258" w:lineRule="auto"/>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On page 99, under “Investments,” we note you substantially increased your allocation to financial services and decreased your allocation to healthcare year over year. Were these allocation changes made in response to specific events or trends in those industries that caused the Adviser to reconsider investing in those industries? If so, please revise your MD&amp;A overview to discuss your Adviser’s view of material trends within these industries and how it is repositioning its portfolio and lending activity in response to such trends. If this is simply a result of standard repayments etc., please tell us so in your response.</w:t>
      </w:r>
    </w:p>
    <w:p>
      <w:pPr>
        <w:spacing w:after="0" w:line="1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Company respectfully advises the Staff it does not believe there is any specific or underlying business or economic trend in the industries underlying the Company’s investment allocation year over year and confirms to the Staff that movement is merely the outcome of recent origination and repayment activity.</w:t>
      </w:r>
    </w:p>
    <w:p>
      <w:pPr>
        <w:spacing w:after="0" w:line="83" w:lineRule="exact"/>
        <w:rPr>
          <w:sz w:val="20"/>
          <w:szCs w:val="20"/>
          <w:color w:val="auto"/>
        </w:rPr>
      </w:pPr>
    </w:p>
    <w:p>
      <w:pPr>
        <w:ind w:left="460" w:hanging="452"/>
        <w:spacing w:after="0" w:line="277" w:lineRule="auto"/>
        <w:tabs>
          <w:tab w:leader="none" w:pos="46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On page F-8, in footnote 5 to the “Consolidated Schedule of Investments as of December 31, 2016,” you describe how the company may be entitled to receive additional interest as a result of an arrangement with other lenders to the extent a loan has been allocated to “first-out” and “last-out” tranches. Please confirm that the statement included in the footnote regarding how the “first-out” tranche will receive additional interest under arrangements with other lenders is correct. Additionally, supplementally describe accounting for such arrangements among lenders or inter-creditor agreements, specifically how the valuation of investments</w:t>
      </w:r>
    </w:p>
    <w:p>
      <w:pPr>
        <w:sectPr>
          <w:pgSz w:w="11900" w:h="16838" w:orient="portrait"/>
          <w:cols w:equalWidth="0" w:num="1">
            <w:col w:w="11340"/>
          </w:cols>
          <w:pgMar w:left="240" w:top="274" w:right="31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takes into account these agreements including payment prioritization and payment waterfalls, and describe the impact of such arrangements on the calculation of interest income under the effective interest method. Lastly, describe if any other lenders subject to such arrangements are affiliates of the company.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The Company respectfully notes for the Staff where an agreement among lenders allocates payments among “first out” and “last out” tranches, the “first out” tranche is given priority to principal and interest payments from the borrower as among the lenders, but the obligations from the borrower to the lenders are not changed. Among the lenders, the “first out” lenders apportion part of the interest they are entitled to receive to the “last out” lenders in exchange for the “first out” priority on payment from the borrower. The Company has supplemented the disclosure on page 112 to make clear that the Company receives additional interest when, as a result of an arrangement with other lenders, the Company holds the “last out” tranche and will supplement the disclosure in the Schedule of Investments in the financial statements in its future filings.</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noted above, where there are arrangements among lenders, the borrower remains obligated to pay the interest rate in the loan agreements, which is presented in the Consolidated Schedule of Investments. However, pursuant to the agreement among lenders, the lenders reapportion the total interest paid by the borrower between the “first-out” lenders and the “last-out” lenders. The Company’s accounting treatment and fair value of its investment reflects the interest rate applicable to the tranche held by the Company, after giving effect to the arrangement among lenders, rather than the contractual amount owed by the borrower. The calculation of interest income under the effective interest method reflects the interest rate the Company is entitled to receive under the agreement among lenders, and is consistent with the Company’s accounting treatment for its other investments.</w:t>
      </w:r>
    </w:p>
    <w:p>
      <w:pPr>
        <w:spacing w:after="0" w:line="16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Company respectfully advises the Staff that where the Company co-invests with an affiliate in accordance with the exemptive order granted by the SEC, the Company and such affiliates participate in the same tranche, whether “first out” or “last out,” if there is such an arrangement among lenders.</w:t>
      </w:r>
    </w:p>
    <w:p>
      <w:pPr>
        <w:spacing w:after="0" w:line="25" w:lineRule="exact"/>
        <w:rPr>
          <w:sz w:val="20"/>
          <w:szCs w:val="20"/>
          <w:color w:val="auto"/>
        </w:rPr>
      </w:pPr>
    </w:p>
    <w:p>
      <w:pPr>
        <w:ind w:left="460" w:right="2520" w:hanging="452"/>
        <w:spacing w:after="0" w:line="503" w:lineRule="auto"/>
        <w:tabs>
          <w:tab w:leader="none" w:pos="449"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footnote 4 to the Schedule of Investments, disclose the percentage of non-qualifying assets as of period end. </w:t>
      </w:r>
      <w:r>
        <w:rPr>
          <w:rFonts w:ascii="Arial" w:cs="Arial" w:eastAsia="Arial" w:hAnsi="Arial"/>
          <w:sz w:val="18"/>
          <w:szCs w:val="18"/>
          <w:u w:val="single" w:color="auto"/>
          <w:color w:val="auto"/>
        </w:rPr>
        <w:t>Response:</w:t>
      </w:r>
    </w:p>
    <w:p>
      <w:pPr>
        <w:spacing w:after="0" w:line="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under “Portfolio Companies” on page 112 and will disclose the percentage of non-qualifying assets as of period end in the Schedule of Investments in the financial statements in its future filings.</w:t>
      </w:r>
    </w:p>
    <w:p>
      <w:pPr>
        <w:sectPr>
          <w:pgSz w:w="11900" w:h="16838" w:orient="portrait"/>
          <w:cols w:equalWidth="0" w:num="1">
            <w:col w:w="11360"/>
          </w:cols>
          <w:pgMar w:left="240" w:top="274" w:right="29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60" w:right="2840" w:hanging="452"/>
        <w:spacing w:after="0" w:line="503" w:lineRule="auto"/>
        <w:tabs>
          <w:tab w:leader="none" w:pos="449"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the Schedule of Investments, disclose the class and series information for the CLO investments held. </w:t>
      </w:r>
      <w:r>
        <w:rPr>
          <w:rFonts w:ascii="Arial" w:cs="Arial" w:eastAsia="Arial" w:hAnsi="Arial"/>
          <w:sz w:val="18"/>
          <w:szCs w:val="18"/>
          <w:u w:val="single" w:color="auto"/>
          <w:color w:val="auto"/>
        </w:rPr>
        <w:t>Response:</w:t>
      </w:r>
    </w:p>
    <w:p>
      <w:pPr>
        <w:spacing w:after="0" w:line="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response to the Staff’s comment, the Company has revised the disclosure under “Portfolio Companies” on page 111 and will include the class and series information for its CLO investments held in the Schedule of Investments in the financial statements in its future filings.</w:t>
      </w:r>
    </w:p>
    <w:p>
      <w:pPr>
        <w:spacing w:after="0" w:line="14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117"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Jason Fox</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Securities and Exchange Commission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160"/>
      </w:cols>
      <w:pgMar w:left="2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1)"/>
      <w:numFmt w:val="decimal"/>
      <w:start w:val="1"/>
    </w:lvl>
  </w:abstractNum>
  <w:abstractNum w:abstractNumId="2">
    <w:nsid w:val="E7FFA2B"/>
    <w:multiLevelType w:val="hybridMultilevel"/>
    <w:lvl w:ilvl="0">
      <w:lvlJc w:val="left"/>
      <w:lvlText w:val="%1"/>
      <w:numFmt w:val="decimal"/>
      <w:start w:val="13"/>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lvl w:ilvl="1">
      <w:lvlJc w:val="left"/>
      <w:lvlText w:val="•"/>
      <w:numFmt w:val="bullet"/>
      <w:start w:val="1"/>
    </w:lvl>
  </w:abstractNum>
  <w:abstractNum w:abstractNumId="5">
    <w:nsid w:val="78DF6A55"/>
    <w:multiLevelType w:val="hybridMultilevel"/>
    <w:lvl w:ilvl="0">
      <w:lvlJc w:val="left"/>
      <w:lvlText w:val="•"/>
      <w:numFmt w:val="bullet"/>
      <w:start w:val="1"/>
    </w:lvl>
    <w:lvl w:ilvl="1">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1)"/>
      <w:numFmt w:val="decimal"/>
      <w:start w:val="817"/>
    </w:lvl>
  </w:abstractNum>
  <w:abstractNum w:abstractNumId="10">
    <w:nsid w:val="69E373"/>
    <w:multiLevelType w:val="hybridMultilevel"/>
    <w:lvl w:ilvl="0">
      <w:lvlJc w:val="left"/>
      <w:lvlText w:val="(%1)"/>
      <w:numFmt w:val="lowerLetter"/>
      <w:start w:val="2"/>
    </w:lvl>
  </w:abstractNum>
  <w:abstractNum w:abstractNumId="11">
    <w:nsid w:val="2C27173B"/>
    <w:multiLevelType w:val="hybridMultilevel"/>
    <w:lvl w:ilvl="0">
      <w:lvlJc w:val="left"/>
      <w:lvlText w:val="(%1)"/>
      <w:numFmt w:val="decimal"/>
      <w:start w:val="1"/>
    </w:lvl>
  </w:abstractNum>
  <w:abstractNum w:abstractNumId="12">
    <w:nsid w:val="4C9B0904"/>
    <w:multiLevelType w:val="hybridMultilevel"/>
    <w:lvl w:ilvl="0">
      <w:lvlJc w:val="left"/>
      <w:lvlText w:val="(%1)"/>
      <w:numFmt w:val="decimal"/>
      <w:start w:val="6"/>
    </w:lvl>
  </w:abstractNum>
  <w:abstractNum w:abstractNumId="13">
    <w:nsid w:val="6AA7B75C"/>
    <w:multiLevelType w:val="hybridMultilevel"/>
    <w:lvl w:ilvl="0">
      <w:lvlJc w:val="left"/>
      <w:lvlText w:val="(%1)"/>
      <w:numFmt w:val="decimal"/>
      <w:start w:val="1"/>
    </w:lvl>
  </w:abstractNum>
  <w:abstractNum w:abstractNumId="14">
    <w:nsid w:val="1DF029D3"/>
    <w:multiLevelType w:val="hybridMultilevel"/>
    <w:lvl w:ilvl="0">
      <w:lvlJc w:val="left"/>
      <w:lvlText w:val="(%1)"/>
      <w:numFmt w:val="decimal"/>
      <w:start w:val="1"/>
    </w:lvl>
  </w:abstractNum>
  <w:abstractNum w:abstractNumId="15">
    <w:nsid w:val="5675FF36"/>
    <w:multiLevelType w:val="hybridMultilevel"/>
    <w:lvl w:ilvl="0">
      <w:lvlJc w:val="left"/>
      <w:lvlText w:val="(%1)"/>
      <w:numFmt w:val="decimal"/>
      <w:start w:val="1"/>
    </w:lvl>
  </w:abstractNum>
  <w:abstractNum w:abstractNumId="16">
    <w:nsid w:val="3DD15094"/>
    <w:multiLevelType w:val="hybridMultilevel"/>
    <w:lvl w:ilvl="0">
      <w:lvlJc w:val="left"/>
      <w:lvlText w:val="•"/>
      <w:numFmt w:val="bullet"/>
      <w:start w:val="1"/>
    </w:lvl>
    <w:lvl w:ilvl="1">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
      <w:numFmt w:val="bullet"/>
      <w:start w:val="1"/>
    </w:lvl>
  </w:abstractNum>
  <w:abstractNum w:abstractNumId="28">
    <w:nsid w:val="17A1B582"/>
    <w:multiLevelType w:val="hybridMultilevel"/>
    <w:lvl w:ilvl="0">
      <w:lvlJc w:val="left"/>
      <w:lvlText w:val="(%1)"/>
      <w:numFmt w:val="upperLetter"/>
      <w:start w:val="2"/>
    </w:lvl>
  </w:abstractNum>
  <w:abstractNum w:abstractNumId="29">
    <w:nsid w:val="4DF72E4E"/>
    <w:multiLevelType w:val="hybridMultilevel"/>
    <w:lvl w:ilvl="0">
      <w:lvlJc w:val="left"/>
      <w:lvlText w:val="(%1)"/>
      <w:numFmt w:val="decimal"/>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1)"/>
      <w:numFmt w:val="decimal"/>
      <w:start w:val="1"/>
    </w:lvl>
  </w:abstractNum>
  <w:abstractNum w:abstractNumId="36">
    <w:nsid w:val="57A61A29"/>
    <w:multiLevelType w:val="hybridMultilevel"/>
    <w:lvl w:ilvl="0">
      <w:lvlJc w:val="left"/>
      <w:lvlText w:val="(%1)"/>
      <w:numFmt w:val="decimal"/>
      <w:start w:val="1"/>
    </w:lvl>
  </w:abstractNum>
  <w:abstractNum w:abstractNumId="37">
    <w:nsid w:val="5399C654"/>
    <w:multiLevelType w:val="hybridMultilevel"/>
    <w:lvl w:ilvl="0">
      <w:lvlJc w:val="left"/>
      <w:lvlText w:val="(%1)"/>
      <w:numFmt w:val="decimal"/>
      <w:start w:val="1"/>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
      <w:numFmt w:val="bullet"/>
      <w:start w:val="1"/>
    </w:lvl>
  </w:abstractNum>
  <w:abstractNum w:abstractNumId="42">
    <w:nsid w:val="704E1DD5"/>
    <w:multiLevelType w:val="hybridMultilevel"/>
    <w:lvl w:ilvl="0">
      <w:lvlJc w:val="left"/>
      <w:lvlText w:val="•"/>
      <w:numFmt w:val="bullet"/>
      <w:start w:val="1"/>
    </w:lvl>
  </w:abstractNum>
  <w:abstractNum w:abstractNumId="43">
    <w:nsid w:val="57D2F10E"/>
    <w:multiLevelType w:val="hybridMultilevel"/>
    <w:lvl w:ilvl="0">
      <w:lvlJc w:val="left"/>
      <w:lvlText w:val="(%1)"/>
      <w:numFmt w:val="decimal"/>
      <w:start w:val="1"/>
    </w:lvl>
  </w:abstractNum>
  <w:abstractNum w:abstractNumId="44">
    <w:nsid w:val="BFFAE18"/>
    <w:multiLevelType w:val="hybridMultilevel"/>
    <w:lvl w:ilvl="0">
      <w:lvlJc w:val="left"/>
      <w:lvlText w:val="(%1)"/>
      <w:numFmt w:val="decimal"/>
      <w:start w:val="1"/>
    </w:lvl>
  </w:abstractNum>
  <w:abstractNum w:abstractNumId="45">
    <w:nsid w:val="E3E47A8"/>
    <w:multiLevelType w:val="hybridMultilevel"/>
    <w:lvl w:ilvl="0">
      <w:lvlJc w:val="left"/>
      <w:lvlText w:val="(%1)"/>
      <w:numFmt w:val="decimal"/>
      <w:start w:val="1"/>
    </w:lvl>
  </w:abstractNum>
  <w:abstractNum w:abstractNumId="46">
    <w:nsid w:val="2E48F044"/>
    <w:multiLevelType w:val="hybridMultilevel"/>
    <w:lvl w:ilvl="0">
      <w:lvlJc w:val="left"/>
      <w:lvlText w:val="•"/>
      <w:numFmt w:val="bullet"/>
      <w:start w:val="1"/>
    </w:lvl>
    <w:lvl w:ilvl="1">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lvl w:ilvl="1">
      <w:lvlJc w:val="left"/>
      <w:lvlText w:val="•"/>
      <w:numFmt w:val="bullet"/>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1)"/>
      <w:numFmt w:val="decimal"/>
      <w:start w:val="1"/>
    </w:lvl>
  </w:abstractNum>
  <w:abstractNum w:abstractNumId="53">
    <w:nsid w:val="2A31B62D"/>
    <w:multiLevelType w:val="hybridMultilevel"/>
    <w:lvl w:ilvl="0">
      <w:lvlJc w:val="left"/>
      <w:lvlText w:val="(%1)"/>
      <w:numFmt w:val="decimal"/>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
      <w:numFmt w:val="bullet"/>
      <w:start w:val="1"/>
    </w:lvl>
  </w:abstractNum>
  <w:abstractNum w:abstractNumId="57">
    <w:nsid w:val="69E7F3E5"/>
    <w:multiLevelType w:val="hybridMultilevel"/>
    <w:lvl w:ilvl="0">
      <w:lvlJc w:val="left"/>
      <w:lvlText w:val="•"/>
      <w:numFmt w:val="bullet"/>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1)"/>
      <w:numFmt w:val="decimal"/>
      <w:start w:val="1"/>
    </w:lvl>
  </w:abstractNum>
  <w:abstractNum w:abstractNumId="61">
    <w:nsid w:val="7AB49DAF"/>
    <w:multiLevelType w:val="hybridMultilevel"/>
    <w:lvl w:ilvl="0">
      <w:lvlJc w:val="left"/>
      <w:lvlText w:val="•"/>
      <w:numFmt w:val="bullet"/>
      <w:start w:val="1"/>
    </w:lvl>
    <w:lvl w:ilvl="1">
      <w:lvlJc w:val="left"/>
      <w:lvlText w:val="•"/>
      <w:numFmt w:val="bullet"/>
      <w:start w:val="1"/>
    </w:lvl>
  </w:abstractNum>
  <w:abstractNum w:abstractNumId="62">
    <w:nsid w:val="759F82CD"/>
    <w:multiLevelType w:val="hybridMultilevel"/>
    <w:lvl w:ilvl="0">
      <w:lvlJc w:val="left"/>
      <w:lvlText w:val="•"/>
      <w:numFmt w:val="bullet"/>
      <w:start w:val="1"/>
    </w:lvl>
    <w:lvl w:ilvl="1">
      <w:lvlJc w:val="left"/>
      <w:lvlText w:val="•"/>
      <w:numFmt w:val="bullet"/>
      <w:start w:val="1"/>
    </w:lvl>
  </w:abstractNum>
  <w:abstractNum w:abstractNumId="63">
    <w:nsid w:val="61E74EA3"/>
    <w:multiLevelType w:val="hybridMultilevel"/>
    <w:lvl w:ilvl="0">
      <w:lvlJc w:val="left"/>
      <w:lvlText w:val="•"/>
      <w:numFmt w:val="bullet"/>
      <w:start w:val="1"/>
    </w:lvl>
  </w:abstractNum>
  <w:abstractNum w:abstractNumId="64">
    <w:nsid w:val="597B4D84"/>
    <w:multiLevelType w:val="hybridMultilevel"/>
    <w:lvl w:ilvl="0">
      <w:lvlJc w:val="left"/>
      <w:lvlText w:val="•"/>
      <w:numFmt w:val="bullet"/>
      <w:start w:val="1"/>
    </w:lvl>
  </w:abstractNum>
  <w:abstractNum w:abstractNumId="65">
    <w:nsid w:val="F819E7F"/>
    <w:multiLevelType w:val="hybridMultilevel"/>
    <w:lvl w:ilvl="0">
      <w:lvlJc w:val="left"/>
      <w:lvlText w:val="•"/>
      <w:numFmt w:val="bullet"/>
      <w:start w:val="1"/>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
      <w:numFmt w:val="bullet"/>
      <w:start w:val="1"/>
    </w:lvl>
  </w:abstractNum>
  <w:abstractNum w:abstractNumId="69">
    <w:nsid w:val="78B5E776"/>
    <w:multiLevelType w:val="hybridMultilevel"/>
    <w:lvl w:ilvl="0">
      <w:lvlJc w:val="left"/>
      <w:lvlText w:val="•"/>
      <w:numFmt w:val="bullet"/>
      <w:start w:val="1"/>
    </w:lvl>
  </w:abstractNum>
  <w:abstractNum w:abstractNumId="70">
    <w:nsid w:val="75486E47"/>
    <w:multiLevelType w:val="hybridMultilevel"/>
    <w:lvl w:ilvl="0">
      <w:lvlJc w:val="left"/>
      <w:lvlText w:val="•"/>
      <w:numFmt w:val="bullet"/>
      <w:start w:val="1"/>
    </w:lvl>
    <w:lvl w:ilvl="1">
      <w:lvlJc w:val="left"/>
      <w:lvlText w:val="•"/>
      <w:numFmt w:val="bullet"/>
      <w:start w:val="1"/>
    </w:lvl>
  </w:abstractNum>
  <w:abstractNum w:abstractNumId="71">
    <w:nsid w:val="6E534CDE"/>
    <w:multiLevelType w:val="hybridMultilevel"/>
    <w:lvl w:ilvl="0">
      <w:lvlJc w:val="left"/>
      <w:lvlText w:val="•"/>
      <w:numFmt w:val="bullet"/>
      <w:start w:val="1"/>
    </w:lvl>
    <w:lvl w:ilvl="1">
      <w:lvlJc w:val="left"/>
      <w:lvlText w:val="•"/>
      <w:numFmt w:val="bullet"/>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1)"/>
      <w:numFmt w:val="decimal"/>
      <w:start w:val="1"/>
    </w:lvl>
  </w:abstractNum>
  <w:abstractNum w:abstractNumId="74">
    <w:nsid w:val="46263DEC"/>
    <w:multiLevelType w:val="hybridMultilevel"/>
    <w:lvl w:ilvl="0">
      <w:lvlJc w:val="left"/>
      <w:lvlText w:val="(%1)"/>
      <w:numFmt w:val="decimal"/>
      <w:start w:val="1"/>
    </w:lvl>
  </w:abstractNum>
  <w:abstractNum w:abstractNumId="75">
    <w:nsid w:val="260D8C4A"/>
    <w:multiLevelType w:val="hybridMultilevel"/>
    <w:lvl w:ilvl="0">
      <w:lvlJc w:val="left"/>
      <w:lvlText w:val="%1"/>
      <w:numFmt w:val="decimal"/>
      <w:start w:val="1"/>
    </w:lvl>
    <w:lvl w:ilvl="1">
      <w:lvlJc w:val="left"/>
      <w:lvlText w:val="(%2)"/>
      <w:numFmt w:val="lowerLetter"/>
      <w:start w:val="1"/>
    </w:lvl>
  </w:abstractNum>
  <w:abstractNum w:abstractNumId="76">
    <w:nsid w:val="73D4D3C4"/>
    <w:multiLevelType w:val="hybridMultilevel"/>
    <w:lvl w:ilvl="0">
      <w:lvlJc w:val="left"/>
      <w:lvlText w:val="(%1)"/>
      <w:numFmt w:val="decimal"/>
      <w:start w:val="8"/>
    </w:lvl>
    <w:lvl w:ilvl="1">
      <w:lvlJc w:val="left"/>
      <w:lvlText w:val="%2"/>
      <w:numFmt w:val="lowerLetter"/>
      <w:start w:val="1"/>
    </w:lvl>
  </w:abstractNum>
  <w:abstractNum w:abstractNumId="77">
    <w:nsid w:val="746F2E30"/>
    <w:multiLevelType w:val="hybridMultilevel"/>
    <w:lvl w:ilvl="0">
      <w:lvlJc w:val="left"/>
      <w:lvlText w:val="•"/>
      <w:numFmt w:val="bullet"/>
      <w:start w:val="1"/>
    </w:lvl>
  </w:abstractNum>
  <w:abstractNum w:abstractNumId="78">
    <w:nsid w:val="6FDE8AF6"/>
    <w:multiLevelType w:val="hybridMultilevel"/>
    <w:lvl w:ilvl="0">
      <w:lvlJc w:val="left"/>
      <w:lvlText w:val="•"/>
      <w:numFmt w:val="bullet"/>
      <w:start w:val="1"/>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
      <w:numFmt w:val="bullet"/>
      <w:start w:val="1"/>
    </w:lvl>
  </w:abstractNum>
  <w:abstractNum w:abstractNumId="81">
    <w:nsid w:val="14D53685"/>
    <w:multiLevelType w:val="hybridMultilevel"/>
    <w:lvl w:ilvl="0">
      <w:lvlJc w:val="left"/>
      <w:lvlText w:val="•"/>
      <w:numFmt w:val="bullet"/>
      <w:start w:val="1"/>
    </w:lvl>
  </w:abstractNum>
  <w:abstractNum w:abstractNumId="82">
    <w:nsid w:val="230F856C"/>
    <w:multiLevelType w:val="hybridMultilevel"/>
    <w:lvl w:ilvl="0">
      <w:lvlJc w:val="left"/>
      <w:lvlText w:val="•"/>
      <w:numFmt w:val="bullet"/>
      <w:start w:val="1"/>
    </w:lvl>
  </w:abstractNum>
  <w:abstractNum w:abstractNumId="83">
    <w:nsid w:val="6EAA85FB"/>
    <w:multiLevelType w:val="hybridMultilevel"/>
    <w:lvl w:ilvl="0">
      <w:lvlJc w:val="left"/>
      <w:lvlText w:val="•"/>
      <w:numFmt w:val="bullet"/>
      <w:start w:val="1"/>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1)"/>
      <w:numFmt w:val="lowerRoman"/>
      <w:start w:val="1"/>
    </w:lvl>
  </w:abstractNum>
  <w:abstractNum w:abstractNumId="86">
    <w:nsid w:val="6CAA2304"/>
    <w:multiLevelType w:val="hybridMultilevel"/>
    <w:lvl w:ilvl="0">
      <w:lvlJc w:val="left"/>
      <w:lvlText w:val="(%1)"/>
      <w:numFmt w:val="lowerRoman"/>
      <w:start w:val="2"/>
    </w:lvl>
  </w:abstractNum>
  <w:abstractNum w:abstractNumId="87">
    <w:nsid w:val="3F7C2FF4"/>
    <w:multiLevelType w:val="hybridMultilevel"/>
    <w:lvl w:ilvl="0">
      <w:lvlJc w:val="left"/>
      <w:lvlText w:val="="/>
      <w:numFmt w:val="bullet"/>
      <w:start w:val="1"/>
    </w:lvl>
  </w:abstractNum>
  <w:abstractNum w:abstractNumId="88">
    <w:nsid w:val="25413BEC"/>
    <w:multiLevelType w:val="hybridMultilevel"/>
    <w:lvl w:ilvl="0">
      <w:lvlJc w:val="left"/>
      <w:lvlText w:val="(%1)"/>
      <w:numFmt w:val="decimal"/>
    </w:lvl>
    <w:lvl w:ilvl="1">
      <w:lvlJc w:val="left"/>
      <w:lvlText w:val="="/>
      <w:numFmt w:val="bullet"/>
      <w:start w:val="1"/>
    </w:lvl>
  </w:abstractNum>
  <w:abstractNum w:abstractNumId="89">
    <w:nsid w:val="17180B0B"/>
    <w:multiLevelType w:val="hybridMultilevel"/>
    <w:lvl w:ilvl="0">
      <w:lvlJc w:val="left"/>
      <w:lvlText w:val="(%1)"/>
      <w:numFmt w:val="decimal"/>
      <w:start w:val="4"/>
    </w:lvl>
  </w:abstractNum>
  <w:abstractNum w:abstractNumId="90">
    <w:nsid w:val="579328B9"/>
    <w:multiLevelType w:val="hybridMultilevel"/>
    <w:lvl w:ilvl="0">
      <w:lvlJc w:val="left"/>
      <w:lvlText w:val="(*)"/>
      <w:numFmt w:val="bullet"/>
      <w:start w:val="1"/>
    </w:lvl>
  </w:abstractNum>
  <w:abstractNum w:abstractNumId="91">
    <w:nsid w:val="5D205E20"/>
    <w:multiLevelType w:val="hybridMultilevel"/>
    <w:lvl w:ilvl="0">
      <w:lvlJc w:val="left"/>
      <w:lvlText w:val="•"/>
      <w:numFmt w:val="bullet"/>
      <w:start w:val="1"/>
    </w:lvl>
  </w:abstractNum>
  <w:abstractNum w:abstractNumId="92">
    <w:nsid w:val="11CCA8BA"/>
    <w:multiLevelType w:val="hybridMultilevel"/>
    <w:lvl w:ilvl="0">
      <w:lvlJc w:val="left"/>
      <w:lvlText w:val="•"/>
      <w:numFmt w:val="bullet"/>
      <w:start w:val="1"/>
    </w:lvl>
  </w:abstractNum>
  <w:abstractNum w:abstractNumId="93">
    <w:nsid w:val="4D32AB86"/>
    <w:multiLevelType w:val="hybridMultilevel"/>
    <w:lvl w:ilvl="0">
      <w:lvlJc w:val="left"/>
      <w:lvlText w:val="•"/>
      <w:numFmt w:val="bullet"/>
      <w:start w:val="1"/>
    </w:lvl>
  </w:abstractNum>
  <w:abstractNum w:abstractNumId="94">
    <w:nsid w:val="3F07ACC3"/>
    <w:multiLevelType w:val="hybridMultilevel"/>
    <w:lvl w:ilvl="0">
      <w:lvlJc w:val="left"/>
      <w:lvlText w:val="•"/>
      <w:numFmt w:val="bullet"/>
      <w:start w:val="1"/>
    </w:lvl>
  </w:abstractNum>
  <w:abstractNum w:abstractNumId="95">
    <w:nsid w:val="6B47F63E"/>
    <w:multiLevelType w:val="hybridMultilevel"/>
    <w:lvl w:ilvl="0">
      <w:lvlJc w:val="left"/>
      <w:lvlText w:val="•"/>
      <w:numFmt w:val="bullet"/>
      <w:start w:val="1"/>
    </w:lvl>
  </w:abstractNum>
  <w:abstractNum w:abstractNumId="96">
    <w:nsid w:val="5CB44A05"/>
    <w:multiLevelType w:val="hybridMultilevel"/>
    <w:lvl w:ilvl="0">
      <w:lvlJc w:val="left"/>
      <w:lvlText w:val="•"/>
      <w:numFmt w:val="bullet"/>
      <w:start w:val="1"/>
    </w:lvl>
  </w:abstractNum>
  <w:abstractNum w:abstractNumId="97">
    <w:nsid w:val="16CF80F1"/>
    <w:multiLevelType w:val="hybridMultilevel"/>
    <w:lvl w:ilvl="0">
      <w:lvlJc w:val="left"/>
      <w:lvlText w:val="•"/>
      <w:numFmt w:val="bullet"/>
      <w:start w:val="1"/>
    </w:lvl>
  </w:abstractNum>
  <w:abstractNum w:abstractNumId="98">
    <w:nsid w:val="1C695DEC"/>
    <w:multiLevelType w:val="hybridMultilevel"/>
    <w:lvl w:ilvl="0">
      <w:lvlJc w:val="left"/>
      <w:lvlText w:val="•"/>
      <w:numFmt w:val="bullet"/>
      <w:start w:val="1"/>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
      <w:numFmt w:val="bullet"/>
      <w:start w:val="1"/>
    </w:lvl>
  </w:abstractNum>
  <w:abstractNum w:abstractNumId="101">
    <w:nsid w:val="11B1CC33"/>
    <w:multiLevelType w:val="hybridMultilevel"/>
    <w:lvl w:ilvl="0">
      <w:lvlJc w:val="left"/>
      <w:lvlText w:val="•"/>
      <w:numFmt w:val="bullet"/>
      <w:start w:val="1"/>
    </w:lvl>
  </w:abstractNum>
  <w:abstractNum w:abstractNumId="102">
    <w:nsid w:val="2E22FBB7"/>
    <w:multiLevelType w:val="hybridMultilevel"/>
    <w:lvl w:ilvl="0">
      <w:lvlJc w:val="left"/>
      <w:lvlText w:val="*"/>
      <w:numFmt w:val="bullet"/>
      <w:start w:val="1"/>
    </w:lvl>
  </w:abstractNum>
  <w:abstractNum w:abstractNumId="103">
    <w:nsid w:val="29934699"/>
    <w:multiLevelType w:val="hybridMultilevel"/>
    <w:lvl w:ilvl="0">
      <w:lvlJc w:val="left"/>
      <w:lvlText w:val="(%1)"/>
      <w:numFmt w:val="decimal"/>
      <w:start w:val="1"/>
    </w:lvl>
  </w:abstractNum>
  <w:abstractNum w:abstractNumId="104">
    <w:nsid w:val="77485850"/>
    <w:multiLevelType w:val="hybridMultilevel"/>
    <w:lvl w:ilvl="0">
      <w:lvlJc w:val="left"/>
      <w:lvlText w:val="(%1)"/>
      <w:numFmt w:val="decimal"/>
      <w:start w:val="2"/>
    </w:lvl>
  </w:abstractNum>
  <w:abstractNum w:abstractNumId="105">
    <w:nsid w:val="744939A3"/>
    <w:multiLevelType w:val="hybridMultilevel"/>
    <w:lvl w:ilvl="0">
      <w:lvlJc w:val="left"/>
      <w:lvlText w:val="(%1)"/>
      <w:numFmt w:val="decimal"/>
      <w:start w:val="1"/>
    </w:lvl>
  </w:abstractNum>
  <w:abstractNum w:abstractNumId="106">
    <w:nsid w:val="4FA0D2E3"/>
    <w:multiLevelType w:val="hybridMultilevel"/>
    <w:lvl w:ilvl="0">
      <w:lvlJc w:val="left"/>
      <w:lvlText w:val="•"/>
      <w:numFmt w:val="bullet"/>
      <w:start w:val="1"/>
    </w:lvl>
  </w:abstractNum>
  <w:abstractNum w:abstractNumId="107">
    <w:nsid w:val="6B1D2C14"/>
    <w:multiLevelType w:val="hybridMultilevel"/>
    <w:lvl w:ilvl="0">
      <w:lvlJc w:val="left"/>
      <w:lvlText w:val="•"/>
      <w:numFmt w:val="bullet"/>
      <w:start w:val="1"/>
    </w:lvl>
  </w:abstractNum>
  <w:abstractNum w:abstractNumId="108">
    <w:nsid w:val="68B867D3"/>
    <w:multiLevelType w:val="hybridMultilevel"/>
    <w:lvl w:ilvl="0">
      <w:lvlJc w:val="left"/>
      <w:lvlText w:val="•"/>
      <w:numFmt w:val="bullet"/>
      <w:start w:val="1"/>
    </w:lvl>
  </w:abstractNum>
  <w:abstractNum w:abstractNumId="109">
    <w:nsid w:val="3F7F5DD9"/>
    <w:multiLevelType w:val="hybridMultilevel"/>
    <w:lvl w:ilvl="0">
      <w:lvlJc w:val="left"/>
      <w:lvlText w:val="•"/>
      <w:numFmt w:val="bullet"/>
      <w:start w:val="1"/>
    </w:lvl>
  </w:abstractNum>
  <w:abstractNum w:abstractNumId="110">
    <w:nsid w:val="2AE05A34"/>
    <w:multiLevelType w:val="hybridMultilevel"/>
    <w:lvl w:ilvl="0">
      <w:lvlJc w:val="left"/>
      <w:lvlText w:val="•"/>
      <w:numFmt w:val="bullet"/>
      <w:start w:val="1"/>
    </w:lvl>
  </w:abstractNum>
  <w:abstractNum w:abstractNumId="111">
    <w:nsid w:val="32794FF7"/>
    <w:multiLevelType w:val="hybridMultilevel"/>
    <w:lvl w:ilvl="0">
      <w:lvlJc w:val="left"/>
      <w:lvlText w:val="(%1)"/>
      <w:numFmt w:val="lowerLetter"/>
      <w:start w:val="1"/>
    </w:lvl>
  </w:abstractNum>
  <w:abstractNum w:abstractNumId="112">
    <w:nsid w:val="5454945E"/>
    <w:multiLevelType w:val="hybridMultilevel"/>
    <w:lvl w:ilvl="0">
      <w:lvlJc w:val="left"/>
      <w:lvlText w:val="•"/>
      <w:numFmt w:val="bullet"/>
      <w:start w:val="1"/>
    </w:lvl>
  </w:abstractNum>
  <w:abstractNum w:abstractNumId="113">
    <w:nsid w:val="4DEFDFA0"/>
    <w:multiLevelType w:val="hybridMultilevel"/>
    <w:lvl w:ilvl="0">
      <w:lvlJc w:val="left"/>
      <w:lvlText w:val="•"/>
      <w:numFmt w:val="bullet"/>
      <w:start w:val="1"/>
    </w:lvl>
    <w:lvl w:ilvl="1">
      <w:lvlJc w:val="left"/>
      <w:lvlText w:val="•"/>
      <w:numFmt w:val="bullet"/>
      <w:start w:val="1"/>
    </w:lvl>
  </w:abstractNum>
  <w:abstractNum w:abstractNumId="114">
    <w:nsid w:val="2123D5F2"/>
    <w:multiLevelType w:val="hybridMultilevel"/>
    <w:lvl w:ilvl="0">
      <w:lvlJc w:val="left"/>
      <w:lvlText w:val="•"/>
      <w:numFmt w:val="bullet"/>
      <w:start w:val="1"/>
    </w:lvl>
  </w:abstractNum>
  <w:abstractNum w:abstractNumId="115">
    <w:nsid w:val="135B8110"/>
    <w:multiLevelType w:val="hybridMultilevel"/>
    <w:lvl w:ilvl="0">
      <w:lvlJc w:val="left"/>
      <w:lvlText w:val="•"/>
      <w:numFmt w:val="bullet"/>
      <w:start w:val="1"/>
    </w:lvl>
  </w:abstractNum>
  <w:abstractNum w:abstractNumId="116">
    <w:nsid w:val="94927A8"/>
    <w:multiLevelType w:val="hybridMultilevel"/>
    <w:lvl w:ilvl="0">
      <w:lvlJc w:val="left"/>
      <w:lvlText w:val="•"/>
      <w:numFmt w:val="bullet"/>
      <w:start w:val="1"/>
    </w:lvl>
  </w:abstractNum>
  <w:abstractNum w:abstractNumId="117">
    <w:nsid w:val="DCDF8F6"/>
    <w:multiLevelType w:val="hybridMultilevel"/>
    <w:lvl w:ilvl="0">
      <w:lvlJc w:val="left"/>
      <w:lvlText w:val="(%1)"/>
      <w:numFmt w:val="lowerRoman"/>
      <w:start w:val="1"/>
    </w:lvl>
  </w:abstractNum>
  <w:abstractNum w:abstractNumId="118">
    <w:nsid w:val="52D7B105"/>
    <w:multiLevelType w:val="hybridMultilevel"/>
    <w:lvl w:ilvl="0">
      <w:lvlJc w:val="left"/>
      <w:lvlText w:val="(%1)"/>
      <w:numFmt w:val="lowerRoman"/>
      <w:start w:val="3"/>
    </w:lvl>
  </w:abstractNum>
  <w:abstractNum w:abstractNumId="119">
    <w:nsid w:val="2E8A6394"/>
    <w:multiLevelType w:val="hybridMultilevel"/>
    <w:lvl w:ilvl="0">
      <w:lvlJc w:val="left"/>
      <w:lvlText w:val="(%1)"/>
      <w:numFmt w:val="lowerRoman"/>
      <w:start w:val="1"/>
    </w:lvl>
  </w:abstractNum>
  <w:abstractNum w:abstractNumId="120">
    <w:nsid w:val="24E60401"/>
    <w:multiLevelType w:val="hybridMultilevel"/>
    <w:lvl w:ilvl="0">
      <w:lvlJc w:val="left"/>
      <w:lvlText w:val="•"/>
      <w:numFmt w:val="bullet"/>
      <w:start w:val="1"/>
    </w:lvl>
  </w:abstractNum>
  <w:abstractNum w:abstractNumId="121">
    <w:nsid w:val="2A6AD9BE"/>
    <w:multiLevelType w:val="hybridMultilevel"/>
    <w:lvl w:ilvl="0">
      <w:lvlJc w:val="left"/>
      <w:lvlText w:val="•"/>
      <w:numFmt w:val="bullet"/>
      <w:start w:val="1"/>
    </w:lvl>
  </w:abstractNum>
  <w:abstractNum w:abstractNumId="122">
    <w:nsid w:val="BAAC1B4"/>
    <w:multiLevelType w:val="hybridMultilevel"/>
    <w:lvl w:ilvl="0">
      <w:lvlJc w:val="left"/>
      <w:lvlText w:val="•"/>
      <w:numFmt w:val="bullet"/>
      <w:start w:val="1"/>
    </w:lvl>
  </w:abstractNum>
  <w:abstractNum w:abstractNumId="123">
    <w:nsid w:val="36B2ACBC"/>
    <w:multiLevelType w:val="hybridMultilevel"/>
    <w:lvl w:ilvl="0">
      <w:lvlJc w:val="left"/>
      <w:lvlText w:val="•"/>
      <w:numFmt w:val="bullet"/>
      <w:start w:val="1"/>
    </w:lvl>
  </w:abstractNum>
  <w:abstractNum w:abstractNumId="124">
    <w:nsid w:val="779D8544"/>
    <w:multiLevelType w:val="hybridMultilevel"/>
    <w:lvl w:ilvl="0">
      <w:lvlJc w:val="left"/>
      <w:lvlText w:val="•"/>
      <w:numFmt w:val="bullet"/>
      <w:start w:val="1"/>
    </w:lvl>
  </w:abstractNum>
  <w:abstractNum w:abstractNumId="125">
    <w:nsid w:val="4AB26E78"/>
    <w:multiLevelType w:val="hybridMultilevel"/>
    <w:lvl w:ilvl="0">
      <w:lvlJc w:val="left"/>
      <w:lvlText w:val="•"/>
      <w:numFmt w:val="bullet"/>
      <w:start w:val="1"/>
    </w:lvl>
  </w:abstractNum>
  <w:abstractNum w:abstractNumId="126">
    <w:nsid w:val="21FAA2FA"/>
    <w:multiLevelType w:val="hybridMultilevel"/>
    <w:lvl w:ilvl="0">
      <w:lvlJc w:val="left"/>
      <w:lvlText w:val="•"/>
      <w:numFmt w:val="bullet"/>
      <w:start w:val="1"/>
    </w:lvl>
  </w:abstractNum>
  <w:abstractNum w:abstractNumId="127">
    <w:nsid w:val="5451CF49"/>
    <w:multiLevelType w:val="hybridMultilevel"/>
    <w:lvl w:ilvl="0">
      <w:lvlJc w:val="left"/>
      <w:lvlText w:val="•"/>
      <w:numFmt w:val="bullet"/>
      <w:start w:val="1"/>
    </w:lvl>
  </w:abstractNum>
  <w:abstractNum w:abstractNumId="128">
    <w:nsid w:val="6181EF69"/>
    <w:multiLevelType w:val="hybridMultilevel"/>
    <w:lvl w:ilvl="0">
      <w:lvlJc w:val="left"/>
      <w:lvlText w:val="•"/>
      <w:numFmt w:val="bullet"/>
      <w:start w:val="1"/>
    </w:lvl>
  </w:abstractNum>
  <w:abstractNum w:abstractNumId="129">
    <w:nsid w:val="3E6400E6"/>
    <w:multiLevelType w:val="hybridMultilevel"/>
    <w:lvl w:ilvl="0">
      <w:lvlJc w:val="left"/>
      <w:lvlText w:val="•"/>
      <w:numFmt w:val="bullet"/>
      <w:start w:val="1"/>
    </w:lvl>
  </w:abstractNum>
  <w:abstractNum w:abstractNumId="130">
    <w:nsid w:val="14217E23"/>
    <w:multiLevelType w:val="hybridMultilevel"/>
    <w:lvl w:ilvl="0">
      <w:lvlJc w:val="left"/>
      <w:lvlText w:val="•"/>
      <w:numFmt w:val="bullet"/>
      <w:start w:val="1"/>
    </w:lvl>
  </w:abstractNum>
  <w:abstractNum w:abstractNumId="131">
    <w:nsid w:val="710757D0"/>
    <w:multiLevelType w:val="hybridMultilevel"/>
    <w:lvl w:ilvl="0">
      <w:lvlJc w:val="left"/>
      <w:lvlText w:val="•"/>
      <w:numFmt w:val="bullet"/>
      <w:start w:val="1"/>
    </w:lvl>
  </w:abstractNum>
  <w:abstractNum w:abstractNumId="132">
    <w:nsid w:val="5015CD1A"/>
    <w:multiLevelType w:val="hybridMultilevel"/>
    <w:lvl w:ilvl="0">
      <w:lvlJc w:val="left"/>
      <w:lvlText w:val="•"/>
      <w:numFmt w:val="bullet"/>
      <w:start w:val="1"/>
    </w:lvl>
  </w:abstractNum>
  <w:abstractNum w:abstractNumId="133">
    <w:nsid w:val="424479DA"/>
    <w:multiLevelType w:val="hybridMultilevel"/>
    <w:lvl w:ilvl="0">
      <w:lvlJc w:val="left"/>
      <w:lvlText w:val="•"/>
      <w:numFmt w:val="bullet"/>
      <w:start w:val="1"/>
    </w:lvl>
  </w:abstractNum>
  <w:abstractNum w:abstractNumId="134">
    <w:nsid w:val="1A9A9E69"/>
    <w:multiLevelType w:val="hybridMultilevel"/>
    <w:lvl w:ilvl="0">
      <w:lvlJc w:val="left"/>
      <w:lvlText w:val="•"/>
      <w:numFmt w:val="bullet"/>
      <w:start w:val="1"/>
    </w:lvl>
  </w:abstractNum>
  <w:abstractNum w:abstractNumId="135">
    <w:nsid w:val="475E256A"/>
    <w:multiLevelType w:val="hybridMultilevel"/>
    <w:lvl w:ilvl="0">
      <w:lvlJc w:val="left"/>
      <w:lvlText w:val="•"/>
      <w:numFmt w:val="bullet"/>
      <w:start w:val="1"/>
    </w:lvl>
  </w:abstractNum>
  <w:abstractNum w:abstractNumId="136">
    <w:nsid w:val="368DB37E"/>
    <w:multiLevelType w:val="hybridMultilevel"/>
    <w:lvl w:ilvl="0">
      <w:lvlJc w:val="left"/>
      <w:lvlText w:val="•"/>
      <w:numFmt w:val="bullet"/>
      <w:start w:val="1"/>
    </w:lvl>
  </w:abstractNum>
  <w:abstractNum w:abstractNumId="137">
    <w:nsid w:val="6A3B714C"/>
    <w:multiLevelType w:val="hybridMultilevel"/>
    <w:lvl w:ilvl="0">
      <w:lvlJc w:val="left"/>
      <w:lvlText w:val="•"/>
      <w:numFmt w:val="bullet"/>
      <w:start w:val="1"/>
    </w:lvl>
  </w:abstractNum>
  <w:abstractNum w:abstractNumId="138">
    <w:nsid w:val="327B517E"/>
    <w:multiLevelType w:val="hybridMultilevel"/>
    <w:lvl w:ilvl="0">
      <w:lvlJc w:val="left"/>
      <w:lvlText w:val="•"/>
      <w:numFmt w:val="bullet"/>
      <w:start w:val="1"/>
    </w:lvl>
  </w:abstractNum>
  <w:abstractNum w:abstractNumId="139">
    <w:nsid w:val="1F461B51"/>
    <w:multiLevelType w:val="hybridMultilevel"/>
    <w:lvl w:ilvl="0">
      <w:lvlJc w:val="left"/>
      <w:lvlText w:val="•"/>
      <w:numFmt w:val="bullet"/>
      <w:start w:val="1"/>
    </w:lvl>
  </w:abstractNum>
  <w:abstractNum w:abstractNumId="140">
    <w:nsid w:val="29BACF25"/>
    <w:multiLevelType w:val="hybridMultilevel"/>
    <w:lvl w:ilvl="0">
      <w:lvlJc w:val="left"/>
      <w:lvlText w:val="•"/>
      <w:numFmt w:val="bullet"/>
      <w:start w:val="1"/>
    </w:lvl>
  </w:abstractNum>
  <w:abstractNum w:abstractNumId="141">
    <w:nsid w:val="5D5BABB3"/>
    <w:multiLevelType w:val="hybridMultilevel"/>
    <w:lvl w:ilvl="0">
      <w:lvlJc w:val="left"/>
      <w:lvlText w:val="•"/>
      <w:numFmt w:val="bullet"/>
      <w:start w:val="1"/>
    </w:lvl>
  </w:abstractNum>
  <w:abstractNum w:abstractNumId="142">
    <w:nsid w:val="51BF6B48"/>
    <w:multiLevelType w:val="hybridMultilevel"/>
    <w:lvl w:ilvl="0">
      <w:lvlJc w:val="left"/>
      <w:lvlText w:val="•"/>
      <w:numFmt w:val="bullet"/>
      <w:start w:val="1"/>
    </w:lvl>
    <w:lvl w:ilvl="1">
      <w:lvlJc w:val="left"/>
      <w:lvlText w:val="•"/>
      <w:numFmt w:val="bullet"/>
      <w:start w:val="1"/>
    </w:lvl>
  </w:abstractNum>
  <w:abstractNum w:abstractNumId="143">
    <w:nsid w:val="7E0F638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2B4B8B53"/>
    <w:multiLevelType w:val="hybridMultilevel"/>
    <w:lvl w:ilvl="0">
      <w:lvlJc w:val="left"/>
      <w:lvlText w:val="•"/>
      <w:numFmt w:val="bullet"/>
      <w:start w:val="1"/>
    </w:lvl>
  </w:abstractNum>
  <w:abstractNum w:abstractNumId="145">
    <w:nsid w:val="72E3413A"/>
    <w:multiLevelType w:val="hybridMultilevel"/>
    <w:lvl w:ilvl="0">
      <w:lvlJc w:val="left"/>
      <w:lvlText w:val="(%1)"/>
      <w:numFmt w:val="decimal"/>
      <w:start w:val="1"/>
    </w:lvl>
  </w:abstractNum>
  <w:abstractNum w:abstractNumId="146">
    <w:nsid w:val="116AE494"/>
    <w:multiLevelType w:val="hybridMultilevel"/>
    <w:lvl w:ilvl="0">
      <w:lvlJc w:val="left"/>
      <w:lvlText w:val="%1"/>
      <w:numFmt w:val="decimal"/>
      <w:start w:val="1"/>
    </w:lvl>
    <w:lvl w:ilvl="1">
      <w:lvlJc w:val="left"/>
      <w:lvlText w:val="(%2)"/>
      <w:numFmt w:val="lowerLetter"/>
      <w:start w:val="1"/>
    </w:lvl>
  </w:abstractNum>
  <w:abstractNum w:abstractNumId="147">
    <w:nsid w:val="3494B2FB"/>
    <w:multiLevelType w:val="hybridMultilevel"/>
    <w:lvl w:ilvl="0">
      <w:lvlJc w:val="left"/>
      <w:lvlText w:val="(%1)"/>
      <w:numFmt w:val="decimal"/>
      <w:start w:val="8"/>
    </w:lvl>
    <w:lvl w:ilvl="1">
      <w:lvlJc w:val="left"/>
      <w:lvlText w:val="%2"/>
      <w:numFmt w:val="lowerLetter"/>
      <w:start w:val="1"/>
    </w:lvl>
  </w:abstractNum>
  <w:abstractNum w:abstractNumId="148">
    <w:nsid w:val="B13A31"/>
    <w:multiLevelType w:val="hybridMultilevel"/>
    <w:lvl w:ilvl="0">
      <w:lvlJc w:val="left"/>
      <w:lvlText w:val="(%1)"/>
      <w:numFmt w:val="decimal"/>
      <w:start w:val="1"/>
    </w:lvl>
  </w:abstractNum>
  <w:abstractNum w:abstractNumId="149">
    <w:nsid w:val="64429599"/>
    <w:multiLevelType w:val="hybridMultilevel"/>
    <w:lvl w:ilvl="0">
      <w:lvlJc w:val="left"/>
      <w:lvlText w:val="%1"/>
      <w:numFmt w:val="decimal"/>
      <w:start w:val="1"/>
    </w:lvl>
    <w:lvl w:ilvl="1">
      <w:lvlJc w:val="left"/>
      <w:lvlText w:val="(%2)"/>
      <w:numFmt w:val="lowerLetter"/>
      <w:start w:val="1"/>
    </w:lvl>
  </w:abstractNum>
  <w:abstractNum w:abstractNumId="150">
    <w:nsid w:val="631F1690"/>
    <w:multiLevelType w:val="hybridMultilevel"/>
    <w:lvl w:ilvl="0">
      <w:lvlJc w:val="left"/>
      <w:lvlText w:val="(%1)"/>
      <w:numFmt w:val="decimal"/>
      <w:start w:val="8"/>
    </w:lvl>
    <w:lvl w:ilvl="1">
      <w:lvlJc w:val="left"/>
      <w:lvlText w:val="%2"/>
      <w:numFmt w:val="lowerLetter"/>
      <w:start w:val="1"/>
    </w:lvl>
  </w:abstractNum>
  <w:abstractNum w:abstractNumId="151">
    <w:nsid w:val="25973E32"/>
    <w:multiLevelType w:val="hybridMultilevel"/>
    <w:lvl w:ilvl="0">
      <w:lvlJc w:val="left"/>
      <w:lvlText w:val="•"/>
      <w:numFmt w:val="bullet"/>
      <w:start w:val="1"/>
    </w:lvl>
  </w:abstractNum>
  <w:abstractNum w:abstractNumId="152">
    <w:nsid w:val="EAD6F57"/>
    <w:multiLevelType w:val="hybridMultilevel"/>
    <w:lvl w:ilvl="0">
      <w:lvlJc w:val="left"/>
      <w:lvlText w:val="•"/>
      <w:numFmt w:val="bullet"/>
      <w:start w:val="1"/>
    </w:lvl>
  </w:abstractNum>
  <w:abstractNum w:abstractNumId="153">
    <w:nsid w:val="6EC9D844"/>
    <w:multiLevelType w:val="hybridMultilevel"/>
    <w:lvl w:ilvl="0">
      <w:lvlJc w:val="left"/>
      <w:lvlText w:val="•"/>
      <w:numFmt w:val="bullet"/>
      <w:start w:val="1"/>
    </w:lvl>
  </w:abstractNum>
  <w:abstractNum w:abstractNumId="154">
    <w:nsid w:val="5C49EAEE"/>
    <w:multiLevelType w:val="hybridMultilevel"/>
    <w:lvl w:ilvl="0">
      <w:lvlJc w:val="left"/>
      <w:lvlText w:val="(%1)"/>
      <w:numFmt w:val="lowerRoman"/>
      <w:start w:val="1"/>
    </w:lvl>
  </w:abstractNum>
  <w:abstractNum w:abstractNumId="155">
    <w:nsid w:val="64AF49B"/>
    <w:multiLevelType w:val="hybridMultilevel"/>
    <w:lvl w:ilvl="0">
      <w:lvlJc w:val="left"/>
      <w:lvlText w:val="(%1)"/>
      <w:numFmt w:val="lowerRoman"/>
      <w:start w:val="1"/>
    </w:lvl>
  </w:abstractNum>
  <w:abstractNum w:abstractNumId="156">
    <w:nsid w:val="397C46BC"/>
    <w:multiLevelType w:val="hybridMultilevel"/>
    <w:lvl w:ilvl="0">
      <w:lvlJc w:val="left"/>
      <w:lvlText w:val="(%1)"/>
      <w:numFmt w:val="lowerRoman"/>
      <w:start w:val="2"/>
    </w:lvl>
  </w:abstractNum>
  <w:abstractNum w:abstractNumId="157">
    <w:nsid w:val="7E448DE9"/>
    <w:multiLevelType w:val="hybridMultilevel"/>
    <w:lvl w:ilvl="0">
      <w:lvlJc w:val="left"/>
      <w:lvlText w:val="•"/>
      <w:numFmt w:val="bullet"/>
      <w:start w:val="1"/>
    </w:lvl>
  </w:abstractNum>
  <w:abstractNum w:abstractNumId="158">
    <w:nsid w:val="5A9CC3E5"/>
    <w:multiLevelType w:val="hybridMultilevel"/>
    <w:lvl w:ilvl="0">
      <w:lvlJc w:val="left"/>
      <w:lvlText w:val="(%1)"/>
      <w:numFmt w:val="decimal"/>
      <w:start w:val="1"/>
    </w:lvl>
  </w:abstractNum>
  <w:abstractNum w:abstractNumId="159">
    <w:nsid w:val="1AFE3625"/>
    <w:multiLevelType w:val="hybridMultilevel"/>
    <w:lvl w:ilvl="0">
      <w:lvlJc w:val="left"/>
      <w:lvlText w:val="(%1)"/>
      <w:numFmt w:val="decimal"/>
      <w:start w:val="1"/>
    </w:lvl>
  </w:abstractNum>
  <w:abstractNum w:abstractNumId="160">
    <w:nsid w:val="3CA88ECF"/>
    <w:multiLevelType w:val="hybridMultilevel"/>
    <w:lvl w:ilvl="0">
      <w:lvlJc w:val="left"/>
      <w:lvlText w:val="(%1)"/>
      <w:numFmt w:val="decimal"/>
      <w:start w:val="1"/>
    </w:lvl>
  </w:abstractNum>
  <w:abstractNum w:abstractNumId="161">
    <w:nsid w:val="6EBE4208"/>
    <w:multiLevelType w:val="hybridMultilevel"/>
    <w:lvl w:ilvl="0">
      <w:lvlJc w:val="left"/>
      <w:lvlText w:val="(%1)"/>
      <w:numFmt w:val="decimal"/>
      <w:start w:val="1"/>
    </w:lvl>
  </w:abstractNum>
  <w:abstractNum w:abstractNumId="162">
    <w:nsid w:val="C058DF5"/>
    <w:multiLevelType w:val="hybridMultilevel"/>
    <w:lvl w:ilvl="0">
      <w:lvlJc w:val="left"/>
      <w:lvlText w:val="(%1)"/>
      <w:numFmt w:val="decimal"/>
      <w:start w:val="1"/>
    </w:lvl>
  </w:abstractNum>
  <w:abstractNum w:abstractNumId="163">
    <w:nsid w:val="CBE5BE9"/>
    <w:multiLevelType w:val="hybridMultilevel"/>
    <w:lvl w:ilvl="0">
      <w:lvlJc w:val="left"/>
      <w:lvlText w:val="(%1)"/>
      <w:numFmt w:val="decimal"/>
      <w:start w:val="1"/>
    </w:lvl>
  </w:abstractNum>
  <w:abstractNum w:abstractNumId="164">
    <w:nsid w:val="3102BBE2"/>
    <w:multiLevelType w:val="hybridMultilevel"/>
    <w:lvl w:ilvl="0">
      <w:lvlJc w:val="left"/>
      <w:lvlText w:val="(%1)"/>
      <w:numFmt w:val="decimal"/>
      <w:start w:val="1"/>
    </w:lvl>
  </w:abstractNum>
  <w:abstractNum w:abstractNumId="165">
    <w:nsid w:val="26A02C5E"/>
    <w:multiLevelType w:val="hybridMultilevel"/>
    <w:lvl w:ilvl="0">
      <w:lvlJc w:val="left"/>
      <w:lvlText w:val="•"/>
      <w:numFmt w:val="bullet"/>
      <w:start w:val="1"/>
    </w:lvl>
  </w:abstractNum>
  <w:abstractNum w:abstractNumId="166">
    <w:nsid w:val="541C8153"/>
    <w:multiLevelType w:val="hybridMultilevel"/>
    <w:lvl w:ilvl="0">
      <w:lvlJc w:val="left"/>
      <w:lvlText w:val="•"/>
      <w:numFmt w:val="bullet"/>
      <w:start w:val="1"/>
    </w:lvl>
    <w:lvl w:ilvl="1">
      <w:lvlJc w:val="left"/>
      <w:lvlText w:val="•"/>
      <w:numFmt w:val="bullet"/>
      <w:start w:val="1"/>
    </w:lvl>
  </w:abstractNum>
  <w:abstractNum w:abstractNumId="167">
    <w:nsid w:val="67906F60"/>
    <w:multiLevelType w:val="hybridMultilevel"/>
    <w:lvl w:ilvl="0">
      <w:lvlJc w:val="left"/>
      <w:lvlText w:val="•"/>
      <w:numFmt w:val="bullet"/>
      <w:start w:val="1"/>
    </w:lvl>
  </w:abstractNum>
  <w:abstractNum w:abstractNumId="168">
    <w:nsid w:val="10DB9DAA"/>
    <w:multiLevelType w:val="hybridMultilevel"/>
    <w:lvl w:ilvl="0">
      <w:lvlJc w:val="left"/>
      <w:lvlText w:val="•"/>
      <w:numFmt w:val="bullet"/>
      <w:start w:val="1"/>
    </w:lvl>
  </w:abstractNum>
  <w:abstractNum w:abstractNumId="169">
    <w:nsid w:val="697D2D2"/>
    <w:multiLevelType w:val="hybridMultilevel"/>
    <w:lvl w:ilvl="0">
      <w:lvlJc w:val="left"/>
      <w:lvlText w:val="•"/>
      <w:numFmt w:val="bullet"/>
      <w:start w:val="1"/>
    </w:lvl>
    <w:lvl w:ilvl="1">
      <w:lvlJc w:val="left"/>
      <w:lvlText w:val="•"/>
      <w:numFmt w:val="bullet"/>
      <w:start w:val="1"/>
    </w:lvl>
  </w:abstractNum>
  <w:abstractNum w:abstractNumId="170">
    <w:nsid w:val="6D68AB2"/>
    <w:multiLevelType w:val="hybridMultilevel"/>
    <w:lvl w:ilvl="0">
      <w:lvlJc w:val="left"/>
      <w:lvlText w:val="•"/>
      <w:numFmt w:val="bullet"/>
      <w:start w:val="1"/>
    </w:lvl>
  </w:abstractNum>
  <w:abstractNum w:abstractNumId="171">
    <w:nsid w:val="3A966CD0"/>
    <w:multiLevelType w:val="hybridMultilevel"/>
    <w:lvl w:ilvl="0">
      <w:lvlJc w:val="left"/>
      <w:lvlText w:val="(%1)"/>
      <w:numFmt w:val="decimal"/>
      <w:start w:val="1"/>
    </w:lvl>
  </w:abstractNum>
  <w:abstractNum w:abstractNumId="172">
    <w:nsid w:val="63F37E85"/>
    <w:multiLevelType w:val="hybridMultilevel"/>
    <w:lvl w:ilvl="0">
      <w:lvlJc w:val="left"/>
      <w:lvlText w:val="(%1)"/>
      <w:numFmt w:val="decimal"/>
      <w:start w:val="1"/>
    </w:lvl>
  </w:abstractNum>
  <w:abstractNum w:abstractNumId="173">
    <w:nsid w:val="5895F5FA"/>
    <w:multiLevelType w:val="hybridMultilevel"/>
    <w:lvl w:ilvl="0">
      <w:lvlJc w:val="left"/>
      <w:lvlText w:val="(%1)"/>
      <w:numFmt w:val="decimal"/>
      <w:start w:val="1"/>
    </w:lvl>
  </w:abstractNum>
  <w:abstractNum w:abstractNumId="174">
    <w:nsid w:val="38A5D054"/>
    <w:multiLevelType w:val="hybridMultilevel"/>
    <w:lvl w:ilvl="0">
      <w:lvlJc w:val="left"/>
      <w:lvlText w:val="(%1)"/>
      <w:numFmt w:val="decimal"/>
      <w:start w:val="5"/>
    </w:lvl>
  </w:abstractNum>
  <w:abstractNum w:abstractNumId="175">
    <w:nsid w:val="F3F09D8"/>
    <w:multiLevelType w:val="hybridMultilevel"/>
    <w:lvl w:ilvl="0">
      <w:lvlJc w:val="left"/>
      <w:lvlText w:val="(%1)"/>
      <w:numFmt w:val="decimal"/>
      <w:start w:val="1"/>
    </w:lvl>
  </w:abstractNum>
  <w:abstractNum w:abstractNumId="176">
    <w:nsid w:val="4B793735"/>
    <w:multiLevelType w:val="hybridMultilevel"/>
    <w:lvl w:ilvl="0">
      <w:lvlJc w:val="left"/>
      <w:lvlText w:val="%1"/>
      <w:numFmt w:val="decimal"/>
      <w:start w:val="1"/>
    </w:lvl>
    <w:lvl w:ilvl="1">
      <w:lvlJc w:val="left"/>
      <w:lvlText w:val="(%2)"/>
      <w:numFmt w:val="lowerLetter"/>
      <w:start w:val="1"/>
    </w:lvl>
  </w:abstractNum>
  <w:abstractNum w:abstractNumId="177">
    <w:nsid w:val="4A10B4E8"/>
    <w:multiLevelType w:val="hybridMultilevel"/>
    <w:lvl w:ilvl="0">
      <w:lvlJc w:val="left"/>
      <w:lvlText w:val="(%1)"/>
      <w:numFmt w:val="decimal"/>
      <w:start w:val="8"/>
    </w:lvl>
    <w:lvl w:ilvl="1">
      <w:lvlJc w:val="left"/>
      <w:lvlText w:val="%2"/>
      <w:numFmt w:val="lowerLetter"/>
      <w:start w:val="1"/>
    </w:lvl>
  </w:abstractNum>
  <w:abstractNum w:abstractNumId="178">
    <w:nsid w:val="43D3BCD4"/>
    <w:multiLevelType w:val="hybridMultilevel"/>
    <w:lvl w:ilvl="0">
      <w:lvlJc w:val="left"/>
      <w:lvlText w:val="(%1)"/>
      <w:numFmt w:val="decimal"/>
      <w:start w:val="1"/>
    </w:lvl>
  </w:abstractNum>
  <w:abstractNum w:abstractNumId="179">
    <w:nsid w:val="4C2A7166"/>
    <w:multiLevelType w:val="hybridMultilevel"/>
    <w:lvl w:ilvl="0">
      <w:lvlJc w:val="left"/>
      <w:lvlText w:val="(%1)"/>
      <w:numFmt w:val="decimal"/>
      <w:start w:val="7"/>
    </w:lvl>
  </w:abstractNum>
  <w:abstractNum w:abstractNumId="180">
    <w:nsid w:val="2E534A82"/>
    <w:multiLevelType w:val="hybridMultilevel"/>
    <w:lvl w:ilvl="0">
      <w:lvlJc w:val="left"/>
      <w:lvlText w:val="%1"/>
      <w:numFmt w:val="decimal"/>
      <w:start w:val="1"/>
    </w:lvl>
    <w:lvl w:ilvl="1">
      <w:lvlJc w:val="left"/>
      <w:lvlText w:val="(%2)"/>
      <w:numFmt w:val="lowerLetter"/>
      <w:start w:val="1"/>
    </w:lvl>
  </w:abstractNum>
  <w:abstractNum w:abstractNumId="181">
    <w:nsid w:val="26F2D364"/>
    <w:multiLevelType w:val="hybridMultilevel"/>
    <w:lvl w:ilvl="0">
      <w:lvlJc w:val="left"/>
      <w:lvlText w:val="(%1)"/>
      <w:numFmt w:val="decimal"/>
      <w:start w:val="8"/>
    </w:lvl>
    <w:lvl w:ilvl="1">
      <w:lvlJc w:val="left"/>
      <w:lvlText w:val="%2"/>
      <w:numFmt w:val="lowerLetter"/>
      <w:start w:val="1"/>
    </w:lvl>
  </w:abstractNum>
  <w:abstractNum w:abstractNumId="182">
    <w:nsid w:val="71C1AF98"/>
    <w:multiLevelType w:val="hybridMultilevel"/>
    <w:lvl w:ilvl="0">
      <w:lvlJc w:val="left"/>
      <w:lvlText w:val="•"/>
      <w:numFmt w:val="bullet"/>
      <w:start w:val="1"/>
    </w:lvl>
  </w:abstractNum>
  <w:abstractNum w:abstractNumId="183">
    <w:nsid w:val="3D00B9D9"/>
    <w:multiLevelType w:val="hybridMultilevel"/>
    <w:lvl w:ilvl="0">
      <w:lvlJc w:val="left"/>
      <w:lvlText w:val="•"/>
      <w:numFmt w:val="bullet"/>
      <w:start w:val="1"/>
    </w:lvl>
  </w:abstractNum>
  <w:abstractNum w:abstractNumId="184">
    <w:nsid w:val="15BCABA8"/>
    <w:multiLevelType w:val="hybridMultilevel"/>
    <w:lvl w:ilvl="0">
      <w:lvlJc w:val="left"/>
      <w:lvlText w:val="•"/>
      <w:numFmt w:val="bullet"/>
      <w:start w:val="1"/>
    </w:lvl>
  </w:abstractNum>
  <w:abstractNum w:abstractNumId="185">
    <w:nsid w:val="4E0B9A87"/>
    <w:multiLevelType w:val="hybridMultilevel"/>
    <w:lvl w:ilvl="0">
      <w:lvlJc w:val="left"/>
      <w:lvlText w:val="•"/>
      <w:numFmt w:val="bullet"/>
      <w:start w:val="1"/>
    </w:lvl>
  </w:abstractNum>
  <w:abstractNum w:abstractNumId="186">
    <w:nsid w:val="434BAE75"/>
    <w:multiLevelType w:val="hybridMultilevel"/>
    <w:lvl w:ilvl="0">
      <w:lvlJc w:val="left"/>
      <w:lvlText w:val="(%1)"/>
      <w:numFmt w:val="lowerRoman"/>
      <w:start w:val="1"/>
    </w:lvl>
  </w:abstractNum>
  <w:abstractNum w:abstractNumId="187">
    <w:nsid w:val="4F38F265"/>
    <w:multiLevelType w:val="hybridMultilevel"/>
    <w:lvl w:ilvl="0">
      <w:lvlJc w:val="left"/>
      <w:lvlText w:val="(%1)"/>
      <w:numFmt w:val="lowerRoman"/>
      <w:start w:val="2"/>
    </w:lvl>
  </w:abstractNum>
  <w:abstractNum w:abstractNumId="188">
    <w:nsid w:val="4C502870"/>
    <w:multiLevelType w:val="hybridMultilevel"/>
    <w:lvl w:ilvl="0">
      <w:lvlJc w:val="left"/>
      <w:lvlText w:val="(%1)"/>
      <w:numFmt w:val="decimal"/>
      <w:start w:val="1"/>
    </w:lvl>
  </w:abstractNum>
  <w:abstractNum w:abstractNumId="189">
    <w:nsid w:val="1DE8725A"/>
    <w:multiLevelType w:val="hybridMultilevel"/>
    <w:lvl w:ilvl="0">
      <w:lvlJc w:val="left"/>
      <w:lvlText w:val="(%1)"/>
      <w:numFmt w:val="decimal"/>
      <w:start w:val="1"/>
    </w:lvl>
  </w:abstractNum>
  <w:abstractNum w:abstractNumId="190">
    <w:nsid w:val="6A37288A"/>
    <w:multiLevelType w:val="hybridMultilevel"/>
    <w:lvl w:ilvl="0">
      <w:lvlJc w:val="left"/>
      <w:lvlText w:val="(%1)"/>
      <w:numFmt w:val="decimal"/>
      <w:start w:val="1"/>
    </w:lvl>
  </w:abstractNum>
  <w:abstractNum w:abstractNumId="191">
    <w:nsid w:val="8F8B73F"/>
    <w:multiLevelType w:val="hybridMultilevel"/>
    <w:lvl w:ilvl="0">
      <w:lvlJc w:val="left"/>
      <w:lvlText w:val="(%1)"/>
      <w:numFmt w:val="decimal"/>
      <w:start w:val="1"/>
    </w:lvl>
  </w:abstractNum>
  <w:abstractNum w:abstractNumId="192">
    <w:nsid w:val="CA6B462"/>
    <w:multiLevelType w:val="hybridMultilevel"/>
    <w:lvl w:ilvl="0">
      <w:lvlJc w:val="left"/>
      <w:lvlText w:val="(%1)"/>
      <w:numFmt w:val="decimal"/>
      <w:start w:val="1"/>
    </w:lvl>
  </w:abstractNum>
  <w:abstractNum w:abstractNumId="193">
    <w:nsid w:val="763CB680"/>
    <w:multiLevelType w:val="hybridMultilevel"/>
    <w:lvl w:ilvl="0">
      <w:lvlJc w:val="left"/>
      <w:lvlText w:val="(%1)"/>
      <w:numFmt w:val="decimal"/>
      <w:start w:val="1"/>
    </w:lvl>
  </w:abstractNum>
  <w:abstractNum w:abstractNumId="194">
    <w:nsid w:val="15B71329"/>
    <w:multiLevelType w:val="hybridMultilevel"/>
    <w:lvl w:ilvl="0">
      <w:lvlJc w:val="left"/>
      <w:lvlText w:val="(%1)"/>
      <w:numFmt w:val="decimal"/>
      <w:start w:val="1"/>
    </w:lvl>
  </w:abstractNum>
  <w:abstractNum w:abstractNumId="195">
    <w:nsid w:val="3DA97044"/>
    <w:multiLevelType w:val="hybridMultilevel"/>
    <w:lvl w:ilvl="0">
      <w:lvlJc w:val="left"/>
      <w:lvlText w:val="(%1)"/>
      <w:numFmt w:val="decimal"/>
      <w:start w:val="1"/>
    </w:lvl>
  </w:abstractNum>
  <w:abstractNum w:abstractNumId="196">
    <w:nsid w:val="1CDCE2DE"/>
    <w:multiLevelType w:val="hybridMultilevel"/>
    <w:lvl w:ilvl="0">
      <w:lvlJc w:val="left"/>
      <w:lvlText w:val="•"/>
      <w:numFmt w:val="bullet"/>
      <w:start w:val="1"/>
    </w:lvl>
  </w:abstractNum>
  <w:abstractNum w:abstractNumId="197">
    <w:nsid w:val="69D3947C"/>
    <w:multiLevelType w:val="hybridMultilevel"/>
    <w:lvl w:ilvl="0">
      <w:lvlJc w:val="left"/>
      <w:lvlText w:val="•"/>
      <w:numFmt w:val="bullet"/>
      <w:start w:val="1"/>
    </w:lvl>
  </w:abstractNum>
  <w:abstractNum w:abstractNumId="198">
    <w:nsid w:val="2539DFA5"/>
    <w:multiLevelType w:val="hybridMultilevel"/>
    <w:lvl w:ilvl="0">
      <w:lvlJc w:val="left"/>
      <w:lvlText w:val="•"/>
      <w:numFmt w:val="bullet"/>
      <w:start w:val="1"/>
    </w:lvl>
  </w:abstractNum>
  <w:abstractNum w:abstractNumId="199">
    <w:nsid w:val="2DB88089"/>
    <w:multiLevelType w:val="hybridMultilevel"/>
    <w:lvl w:ilvl="0">
      <w:lvlJc w:val="left"/>
      <w:lvlText w:val="•"/>
      <w:numFmt w:val="bullet"/>
      <w:start w:val="1"/>
    </w:lvl>
  </w:abstractNum>
  <w:abstractNum w:abstractNumId="200">
    <w:nsid w:val="706B674E"/>
    <w:multiLevelType w:val="hybridMultilevel"/>
    <w:lvl w:ilvl="0">
      <w:lvlJc w:val="left"/>
      <w:lvlText w:val="•"/>
      <w:numFmt w:val="bullet"/>
      <w:start w:val="1"/>
    </w:lvl>
  </w:abstractNum>
  <w:abstractNum w:abstractNumId="201">
    <w:nsid w:val="2C106A57"/>
    <w:multiLevelType w:val="hybridMultilevel"/>
    <w:lvl w:ilvl="0">
      <w:lvlJc w:val="left"/>
      <w:lvlText w:val="•"/>
      <w:numFmt w:val="bullet"/>
      <w:start w:val="1"/>
    </w:lvl>
  </w:abstractNum>
  <w:abstractNum w:abstractNumId="202">
    <w:nsid w:val="684EED59"/>
    <w:multiLevelType w:val="hybridMultilevel"/>
    <w:lvl w:ilvl="0">
      <w:lvlJc w:val="left"/>
      <w:lvlText w:val="(%1)"/>
      <w:numFmt w:val="decimal"/>
      <w:start w:val="1"/>
    </w:lvl>
  </w:abstractNum>
  <w:abstractNum w:abstractNumId="203">
    <w:nsid w:val="545EE5D3"/>
    <w:multiLevelType w:val="hybridMultilevel"/>
    <w:lvl w:ilvl="0">
      <w:lvlJc w:val="left"/>
      <w:lvlText w:val="(%1)"/>
      <w:numFmt w:val="decimal"/>
      <w:start w:val="1"/>
    </w:lvl>
  </w:abstractNum>
  <w:abstractNum w:abstractNumId="204">
    <w:nsid w:val="4A66051"/>
    <w:multiLevelType w:val="hybridMultilevel"/>
    <w:lvl w:ilvl="0">
      <w:lvlJc w:val="left"/>
      <w:lvlText w:val="(%1)"/>
      <w:numFmt w:val="decimal"/>
      <w:start w:val="1"/>
    </w:lvl>
  </w:abstractNum>
  <w:abstractNum w:abstractNumId="205">
    <w:nsid w:val="20F4BDAD"/>
    <w:multiLevelType w:val="hybridMultilevel"/>
    <w:lvl w:ilvl="0">
      <w:lvlJc w:val="left"/>
      <w:lvlText w:val="(%1)"/>
      <w:numFmt w:val="decimal"/>
      <w:start w:val="1"/>
    </w:lvl>
  </w:abstractNum>
  <w:abstractNum w:abstractNumId="206">
    <w:nsid w:val="639DEFAC"/>
    <w:multiLevelType w:val="hybridMultilevel"/>
    <w:lvl w:ilvl="0">
      <w:lvlJc w:val="left"/>
      <w:lvlText w:val="(%1)"/>
      <w:numFmt w:val="decimal"/>
      <w:start w:val="1"/>
    </w:lvl>
  </w:abstractNum>
  <w:abstractNum w:abstractNumId="207">
    <w:nsid w:val="501F9786"/>
    <w:multiLevelType w:val="hybridMultilevel"/>
    <w:lvl w:ilvl="0">
      <w:lvlJc w:val="left"/>
      <w:lvlText w:val="(%1)"/>
      <w:numFmt w:val="lowerLetter"/>
      <w:start w:val="2"/>
    </w:lvl>
  </w:abstractNum>
  <w:abstractNum w:abstractNumId="208">
    <w:nsid w:val="6B057295"/>
    <w:multiLevelType w:val="hybridMultilevel"/>
    <w:lvl w:ilvl="0">
      <w:lvlJc w:val="left"/>
      <w:lvlText w:val="(%1)"/>
      <w:numFmt w:val="lowerLetter"/>
      <w:start w:val="5"/>
    </w:lvl>
  </w:abstractNum>
  <w:abstractNum w:abstractNumId="209">
    <w:nsid w:val="2771AC80"/>
    <w:multiLevelType w:val="hybridMultilevel"/>
    <w:lvl w:ilvl="0">
      <w:lvlJc w:val="left"/>
      <w:lvlText w:val="(%1)"/>
      <w:numFmt w:val="lowerLetter"/>
      <w:start w:val="9"/>
    </w:lvl>
  </w:abstractNum>
  <w:abstractNum w:abstractNumId="210">
    <w:nsid w:val="1C4A08EC"/>
    <w:multiLevelType w:val="hybridMultilevel"/>
    <w:lvl w:ilvl="0">
      <w:lvlJc w:val="left"/>
      <w:lvlText w:val="(%1)"/>
      <w:numFmt w:val="lowerLetter"/>
      <w:start w:val="12"/>
    </w:lvl>
  </w:abstractNum>
  <w:abstractNum w:abstractNumId="211">
    <w:nsid w:val="1958BD17"/>
    <w:multiLevelType w:val="hybridMultilevel"/>
    <w:lvl w:ilvl="0">
      <w:lvlJc w:val="left"/>
      <w:lvlText w:val="(%1)"/>
      <w:numFmt w:val="lowerLetter"/>
      <w:start w:val="15"/>
    </w:lvl>
  </w:abstractNum>
  <w:abstractNum w:abstractNumId="212">
    <w:nsid w:val="4E647FE4"/>
    <w:multiLevelType w:val="hybridMultilevel"/>
    <w:lvl w:ilvl="0">
      <w:lvlJc w:val="left"/>
      <w:lvlText w:val="(%1)"/>
      <w:numFmt w:val="decimal"/>
      <w:start w:val="1"/>
    </w:lvl>
  </w:abstractNum>
  <w:abstractNum w:abstractNumId="213">
    <w:nsid w:val="E0BB885"/>
    <w:multiLevelType w:val="hybridMultilevel"/>
    <w:lvl w:ilvl="0">
      <w:lvlJc w:val="left"/>
      <w:lvlText w:val="*"/>
      <w:numFmt w:val="bullet"/>
      <w:start w:val="1"/>
    </w:lvl>
  </w:abstractNum>
  <w:abstractNum w:abstractNumId="214">
    <w:nsid w:val="565976F1"/>
    <w:multiLevelType w:val="hybridMultilevel"/>
    <w:lvl w:ilvl="0">
      <w:lvlJc w:val="left"/>
      <w:lvlText w:val="(%1)"/>
      <w:numFmt w:val="decimal"/>
      <w:start w:val="1"/>
    </w:lvl>
  </w:abstractNum>
  <w:abstractNum w:abstractNumId="215">
    <w:nsid w:val="64212B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6">
    <w:nsid w:val="5C17530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7">
    <w:nsid w:val="19A5256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8">
    <w:nsid w:val="335A1DF1"/>
    <w:multiLevelType w:val="hybridMultilevel"/>
    <w:lvl w:ilvl="0">
      <w:lvlJc w:val="left"/>
      <w:lvlText w:val="%1."/>
      <w:numFmt w:val="decimal"/>
      <w:start w:val="1"/>
    </w:lvl>
  </w:abstractNum>
  <w:abstractNum w:abstractNumId="219">
    <w:nsid w:val="28677B7C"/>
    <w:multiLevelType w:val="hybridMultilevel"/>
    <w:lvl w:ilvl="0">
      <w:lvlJc w:val="left"/>
      <w:lvlText w:val="%1."/>
      <w:numFmt w:val="decimal"/>
      <w:start w:val="2"/>
    </w:lvl>
  </w:abstractNum>
  <w:abstractNum w:abstractNumId="220">
    <w:nsid w:val="378D97C0"/>
    <w:multiLevelType w:val="hybridMultilevel"/>
    <w:lvl w:ilvl="0">
      <w:lvlJc w:val="left"/>
      <w:lvlText w:val="%1."/>
      <w:numFmt w:val="decimal"/>
      <w:start w:val="3"/>
    </w:lvl>
  </w:abstractNum>
  <w:abstractNum w:abstractNumId="221">
    <w:nsid w:val="1D91467C"/>
    <w:multiLevelType w:val="hybridMultilevel"/>
    <w:lvl w:ilvl="0">
      <w:lvlJc w:val="left"/>
      <w:lvlText w:val="%1."/>
      <w:numFmt w:val="decimal"/>
      <w:start w:val="4"/>
    </w:lvl>
  </w:abstractNum>
  <w:abstractNum w:abstractNumId="222">
    <w:nsid w:val="316032BB"/>
    <w:multiLevelType w:val="hybridMultilevel"/>
    <w:lvl w:ilvl="0">
      <w:lvlJc w:val="left"/>
      <w:lvlText w:val="%1."/>
      <w:numFmt w:val="decimal"/>
      <w:start w:val="5"/>
    </w:lvl>
  </w:abstractNum>
  <w:abstractNum w:abstractNumId="223">
    <w:nsid w:val="44344C22"/>
    <w:multiLevelType w:val="hybridMultilevel"/>
    <w:lvl w:ilvl="0">
      <w:lvlJc w:val="left"/>
      <w:lvlText w:val="%1."/>
      <w:numFmt w:val="decimal"/>
      <w:start w:val="6"/>
    </w:lvl>
  </w:abstractNum>
  <w:abstractNum w:abstractNumId="224">
    <w:nsid w:val="13CDFCF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2019-12-07T13:45:47Z</dcterms:created>
  <dcterms:modified xsi:type="dcterms:W3CDTF">2019-12-07T13:45:47Z</dcterms:modified>
</cp:coreProperties>
</file>