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80" w:hanging="276"/>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80" w:hanging="276"/>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80" w:hanging="276"/>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276"/>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276"/>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right="24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-3980815</wp:posOffset>
            </wp:positionV>
            <wp:extent cx="6431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-3535045</wp:posOffset>
            </wp:positionV>
            <wp:extent cx="64319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-2951480</wp:posOffset>
            </wp:positionV>
            <wp:extent cx="6431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-2505710</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-2059940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-584835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180"/>
          </w:cols>
          <w:pgMar w:left="240" w:top="230" w:right="479" w:bottom="424"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321310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9556"/>
          </w:cols>
          <w:pgMar w:left="903"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pleased to invite you to attend the 2018 Annual Meeting of Stockholders of TPG Specialty Lending, Inc. to be held on May 17, 2018, at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9:00 a.m., local time, at the offices of TPG, 888 7th Avenue, Floor 35, New York, NY 10106.</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 will also receive separate proxy materials for a special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 2018</w:t>
      </w:r>
    </w:p>
    <w:p>
      <w:pPr>
        <w:sectPr>
          <w:pgSz w:w="11900" w:h="16838" w:orient="portrait"/>
          <w:cols w:equalWidth="0" w:num="1">
            <w:col w:w="11060"/>
          </w:cols>
          <w:pgMar w:left="240" w:top="459" w:right="5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Important Notice Regarding the Availability of Proxy Material for the Annual Meeting of Stockholders to Be Held on May 17, 2018.</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proxy statement and annual report on Form 10-K for the year ended December 31, 2017 are available online at www.proxyvote.com.</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54"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NOTICE IS HEREBY GIVEN that the 2018 Annual Meeting of Stockholders of TPG Specialty Lending, Inc. will be held at the offices of TPG, 888 7th Avenue, Floor 35, New York, NY 10106 on May 17, 2018, at 9:00 a.m., local time. The 2018 Annual Meeting of Stockholders is being held for the following purposes:</w:t>
      </w:r>
    </w:p>
    <w:p>
      <w:pPr>
        <w:spacing w:after="0" w:line="73" w:lineRule="exact"/>
        <w:rPr>
          <w:sz w:val="20"/>
          <w:szCs w:val="20"/>
          <w:color w:val="auto"/>
        </w:rPr>
      </w:pPr>
    </w:p>
    <w:p>
      <w:pPr>
        <w:ind w:left="640" w:right="340" w:firstLine="428"/>
        <w:spacing w:after="0" w:line="27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two Class I directors, each to serve for a three-year term and until a successor has been duly elected and qualified or until the director’s earlier resignation or removal.</w:t>
      </w:r>
    </w:p>
    <w:p>
      <w:pPr>
        <w:spacing w:after="0" w:line="62" w:lineRule="exact"/>
        <w:rPr>
          <w:rFonts w:ascii="Arial" w:cs="Arial" w:eastAsia="Arial" w:hAnsi="Arial"/>
          <w:sz w:val="18"/>
          <w:szCs w:val="18"/>
          <w:color w:val="auto"/>
        </w:rPr>
      </w:pPr>
    </w:p>
    <w:p>
      <w:pPr>
        <w:ind w:left="640" w:right="720" w:firstLine="428"/>
        <w:spacing w:after="0" w:line="27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KPMG LLP as the Company’s independent registered public accounting firm for the fiscal year ending December 31, 2018.</w:t>
      </w:r>
    </w:p>
    <w:p>
      <w:pPr>
        <w:spacing w:after="0" w:line="62" w:lineRule="exact"/>
        <w:rPr>
          <w:rFonts w:ascii="Arial" w:cs="Arial" w:eastAsia="Arial" w:hAnsi="Arial"/>
          <w:sz w:val="18"/>
          <w:szCs w:val="18"/>
          <w:color w:val="auto"/>
        </w:rPr>
      </w:pPr>
    </w:p>
    <w:p>
      <w:pPr>
        <w:ind w:left="640" w:right="760" w:firstLine="428"/>
        <w:spacing w:after="0" w:line="27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2018 Annual Meeting of Stockholders or any postponement or adjournment thereof.</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Only stockholders of record at the close of business on March 19, 2018, are entitled to notice of and to vote at the 2018 Annual Meeting of Stockholders or any postponement or adjournment thereof.</w:t>
      </w:r>
    </w:p>
    <w:p>
      <w:pPr>
        <w:spacing w:after="0" w:line="17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7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Your vote is extremely important to us. If you are unable to attend the 2018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Further, from time to time we may repurchase shares of our common stock and are notifying you of this ability as required by applicable securities law. See “Stock Repurchase Plan” in the proxy statement.</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 2018</w:t>
      </w:r>
    </w:p>
    <w:p>
      <w:pPr>
        <w:spacing w:after="0" w:line="207"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740" w:type="dxa"/>
            <w:vAlign w:val="bottom"/>
            <w:gridSpan w:val="13"/>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Statement for the 2018 Annual Meeting of Stockholders</w:t>
              </w:r>
            </w:hyperlink>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740" w:type="dxa"/>
            <w:vAlign w:val="bottom"/>
            <w:gridSpan w:val="13"/>
            <w:vMerge w:val="continue"/>
          </w:tcPr>
          <w:p>
            <w:pPr>
              <w:spacing w:after="0"/>
              <w:rPr>
                <w:sz w:val="13"/>
                <w:szCs w:val="13"/>
                <w:color w:val="auto"/>
              </w:rPr>
            </w:pPr>
          </w:p>
        </w:tc>
        <w:tc>
          <w:tcPr>
            <w:tcW w:w="19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No. 1—Election of Directors</w:t>
              </w:r>
            </w:hyperlink>
          </w:p>
        </w:tc>
        <w:tc>
          <w:tcPr>
            <w:tcW w:w="3860" w:type="dxa"/>
            <w:vAlign w:val="bottom"/>
            <w:gridSpan w:val="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Corporate Governance</w:t>
              </w:r>
            </w:hyperlink>
          </w:p>
        </w:tc>
        <w:tc>
          <w:tcPr>
            <w:tcW w:w="1120" w:type="dxa"/>
            <w:vAlign w:val="bottom"/>
            <w:tcBorders>
              <w:top w:val="single" w:sz="8" w:color="0000EE"/>
            </w:tcBorders>
            <w:gridSpan w:val="4"/>
          </w:tcPr>
          <w:p>
            <w:pPr>
              <w:spacing w:after="0"/>
              <w:rPr>
                <w:sz w:val="17"/>
                <w:szCs w:val="17"/>
                <w:color w:val="auto"/>
              </w:rPr>
            </w:pPr>
          </w:p>
        </w:tc>
        <w:tc>
          <w:tcPr>
            <w:tcW w:w="5980" w:type="dxa"/>
            <w:vAlign w:val="bottom"/>
            <w:gridSpan w:val="5"/>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Proposal No. 2—Ratification of Selection of Independent Registered Public Accounting Firm</w:t>
              </w:r>
            </w:hyperlink>
          </w:p>
        </w:tc>
        <w:tc>
          <w:tcPr>
            <w:tcW w:w="1940" w:type="dxa"/>
            <w:vAlign w:val="bottom"/>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Audit Committee Report</w:t>
              </w:r>
            </w:hyperlink>
          </w:p>
        </w:tc>
        <w:tc>
          <w:tcPr>
            <w:tcW w:w="6940" w:type="dxa"/>
            <w:vAlign w:val="bottom"/>
            <w:gridSpan w:val="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Other Business</w:t>
              </w:r>
            </w:hyperlink>
          </w:p>
        </w:tc>
        <w:tc>
          <w:tcPr>
            <w:tcW w:w="7640" w:type="dxa"/>
            <w:vAlign w:val="bottom"/>
            <w:gridSpan w:val="1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740" w:type="dxa"/>
            <w:vAlign w:val="bottom"/>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Stock Repurchase Plan</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Stockholder Proposals and Nominations for the 2019 Annual Meeting of Stockholders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6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Annual Report</w:t>
              </w:r>
            </w:hyperlink>
          </w:p>
        </w:tc>
        <w:tc>
          <w:tcPr>
            <w:tcW w:w="2520" w:type="dxa"/>
            <w:vAlign w:val="bottom"/>
            <w:gridSpan w:val="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Householding of Proxy Materials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Privacy Principles</w:t>
              </w:r>
            </w:hyperlink>
          </w:p>
        </w:tc>
        <w:tc>
          <w:tcPr>
            <w:tcW w:w="1080" w:type="dxa"/>
            <w:vAlign w:val="bottom"/>
            <w:tcBorders>
              <w:top w:val="single" w:sz="8" w:color="0000EE"/>
            </w:tcBorders>
            <w:gridSpan w:val="4"/>
          </w:tcPr>
          <w:p>
            <w:pPr>
              <w:spacing w:after="0"/>
              <w:rPr>
                <w:sz w:val="17"/>
                <w:szCs w:val="17"/>
                <w:color w:val="auto"/>
              </w:rPr>
            </w:pPr>
          </w:p>
        </w:tc>
        <w:tc>
          <w:tcPr>
            <w:tcW w:w="6340" w:type="dxa"/>
            <w:vAlign w:val="bottom"/>
            <w:gridSpan w:val="6"/>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2018</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accompanying proxy is solicited on behalf of the Board of Directors (the “Board”) of TPG Specialty Lending, Inc., which is sometimes referred to in this proxy statement as “TSL,” “TSLX,” “we,” “us,” “our,” or the “Company,” for use at the 2018 Annual Meeting of Stockholders (the “Meeting”) to be held at the offices of TPG, 888 7th Avenue, Floor 35, New York, NY 10106 on May 17, 2018, at 9:00 a.m., local time. Only holders of record of our common stock at the close of business on March 19, 2018, which is the record date, will be entitled to vote at the Meeting. At the close of business on the record date, we had 60,400,496 shares of common stock outstanding and entitled to vote.</w:t>
      </w:r>
    </w:p>
    <w:p>
      <w:pPr>
        <w:spacing w:after="0" w:line="17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3, 2018. This proxy statement, including the accompanying form of proxy (collectively, the “Proxy Statement”), and the Company’s Annual Report for the fiscal year ended December 31, 2017 will first be made available to stockholders on or about April 3, 2018. The Annual Report and Proxy Statement can both be accessed online at www.proxyvote.com.</w:t>
      </w:r>
    </w:p>
    <w:p>
      <w:pPr>
        <w:spacing w:after="0" w:line="18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Class I director candidates nominated by the Board and (2)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selection of KPMG LLP as the Company’s independent registered public accounting firm for the fiscal year ending December 31, 2018. Should any matter not described above be properly presented at the Meeting, the named proxies will vote in accordance with their judgment as permitted.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2018 Annual Meeting of Stockholders is being held for the following purposes:</w:t>
      </w:r>
    </w:p>
    <w:p>
      <w:pPr>
        <w:spacing w:after="0" w:line="225" w:lineRule="exact"/>
        <w:rPr>
          <w:sz w:val="20"/>
          <w:szCs w:val="20"/>
          <w:color w:val="auto"/>
        </w:rPr>
      </w:pPr>
    </w:p>
    <w:p>
      <w:pPr>
        <w:ind w:left="200" w:right="60" w:firstLine="444"/>
        <w:spacing w:after="0" w:line="277" w:lineRule="auto"/>
        <w:tabs>
          <w:tab w:leader="none" w:pos="8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two Class I directors, each to serve for a three-year term and until a successor has been duly elected and qualified or until the director’s earlier resignation or removal.</w:t>
      </w:r>
    </w:p>
    <w:p>
      <w:pPr>
        <w:spacing w:after="0" w:line="170" w:lineRule="exact"/>
        <w:rPr>
          <w:rFonts w:ascii="Arial" w:cs="Arial" w:eastAsia="Arial" w:hAnsi="Arial"/>
          <w:sz w:val="18"/>
          <w:szCs w:val="18"/>
          <w:color w:val="auto"/>
        </w:rPr>
      </w:pPr>
    </w:p>
    <w:p>
      <w:pPr>
        <w:ind w:left="820" w:hanging="17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210" w:lineRule="exact"/>
        <w:rPr>
          <w:rFonts w:ascii="Arial" w:cs="Arial" w:eastAsia="Arial" w:hAnsi="Arial"/>
          <w:sz w:val="16"/>
          <w:szCs w:val="16"/>
          <w:color w:val="auto"/>
        </w:rPr>
      </w:pPr>
    </w:p>
    <w:p>
      <w:pPr>
        <w:ind w:left="820" w:hanging="17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2018 Annual Meeting of Stockholders or any postponement or adjournment</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online, by phone, or via mail, you will</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inspector of elections appointed for the Meeting will separately tabulate affirmative votes, “against” votes or “withhold” votes, as applicable, “abstain” votes and broker non-votes.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named proxies for the Meeting are Jennifer Gordon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$50,000, plus reimbursement of expenses.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You can contact us by mail sent to the attention of the Secretary of the Company, Jennifer Gordon,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You can call us by dialing (212) 601-4753. You can access our proxy materials online at www.proxyvote.com.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19, 2018,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The percentage ownership is based on 60,400,496 shares of common stock outstanding as of March 19, 2018.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8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20" w:type="dxa"/>
            <w:vAlign w:val="bottom"/>
            <w:gridSpan w:val="2"/>
          </w:tcPr>
          <w:p>
            <w:pPr>
              <w:jc w:val="center"/>
              <w:ind w:left="1351"/>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980" w:type="dxa"/>
            <w:vAlign w:val="bottom"/>
            <w:gridSpan w:val="3"/>
          </w:tcPr>
          <w:p>
            <w:pPr>
              <w:jc w:val="center"/>
              <w:ind w:left="491"/>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4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6640" w:type="dxa"/>
            <w:vAlign w:val="bottom"/>
            <w:gridSpan w:val="3"/>
            <w:vMerge w:val="continue"/>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8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5"/>
              </w:rPr>
              <w:t>Directors and Executive Officers:</w:t>
            </w:r>
          </w:p>
        </w:tc>
        <w:tc>
          <w:tcPr>
            <w:tcW w:w="4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35,414</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Michael Fishman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36,366</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Richard Higginbotham (Director Nominee)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Ross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Ronald Tanemura (Director Nominee)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56,516</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Ian Simmonds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2,471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Robert (Bo) Stanley</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(13 persons)</w:t>
            </w:r>
            <w:r>
              <w:rPr>
                <w:rFonts w:ascii="Arial" w:cs="Arial" w:eastAsia="Arial" w:hAnsi="Arial"/>
                <w:sz w:val="15"/>
                <w:szCs w:val="15"/>
                <w:color w:val="auto"/>
              </w:rPr>
              <w:t>(3)(4)</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2,915,164</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1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State Teachers Retirement Board of Ohio</w:t>
            </w:r>
            <w:r>
              <w:rPr>
                <w:rFonts w:ascii="Arial" w:cs="Arial" w:eastAsia="Arial" w:hAnsi="Arial"/>
                <w:sz w:val="15"/>
                <w:szCs w:val="15"/>
                <w:color w:val="auto"/>
              </w:rPr>
              <w:t>(5)</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4,770,420</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of Investment, Department of Treasury, State of New Jersey</w:t>
            </w:r>
            <w:r>
              <w:rPr>
                <w:rFonts w:ascii="Arial" w:cs="Arial" w:eastAsia="Arial" w:hAnsi="Arial"/>
                <w:sz w:val="15"/>
                <w:szCs w:val="15"/>
                <w:color w:val="auto"/>
              </w:rPr>
              <w:t>(6)</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4,750,000</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15"/>
                <w:szCs w:val="15"/>
                <w:color w:val="auto"/>
              </w:rPr>
              <w:t>(7)</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4,316,213</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5"/>
                <w:szCs w:val="15"/>
                <w:color w:val="auto"/>
              </w:rPr>
              <w:t>(8)</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3,488,476</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640" w:right="20" w:hanging="436"/>
        <w:spacing w:after="0" w:line="26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hanging="436"/>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15,289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9" w:lineRule="exact"/>
        <w:rPr>
          <w:rFonts w:ascii="Arial" w:cs="Arial" w:eastAsia="Arial" w:hAnsi="Arial"/>
          <w:sz w:val="18"/>
          <w:szCs w:val="18"/>
          <w:color w:val="auto"/>
        </w:rPr>
      </w:pPr>
    </w:p>
    <w:p>
      <w:pPr>
        <w:ind w:left="64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(“TSSP”),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jc w:val="both"/>
        <w:ind w:left="640" w:right="2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640" w:right="4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29, 2018 by Wells Fargo &amp; Company on its own behalf and on behalf of certain subsidiaries. The address of Wells Fargo &amp; Company is 420 Montgomery Street, San Francisco, CA 94163.</w:t>
      </w:r>
    </w:p>
    <w:p>
      <w:pPr>
        <w:ind w:left="640" w:right="40" w:hanging="436"/>
        <w:spacing w:after="0" w:line="29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24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Pursuant to our certificate of incorporation, our Board consists of five members. The Board is divided into three classes, with the members of each class each serving staggered, three-year terms. The terms of our Class I directors will expire at the Meeting; the term of our Class II director will expire at the 2019 annual meeting of stockholders; and the terms of our Class III directors will expire at the 2020 annual meeting of stockholders.</w:t>
      </w:r>
    </w:p>
    <w:p>
      <w:pPr>
        <w:spacing w:after="0" w:line="14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Board has nominated Richard Higginbotham and Ronald Tanemura as Class I directors, each to serve until his successor is duly elected and qualified at the annual meeting of stockholders held in 2021 or until his earlier death, resignation or removal. Messrs. Higginbotham and Tanemura are currently directors of TSLX.</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Messrs. Higginbotham and Tanemura have consented to being named in this proxy statement and to serving as directors if elected at the Meeting. If, for any reason, either or both of them become unable or unwilling to serve at the time of the Meeting, the persons named as proxies in the proxy will have the authority to vote for a substitute nominee or nominees. We do not anticipate that either Mr. Higginbotham or Mr. Tanemura will be unable or unwilling to serve.</w:t>
      </w:r>
    </w:p>
    <w:p>
      <w:pPr>
        <w:spacing w:after="0" w:line="18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Board has determined that Messrs. Higginbotham and Tanemura are not “interested persons” of the Company, of the Adviser, or of any of their respective affiliates as defined in Section 2(a)(19) of the 1940 Act.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Board recommends that stockholders vote “FOR” the Company’s nominees for Class III Director.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Set forth below are brief biographies of Messrs. Higginbotham and Tanemura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Nominees for Election as Class I Director</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8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0"/>
              </w:rPr>
              <w:t>Age</w:t>
            </w: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Director Since</w:t>
            </w: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38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Director (Independent)</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Ronald Tanemura</w:t>
            </w:r>
          </w:p>
        </w:tc>
        <w:tc>
          <w:tcPr>
            <w:tcW w:w="1000" w:type="dxa"/>
            <w:vAlign w:val="bottom"/>
            <w:gridSpan w:val="2"/>
          </w:tcPr>
          <w:p>
            <w:pPr>
              <w:jc w:val="center"/>
              <w:ind w:left="659"/>
              <w:spacing w:after="0"/>
              <w:rPr>
                <w:sz w:val="20"/>
                <w:szCs w:val="20"/>
                <w:color w:val="auto"/>
              </w:rPr>
            </w:pPr>
            <w:r>
              <w:rPr>
                <w:rFonts w:ascii="Arial" w:cs="Arial" w:eastAsia="Arial" w:hAnsi="Arial"/>
                <w:sz w:val="18"/>
                <w:szCs w:val="18"/>
                <w:color w:val="auto"/>
                <w:w w:val="89"/>
              </w:rPr>
              <w:t>54</w:t>
            </w:r>
          </w:p>
        </w:tc>
        <w:tc>
          <w:tcPr>
            <w:tcW w:w="38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2"/>
              </w:rPr>
              <w:t>Director (Independent)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200" w:right="60" w:firstLine="441"/>
        <w:spacing w:after="0" w:line="29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56" w:lineRule="exact"/>
        <w:rPr>
          <w:sz w:val="20"/>
          <w:szCs w:val="20"/>
          <w:color w:val="auto"/>
        </w:rPr>
      </w:pPr>
    </w:p>
    <w:p>
      <w:pPr>
        <w:ind w:left="200" w:right="40" w:firstLine="441"/>
        <w:spacing w:after="0" w:line="261" w:lineRule="auto"/>
        <w:rPr>
          <w:sz w:val="20"/>
          <w:szCs w:val="20"/>
          <w:color w:val="auto"/>
        </w:rPr>
      </w:pPr>
      <w:r>
        <w:rPr>
          <w:rFonts w:ascii="Arial" w:cs="Arial" w:eastAsia="Arial" w:hAnsi="Arial"/>
          <w:sz w:val="18"/>
          <w:szCs w:val="18"/>
          <w:b w:val="1"/>
          <w:bCs w:val="1"/>
          <w:color w:val="auto"/>
        </w:rPr>
        <w:t xml:space="preserve">Ronald Tanemura </w:t>
      </w:r>
      <w:r>
        <w:rPr>
          <w:rFonts w:ascii="Arial" w:cs="Arial" w:eastAsia="Arial" w:hAnsi="Arial"/>
          <w:sz w:val="18"/>
          <w:szCs w:val="18"/>
          <w:color w:val="auto"/>
        </w:rPr>
        <w:t>was elected a director of TSLX in March 2011. Since 2012, Mr. Tanemura has served as a director of post-reorganization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Lehman 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from 2004 to 2006, Mr. Tanemura was an Advisory Director at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Goldman, Sachs &amp; Co. From 2000 to 2004, Mr. Tanemura was a Partner at Goldman, Sachs &amp; Co. and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Incumbent Class II Director: Term Expiring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0"/>
              </w:rPr>
              <w:t>Age</w:t>
            </w:r>
          </w:p>
        </w:tc>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Director Since</w:t>
            </w:r>
          </w:p>
        </w:tc>
      </w:tr>
      <w:tr>
        <w:trPr>
          <w:trHeight w:val="210"/>
        </w:trPr>
        <w:tc>
          <w:tcPr>
            <w:tcW w:w="20" w:type="dxa"/>
            <w:vAlign w:val="bottom"/>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John Ross</w:t>
            </w: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w:t>
            </w:r>
          </w:p>
        </w:tc>
        <w:tc>
          <w:tcPr>
            <w:tcW w:w="38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Director (Independent)</w:t>
            </w: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b w:val="1"/>
          <w:bCs w:val="1"/>
          <w:color w:val="auto"/>
        </w:rPr>
        <w:t xml:space="preserve">John Ross </w:t>
      </w:r>
      <w:r>
        <w:rPr>
          <w:rFonts w:ascii="Arial" w:cs="Arial" w:eastAsia="Arial" w:hAnsi="Arial"/>
          <w:sz w:val="17"/>
          <w:szCs w:val="17"/>
          <w:color w:val="auto"/>
        </w:rPr>
        <w:t>was elected a director of TSLX in March 2011. From 2003 to 2011, Mr. Ross was a director and member of the board risk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Incumbent Class III Directors: Term Expiring 2020</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40" w:type="dxa"/>
            <w:vAlign w:val="bottom"/>
            <w:gridSpan w:val="3"/>
          </w:tcPr>
          <w:p>
            <w:pPr>
              <w:jc w:val="center"/>
              <w:ind w:left="199"/>
              <w:spacing w:after="0"/>
              <w:rPr>
                <w:sz w:val="20"/>
                <w:szCs w:val="20"/>
                <w:color w:val="auto"/>
              </w:rPr>
            </w:pPr>
            <w:r>
              <w:rPr>
                <w:rFonts w:ascii="Arial" w:cs="Arial" w:eastAsia="Arial" w:hAnsi="Arial"/>
                <w:sz w:val="14"/>
                <w:szCs w:val="14"/>
                <w:b w:val="1"/>
                <w:bCs w:val="1"/>
                <w:color w:val="auto"/>
                <w:w w:val="90"/>
              </w:rPr>
              <w:t>Age</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1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Director Since</w:t>
            </w:r>
          </w:p>
        </w:tc>
      </w:tr>
      <w:tr>
        <w:trPr>
          <w:trHeight w:val="210"/>
        </w:trPr>
        <w:tc>
          <w:tcPr>
            <w:tcW w:w="20" w:type="dxa"/>
            <w:vAlign w:val="bottom"/>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Joshua Easterly</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36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Chairman, Director and Chief Executive Officer</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Michael Fishman</w:t>
            </w:r>
          </w:p>
        </w:tc>
        <w:tc>
          <w:tcPr>
            <w:tcW w:w="880" w:type="dxa"/>
            <w:vAlign w:val="bottom"/>
            <w:gridSpan w:val="2"/>
          </w:tcPr>
          <w:p>
            <w:pPr>
              <w:jc w:val="center"/>
              <w:ind w:left="539"/>
              <w:spacing w:after="0"/>
              <w:rPr>
                <w:sz w:val="20"/>
                <w:szCs w:val="20"/>
                <w:color w:val="auto"/>
              </w:rPr>
            </w:pPr>
            <w:r>
              <w:rPr>
                <w:rFonts w:ascii="Arial" w:cs="Arial" w:eastAsia="Arial" w:hAnsi="Arial"/>
                <w:sz w:val="18"/>
                <w:szCs w:val="18"/>
                <w:color w:val="auto"/>
                <w:w w:val="89"/>
              </w:rPr>
              <w:t>55</w:t>
            </w:r>
          </w:p>
        </w:tc>
        <w:tc>
          <w:tcPr>
            <w:tcW w:w="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 and Vice President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b w:val="1"/>
          <w:bCs w:val="1"/>
          <w:color w:val="auto"/>
        </w:rPr>
        <w:t xml:space="preserve">Joshua Easterly </w:t>
      </w:r>
      <w:r>
        <w:rPr>
          <w:rFonts w:ascii="Arial" w:cs="Arial" w:eastAsia="Arial" w:hAnsi="Arial"/>
          <w:sz w:val="17"/>
          <w:szCs w:val="17"/>
          <w:color w:val="auto"/>
        </w:rPr>
        <w:t>was appointed Chief Executive Officer in December 2017 and was elected a director and Chairman of TSLX in March 2011. He</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Co-Chief Executive Officer with Michael Fishman from December 2013 to December 2017. 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holds a Bachelor of Science in Business Administration, magna cum laude, from California State University, Fresno. Mr. Easterly’s depth of experience investing in a variety of distressed and special situations transactions, as well as his extensive knowledge of the business and operations of TSSP, provides the Board with valuable insight and expertise.</w:t>
      </w:r>
    </w:p>
    <w:p>
      <w:pPr>
        <w:spacing w:after="0" w:line="178" w:lineRule="exact"/>
        <w:rPr>
          <w:sz w:val="20"/>
          <w:szCs w:val="20"/>
          <w:color w:val="auto"/>
        </w:rPr>
      </w:pPr>
    </w:p>
    <w:p>
      <w:pPr>
        <w:ind w:left="200" w:right="40" w:firstLine="441"/>
        <w:spacing w:after="0" w:line="261" w:lineRule="auto"/>
        <w:rPr>
          <w:sz w:val="20"/>
          <w:szCs w:val="20"/>
          <w:color w:val="auto"/>
        </w:rPr>
      </w:pPr>
      <w:r>
        <w:rPr>
          <w:rFonts w:ascii="Arial" w:cs="Arial" w:eastAsia="Arial" w:hAnsi="Arial"/>
          <w:sz w:val="18"/>
          <w:szCs w:val="18"/>
          <w:b w:val="1"/>
          <w:bCs w:val="1"/>
          <w:color w:val="auto"/>
        </w:rPr>
        <w:t xml:space="preserve">Michael Fishman </w:t>
      </w:r>
      <w:r>
        <w:rPr>
          <w:rFonts w:ascii="Arial" w:cs="Arial" w:eastAsia="Arial" w:hAnsi="Arial"/>
          <w:sz w:val="18"/>
          <w:szCs w:val="18"/>
          <w:color w:val="auto"/>
        </w:rPr>
        <w:t>was appointed director of TSLX in April 2011. From April 2011 to December 2013, he served as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December 2013 to December 2017, he served as Co-Chief Executive Officer with Joshua Easterly. Mr. Fishman is a Vice President of TSLX and is a TPG and TSSP Partner. He has been an executive in corporate lending for more than 20 years with senior management experience in credit, portfolio management and primary loan originations. Prior to joining TSLX, Mr. Fishman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March 19, 2018. The Company is not part of a “family of investment companies,” as that term is defined in the 1940 Act.</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220" w:type="dxa"/>
            <w:vAlign w:val="bottom"/>
            <w:gridSpan w:val="3"/>
          </w:tcPr>
          <w:p>
            <w:pPr>
              <w:ind w:left="960"/>
              <w:spacing w:after="0"/>
              <w:rPr>
                <w:sz w:val="20"/>
                <w:szCs w:val="20"/>
                <w:color w:val="auto"/>
              </w:rPr>
            </w:pPr>
            <w:r>
              <w:rPr>
                <w:rFonts w:ascii="Arial" w:cs="Arial" w:eastAsia="Arial" w:hAnsi="Arial"/>
                <w:sz w:val="14"/>
                <w:szCs w:val="14"/>
                <w:b w:val="1"/>
                <w:bCs w:val="1"/>
                <w:color w:val="auto"/>
                <w:w w:val="94"/>
              </w:rPr>
              <w:t>Dollar Range of our Common Stock</w:t>
            </w:r>
          </w:p>
        </w:tc>
      </w:tr>
      <w:tr>
        <w:trPr>
          <w:trHeight w:val="171"/>
        </w:trPr>
        <w:tc>
          <w:tcPr>
            <w:tcW w:w="4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gridSpan w:val="2"/>
          </w:tcPr>
          <w:p>
            <w:pPr>
              <w:ind w:left="320"/>
              <w:spacing w:after="0"/>
              <w:rPr>
                <w:sz w:val="20"/>
                <w:szCs w:val="20"/>
                <w:color w:val="auto"/>
              </w:rPr>
            </w:pPr>
            <w:r>
              <w:rPr>
                <w:rFonts w:ascii="Arial" w:cs="Arial" w:eastAsia="Arial" w:hAnsi="Arial"/>
                <w:sz w:val="14"/>
                <w:szCs w:val="14"/>
                <w:b w:val="1"/>
                <w:bCs w:val="1"/>
                <w:color w:val="auto"/>
              </w:rPr>
              <w:t xml:space="preserve">Beneficially Owned </w:t>
            </w:r>
            <w:r>
              <w:rPr>
                <w:rFonts w:ascii="Arial" w:cs="Arial" w:eastAsia="Arial" w:hAnsi="Arial"/>
                <w:sz w:val="12"/>
                <w:szCs w:val="12"/>
                <w:b w:val="1"/>
                <w:bCs w:val="1"/>
                <w:color w:val="auto"/>
              </w:rPr>
              <w:t>(1) (2)</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96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Joshua Easterly</w:t>
            </w:r>
          </w:p>
        </w:tc>
        <w:tc>
          <w:tcPr>
            <w:tcW w:w="960" w:type="dxa"/>
            <w:vAlign w:val="bottom"/>
          </w:tcPr>
          <w:p>
            <w:pPr>
              <w:spacing w:after="0"/>
              <w:rPr>
                <w:sz w:val="18"/>
                <w:szCs w:val="18"/>
                <w:color w:val="auto"/>
              </w:rPr>
            </w:pPr>
          </w:p>
        </w:tc>
        <w:tc>
          <w:tcPr>
            <w:tcW w:w="2260" w:type="dxa"/>
            <w:vAlign w:val="bottom"/>
            <w:gridSpan w:val="2"/>
          </w:tcPr>
          <w:p>
            <w:pPr>
              <w:ind w:left="620"/>
              <w:spacing w:after="0"/>
              <w:rPr>
                <w:sz w:val="20"/>
                <w:szCs w:val="20"/>
                <w:color w:val="auto"/>
              </w:rPr>
            </w:pPr>
            <w:r>
              <w:rPr>
                <w:rFonts w:ascii="Arial" w:cs="Arial" w:eastAsia="Arial" w:hAnsi="Arial"/>
                <w:sz w:val="18"/>
                <w:szCs w:val="18"/>
                <w:color w:val="auto"/>
              </w:rPr>
              <w:t>over $100,000</w:t>
            </w: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Fishman</w:t>
            </w:r>
          </w:p>
        </w:tc>
        <w:tc>
          <w:tcPr>
            <w:tcW w:w="9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over $100,000</w:t>
            </w:r>
          </w:p>
        </w:tc>
      </w:tr>
      <w:tr>
        <w:trPr>
          <w:trHeight w:val="216"/>
        </w:trPr>
        <w:tc>
          <w:tcPr>
            <w:tcW w:w="42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Richard Higginbotham (Director Nominee)</w:t>
            </w:r>
          </w:p>
        </w:tc>
        <w:tc>
          <w:tcPr>
            <w:tcW w:w="9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over $100,000</w:t>
            </w: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John Ross</w:t>
            </w:r>
          </w:p>
        </w:tc>
        <w:tc>
          <w:tcPr>
            <w:tcW w:w="960" w:type="dxa"/>
            <w:vAlign w:val="bottom"/>
          </w:tcPr>
          <w:p>
            <w:pPr>
              <w:spacing w:after="0"/>
              <w:rPr>
                <w:sz w:val="18"/>
                <w:szCs w:val="18"/>
                <w:color w:val="auto"/>
              </w:rPr>
            </w:pPr>
          </w:p>
        </w:tc>
        <w:tc>
          <w:tcPr>
            <w:tcW w:w="2260" w:type="dxa"/>
            <w:vAlign w:val="bottom"/>
            <w:gridSpan w:val="2"/>
          </w:tcPr>
          <w:p>
            <w:pPr>
              <w:ind w:left="620"/>
              <w:spacing w:after="0"/>
              <w:rPr>
                <w:sz w:val="20"/>
                <w:szCs w:val="20"/>
                <w:color w:val="auto"/>
              </w:rPr>
            </w:pPr>
            <w:r>
              <w:rPr>
                <w:rFonts w:ascii="Arial" w:cs="Arial" w:eastAsia="Arial" w:hAnsi="Arial"/>
                <w:sz w:val="18"/>
                <w:szCs w:val="18"/>
                <w:color w:val="auto"/>
              </w:rPr>
              <w:t>over $100,000</w:t>
            </w:r>
          </w:p>
        </w:tc>
      </w:tr>
      <w:tr>
        <w:trPr>
          <w:trHeight w:val="216"/>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Ronald Tanemura (Director Nominee)</w:t>
            </w:r>
          </w:p>
        </w:tc>
        <w:tc>
          <w:tcPr>
            <w:tcW w:w="9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640" w:right="140" w:hanging="436"/>
        <w:spacing w:after="0" w:line="26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19, 2018, multiplied by the closing sale price of the Company’s common stock as reported on the New York Stock Exchange (“NYSE”) as of March 24, 2018.</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00" w:type="dxa"/>
            <w:vAlign w:val="bottom"/>
          </w:tcPr>
          <w:p>
            <w:pPr>
              <w:ind w:left="920"/>
              <w:spacing w:after="0"/>
              <w:rPr>
                <w:sz w:val="20"/>
                <w:szCs w:val="20"/>
                <w:color w:val="auto"/>
              </w:rPr>
            </w:pPr>
            <w:r>
              <w:rPr>
                <w:rFonts w:ascii="Arial" w:cs="Arial" w:eastAsia="Arial" w:hAnsi="Arial"/>
                <w:sz w:val="14"/>
                <w:szCs w:val="14"/>
                <w:b w:val="1"/>
                <w:bCs w:val="1"/>
                <w:color w:val="auto"/>
              </w:rPr>
              <w:t>Name</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Age</w:t>
            </w:r>
          </w:p>
        </w:tc>
        <w:tc>
          <w:tcPr>
            <w:tcW w:w="706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Officer Since</w:t>
            </w:r>
          </w:p>
        </w:tc>
      </w:tr>
      <w:tr>
        <w:trPr>
          <w:trHeight w:val="195"/>
        </w:trPr>
        <w:tc>
          <w:tcPr>
            <w:tcW w:w="20" w:type="dxa"/>
            <w:vAlign w:val="bottom"/>
          </w:tcPr>
          <w:p>
            <w:pPr>
              <w:spacing w:after="0"/>
              <w:rPr>
                <w:sz w:val="16"/>
                <w:szCs w:val="16"/>
                <w:color w:val="auto"/>
              </w:rPr>
            </w:pPr>
          </w:p>
        </w:tc>
        <w:tc>
          <w:tcPr>
            <w:tcW w:w="2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Gordon</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6"/>
                <w:szCs w:val="16"/>
                <w:color w:val="auto"/>
              </w:rPr>
            </w:pPr>
          </w:p>
        </w:tc>
        <w:tc>
          <w:tcPr>
            <w:tcW w:w="7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Chief Compliance Officer, Vice President and Secretary</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2015</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36</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92"/>
              </w:rPr>
              <w:t>Vice President and Principal Accounting Officer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2015</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Craig Hamrah</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89"/>
              </w:rPr>
              <w:t>Vice President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2016</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89"/>
              </w:rPr>
              <w:t>Vice President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2015</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89"/>
              </w:rPr>
              <w:t>President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2016</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89"/>
              </w:rPr>
              <w:t>Vice President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2011</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0"/>
                <w:szCs w:val="20"/>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89"/>
              </w:rPr>
              <w:t>Vice President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2011</w:t>
            </w:r>
          </w:p>
        </w:tc>
      </w:tr>
    </w:tbl>
    <w:p>
      <w:pPr>
        <w:spacing w:after="0" w:line="198"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Chief Compliance Officer, Vice President and Secretary of TSLX. Ms. Gordon is a Partner and the Chief Compliance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Deputy Chief Operating Officer of TSSP. Prior to joining TSSP, from 2004 to 2014, she held various positions at Goldman, Sachs &amp; Co., including most recently as Co-Head of Americas Securities Division Compliance. Ms. Gordon holds a J.D. from Fordham University School of Law and B.A. from the University of Michigan.</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 xml:space="preserve">Michael Graf </w:t>
      </w:r>
      <w:r>
        <w:rPr>
          <w:rFonts w:ascii="Arial" w:cs="Arial" w:eastAsia="Arial" w:hAnsi="Arial"/>
          <w:sz w:val="18"/>
          <w:szCs w:val="18"/>
          <w:color w:val="auto"/>
        </w:rPr>
        <w:t>is a Vice President and Principal Accounting Officer of TSLX. Mr. Graf has been TSLX’s Controller since 2013. From 2010 to</w:t>
      </w:r>
      <w:r>
        <w:rPr>
          <w:rFonts w:ascii="Arial" w:cs="Arial" w:eastAsia="Arial" w:hAnsi="Arial"/>
          <w:sz w:val="18"/>
          <w:szCs w:val="18"/>
          <w:b w:val="1"/>
          <w:bCs w:val="1"/>
          <w:color w:val="auto"/>
        </w:rPr>
        <w:t xml:space="preserve"> </w:t>
      </w:r>
      <w:r>
        <w:rPr>
          <w:rFonts w:ascii="Arial" w:cs="Arial" w:eastAsia="Arial" w:hAnsi="Arial"/>
          <w:sz w:val="18"/>
          <w:szCs w:val="18"/>
          <w:color w:val="auto"/>
        </w:rPr>
        <w:t>2013, 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84" w:lineRule="exact"/>
        <w:rPr>
          <w:sz w:val="20"/>
          <w:szCs w:val="20"/>
          <w:color w:val="auto"/>
        </w:rPr>
      </w:pPr>
    </w:p>
    <w:p>
      <w:pPr>
        <w:ind w:left="200" w:right="160" w:firstLine="441"/>
        <w:spacing w:after="0" w:line="258" w:lineRule="auto"/>
        <w:rPr>
          <w:sz w:val="20"/>
          <w:szCs w:val="20"/>
          <w:color w:val="auto"/>
        </w:rPr>
      </w:pPr>
      <w:r>
        <w:rPr>
          <w:rFonts w:ascii="Arial" w:cs="Arial" w:eastAsia="Arial" w:hAnsi="Arial"/>
          <w:sz w:val="18"/>
          <w:szCs w:val="18"/>
          <w:b w:val="1"/>
          <w:bCs w:val="1"/>
          <w:color w:val="auto"/>
        </w:rPr>
        <w:t xml:space="preserve">Craig Hamrah </w:t>
      </w:r>
      <w:r>
        <w:rPr>
          <w:rFonts w:ascii="Arial" w:cs="Arial" w:eastAsia="Arial" w:hAnsi="Arial"/>
          <w:sz w:val="18"/>
          <w:szCs w:val="18"/>
          <w:color w:val="auto"/>
        </w:rPr>
        <w:t>is a Vice President, Senior Credit Underwriter of the Adviser and Managing Director of TSSP. Mr. Hamrah was previously with</w:t>
      </w:r>
      <w:r>
        <w:rPr>
          <w:rFonts w:ascii="Arial" w:cs="Arial" w:eastAsia="Arial" w:hAnsi="Arial"/>
          <w:sz w:val="18"/>
          <w:szCs w:val="18"/>
          <w:b w:val="1"/>
          <w:bCs w:val="1"/>
          <w:color w:val="auto"/>
        </w:rPr>
        <w:t xml:space="preserve"> </w:t>
      </w:r>
      <w:r>
        <w:rPr>
          <w:rFonts w:ascii="Arial" w:cs="Arial" w:eastAsia="Arial" w:hAnsi="Arial"/>
          <w:sz w:val="18"/>
          <w:szCs w:val="18"/>
          <w:color w:val="auto"/>
        </w:rPr>
        <w:t>Silver Point Capital, where he was a senior deal underwriter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84"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Risk Officer of TSSP since 2013,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4"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b w:val="1"/>
          <w:bCs w:val="1"/>
          <w:color w:val="auto"/>
        </w:rPr>
        <w:t xml:space="preserve">Ian Simmonds </w:t>
      </w:r>
      <w:r>
        <w:rPr>
          <w:rFonts w:ascii="Arial" w:cs="Arial" w:eastAsia="Arial" w:hAnsi="Arial"/>
          <w:sz w:val="16"/>
          <w:szCs w:val="16"/>
          <w:color w:val="auto"/>
        </w:rPr>
        <w:t>is the Chief Financial Officer of TSLX and a Managing Director of TSSP. From 2005 to 2015, Mr. Simmonds was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w:t>
      </w:r>
    </w:p>
    <w:p>
      <w:pPr>
        <w:spacing w:after="0" w:line="3"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86" w:lineRule="exact"/>
        <w:rPr>
          <w:sz w:val="20"/>
          <w:szCs w:val="20"/>
          <w:color w:val="auto"/>
        </w:rPr>
      </w:pPr>
    </w:p>
    <w:p>
      <w:pPr>
        <w:ind w:left="200" w:right="60" w:firstLine="441"/>
        <w:spacing w:after="0" w:line="258" w:lineRule="auto"/>
        <w:rPr>
          <w:sz w:val="20"/>
          <w:szCs w:val="20"/>
          <w:color w:val="auto"/>
        </w:rPr>
      </w:pPr>
      <w:r>
        <w:rPr>
          <w:rFonts w:ascii="Arial" w:cs="Arial" w:eastAsia="Arial" w:hAnsi="Arial"/>
          <w:sz w:val="18"/>
          <w:szCs w:val="18"/>
          <w:b w:val="1"/>
          <w:bCs w:val="1"/>
          <w:color w:val="auto"/>
        </w:rPr>
        <w:t xml:space="preserve">Robert (“Bo”) Stanley </w:t>
      </w:r>
      <w:r>
        <w:rPr>
          <w:rFonts w:ascii="Arial" w:cs="Arial" w:eastAsia="Arial" w:hAnsi="Arial"/>
          <w:sz w:val="18"/>
          <w:szCs w:val="18"/>
          <w:color w:val="auto"/>
        </w:rPr>
        <w:t>is President of TSLX and a Partner of TSSP. Mr. Stanley was previously with Wells Fargo Capital Finance, a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4"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Mr. Stiepleman was lead counsel to the Americas Special Situations Group and the Mortgages Department at Goldman, Sachs &amp; Co. Mr. Stiepleman holds a B.A. in French and Political Science from Amherst College and a J.D. from Columbia University.</w:t>
      </w:r>
    </w:p>
    <w:p>
      <w:pPr>
        <w:spacing w:after="0" w:line="184"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also the Managing Partner of TSSP, a TPG Partner and a member of TPG’s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Committee. Prior to co-founding TSSP in 2009, Mr. Waxman was a Partner at Goldman, Sachs &amp; Co. During his career at Goldman, Sachs &amp; Co., he co-headed the Americas Special Situations Group, which invested that firm’s capital in both the public markets and private transactions. Mr. Waxman began his career at Goldman, Sachs &amp; Co. in 1998. He holds a B.A. in International Relations from the University of Pennsylvania, where he currently serves on their board of the School of Arts and Sciences.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CORPORATE GOVERNANCE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will expire at the Meeting; the term of our Class II director will expire at the 2019 annual meeting of stockholders; and the terms of our Class III directors will expire at the 2020 annual meeting of stockholders.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“Proposal No. 1 Election of Directors – Biographical Information.”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Board met four times in 2017 and acted on various occasions by written consent. Our Board also holds informal periodic telephonic update meetings.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Mr. Easterly attended the 2017 annual meeting of stockholders in person.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6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compliance matter that has occurred about which the Board would reasonably need to know to oversee our compliance activities and risks.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We believe that the Board’s role in risk oversight must be evaluated on a case-by-case basis and that its existing role in risk oversight is appropriate.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71"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30"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Audit Committee has the sole authority to approve the engagement, and review the performance of, our independent registered public accounting firm.</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eight meetings in 2017 and acted on various occasions by written consent.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held one meeting in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jc w:val="both"/>
        <w:ind w:left="1060" w:right="680" w:hanging="316"/>
        <w:spacing w:after="0" w:line="31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(the “Administration Agreement”);</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225"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members of the Compensation Committee are Messrs. Ross, Higginbotham and Tanemura, each of whom is independent for purposes of the NYSE corporate governance rules. Mr. Ross serves as Chairman. The Compensation Committee held one meeting in 2017.</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The corporate governance section contains the following documents:</w:t>
      </w:r>
    </w:p>
    <w:p>
      <w:pPr>
        <w:spacing w:after="0" w:line="87"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our SOX Code of Business Conduct and Ethics and our Corporate Governance Guidelines may be found at http://www.tpgspecialtylending.com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jc w:val="both"/>
        <w:ind w:left="200" w:right="60" w:firstLine="441"/>
        <w:spacing w:after="0" w:line="273" w:lineRule="auto"/>
        <w:rPr>
          <w:sz w:val="20"/>
          <w:szCs w:val="20"/>
          <w:color w:val="auto"/>
        </w:rPr>
      </w:pPr>
      <w:r>
        <w:rPr>
          <w:rFonts w:ascii="Arial" w:cs="Arial" w:eastAsia="Arial" w:hAnsi="Arial"/>
          <w:sz w:val="17"/>
          <w:szCs w:val="17"/>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Gordon, TPG Specialty Lending, Inc., 301 Commerce Street, Suite 3300, Fort Worth, TX 76102. Please refer to the text of our bylaws (including Article II, paragraph (K)), which are on file with the SEC, and “Bylaw Requirements for Stockholder Submission of Nominations and Proposals” in this proxy statement for additional information.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evaluating director nominees, the Nominating and Corporate Governance Committee considers, among others, the following factors:</w:t>
      </w:r>
    </w:p>
    <w:p>
      <w:pPr>
        <w:spacing w:after="0" w:line="142"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252"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desire to balance the considerable benefit of continuity with the periodic injection of the fresh perspective provided by new members;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Chief Executive Officers or Chief Financial Officer. Our SOX Code of Business Conduct and Ethics can be accessed on our website at http://www.tpgspecialtylending.com.</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Board elects our officers and our officers serve until their resignation or termination or until their successors are duly elected and qualified.</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$100,000 annual retainer;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additional fee of $10,000 per year for the chairman of the Audit Committee and the Nominating and Corporate Governance Committee.</w:t>
      </w:r>
    </w:p>
    <w:p>
      <w:pPr>
        <w:spacing w:after="0" w:line="24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During the year ended December 31, 2017,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2017:</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 or</w:t>
            </w:r>
          </w:p>
        </w:tc>
        <w:tc>
          <w:tcPr>
            <w:tcW w:w="700" w:type="dxa"/>
            <w:vAlign w:val="bottom"/>
          </w:tcPr>
          <w:p>
            <w:pPr>
              <w:spacing w:after="0"/>
              <w:rPr>
                <w:sz w:val="14"/>
                <w:szCs w:val="14"/>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Paid in Cash</w:t>
            </w:r>
          </w:p>
        </w:tc>
        <w:tc>
          <w:tcPr>
            <w:tcW w:w="7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131,500</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$131,500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John Ross</w:t>
            </w:r>
          </w:p>
        </w:tc>
        <w:tc>
          <w:tcPr>
            <w:tcW w:w="2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141,500</w:t>
            </w:r>
          </w:p>
        </w:tc>
        <w:tc>
          <w:tcPr>
            <w:tcW w:w="140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$141,500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131,500</w:t>
            </w:r>
          </w:p>
        </w:tc>
        <w:tc>
          <w:tcPr>
            <w:tcW w:w="14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$131,500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TSL Advisers, LLC is our external manager. Our Adviser is a Delaware limited liability company. Our Adviser acts as our investment adviser and administrator and is a registered investment adviser with the SEC under the Investment Advisers Act of 1940, as amended (the “Advisers Act”).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an investment review committee (the “Investment Review Committee”), which includes senior personnel of our Adviser and TSSP. The members of the Investment Review Committee are Joshua Easterly, Michael Fishman, Alan Waxman and David Stiepleman.</w:t>
      </w:r>
    </w:p>
    <w:p>
      <w:pPr>
        <w:spacing w:after="0" w:line="19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TSSP, with over $20 billion of assets under management as of September 30, 2017, is the special situations and credit platform of TPG Global, LLC, or “TPG,” and encompasses TPG Specialty Lending, Inc.,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180 investment and operating professionals. As of December 31, 2017, thirty one (31) of these personnel are dedicated to our business, including twenty four (24) investment professionals.</w:t>
      </w:r>
    </w:p>
    <w:p>
      <w:pPr>
        <w:spacing w:after="0" w:line="16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TPG is a leading global private investment firm founded in 1992 with approximately $79 billion of assets under management as of September 30, 2017,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350 deal professionals.</w:t>
      </w:r>
    </w:p>
    <w:p>
      <w:pPr>
        <w:spacing w:after="0" w:line="16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Relationship with TPG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monitoring our portfolio companies and providing operating, managerial and administrative assistance to us and to our portfolio companies as required.</w:t>
      </w:r>
    </w:p>
    <w:p>
      <w:pPr>
        <w:spacing w:after="0" w:line="23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2,732,307 shares, or 4.6%, of our common stock as of March 19, 2018.</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Allocations of Loan Origination Investment Opportunities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Exemptive Order</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1060" w:right="14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investment will not benefit any affiliate other than the affiliate participating in the investment, and as otherwise permitted by the order.</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w:t>
      </w:r>
    </w:p>
    <w:p>
      <w:pPr>
        <w:spacing w:after="0" w:line="2"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Administrator</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Certain Business Relationships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Certain of our current directors and officers are directors or officers of the Adviser or its affiliates. See “Proposal No. 1 Election of Directors – Biographical Information.”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1060" w:right="28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those changes;</w:t>
      </w:r>
    </w:p>
    <w:p>
      <w:pPr>
        <w:spacing w:after="0" w:line="75"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closes, monitors and administers the investments we make, including the exercise of any rights in our capacity as a lender or equity holder; and</w:t>
      </w:r>
    </w:p>
    <w:p>
      <w:pPr>
        <w:spacing w:after="0" w:line="75" w:lineRule="exact"/>
        <w:rPr>
          <w:rFonts w:ascii="Arial" w:cs="Arial" w:eastAsia="Arial" w:hAnsi="Arial"/>
          <w:sz w:val="18"/>
          <w:szCs w:val="18"/>
          <w:color w:val="auto"/>
        </w:rPr>
      </w:pPr>
    </w:p>
    <w:p>
      <w:pPr>
        <w:ind w:left="1060" w:right="80" w:hanging="316"/>
        <w:spacing w:after="0" w:line="308"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4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 ended December 31, 2017, Management Fees were $24.3 million, of which less than $0.1 million were waived.</w:t>
      </w:r>
    </w:p>
    <w:p>
      <w:pPr>
        <w:spacing w:after="0" w:line="225"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For the periods ended December 31, 2016 and prior, the Adviser voluntarily waived the Management Fee on our ownership of shares of common stock in TICC Capital Corp. (the “TICC Shares”). In addition, the Adviser has voluntarily waived the Management Fee on our ownership of shares of common stock in Triangle Capital Corp. (the “TCAP Shares”) for any period in which Triangle Capital Corp. remains our portfolio company.</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1060" w:right="100" w:hanging="424"/>
        <w:spacing w:after="0" w:line="288"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ind w:left="1060"/>
        <w:spacing w:after="0" w:line="253" w:lineRule="auto"/>
        <w:rPr>
          <w:rFonts w:ascii="Arial" w:cs="Arial" w:eastAsia="Arial" w:hAnsi="Arial"/>
          <w:sz w:val="16"/>
          <w:szCs w:val="16"/>
          <w:color w:val="auto"/>
        </w:rPr>
      </w:pPr>
      <w:r>
        <w:rPr>
          <w:rFonts w:ascii="Arial" w:cs="Arial" w:eastAsia="Arial" w:hAnsi="Arial"/>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3" w:lineRule="exact"/>
        <w:rPr>
          <w:rFonts w:ascii="Arial" w:cs="Arial" w:eastAsia="Arial" w:hAnsi="Arial"/>
          <w:sz w:val="16"/>
          <w:szCs w:val="16"/>
          <w:color w:val="auto"/>
        </w:rPr>
      </w:pPr>
    </w:p>
    <w:p>
      <w:pPr>
        <w:ind w:left="1080"/>
        <w:spacing w:after="0" w:line="255" w:lineRule="auto"/>
        <w:rPr>
          <w:rFonts w:ascii="Arial" w:cs="Arial" w:eastAsia="Arial" w:hAnsi="Arial"/>
          <w:sz w:val="16"/>
          <w:szCs w:val="16"/>
          <w:color w:val="auto"/>
        </w:rPr>
      </w:pPr>
      <w:r>
        <w:rPr>
          <w:rFonts w:ascii="Arial" w:cs="Arial" w:eastAsia="Arial" w:hAnsi="Arial"/>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4" w:lineRule="exact"/>
        <w:rPr>
          <w:rFonts w:ascii="Arial" w:cs="Arial" w:eastAsia="Arial" w:hAnsi="Arial"/>
          <w:sz w:val="16"/>
          <w:szCs w:val="16"/>
          <w:color w:val="auto"/>
        </w:rPr>
      </w:pPr>
    </w:p>
    <w:p>
      <w:pPr>
        <w:ind w:left="1060" w:right="20" w:hanging="424"/>
        <w:spacing w:after="0" w:line="289"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capital appreciation because a Capital Gains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6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2017, Incentive Fees were $25.5 million, all of which was realized and payable to the Adviser. For the year ended December 31, 2017, no incentive fees were accrued related to capital gains.</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the periods ended December 31, 2016 and prior, the Adviser voluntarily waived the Incentive Fees attributable to pre-Incentive Fee net investment income accrued by us as a result of our ownership of the TICC Shares. The Adviser did not waive any part of the Capital Gains Fee attributable to our ownership of the TICC Shares and, accordingly, any realized capital gains or losses and unrealized capital depreciation with respect to the TICC Shares apply against our cumulative realized capital gains on which the Capital Gains Fee is calculated.</w:t>
      </w:r>
    </w:p>
    <w:p>
      <w:pPr>
        <w:spacing w:after="0" w:line="17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addition, the Adviser has voluntarily waived the Incentive Fees attributable to pre-Incentive Fee net investment income accrued by us as a result of our ownership of the TCAP Shares for any period in which Triangle Capital Corp. remains our portfolio company. The Adviser has not waived any part of the Capital Gains Fee attributable to our ownership of the TCAP Shares and, accordingly, any realized capital gains or losses and unrealized capital depreciation with respect to the TCAP Shares will be applied against our cumulative realized capital gains on which the Capital Gains Fee is calculated.</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year ended December 31, 2017, Incentive Fees of less than $0.1 million were waived consisting solely of Incentive Fees attributable to our ownership of the TCAP Shares. Any waived Incentive Fees are not subject to recoupment by the Adviser.</w:t>
      </w:r>
    </w:p>
    <w:p>
      <w:pPr>
        <w:spacing w:after="0" w:line="17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Since our IPO, with the exception of its waiver of Management Fees and certain Incentive Fees attributable to our ownership of the TCAP Shares and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TCAP Shares and TICC Shares, as the Adviser can discontinue the voluntary waiver at any time. Accordingly, we may be required to continue to pay the full amount of the Management Fee and Incentive Fee, including with respect to the TCAP Shares and TICC Shares, in future periods.</w:t>
      </w:r>
    </w:p>
    <w:p>
      <w:pPr>
        <w:spacing w:after="0" w:line="1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November 2017, the Board renewed the Investment Advisory Agreement. Unless earlier terminated as described below, the Investment Advisory Agreement will remain in effect until November 2018,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March 15, 2011, we entered into the Administration Agreement with our Adviser. The Administration Agreement was subsequently amended on February 22, 2017 to make certain clarifications to the agreement to provide greater detail regarding the scope of the reimbursable costs and expenses of the Administrator’s services.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6"/>
          <w:szCs w:val="16"/>
          <w:i w:val="1"/>
          <w:iCs w:val="1"/>
          <w:color w:val="auto"/>
        </w:rPr>
        <w:t>Payment of Our Expenses</w:t>
      </w:r>
      <w:r>
        <w:rPr>
          <w:rFonts w:ascii="Arial" w:cs="Arial" w:eastAsia="Arial" w:hAnsi="Arial"/>
          <w:sz w:val="16"/>
          <w:szCs w:val="16"/>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2017, we incurred expenses of $3.5 million for administrative services payable under the terms of the Administration Agreement.</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In November 2017, the Board renewed the Administration Agreement. Unless earlier terminated as described below, the Administration Agreement will remain in effect until November 2018,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6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7"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calculating individual asset values and our net asset value (including the cost and expenses of any independent valuation firms);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316"/>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76"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1060" w:right="80" w:hanging="316"/>
        <w:spacing w:after="0" w:line="25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93"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Unless earlier terminated as described below, both the Investment Advisory Agreement and the Administration Agreement will remain in effect until November 2018, and each may be extended subject to required approvals.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left="200" w:right="500" w:firstLine="441"/>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2017. A discussion regarding the basis for our Board’s approval and renewal of the Investment Advisory Agreement is available in our Annual Report on Form 10-K for the fiscal year ended December 31,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S-K).</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Section 16(a) of the Exchange Act requires our directors and executive officers, as defined under the Exchange Act, and persons who own more than 10% of a registered class of our equity securities to file initial reports of ownership and reports of changes in ownership with the SEC. Such executive officers, directors and stockholders are required by SEC regulations to furnish us with copies of all Section 16(a) forms they file. Based solely upon a review of the copies of such forms furnished to us and written representations from our directors and executive officers, all persons subject to the reporting requirements of Section 16(a) filed all required reports on a timely basis in 2017.</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Audit Committee has selected KPMG LLP to serve as our independent registered public accounting firm to audit our consolidated financial statements for the year ending December 31, 2018.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8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66"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the Company’s independent registered public accounting firm for the fiscal year ending December 31, 2018.</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Paid to KPMG LLP</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the year ended December 31, 2017, the aggregate fees billed by KPMG LLP for the audit of our consolidated financial statements, review of our interim financial statements and other professional services related to SEC registration statements were $762,000. In addition, we reimbursed KPMG LLP $17,579 for out-of-pocket expenses incurred in the performance of audit services.</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the year ended December 31, 2016, the aggregate fees billed by KPMG LLP for the audit of our consolidated financial statements, review of our interim financial statements and other professional services related to SEC registration statements were $922,000. In addition, we reimbursed KPMG LLP $21,218 for out-of-pocket expenses incurred in the performance of audit services.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the year ended December 31, 2017, the aggregate fees billed by KPMG LLP for audit-related services, which consist of assurance and related services that are reasonably related to the performance of the audit or review of our consolidated financial statements, but which are not reportable as Audit Fees, were $113,000.</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the year ended December 31, 2016, the aggregate fees billed by KPMG LLP for audit-related services, which consist of assurance and related services that are reasonably related to the performance of the audit or review of our consolidated financial statements, but which are not reportable as Audit Fees, were $0.</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the year ended December 31, 2017, the aggregate fees billed by KPMG LLP for tax compliance, tax advice and tax planning services were $155,000.</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the year ended December 31, 2016, the aggregate fees billed by KPMG LLP for tax compliance, tax advice and tax planning services were $117,575.</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 services include tax compliance, tax planning and tax advice.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For the year ended December 31, 2017, the fees billed for services rendered by KPMG LLP not reportable as Audit Fees, Audit-Related Fees or Tax Fees were $260,000.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For the year ended December 31, 2016, the fees billed for services rendered by KPMG LLP not reportable as Audit Fees, Audit-Related Fees or Tax Fees were $125,000.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Audit Committee of our Board operates under a written charter adopted by the Board. The Audit Committee is currently composed of Messrs.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Ross, Higginbotham and Tanemura.</w:t>
      </w:r>
    </w:p>
    <w:p>
      <w:pPr>
        <w:spacing w:after="0" w:line="21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4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Review with Management</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Review and Discussion with Independent Registered Public Accounting Firm</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Audit Committee also has discussed with KPMG matters relating to KPMG’s judgments about the quality, as well as the acceptability, of the Company’s accounting principles as applied in its financial reporting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 xml:space="preserve">as required by Public Company Accounting Oversight Board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In addition, the Audit Committee has discussed with KPMG their independence from management and the Company, as well as the matters in the written disclosures received from KPMG and required by Public Company Accounting Oversight Board Rule 3526, </w:t>
      </w:r>
      <w:r>
        <w:rPr>
          <w:rFonts w:ascii="Arial" w:cs="Arial" w:eastAsia="Arial" w:hAnsi="Arial"/>
          <w:sz w:val="17"/>
          <w:szCs w:val="17"/>
          <w:i w:val="1"/>
          <w:iCs w:val="1"/>
          <w:color w:val="auto"/>
        </w:rPr>
        <w:t>Communication with Audit Committees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Independence</w:t>
      </w:r>
      <w:r>
        <w:rPr>
          <w:rFonts w:ascii="Arial" w:cs="Arial" w:eastAsia="Arial" w:hAnsi="Arial"/>
          <w:sz w:val="17"/>
          <w:szCs w:val="17"/>
          <w:color w:val="auto"/>
        </w:rPr>
        <w:t>. The Audit Committee received a written communication from KPMG confirming their independence and discussed it with them.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2017 for filing with the Securities and Exchange Commission. The Audit Committee also recommended the selection of KPMG LLP to serve as the independent registered public accounting firm for the year ending December 31, 2018.</w:t>
      </w:r>
    </w:p>
    <w:p>
      <w:pPr>
        <w:spacing w:after="0" w:line="27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Respectfully Submitted,</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Ronald Tanemura</w:t>
      </w:r>
    </w:p>
    <w:p>
      <w:pPr>
        <w:spacing w:after="0" w:line="207" w:lineRule="exact"/>
        <w:rPr>
          <w:sz w:val="20"/>
          <w:szCs w:val="20"/>
          <w:color w:val="auto"/>
        </w:rPr>
      </w:pPr>
    </w:p>
    <w:p>
      <w:pPr>
        <w:ind w:left="200" w:right="520"/>
        <w:spacing w:after="0" w:line="347"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2018.</w:t>
      </w:r>
    </w:p>
    <w:p>
      <w:pPr>
        <w:spacing w:after="0" w:line="116"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accordance with Section 23(c)(1) under the 1940 Act, the Company hereby advises you that it may repurchase shares of its common stock from time to time.</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in place a stock repurchase plan to acquire up to $50 million in the aggregate of our common stock at prices below our net asset value per share over a specified period, in accordance with the guidelines specified in Rule 10b-18 and Rule 10b5-1 of the Exchange Act (the “Company 10b5-1 Plan”). We put the Company 10b5-1 Plan in place because we believe that, in the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2019 ANNUAL MEETING OF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2019 annual meeting of stockholders pursuant to Rule 14a-8 of the SEC’s rules must be received by us at our principal executive offices no later than December 4, 2018.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Jennifer Gordon, TPG Specialty Lending, Inc., 301 Commerce Street, Suite 3300, Fort Worth, TX 76102.</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2019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16, 2019, unless the date of our 2019 annual meeting is more than 30 days before or more than 60 days after May 17, 2019, the anniversary of our 2018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2017, which includes financial statements, is being furnished with this proxy statement.</w:t>
      </w: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7th Avenue, 35th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74" w:lineRule="exact"/>
        <w:rPr>
          <w:sz w:val="20"/>
          <w:szCs w:val="20"/>
          <w:color w:val="auto"/>
        </w:rPr>
      </w:pPr>
    </w:p>
    <w:p>
      <w:pPr>
        <w:ind w:left="200" w:right="80" w:firstLine="441"/>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Jennifer Gordon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-130810</wp:posOffset>
            </wp:positionV>
            <wp:extent cx="2787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240" w:top="459"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TPG SPECIALTY LENDING</w:t>
      </w:r>
    </w:p>
    <w:p>
      <w:pPr>
        <w:spacing w:after="0" w:line="225"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and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are available at www.proxyvote.com.</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May 17, 2018 9:00 AM EDT</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stockholders hereby appoint Jennifer Gordon and Ken Burke, or either of them, as proxies, each with the power to appoint his or her substitute, and hereby authorize them to represent and to vote, as designated on the reverse side of this ballot, all of the shares of common stock of TPG SPECIALTY LENDING, INC. that the stockholders are entitled to vote at the Annual Meeting of Stockholders to be held at 9:00 AM EDT on May 17, 2018 at the offices of TPG, 888 7th Avenue, Floor 35, New York, NY 10106, and any adjournment or postponement thereof.</w:t>
      </w:r>
    </w:p>
    <w:p>
      <w:pPr>
        <w:spacing w:after="0" w:line="167" w:lineRule="exact"/>
        <w:rPr>
          <w:sz w:val="20"/>
          <w:szCs w:val="20"/>
          <w:color w:val="auto"/>
        </w:rPr>
      </w:pPr>
    </w:p>
    <w:p>
      <w:pPr>
        <w:ind w:left="200" w:right="52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140"/>
          </w:cols>
          <w:pgMar w:left="24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Use the Internet to transmit your voting instructions and for electronic delivery of information. Vote by 11:59 P.M. ET on 05/16/2018. Have your proxy card in hand when you access the web site and follow the instructions to obtain your records and to create an electronic voting instruction form.</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ind w:left="200" w:right="260"/>
        <w:spacing w:after="0" w:line="31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Use any touch-tone telephone to transmit your voting instructions. Vote by 11:59 P.M. ET on 05/16/2018. Have your proxy card in hand when you call and then follow the instructions.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165" w:lineRule="exact"/>
        <w:rPr>
          <w:sz w:val="20"/>
          <w:szCs w:val="20"/>
          <w:color w:val="auto"/>
        </w:rPr>
      </w:pPr>
    </w:p>
    <w:p>
      <w:pPr>
        <w:ind w:left="110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50"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Keep This Portion For Your Records</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Detach and Return This Portion Only</w:t>
      </w:r>
    </w:p>
    <w:p>
      <w:pPr>
        <w:spacing w:after="0" w:line="200" w:lineRule="exact"/>
        <w:rPr>
          <w:sz w:val="20"/>
          <w:szCs w:val="20"/>
          <w:color w:val="auto"/>
        </w:rPr>
      </w:pPr>
    </w:p>
    <w:p>
      <w:pPr>
        <w:spacing w:after="0" w:line="23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240" w:type="dxa"/>
            <w:vAlign w:val="bottom"/>
            <w:gridSpan w:val="2"/>
          </w:tcPr>
          <w:p>
            <w:pPr>
              <w:jc w:val="right"/>
              <w:ind w:right="1290"/>
              <w:spacing w:after="0"/>
              <w:rPr>
                <w:sz w:val="20"/>
                <w:szCs w:val="20"/>
                <w:color w:val="auto"/>
              </w:rPr>
            </w:pPr>
            <w:r>
              <w:rPr>
                <w:rFonts w:ascii="Arial" w:cs="Arial" w:eastAsia="Arial" w:hAnsi="Arial"/>
                <w:sz w:val="18"/>
                <w:szCs w:val="18"/>
                <w:color w:val="auto"/>
                <w:w w:val="98"/>
              </w:rPr>
              <w:t>1.  Election of Directors</w:t>
            </w:r>
          </w:p>
        </w:tc>
        <w:tc>
          <w:tcPr>
            <w:tcW w:w="1640" w:type="dxa"/>
            <w:vAlign w:val="bottom"/>
          </w:tcPr>
          <w:p>
            <w:pPr>
              <w:ind w:left="1000"/>
              <w:spacing w:after="0"/>
              <w:rPr>
                <w:sz w:val="20"/>
                <w:szCs w:val="20"/>
                <w:color w:val="auto"/>
              </w:rPr>
            </w:pPr>
            <w:r>
              <w:rPr>
                <w:rFonts w:ascii="Arial" w:cs="Arial" w:eastAsia="Arial" w:hAnsi="Arial"/>
                <w:sz w:val="18"/>
                <w:szCs w:val="18"/>
                <w:color w:val="auto"/>
              </w:rPr>
              <w:t>For All</w:t>
            </w:r>
          </w:p>
        </w:tc>
        <w:tc>
          <w:tcPr>
            <w:tcW w:w="1160" w:type="dxa"/>
            <w:vAlign w:val="bottom"/>
          </w:tcPr>
          <w:p>
            <w:pPr>
              <w:ind w:left="100"/>
              <w:spacing w:after="0"/>
              <w:rPr>
                <w:sz w:val="20"/>
                <w:szCs w:val="20"/>
                <w:color w:val="auto"/>
              </w:rPr>
            </w:pPr>
            <w:r>
              <w:rPr>
                <w:rFonts w:ascii="Arial" w:cs="Arial" w:eastAsia="Arial" w:hAnsi="Arial"/>
                <w:sz w:val="18"/>
                <w:szCs w:val="18"/>
                <w:color w:val="auto"/>
              </w:rPr>
              <w:t>Withhold All</w:t>
            </w:r>
          </w:p>
        </w:tc>
        <w:tc>
          <w:tcPr>
            <w:tcW w:w="1280" w:type="dxa"/>
            <w:vAlign w:val="bottom"/>
          </w:tcPr>
          <w:p>
            <w:pPr>
              <w:ind w:left="100"/>
              <w:spacing w:after="0"/>
              <w:rPr>
                <w:sz w:val="20"/>
                <w:szCs w:val="20"/>
                <w:color w:val="auto"/>
              </w:rPr>
            </w:pPr>
            <w:r>
              <w:rPr>
                <w:rFonts w:ascii="Arial" w:cs="Arial" w:eastAsia="Arial" w:hAnsi="Arial"/>
                <w:sz w:val="18"/>
                <w:szCs w:val="18"/>
                <w:color w:val="auto"/>
              </w:rPr>
              <w:t>For All Except</w:t>
            </w: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w w:val="98"/>
              </w:rPr>
              <w:t>To withhold authority to vote for any individual</w:t>
            </w:r>
          </w:p>
        </w:tc>
      </w:tr>
      <w:tr>
        <w:trPr>
          <w:trHeight w:val="249"/>
        </w:trPr>
        <w:tc>
          <w:tcPr>
            <w:tcW w:w="3240" w:type="dxa"/>
            <w:vAlign w:val="bottom"/>
            <w:gridSpan w:val="2"/>
          </w:tcPr>
          <w:p>
            <w:pPr>
              <w:ind w:left="340"/>
              <w:spacing w:after="0"/>
              <w:rPr>
                <w:sz w:val="20"/>
                <w:szCs w:val="20"/>
                <w:color w:val="auto"/>
              </w:rPr>
            </w:pPr>
            <w:r>
              <w:rPr>
                <w:rFonts w:ascii="Arial" w:cs="Arial" w:eastAsia="Arial" w:hAnsi="Arial"/>
                <w:sz w:val="18"/>
                <w:szCs w:val="18"/>
                <w:color w:val="auto"/>
              </w:rPr>
              <w:t>Nominees:</w:t>
            </w:r>
          </w:p>
        </w:tc>
        <w:tc>
          <w:tcPr>
            <w:tcW w:w="164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w w:val="94"/>
              </w:rPr>
              <w:t>nominee(s), mark “For All Except” and write the</w:t>
            </w:r>
          </w:p>
        </w:tc>
      </w:tr>
      <w:tr>
        <w:trPr>
          <w:trHeight w:val="230"/>
        </w:trPr>
        <w:tc>
          <w:tcPr>
            <w:tcW w:w="540" w:type="dxa"/>
            <w:vAlign w:val="bottom"/>
          </w:tcPr>
          <w:p>
            <w:pPr>
              <w:ind w:left="340"/>
              <w:spacing w:after="0"/>
              <w:rPr>
                <w:sz w:val="20"/>
                <w:szCs w:val="20"/>
                <w:color w:val="auto"/>
              </w:rPr>
            </w:pPr>
            <w:r>
              <w:rPr>
                <w:rFonts w:ascii="Arial" w:cs="Arial" w:eastAsia="Arial" w:hAnsi="Arial"/>
                <w:sz w:val="18"/>
                <w:szCs w:val="18"/>
                <w:color w:val="auto"/>
                <w:w w:val="89"/>
              </w:rPr>
              <w:t>01</w:t>
            </w:r>
          </w:p>
        </w:tc>
        <w:tc>
          <w:tcPr>
            <w:tcW w:w="2700" w:type="dxa"/>
            <w:vAlign w:val="bottom"/>
          </w:tcPr>
          <w:p>
            <w:pPr>
              <w:jc w:val="right"/>
              <w:ind w:right="930"/>
              <w:spacing w:after="0"/>
              <w:rPr>
                <w:sz w:val="20"/>
                <w:szCs w:val="20"/>
                <w:color w:val="auto"/>
              </w:rPr>
            </w:pPr>
            <w:r>
              <w:rPr>
                <w:rFonts w:ascii="Arial" w:cs="Arial" w:eastAsia="Arial" w:hAnsi="Arial"/>
                <w:sz w:val="18"/>
                <w:szCs w:val="18"/>
                <w:color w:val="auto"/>
                <w:w w:val="93"/>
              </w:rPr>
              <w:t>Richard Higginbotham</w:t>
            </w: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w w:val="96"/>
              </w:rPr>
              <w:t>number(s) of the nominee(s) on the line below.</w:t>
            </w:r>
          </w:p>
        </w:tc>
      </w:tr>
      <w:tr>
        <w:trPr>
          <w:trHeight w:val="217"/>
        </w:trPr>
        <w:tc>
          <w:tcPr>
            <w:tcW w:w="540" w:type="dxa"/>
            <w:vAlign w:val="bottom"/>
          </w:tcPr>
          <w:p>
            <w:pPr>
              <w:ind w:left="340"/>
              <w:spacing w:after="0"/>
              <w:rPr>
                <w:sz w:val="20"/>
                <w:szCs w:val="20"/>
                <w:color w:val="auto"/>
              </w:rPr>
            </w:pPr>
            <w:r>
              <w:rPr>
                <w:rFonts w:ascii="Arial" w:cs="Arial" w:eastAsia="Arial" w:hAnsi="Arial"/>
                <w:sz w:val="18"/>
                <w:szCs w:val="18"/>
                <w:color w:val="auto"/>
                <w:w w:val="89"/>
              </w:rPr>
              <w:t>02</w:t>
            </w:r>
          </w:p>
        </w:tc>
        <w:tc>
          <w:tcPr>
            <w:tcW w:w="2700" w:type="dxa"/>
            <w:vAlign w:val="bottom"/>
          </w:tcPr>
          <w:p>
            <w:pPr>
              <w:jc w:val="right"/>
              <w:ind w:right="1310"/>
              <w:spacing w:after="0"/>
              <w:rPr>
                <w:sz w:val="20"/>
                <w:szCs w:val="20"/>
                <w:color w:val="auto"/>
              </w:rPr>
            </w:pPr>
            <w:r>
              <w:rPr>
                <w:rFonts w:ascii="Arial" w:cs="Arial" w:eastAsia="Arial" w:hAnsi="Arial"/>
                <w:sz w:val="18"/>
                <w:szCs w:val="18"/>
                <w:color w:val="auto"/>
                <w:w w:val="88"/>
              </w:rPr>
              <w:t>Ronald Tanemura</w:t>
            </w: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bl>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recommends you vote FOR the following proposal:</w:t>
      </w:r>
    </w:p>
    <w:p>
      <w:pPr>
        <w:sectPr>
          <w:pgSz w:w="11900" w:h="16838" w:orient="portrait"/>
          <w:cols w:equalWidth="0" w:num="1">
            <w:col w:w="11240"/>
          </w:cols>
          <w:pgMar w:left="240" w:top="459" w:right="419" w:bottom="1440" w:gutter="0" w:footer="0" w:header="0"/>
        </w:sectPr>
      </w:pPr>
    </w:p>
    <w:p>
      <w:pPr>
        <w:spacing w:after="0" w:line="144" w:lineRule="exact"/>
        <w:rPr>
          <w:sz w:val="20"/>
          <w:szCs w:val="20"/>
          <w:color w:val="auto"/>
        </w:rPr>
      </w:pPr>
    </w:p>
    <w:p>
      <w:pPr>
        <w:ind w:left="200"/>
        <w:spacing w:after="0"/>
        <w:tabs>
          <w:tab w:leader="none" w:pos="520" w:val="left"/>
        </w:tabs>
        <w:rPr>
          <w:sz w:val="20"/>
          <w:szCs w:val="20"/>
          <w:color w:val="auto"/>
        </w:rPr>
      </w:pPr>
      <w:r>
        <w:rPr>
          <w:rFonts w:ascii="Arial" w:cs="Arial" w:eastAsia="Arial" w:hAnsi="Arial"/>
          <w:sz w:val="18"/>
          <w:szCs w:val="18"/>
          <w:color w:val="auto"/>
        </w:rPr>
        <w:t>2.</w:t>
        <w:tab/>
        <w:t>To ratify the selection of KPMG LLP as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Company’s independent registered public</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3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60" w:lineRule="exact"/>
        <w:rPr>
          <w:sz w:val="20"/>
          <w:szCs w:val="20"/>
          <w:color w:val="auto"/>
        </w:rPr>
      </w:pPr>
    </w:p>
    <w:p>
      <w:pPr>
        <w:sectPr>
          <w:pgSz w:w="11900" w:h="16838" w:orient="portrait"/>
          <w:cols w:equalWidth="0" w:num="4">
            <w:col w:w="3800" w:space="640"/>
            <w:col w:w="260" w:space="480"/>
            <w:col w:w="560" w:space="600"/>
            <w:col w:w="4900"/>
          </w:cols>
          <w:pgMar w:left="240" w:top="459" w:right="41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accounting firm for the fiscal year ending</w:t>
      </w:r>
    </w:p>
    <w:p>
      <w:pPr>
        <w:spacing w:after="0" w:line="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December 31, 2018.</w:t>
      </w:r>
    </w:p>
    <w:p>
      <w:pPr>
        <w:sectPr>
          <w:pgSz w:w="11900" w:h="16838" w:orient="portrait"/>
          <w:cols w:equalWidth="0" w:num="1">
            <w:col w:w="11240"/>
          </w:cols>
          <w:pgMar w:left="240" w:top="459" w:right="419" w:bottom="1440" w:gutter="0" w:footer="0" w:header="0"/>
          <w:type w:val="continuous"/>
        </w:sectPr>
      </w:pPr>
    </w:p>
    <w:p>
      <w:pPr>
        <w:spacing w:after="0" w:line="207" w:lineRule="exact"/>
        <w:rPr>
          <w:sz w:val="20"/>
          <w:szCs w:val="20"/>
          <w:color w:val="auto"/>
        </w:rPr>
      </w:pPr>
    </w:p>
    <w:p>
      <w:pPr>
        <w:ind w:left="200" w:right="2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The named proxies are also authorized to transact such other business as may properly come before the 2018 Annual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postponement or adjournment thereof.</w:t>
      </w:r>
    </w:p>
    <w:p>
      <w:pPr>
        <w:sectPr>
          <w:pgSz w:w="11900" w:h="16838" w:orient="portrait"/>
          <w:cols w:equalWidth="0" w:num="1">
            <w:col w:w="11240"/>
          </w:cols>
          <w:pgMar w:left="240" w:top="459" w:right="41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00"/>
        <w:spacing w:after="0"/>
        <w:tabs>
          <w:tab w:leader="none" w:pos="554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7"/>
          <w:szCs w:val="17"/>
          <w:color w:val="auto"/>
        </w:rPr>
        <w:t>YES  NO</w:t>
      </w:r>
    </w:p>
    <w:p>
      <w:pPr>
        <w:spacing w:after="0" w:line="98" w:lineRule="exact"/>
        <w:rPr>
          <w:sz w:val="20"/>
          <w:szCs w:val="20"/>
          <w:color w:val="auto"/>
        </w:rPr>
      </w:pPr>
    </w:p>
    <w:p>
      <w:pPr>
        <w:jc w:val="center"/>
        <w:ind w:left="5280"/>
        <w:spacing w:after="0" w:line="181" w:lineRule="exact"/>
        <w:tabs>
          <w:tab w:leader="none" w:pos="280" w:val="left"/>
        </w:tabs>
        <w:rPr>
          <w:sz w:val="20"/>
          <w:szCs w:val="20"/>
          <w:color w:val="auto"/>
        </w:rPr>
      </w:pPr>
      <w:r>
        <w:rPr>
          <w:rFonts w:ascii="MS PGothic" w:cs="MS PGothic" w:eastAsia="MS PGothic" w:hAnsi="MS PGothic"/>
          <w:sz w:val="18"/>
          <w:szCs w:val="18"/>
          <w:color w:val="auto"/>
        </w:rPr>
        <w:t>☐</w:t>
        <w:tab/>
        <w:t>☐</w:t>
      </w:r>
    </w:p>
    <w:p>
      <w:pPr>
        <w:spacing w:after="0" w:line="29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0"/>
        </w:trPr>
        <w:tc>
          <w:tcPr>
            <w:tcW w:w="4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7"/>
                <w:szCs w:val="17"/>
                <w:color w:val="auto"/>
              </w:rPr>
            </w:pPr>
          </w:p>
        </w:tc>
        <w:tc>
          <w:tcPr>
            <w:tcW w:w="1740" w:type="dxa"/>
            <w:vAlign w:val="bottom"/>
          </w:tcPr>
          <w:p>
            <w:pPr>
              <w:spacing w:after="0" w:line="205" w:lineRule="exact"/>
              <w:rPr>
                <w:sz w:val="20"/>
                <w:szCs w:val="20"/>
                <w:color w:val="auto"/>
              </w:rPr>
            </w:pPr>
            <w:r>
              <w:rPr>
                <w:rFonts w:ascii="Arial" w:cs="Arial" w:eastAsia="Arial" w:hAnsi="Arial"/>
                <w:sz w:val="18"/>
                <w:szCs w:val="18"/>
                <w:b w:val="1"/>
                <w:bCs w:val="1"/>
                <w:color w:val="auto"/>
              </w:rPr>
              <w:t>DATE</w:t>
            </w:r>
          </w:p>
        </w:tc>
        <w:tc>
          <w:tcPr>
            <w:tcW w:w="18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SIGNATURE</w:t>
            </w:r>
          </w:p>
        </w:tc>
        <w:tc>
          <w:tcPr>
            <w:tcW w:w="182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24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2)"/>
      <w:numFmt w:val="decimal"/>
      <w:start w:val="1"/>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2019-12-07T21:25:19Z</dcterms:created>
  <dcterms:modified xsi:type="dcterms:W3CDTF">2019-12-07T21:25:19Z</dcterms:modified>
</cp:coreProperties>
</file>