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79"/>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January 22, 2018, TPG Specialty Lending, Inc. (the “Company”) and Wells Fargo Bank, National Association (the “Trustee”), entered into an Indenture (the “Indenture”) and a First Supplemental Indenture (the “First Supplemental Indenture”) to the Indenture, relating to the Company’s issuance, offer and sale of $150,000,000 aggregate principal amount of its 4.500% notes due 2023 (the “Notes”).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Notes will mature on January 22, 2023 and may be redeemed in whole or in part at the Company’s option at any time at the redemption prices set forth in the First Supplemental Indenture. The Notes bear interest at a rate of 4.500% per year payable semiannually on January 22 and July 22 of each year, commencing on July 22, 2018. The Notes are direct unsecured obligations of the Company.</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expects to use the net proceeds of this offering to pay down debt under its revolving credit facility. The Indenture, as supplemented by the First Supplemental Indenture, contains certain covenants including covenants requiring the Company to comply with Section 18(a)(1)(A) as modified by Section 61(a)(1) of the Investment Company Act of 1940, as amended, or any successor provisions, but giving effect, in either case, to any exemptive relief granted to the Company by the SEC, and to provide financial information to the holders of the Notes and the Trustee if the Company should no longer be subject to the reporting requirements under the Securities Exchange Act of 1934. These covenants are subject to important limitations and exceptions that are described in the Indenture.</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upon the occurrence of a change of control repurchase event (which involves the occurrence of both a change of control and a below investment grade rating of the Notes by Fitch, Inc. and Standard &amp; Poor’s Ratings Services), the Company will be required to make an offer to purchase the Notes at a price equal to 100% of the principal amount plus accrued and unpaid interest to the date of purchase.</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Notes were offered and sold pursuant to the Registration Statement on Form N-2 (File No. 333-217207), the preliminary prospectus supplement filed with the Securities and Exchange Commission on January 17, 2018 and the pricing term sheet filed with the Securities and Exchange Commission on January 17, 2018. The transaction closed on January 22, 2018.</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foregoing descriptions of the Indenture, First Supplemental Indenture and the Notes do not purport to be complete and are qualified in their entirety by reference to the full text of the Indenture, First Supplemental Indenture and the Notes, respectively, each filed as exhibits hereto and incorporated by reference herein.</w:t>
      </w:r>
    </w:p>
    <w:p>
      <w:pPr>
        <w:spacing w:after="0" w:line="285" w:lineRule="exact"/>
        <w:rPr>
          <w:sz w:val="20"/>
          <w:szCs w:val="20"/>
          <w:color w:val="auto"/>
        </w:rPr>
      </w:pPr>
    </w:p>
    <w:p>
      <w:pPr>
        <w:ind w:right="1540"/>
        <w:spacing w:after="0" w:line="407" w:lineRule="auto"/>
        <w:rPr>
          <w:sz w:val="20"/>
          <w:szCs w:val="20"/>
          <w:color w:val="auto"/>
        </w:rPr>
      </w:pPr>
      <w:r>
        <w:rPr>
          <w:rFonts w:ascii="Arial" w:cs="Arial" w:eastAsia="Arial" w:hAnsi="Arial"/>
          <w:sz w:val="18"/>
          <w:szCs w:val="18"/>
          <w:b w:val="1"/>
          <w:bCs w:val="1"/>
          <w:color w:val="auto"/>
        </w:rPr>
        <w:t xml:space="preserve">Item 2.03 – Creation of a Direct Financial Obligation or an Obligation Under an Off-Balance Sheet Arrangement of a Registrant </w:t>
      </w:r>
      <w:r>
        <w:rPr>
          <w:rFonts w:ascii="Arial" w:cs="Arial" w:eastAsia="Arial" w:hAnsi="Arial"/>
          <w:sz w:val="18"/>
          <w:szCs w:val="18"/>
          <w:color w:val="auto"/>
        </w:rPr>
        <w:t>The information set forth under Item 1.01 of this Form 8-K is incorporated herein by reference.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12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1280" w:type="dxa"/>
            <w:vAlign w:val="bottom"/>
          </w:tcPr>
          <w:p>
            <w:pPr>
              <w:spacing w:after="0"/>
              <w:rPr>
                <w:sz w:val="24"/>
                <w:szCs w:val="24"/>
                <w:color w:val="auto"/>
              </w:rPr>
            </w:pPr>
          </w:p>
        </w:tc>
        <w:tc>
          <w:tcPr>
            <w:tcW w:w="91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Indenture, dated as of January 22, 2018, between TPG Specialty Lending, Inc. and Wells Fargo Bank, National Association, as</w:t>
              </w:r>
            </w:hyperlink>
          </w:p>
        </w:tc>
      </w:tr>
      <w:tr>
        <w:trPr>
          <w:trHeight w:val="196"/>
        </w:trPr>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Trustee</w:t>
              </w:r>
            </w:hyperlink>
          </w:p>
        </w:tc>
        <w:tc>
          <w:tcPr>
            <w:tcW w:w="8580" w:type="dxa"/>
            <w:vAlign w:val="bottom"/>
            <w:gridSpan w:val="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1280" w:type="dxa"/>
            <w:vAlign w:val="bottom"/>
          </w:tcPr>
          <w:p>
            <w:pPr>
              <w:spacing w:after="0"/>
              <w:rPr>
                <w:sz w:val="24"/>
                <w:szCs w:val="24"/>
                <w:color w:val="auto"/>
              </w:rPr>
            </w:pPr>
          </w:p>
        </w:tc>
        <w:tc>
          <w:tcPr>
            <w:tcW w:w="87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First Supplemental Indenture, dated as of January 22, 2018, between TPG Specialty Lending, Inc. and Wells Fargo Bank,</w:t>
              </w:r>
            </w:hyperlink>
          </w:p>
        </w:tc>
        <w:tc>
          <w:tcPr>
            <w:tcW w:w="38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120" w:type="dxa"/>
            <w:vAlign w:val="bottom"/>
            <w:gridSpan w:val="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National Association, as Trustee</w:t>
              </w:r>
            </w:hyperlink>
          </w:p>
        </w:tc>
      </w:tr>
      <w:tr>
        <w:trPr>
          <w:trHeight w:val="20"/>
        </w:trPr>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1280" w:type="dxa"/>
            <w:vAlign w:val="bottom"/>
          </w:tcPr>
          <w:p>
            <w:pPr>
              <w:spacing w:after="0"/>
              <w:rPr>
                <w:sz w:val="24"/>
                <w:szCs w:val="24"/>
                <w:color w:val="auto"/>
              </w:rPr>
            </w:pPr>
          </w:p>
        </w:tc>
        <w:tc>
          <w:tcPr>
            <w:tcW w:w="46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Form of 4.500% Note Due 2023 (included as part of Exhibit 4.2)</w:t>
              </w:r>
            </w:hyperlink>
          </w:p>
        </w:tc>
        <w:tc>
          <w:tcPr>
            <w:tcW w:w="4440" w:type="dxa"/>
            <w:vAlign w:val="bottom"/>
            <w:gridSpan w:val="2"/>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January 22, 2018</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23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January 22,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Providing for the Issuance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76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8760" w:type="dxa"/>
            <w:vAlign w:val="bottom"/>
          </w:tcPr>
          <w:p>
            <w:pPr>
              <w:ind w:left="4000"/>
              <w:spacing w:after="0"/>
              <w:rPr>
                <w:sz w:val="20"/>
                <w:szCs w:val="20"/>
                <w:color w:val="auto"/>
              </w:rPr>
            </w:pPr>
            <w:r>
              <w:rPr>
                <w:rFonts w:ascii="Arial" w:cs="Arial" w:eastAsia="Arial" w:hAnsi="Arial"/>
                <w:sz w:val="18"/>
                <w:szCs w:val="18"/>
                <w:color w:val="auto"/>
              </w:rPr>
              <w:t>ARTICLE ONE</w:t>
            </w:r>
          </w:p>
        </w:tc>
        <w:tc>
          <w:tcPr>
            <w:tcW w:w="150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760" w:type="dxa"/>
            <w:vAlign w:val="bottom"/>
          </w:tcPr>
          <w:p>
            <w:pPr>
              <w:ind w:left="1760"/>
              <w:spacing w:after="0"/>
              <w:rPr>
                <w:sz w:val="20"/>
                <w:szCs w:val="20"/>
                <w:color w:val="auto"/>
              </w:rPr>
            </w:pPr>
            <w:r>
              <w:rPr>
                <w:rFonts w:ascii="Arial" w:cs="Arial" w:eastAsia="Arial" w:hAnsi="Arial"/>
                <w:sz w:val="18"/>
                <w:szCs w:val="18"/>
                <w:color w:val="auto"/>
              </w:rPr>
              <w:t>DEFINITIONS AND OTHER PROVISIONS OF GENERAL APPLICATION</w:t>
            </w:r>
          </w:p>
        </w:tc>
        <w:tc>
          <w:tcPr>
            <w:tcW w:w="150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1.01.</w:t>
            </w:r>
          </w:p>
        </w:tc>
        <w:tc>
          <w:tcPr>
            <w:tcW w:w="876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1.02.</w:t>
            </w:r>
          </w:p>
        </w:tc>
        <w:tc>
          <w:tcPr>
            <w:tcW w:w="8760" w:type="dxa"/>
            <w:vAlign w:val="bottom"/>
          </w:tcPr>
          <w:p>
            <w:pPr>
              <w:ind w:left="140"/>
              <w:spacing w:after="0"/>
              <w:rPr>
                <w:sz w:val="20"/>
                <w:szCs w:val="20"/>
                <w:color w:val="auto"/>
              </w:rPr>
            </w:pPr>
            <w:r>
              <w:rPr>
                <w:rFonts w:ascii="Arial" w:cs="Arial" w:eastAsia="Arial" w:hAnsi="Arial"/>
                <w:sz w:val="18"/>
                <w:szCs w:val="18"/>
                <w:color w:val="auto"/>
              </w:rPr>
              <w:t>Compliance Certificates</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1.03.   Form of Documents Delivered to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1.04.</w:t>
            </w:r>
          </w:p>
        </w:tc>
        <w:tc>
          <w:tcPr>
            <w:tcW w:w="8760" w:type="dxa"/>
            <w:vAlign w:val="bottom"/>
          </w:tcPr>
          <w:p>
            <w:pPr>
              <w:ind w:left="140"/>
              <w:spacing w:after="0"/>
              <w:rPr>
                <w:sz w:val="20"/>
                <w:szCs w:val="20"/>
                <w:color w:val="auto"/>
              </w:rPr>
            </w:pPr>
            <w:r>
              <w:rPr>
                <w:rFonts w:ascii="Arial" w:cs="Arial" w:eastAsia="Arial" w:hAnsi="Arial"/>
                <w:sz w:val="18"/>
                <w:szCs w:val="18"/>
                <w:color w:val="auto"/>
              </w:rPr>
              <w:t>Acts of 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1.05.   Notices, Etc., to Trustee and Company</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1.06.   Notice to Holders; Waiver</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1.07.   Effect of Headings and Table of Contents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1.08.   Successors and Assigns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1.09.</w:t>
            </w:r>
          </w:p>
        </w:tc>
        <w:tc>
          <w:tcPr>
            <w:tcW w:w="8760" w:type="dxa"/>
            <w:vAlign w:val="bottom"/>
          </w:tcPr>
          <w:p>
            <w:pPr>
              <w:ind w:left="140"/>
              <w:spacing w:after="0"/>
              <w:rPr>
                <w:sz w:val="20"/>
                <w:szCs w:val="20"/>
                <w:color w:val="auto"/>
              </w:rPr>
            </w:pPr>
            <w:r>
              <w:rPr>
                <w:rFonts w:ascii="Arial" w:cs="Arial" w:eastAsia="Arial" w:hAnsi="Arial"/>
                <w:sz w:val="18"/>
                <w:szCs w:val="18"/>
                <w:color w:val="auto"/>
              </w:rPr>
              <w:t>Separability Clause</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1.10.   Benefits of Indenture</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1.11.</w:t>
            </w:r>
          </w:p>
        </w:tc>
        <w:tc>
          <w:tcPr>
            <w:tcW w:w="876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1.12.</w:t>
            </w:r>
          </w:p>
        </w:tc>
        <w:tc>
          <w:tcPr>
            <w:tcW w:w="8760" w:type="dxa"/>
            <w:vAlign w:val="bottom"/>
          </w:tcPr>
          <w:p>
            <w:pPr>
              <w:ind w:left="140"/>
              <w:spacing w:after="0"/>
              <w:rPr>
                <w:sz w:val="20"/>
                <w:szCs w:val="20"/>
                <w:color w:val="auto"/>
              </w:rPr>
            </w:pPr>
            <w:r>
              <w:rPr>
                <w:rFonts w:ascii="Arial" w:cs="Arial" w:eastAsia="Arial" w:hAnsi="Arial"/>
                <w:sz w:val="18"/>
                <w:szCs w:val="18"/>
                <w:color w:val="auto"/>
              </w:rPr>
              <w:t>Legal Holidays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1.13.   Submission to Jurisdiction</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rPr>
              <w:t>Section 1.14.   Waiver of Jury Trial</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Section 1.15.   U.S.A. Patriot Act</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8020" w:type="dxa"/>
            <w:vAlign w:val="bottom"/>
          </w:tcPr>
          <w:p>
            <w:pPr>
              <w:jc w:val="center"/>
              <w:ind w:left="1050"/>
              <w:spacing w:after="0"/>
              <w:rPr>
                <w:sz w:val="20"/>
                <w:szCs w:val="20"/>
                <w:color w:val="auto"/>
              </w:rPr>
            </w:pPr>
            <w:r>
              <w:rPr>
                <w:rFonts w:ascii="Arial" w:cs="Arial" w:eastAsia="Arial" w:hAnsi="Arial"/>
                <w:sz w:val="18"/>
                <w:szCs w:val="18"/>
                <w:color w:val="auto"/>
                <w:w w:val="97"/>
              </w:rPr>
              <w:t>ARTICLE TWO</w:t>
            </w:r>
          </w:p>
        </w:tc>
        <w:tc>
          <w:tcPr>
            <w:tcW w:w="2240" w:type="dxa"/>
            <w:vAlign w:val="bottom"/>
          </w:tcPr>
          <w:p>
            <w:pPr>
              <w:spacing w:after="0"/>
              <w:rPr>
                <w:sz w:val="20"/>
                <w:szCs w:val="20"/>
                <w:color w:val="auto"/>
              </w:rPr>
            </w:pPr>
          </w:p>
        </w:tc>
      </w:tr>
      <w:tr>
        <w:trPr>
          <w:trHeight w:val="324"/>
        </w:trPr>
        <w:tc>
          <w:tcPr>
            <w:tcW w:w="1100" w:type="dxa"/>
            <w:vAlign w:val="bottom"/>
          </w:tcPr>
          <w:p>
            <w:pPr>
              <w:spacing w:after="0"/>
              <w:rPr>
                <w:sz w:val="24"/>
                <w:szCs w:val="24"/>
                <w:color w:val="auto"/>
              </w:rPr>
            </w:pPr>
          </w:p>
        </w:tc>
        <w:tc>
          <w:tcPr>
            <w:tcW w:w="8020" w:type="dxa"/>
            <w:vAlign w:val="bottom"/>
          </w:tcPr>
          <w:p>
            <w:pPr>
              <w:jc w:val="center"/>
              <w:ind w:left="1050"/>
              <w:spacing w:after="0"/>
              <w:rPr>
                <w:sz w:val="20"/>
                <w:szCs w:val="20"/>
                <w:color w:val="auto"/>
              </w:rPr>
            </w:pPr>
            <w:r>
              <w:rPr>
                <w:rFonts w:ascii="Arial" w:cs="Arial" w:eastAsia="Arial" w:hAnsi="Arial"/>
                <w:sz w:val="18"/>
                <w:szCs w:val="18"/>
                <w:color w:val="auto"/>
                <w:w w:val="94"/>
              </w:rPr>
              <w:t>SECURITIES FORMS</w:t>
            </w:r>
          </w:p>
        </w:tc>
        <w:tc>
          <w:tcPr>
            <w:tcW w:w="224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2.01.</w:t>
            </w:r>
          </w:p>
        </w:tc>
        <w:tc>
          <w:tcPr>
            <w:tcW w:w="8020" w:type="dxa"/>
            <w:vAlign w:val="bottom"/>
          </w:tcPr>
          <w:p>
            <w:pPr>
              <w:ind w:left="140"/>
              <w:spacing w:after="0"/>
              <w:rPr>
                <w:sz w:val="20"/>
                <w:szCs w:val="20"/>
                <w:color w:val="auto"/>
              </w:rPr>
            </w:pPr>
            <w:r>
              <w:rPr>
                <w:rFonts w:ascii="Arial" w:cs="Arial" w:eastAsia="Arial" w:hAnsi="Arial"/>
                <w:sz w:val="18"/>
                <w:szCs w:val="18"/>
                <w:color w:val="auto"/>
              </w:rPr>
              <w:t>Forms of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2.02.</w:t>
            </w:r>
          </w:p>
        </w:tc>
        <w:tc>
          <w:tcPr>
            <w:tcW w:w="8020" w:type="dxa"/>
            <w:vAlign w:val="bottom"/>
          </w:tcPr>
          <w:p>
            <w:pPr>
              <w:ind w:left="140"/>
              <w:spacing w:after="0"/>
              <w:rPr>
                <w:sz w:val="20"/>
                <w:szCs w:val="20"/>
                <w:color w:val="auto"/>
              </w:rPr>
            </w:pPr>
            <w:r>
              <w:rPr>
                <w:rFonts w:ascii="Arial" w:cs="Arial" w:eastAsia="Arial" w:hAnsi="Arial"/>
                <w:sz w:val="18"/>
                <w:szCs w:val="18"/>
                <w:color w:val="auto"/>
              </w:rPr>
              <w:t>Form of Trustee’s Certificate of Authentication</w:t>
            </w: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2.03.</w:t>
            </w:r>
          </w:p>
        </w:tc>
        <w:tc>
          <w:tcPr>
            <w:tcW w:w="8020" w:type="dxa"/>
            <w:vAlign w:val="bottom"/>
          </w:tcPr>
          <w:p>
            <w:pPr>
              <w:ind w:left="140"/>
              <w:spacing w:after="0"/>
              <w:rPr>
                <w:sz w:val="20"/>
                <w:szCs w:val="20"/>
                <w:color w:val="auto"/>
              </w:rPr>
            </w:pPr>
            <w:r>
              <w:rPr>
                <w:rFonts w:ascii="Arial" w:cs="Arial" w:eastAsia="Arial" w:hAnsi="Arial"/>
                <w:sz w:val="18"/>
                <w:szCs w:val="18"/>
                <w:color w:val="auto"/>
              </w:rPr>
              <w:t>Securities Issuable in Global Form</w:t>
            </w: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2.04.</w:t>
            </w:r>
          </w:p>
        </w:tc>
        <w:tc>
          <w:tcPr>
            <w:tcW w:w="8020" w:type="dxa"/>
            <w:vAlign w:val="bottom"/>
          </w:tcPr>
          <w:p>
            <w:pPr>
              <w:ind w:left="140"/>
              <w:spacing w:after="0"/>
              <w:rPr>
                <w:sz w:val="20"/>
                <w:szCs w:val="20"/>
                <w:color w:val="auto"/>
              </w:rPr>
            </w:pPr>
            <w:r>
              <w:rPr>
                <w:rFonts w:ascii="Arial" w:cs="Arial" w:eastAsia="Arial" w:hAnsi="Arial"/>
                <w:sz w:val="18"/>
                <w:szCs w:val="18"/>
                <w:color w:val="auto"/>
              </w:rPr>
              <w:t>Certificated Notes</w:t>
            </w:r>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spacing w:after="0"/>
              <w:rPr>
                <w:sz w:val="24"/>
                <w:szCs w:val="24"/>
                <w:color w:val="auto"/>
              </w:rPr>
            </w:pPr>
          </w:p>
        </w:tc>
        <w:tc>
          <w:tcPr>
            <w:tcW w:w="8020" w:type="dxa"/>
            <w:vAlign w:val="bottom"/>
          </w:tcPr>
          <w:p>
            <w:pPr>
              <w:jc w:val="center"/>
              <w:ind w:left="1070"/>
              <w:spacing w:after="0"/>
              <w:rPr>
                <w:sz w:val="20"/>
                <w:szCs w:val="20"/>
                <w:color w:val="auto"/>
              </w:rPr>
            </w:pPr>
            <w:r>
              <w:rPr>
                <w:rFonts w:ascii="Arial" w:cs="Arial" w:eastAsia="Arial" w:hAnsi="Arial"/>
                <w:sz w:val="18"/>
                <w:szCs w:val="18"/>
                <w:color w:val="auto"/>
                <w:w w:val="97"/>
              </w:rPr>
              <w:t>ARTICLE THREE</w:t>
            </w:r>
          </w:p>
        </w:tc>
        <w:tc>
          <w:tcPr>
            <w:tcW w:w="224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020" w:type="dxa"/>
            <w:vAlign w:val="bottom"/>
          </w:tcPr>
          <w:p>
            <w:pPr>
              <w:jc w:val="center"/>
              <w:ind w:left="1070"/>
              <w:spacing w:after="0"/>
              <w:rPr>
                <w:sz w:val="20"/>
                <w:szCs w:val="20"/>
                <w:color w:val="auto"/>
              </w:rPr>
            </w:pPr>
            <w:r>
              <w:rPr>
                <w:rFonts w:ascii="Arial" w:cs="Arial" w:eastAsia="Arial" w:hAnsi="Arial"/>
                <w:sz w:val="18"/>
                <w:szCs w:val="18"/>
                <w:color w:val="auto"/>
                <w:w w:val="95"/>
              </w:rPr>
              <w:t>THE SECURITIES</w:t>
            </w:r>
          </w:p>
        </w:tc>
        <w:tc>
          <w:tcPr>
            <w:tcW w:w="224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3.01.</w:t>
            </w:r>
          </w:p>
        </w:tc>
        <w:tc>
          <w:tcPr>
            <w:tcW w:w="8020" w:type="dxa"/>
            <w:vAlign w:val="bottom"/>
          </w:tcPr>
          <w:p>
            <w:pPr>
              <w:ind w:left="140"/>
              <w:spacing w:after="0"/>
              <w:rPr>
                <w:sz w:val="20"/>
                <w:szCs w:val="20"/>
                <w:color w:val="auto"/>
              </w:rPr>
            </w:pPr>
            <w:r>
              <w:rPr>
                <w:rFonts w:ascii="Arial" w:cs="Arial" w:eastAsia="Arial" w:hAnsi="Arial"/>
                <w:sz w:val="18"/>
                <w:szCs w:val="18"/>
                <w:color w:val="auto"/>
              </w:rPr>
              <w:t>Amount Unlimited; Issuable in Series</w:t>
            </w: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3.02.</w:t>
            </w:r>
          </w:p>
        </w:tc>
        <w:tc>
          <w:tcPr>
            <w:tcW w:w="8020" w:type="dxa"/>
            <w:vAlign w:val="bottom"/>
          </w:tcPr>
          <w:p>
            <w:pPr>
              <w:ind w:left="140"/>
              <w:spacing w:after="0"/>
              <w:rPr>
                <w:sz w:val="20"/>
                <w:szCs w:val="20"/>
                <w:color w:val="auto"/>
              </w:rPr>
            </w:pPr>
            <w:r>
              <w:rPr>
                <w:rFonts w:ascii="Arial" w:cs="Arial" w:eastAsia="Arial" w:hAnsi="Arial"/>
                <w:sz w:val="18"/>
                <w:szCs w:val="18"/>
                <w:color w:val="auto"/>
              </w:rPr>
              <w:t>Denominations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3.03.</w:t>
            </w:r>
          </w:p>
        </w:tc>
        <w:tc>
          <w:tcPr>
            <w:tcW w:w="8020" w:type="dxa"/>
            <w:vAlign w:val="bottom"/>
          </w:tcPr>
          <w:p>
            <w:pPr>
              <w:ind w:left="140"/>
              <w:spacing w:after="0"/>
              <w:rPr>
                <w:sz w:val="20"/>
                <w:szCs w:val="20"/>
                <w:color w:val="auto"/>
              </w:rPr>
            </w:pPr>
            <w:r>
              <w:rPr>
                <w:rFonts w:ascii="Arial" w:cs="Arial" w:eastAsia="Arial" w:hAnsi="Arial"/>
                <w:sz w:val="18"/>
                <w:szCs w:val="18"/>
                <w:color w:val="auto"/>
              </w:rPr>
              <w:t>Execution, Authentication, Delivery and Dating</w:t>
            </w:r>
          </w:p>
        </w:tc>
        <w:tc>
          <w:tcPr>
            <w:tcW w:w="2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3.04.</w:t>
            </w:r>
          </w:p>
        </w:tc>
        <w:tc>
          <w:tcPr>
            <w:tcW w:w="802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3.05.</w:t>
            </w:r>
          </w:p>
        </w:tc>
        <w:tc>
          <w:tcPr>
            <w:tcW w:w="8020" w:type="dxa"/>
            <w:vAlign w:val="bottom"/>
          </w:tcPr>
          <w:p>
            <w:pPr>
              <w:ind w:left="140"/>
              <w:spacing w:after="0"/>
              <w:rPr>
                <w:sz w:val="20"/>
                <w:szCs w:val="20"/>
                <w:color w:val="auto"/>
              </w:rPr>
            </w:pPr>
            <w:r>
              <w:rPr>
                <w:rFonts w:ascii="Arial" w:cs="Arial" w:eastAsia="Arial" w:hAnsi="Arial"/>
                <w:sz w:val="18"/>
                <w:szCs w:val="18"/>
                <w:color w:val="auto"/>
              </w:rPr>
              <w:t>Registration, Registration of Transfer and Exchange</w:t>
            </w:r>
          </w:p>
        </w:tc>
        <w:tc>
          <w:tcPr>
            <w:tcW w:w="2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3.06.</w:t>
            </w:r>
          </w:p>
        </w:tc>
        <w:tc>
          <w:tcPr>
            <w:tcW w:w="8020" w:type="dxa"/>
            <w:vAlign w:val="bottom"/>
          </w:tcPr>
          <w:p>
            <w:pPr>
              <w:ind w:left="140"/>
              <w:spacing w:after="0"/>
              <w:rPr>
                <w:sz w:val="20"/>
                <w:szCs w:val="20"/>
                <w:color w:val="auto"/>
              </w:rPr>
            </w:pPr>
            <w:r>
              <w:rPr>
                <w:rFonts w:ascii="Arial" w:cs="Arial" w:eastAsia="Arial" w:hAnsi="Arial"/>
                <w:sz w:val="18"/>
                <w:szCs w:val="18"/>
                <w:color w:val="auto"/>
              </w:rPr>
              <w:t>Mutilated, Destroyed, Lost and Stolen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3.07.</w:t>
            </w:r>
          </w:p>
        </w:tc>
        <w:tc>
          <w:tcPr>
            <w:tcW w:w="8020" w:type="dxa"/>
            <w:vAlign w:val="bottom"/>
          </w:tcPr>
          <w:p>
            <w:pPr>
              <w:ind w:left="140"/>
              <w:spacing w:after="0"/>
              <w:rPr>
                <w:sz w:val="20"/>
                <w:szCs w:val="20"/>
                <w:color w:val="auto"/>
              </w:rPr>
            </w:pPr>
            <w:r>
              <w:rPr>
                <w:rFonts w:ascii="Arial" w:cs="Arial" w:eastAsia="Arial" w:hAnsi="Arial"/>
                <w:sz w:val="18"/>
                <w:szCs w:val="18"/>
                <w:color w:val="auto"/>
              </w:rPr>
              <w:t>Payment of Interest; Interest Rights Preserved; Optional Interest Reset</w:t>
            </w:r>
          </w:p>
        </w:tc>
        <w:tc>
          <w:tcPr>
            <w:tcW w:w="2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3.08.</w:t>
            </w:r>
          </w:p>
        </w:tc>
        <w:tc>
          <w:tcPr>
            <w:tcW w:w="8020" w:type="dxa"/>
            <w:vAlign w:val="bottom"/>
          </w:tcPr>
          <w:p>
            <w:pPr>
              <w:ind w:left="140"/>
              <w:spacing w:after="0"/>
              <w:rPr>
                <w:sz w:val="20"/>
                <w:szCs w:val="20"/>
                <w:color w:val="auto"/>
              </w:rPr>
            </w:pPr>
            <w:r>
              <w:rPr>
                <w:rFonts w:ascii="Arial" w:cs="Arial" w:eastAsia="Arial" w:hAnsi="Arial"/>
                <w:sz w:val="18"/>
                <w:szCs w:val="18"/>
                <w:color w:val="auto"/>
              </w:rPr>
              <w:t>Optional Extension of Maturity</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3.09.</w:t>
            </w:r>
          </w:p>
        </w:tc>
        <w:tc>
          <w:tcPr>
            <w:tcW w:w="8020" w:type="dxa"/>
            <w:vAlign w:val="bottom"/>
          </w:tcPr>
          <w:p>
            <w:pPr>
              <w:ind w:left="140"/>
              <w:spacing w:after="0"/>
              <w:rPr>
                <w:sz w:val="20"/>
                <w:szCs w:val="20"/>
                <w:color w:val="auto"/>
              </w:rPr>
            </w:pPr>
            <w:r>
              <w:rPr>
                <w:rFonts w:ascii="Arial" w:cs="Arial" w:eastAsia="Arial" w:hAnsi="Arial"/>
                <w:sz w:val="18"/>
                <w:szCs w:val="18"/>
                <w:color w:val="auto"/>
              </w:rPr>
              <w:t>Persons Deemed Owners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3.10.</w:t>
            </w:r>
          </w:p>
        </w:tc>
        <w:tc>
          <w:tcPr>
            <w:tcW w:w="802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3.11.</w:t>
            </w:r>
          </w:p>
        </w:tc>
        <w:tc>
          <w:tcPr>
            <w:tcW w:w="8020" w:type="dxa"/>
            <w:vAlign w:val="bottom"/>
          </w:tcPr>
          <w:p>
            <w:pPr>
              <w:ind w:left="140"/>
              <w:spacing w:after="0"/>
              <w:rPr>
                <w:sz w:val="20"/>
                <w:szCs w:val="20"/>
                <w:color w:val="auto"/>
              </w:rPr>
            </w:pPr>
            <w:r>
              <w:rPr>
                <w:rFonts w:ascii="Arial" w:cs="Arial" w:eastAsia="Arial" w:hAnsi="Arial"/>
                <w:sz w:val="18"/>
                <w:szCs w:val="18"/>
                <w:color w:val="auto"/>
              </w:rPr>
              <w:t>Computation of Interest</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3.12.</w:t>
            </w:r>
          </w:p>
        </w:tc>
        <w:tc>
          <w:tcPr>
            <w:tcW w:w="8020" w:type="dxa"/>
            <w:vAlign w:val="bottom"/>
          </w:tcPr>
          <w:p>
            <w:pPr>
              <w:ind w:left="140"/>
              <w:spacing w:after="0"/>
              <w:rPr>
                <w:sz w:val="20"/>
                <w:szCs w:val="20"/>
                <w:color w:val="auto"/>
              </w:rPr>
            </w:pPr>
            <w:r>
              <w:rPr>
                <w:rFonts w:ascii="Arial" w:cs="Arial" w:eastAsia="Arial" w:hAnsi="Arial"/>
                <w:sz w:val="18"/>
                <w:szCs w:val="18"/>
                <w:color w:val="auto"/>
              </w:rPr>
              <w:t>Currency and Manner of Payments in Respect of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3.13.</w:t>
            </w:r>
          </w:p>
        </w:tc>
        <w:tc>
          <w:tcPr>
            <w:tcW w:w="8020" w:type="dxa"/>
            <w:vAlign w:val="bottom"/>
          </w:tcPr>
          <w:p>
            <w:pPr>
              <w:ind w:left="140"/>
              <w:spacing w:after="0"/>
              <w:rPr>
                <w:sz w:val="20"/>
                <w:szCs w:val="20"/>
                <w:color w:val="auto"/>
              </w:rPr>
            </w:pPr>
            <w:r>
              <w:rPr>
                <w:rFonts w:ascii="Arial" w:cs="Arial" w:eastAsia="Arial" w:hAnsi="Arial"/>
                <w:sz w:val="18"/>
                <w:szCs w:val="18"/>
                <w:color w:val="auto"/>
              </w:rPr>
              <w:t>Appointment and Resignation of Successor Exchange Rate Agent</w:t>
            </w:r>
          </w:p>
        </w:tc>
        <w:tc>
          <w:tcPr>
            <w:tcW w:w="2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3.14.</w:t>
            </w:r>
          </w:p>
        </w:tc>
        <w:tc>
          <w:tcPr>
            <w:tcW w:w="8020" w:type="dxa"/>
            <w:vAlign w:val="bottom"/>
          </w:tcPr>
          <w:p>
            <w:pPr>
              <w:ind w:left="140"/>
              <w:spacing w:after="0"/>
              <w:rPr>
                <w:sz w:val="20"/>
                <w:szCs w:val="20"/>
                <w:color w:val="auto"/>
              </w:rPr>
            </w:pPr>
            <w:r>
              <w:rPr>
                <w:rFonts w:ascii="Arial" w:cs="Arial" w:eastAsia="Arial" w:hAnsi="Arial"/>
                <w:sz w:val="18"/>
                <w:szCs w:val="18"/>
                <w:color w:val="auto"/>
              </w:rPr>
              <w:t>CUSIP Numbers</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0" w:type="dxa"/>
            <w:vAlign w:val="bottom"/>
          </w:tcPr>
          <w:p>
            <w:pPr>
              <w:spacing w:after="0"/>
              <w:rPr>
                <w:sz w:val="24"/>
                <w:szCs w:val="24"/>
                <w:color w:val="auto"/>
              </w:rPr>
            </w:pPr>
          </w:p>
        </w:tc>
        <w:tc>
          <w:tcPr>
            <w:tcW w:w="8020" w:type="dxa"/>
            <w:vAlign w:val="bottom"/>
          </w:tcPr>
          <w:p>
            <w:pPr>
              <w:jc w:val="center"/>
              <w:ind w:left="1070"/>
              <w:spacing w:after="0"/>
              <w:rPr>
                <w:sz w:val="20"/>
                <w:szCs w:val="20"/>
                <w:color w:val="auto"/>
              </w:rPr>
            </w:pPr>
            <w:r>
              <w:rPr>
                <w:rFonts w:ascii="Arial" w:cs="Arial" w:eastAsia="Arial" w:hAnsi="Arial"/>
                <w:sz w:val="18"/>
                <w:szCs w:val="18"/>
                <w:color w:val="auto"/>
                <w:w w:val="95"/>
              </w:rPr>
              <w:t>ARTICLE FOUR</w:t>
            </w:r>
          </w:p>
        </w:tc>
        <w:tc>
          <w:tcPr>
            <w:tcW w:w="224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020" w:type="dxa"/>
            <w:vAlign w:val="bottom"/>
          </w:tcPr>
          <w:p>
            <w:pPr>
              <w:jc w:val="center"/>
              <w:ind w:left="1050"/>
              <w:spacing w:after="0"/>
              <w:rPr>
                <w:sz w:val="20"/>
                <w:szCs w:val="20"/>
                <w:color w:val="auto"/>
              </w:rPr>
            </w:pPr>
            <w:r>
              <w:rPr>
                <w:rFonts w:ascii="Arial" w:cs="Arial" w:eastAsia="Arial" w:hAnsi="Arial"/>
                <w:sz w:val="18"/>
                <w:szCs w:val="18"/>
                <w:color w:val="auto"/>
                <w:w w:val="96"/>
              </w:rPr>
              <w:t>SATISFACTION AND DISCHARGE</w:t>
            </w:r>
          </w:p>
        </w:tc>
        <w:tc>
          <w:tcPr>
            <w:tcW w:w="224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4.01.</w:t>
            </w:r>
          </w:p>
        </w:tc>
        <w:tc>
          <w:tcPr>
            <w:tcW w:w="802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4.02.</w:t>
            </w:r>
          </w:p>
        </w:tc>
        <w:tc>
          <w:tcPr>
            <w:tcW w:w="8020" w:type="dxa"/>
            <w:vAlign w:val="bottom"/>
          </w:tcPr>
          <w:p>
            <w:pPr>
              <w:ind w:left="140"/>
              <w:spacing w:after="0"/>
              <w:rPr>
                <w:sz w:val="20"/>
                <w:szCs w:val="20"/>
                <w:color w:val="auto"/>
              </w:rPr>
            </w:pPr>
            <w:r>
              <w:rPr>
                <w:rFonts w:ascii="Arial" w:cs="Arial" w:eastAsia="Arial" w:hAnsi="Arial"/>
                <w:sz w:val="18"/>
                <w:szCs w:val="18"/>
                <w:color w:val="auto"/>
              </w:rPr>
              <w:t>Application of Trust Funds</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100" w:type="dxa"/>
            <w:vAlign w:val="bottom"/>
          </w:tcPr>
          <w:p>
            <w:pPr>
              <w:spacing w:after="0"/>
              <w:rPr>
                <w:sz w:val="24"/>
                <w:szCs w:val="24"/>
                <w:color w:val="auto"/>
              </w:rPr>
            </w:pPr>
          </w:p>
        </w:tc>
        <w:tc>
          <w:tcPr>
            <w:tcW w:w="8020" w:type="dxa"/>
            <w:vAlign w:val="bottom"/>
          </w:tcPr>
          <w:p>
            <w:pPr>
              <w:jc w:val="center"/>
              <w:ind w:left="1070"/>
              <w:spacing w:after="0"/>
              <w:rPr>
                <w:sz w:val="20"/>
                <w:szCs w:val="20"/>
                <w:color w:val="auto"/>
              </w:rPr>
            </w:pPr>
            <w:r>
              <w:rPr>
                <w:rFonts w:ascii="Arial" w:cs="Arial" w:eastAsia="Arial" w:hAnsi="Arial"/>
                <w:sz w:val="18"/>
                <w:szCs w:val="18"/>
                <w:color w:val="auto"/>
                <w:w w:val="97"/>
              </w:rPr>
              <w:t>ARTICLE FIVE</w:t>
            </w:r>
          </w:p>
        </w:tc>
        <w:tc>
          <w:tcPr>
            <w:tcW w:w="224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020" w:type="dxa"/>
            <w:vAlign w:val="bottom"/>
          </w:tcPr>
          <w:p>
            <w:pPr>
              <w:jc w:val="center"/>
              <w:ind w:left="1070"/>
              <w:spacing w:after="0"/>
              <w:rPr>
                <w:sz w:val="20"/>
                <w:szCs w:val="20"/>
                <w:color w:val="auto"/>
              </w:rPr>
            </w:pPr>
            <w:r>
              <w:rPr>
                <w:rFonts w:ascii="Arial" w:cs="Arial" w:eastAsia="Arial" w:hAnsi="Arial"/>
                <w:sz w:val="18"/>
                <w:szCs w:val="18"/>
                <w:color w:val="auto"/>
                <w:w w:val="95"/>
              </w:rPr>
              <w:t>REMEDIES</w:t>
            </w:r>
          </w:p>
        </w:tc>
        <w:tc>
          <w:tcPr>
            <w:tcW w:w="224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5.01.</w:t>
            </w:r>
          </w:p>
        </w:tc>
        <w:tc>
          <w:tcPr>
            <w:tcW w:w="802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5.02.</w:t>
            </w:r>
          </w:p>
        </w:tc>
        <w:tc>
          <w:tcPr>
            <w:tcW w:w="8020" w:type="dxa"/>
            <w:vAlign w:val="bottom"/>
          </w:tcPr>
          <w:p>
            <w:pPr>
              <w:ind w:left="140"/>
              <w:spacing w:after="0"/>
              <w:rPr>
                <w:sz w:val="20"/>
                <w:szCs w:val="20"/>
                <w:color w:val="auto"/>
              </w:rPr>
            </w:pPr>
            <w:r>
              <w:rPr>
                <w:rFonts w:ascii="Arial" w:cs="Arial" w:eastAsia="Arial" w:hAnsi="Arial"/>
                <w:sz w:val="18"/>
                <w:szCs w:val="18"/>
                <w:color w:val="auto"/>
              </w:rPr>
              <w:t>Acceleration of Maturity; Rescission and Annulment</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5.03.</w:t>
            </w:r>
          </w:p>
        </w:tc>
        <w:tc>
          <w:tcPr>
            <w:tcW w:w="8020" w:type="dxa"/>
            <w:vAlign w:val="bottom"/>
          </w:tcPr>
          <w:p>
            <w:pPr>
              <w:ind w:left="140"/>
              <w:spacing w:after="0"/>
              <w:rPr>
                <w:sz w:val="20"/>
                <w:szCs w:val="20"/>
                <w:color w:val="auto"/>
              </w:rPr>
            </w:pPr>
            <w:r>
              <w:rPr>
                <w:rFonts w:ascii="Arial" w:cs="Arial" w:eastAsia="Arial" w:hAnsi="Arial"/>
                <w:sz w:val="18"/>
                <w:szCs w:val="18"/>
                <w:color w:val="auto"/>
              </w:rPr>
              <w:t>Collection of Indebtedness and Suits for Enforcement by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5.04.</w:t>
            </w:r>
          </w:p>
        </w:tc>
        <w:tc>
          <w:tcPr>
            <w:tcW w:w="8020" w:type="dxa"/>
            <w:vAlign w:val="bottom"/>
          </w:tcPr>
          <w:p>
            <w:pPr>
              <w:ind w:left="140"/>
              <w:spacing w:after="0"/>
              <w:rPr>
                <w:sz w:val="20"/>
                <w:szCs w:val="20"/>
                <w:color w:val="auto"/>
              </w:rPr>
            </w:pPr>
            <w:r>
              <w:rPr>
                <w:rFonts w:ascii="Arial" w:cs="Arial" w:eastAsia="Arial" w:hAnsi="Arial"/>
                <w:sz w:val="18"/>
                <w:szCs w:val="18"/>
                <w:color w:val="auto"/>
              </w:rPr>
              <w:t>Trustee May File Proofs of Claim</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5.05.</w:t>
            </w:r>
          </w:p>
        </w:tc>
        <w:tc>
          <w:tcPr>
            <w:tcW w:w="8020" w:type="dxa"/>
            <w:vAlign w:val="bottom"/>
          </w:tcPr>
          <w:p>
            <w:pPr>
              <w:ind w:left="140"/>
              <w:spacing w:after="0"/>
              <w:rPr>
                <w:sz w:val="20"/>
                <w:szCs w:val="20"/>
                <w:color w:val="auto"/>
              </w:rPr>
            </w:pPr>
            <w:r>
              <w:rPr>
                <w:rFonts w:ascii="Arial" w:cs="Arial" w:eastAsia="Arial" w:hAnsi="Arial"/>
                <w:sz w:val="18"/>
                <w:szCs w:val="18"/>
                <w:color w:val="auto"/>
              </w:rPr>
              <w:t>Trustee May Enforce Claims Without Possession of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5.06.</w:t>
            </w:r>
          </w:p>
        </w:tc>
        <w:tc>
          <w:tcPr>
            <w:tcW w:w="8020" w:type="dxa"/>
            <w:vAlign w:val="bottom"/>
          </w:tcPr>
          <w:p>
            <w:pPr>
              <w:ind w:left="140"/>
              <w:spacing w:after="0"/>
              <w:rPr>
                <w:sz w:val="20"/>
                <w:szCs w:val="20"/>
                <w:color w:val="auto"/>
              </w:rPr>
            </w:pPr>
            <w:r>
              <w:rPr>
                <w:rFonts w:ascii="Arial" w:cs="Arial" w:eastAsia="Arial" w:hAnsi="Arial"/>
                <w:sz w:val="18"/>
                <w:szCs w:val="18"/>
                <w:color w:val="auto"/>
              </w:rPr>
              <w:t>Application of Money Collected</w:t>
            </w:r>
          </w:p>
        </w:tc>
        <w:tc>
          <w:tcPr>
            <w:tcW w:w="22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5.07.</w:t>
            </w:r>
          </w:p>
        </w:tc>
        <w:tc>
          <w:tcPr>
            <w:tcW w:w="802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22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5.08.</w:t>
            </w:r>
          </w:p>
        </w:tc>
        <w:tc>
          <w:tcPr>
            <w:tcW w:w="8020" w:type="dxa"/>
            <w:vAlign w:val="bottom"/>
          </w:tcPr>
          <w:p>
            <w:pPr>
              <w:ind w:left="14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5.09.</w:t>
            </w:r>
          </w:p>
        </w:tc>
        <w:tc>
          <w:tcPr>
            <w:tcW w:w="8020" w:type="dxa"/>
            <w:vAlign w:val="bottom"/>
          </w:tcPr>
          <w:p>
            <w:pPr>
              <w:ind w:left="140"/>
              <w:spacing w:after="0"/>
              <w:rPr>
                <w:sz w:val="20"/>
                <w:szCs w:val="20"/>
                <w:color w:val="auto"/>
              </w:rPr>
            </w:pPr>
            <w:r>
              <w:rPr>
                <w:rFonts w:ascii="Arial" w:cs="Arial" w:eastAsia="Arial" w:hAnsi="Arial"/>
                <w:sz w:val="18"/>
                <w:szCs w:val="18"/>
                <w:color w:val="auto"/>
              </w:rPr>
              <w:t>Restoration of Rights and Remedies</w:t>
            </w:r>
          </w:p>
        </w:tc>
        <w:tc>
          <w:tcPr>
            <w:tcW w:w="2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5.10.</w:t>
            </w:r>
          </w:p>
        </w:tc>
        <w:tc>
          <w:tcPr>
            <w:tcW w:w="8020" w:type="dxa"/>
            <w:vAlign w:val="bottom"/>
          </w:tcPr>
          <w:p>
            <w:pPr>
              <w:ind w:left="140"/>
              <w:spacing w:after="0"/>
              <w:rPr>
                <w:sz w:val="20"/>
                <w:szCs w:val="20"/>
                <w:color w:val="auto"/>
              </w:rPr>
            </w:pPr>
            <w:r>
              <w:rPr>
                <w:rFonts w:ascii="Arial" w:cs="Arial" w:eastAsia="Arial" w:hAnsi="Arial"/>
                <w:sz w:val="18"/>
                <w:szCs w:val="18"/>
                <w:color w:val="auto"/>
              </w:rPr>
              <w:t>Rights and Remedies Cumulative</w:t>
            </w:r>
          </w:p>
        </w:tc>
        <w:tc>
          <w:tcPr>
            <w:tcW w:w="2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5.11.</w:t>
            </w:r>
          </w:p>
        </w:tc>
        <w:tc>
          <w:tcPr>
            <w:tcW w:w="8020" w:type="dxa"/>
            <w:vAlign w:val="bottom"/>
          </w:tcPr>
          <w:p>
            <w:pPr>
              <w:ind w:left="140"/>
              <w:spacing w:after="0"/>
              <w:rPr>
                <w:sz w:val="20"/>
                <w:szCs w:val="20"/>
                <w:color w:val="auto"/>
              </w:rPr>
            </w:pPr>
            <w:r>
              <w:rPr>
                <w:rFonts w:ascii="Arial" w:cs="Arial" w:eastAsia="Arial" w:hAnsi="Arial"/>
                <w:sz w:val="18"/>
                <w:szCs w:val="18"/>
                <w:color w:val="auto"/>
              </w:rPr>
              <w:t>Delay or Omission Not Waiver</w:t>
            </w:r>
          </w:p>
        </w:tc>
        <w:tc>
          <w:tcPr>
            <w:tcW w:w="22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5.12.</w:t>
            </w:r>
          </w:p>
        </w:tc>
        <w:tc>
          <w:tcPr>
            <w:tcW w:w="8580" w:type="dxa"/>
            <w:vAlign w:val="bottom"/>
          </w:tcPr>
          <w:p>
            <w:pPr>
              <w:ind w:left="200"/>
              <w:spacing w:after="0"/>
              <w:rPr>
                <w:sz w:val="20"/>
                <w:szCs w:val="20"/>
                <w:color w:val="auto"/>
              </w:rPr>
            </w:pPr>
            <w:r>
              <w:rPr>
                <w:rFonts w:ascii="Arial" w:cs="Arial" w:eastAsia="Arial" w:hAnsi="Arial"/>
                <w:sz w:val="18"/>
                <w:szCs w:val="18"/>
                <w:color w:val="auto"/>
              </w:rPr>
              <w:t>Control by Holders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5.13.</w:t>
            </w:r>
          </w:p>
        </w:tc>
        <w:tc>
          <w:tcPr>
            <w:tcW w:w="8580" w:type="dxa"/>
            <w:vAlign w:val="bottom"/>
          </w:tcPr>
          <w:p>
            <w:pPr>
              <w:ind w:left="200"/>
              <w:spacing w:after="0"/>
              <w:rPr>
                <w:sz w:val="20"/>
                <w:szCs w:val="20"/>
                <w:color w:val="auto"/>
              </w:rPr>
            </w:pPr>
            <w:r>
              <w:rPr>
                <w:rFonts w:ascii="Arial" w:cs="Arial" w:eastAsia="Arial" w:hAnsi="Arial"/>
                <w:sz w:val="18"/>
                <w:szCs w:val="18"/>
                <w:color w:val="auto"/>
              </w:rPr>
              <w:t>Waiver of Past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5.14.</w:t>
            </w:r>
          </w:p>
        </w:tc>
        <w:tc>
          <w:tcPr>
            <w:tcW w:w="8580" w:type="dxa"/>
            <w:vAlign w:val="bottom"/>
          </w:tcPr>
          <w:p>
            <w:pPr>
              <w:ind w:left="200"/>
              <w:spacing w:after="0"/>
              <w:rPr>
                <w:sz w:val="20"/>
                <w:szCs w:val="20"/>
                <w:color w:val="auto"/>
              </w:rPr>
            </w:pPr>
            <w:r>
              <w:rPr>
                <w:rFonts w:ascii="Arial" w:cs="Arial" w:eastAsia="Arial" w:hAnsi="Arial"/>
                <w:sz w:val="18"/>
                <w:szCs w:val="18"/>
                <w:color w:val="auto"/>
              </w:rPr>
              <w:t>Waiver of Stay or Extension Laws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5.15.</w:t>
            </w:r>
          </w:p>
        </w:tc>
        <w:tc>
          <w:tcPr>
            <w:tcW w:w="858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140" w:type="dxa"/>
            <w:vAlign w:val="bottom"/>
          </w:tcPr>
          <w:p>
            <w:pPr>
              <w:spacing w:after="0"/>
              <w:rPr>
                <w:sz w:val="24"/>
                <w:szCs w:val="24"/>
                <w:color w:val="auto"/>
              </w:rPr>
            </w:pPr>
          </w:p>
        </w:tc>
        <w:tc>
          <w:tcPr>
            <w:tcW w:w="8580" w:type="dxa"/>
            <w:vAlign w:val="bottom"/>
          </w:tcPr>
          <w:p>
            <w:pPr>
              <w:jc w:val="center"/>
              <w:ind w:left="410"/>
              <w:spacing w:after="0"/>
              <w:rPr>
                <w:sz w:val="20"/>
                <w:szCs w:val="20"/>
                <w:color w:val="auto"/>
              </w:rPr>
            </w:pPr>
            <w:r>
              <w:rPr>
                <w:rFonts w:ascii="Arial" w:cs="Arial" w:eastAsia="Arial" w:hAnsi="Arial"/>
                <w:sz w:val="18"/>
                <w:szCs w:val="18"/>
                <w:color w:val="auto"/>
                <w:w w:val="98"/>
              </w:rPr>
              <w:t>ARTICLE SIX</w:t>
            </w:r>
          </w:p>
        </w:tc>
        <w:tc>
          <w:tcPr>
            <w:tcW w:w="164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80" w:type="dxa"/>
            <w:vAlign w:val="bottom"/>
          </w:tcPr>
          <w:p>
            <w:pPr>
              <w:jc w:val="center"/>
              <w:ind w:left="430"/>
              <w:spacing w:after="0"/>
              <w:rPr>
                <w:sz w:val="20"/>
                <w:szCs w:val="20"/>
                <w:color w:val="auto"/>
              </w:rPr>
            </w:pPr>
            <w:r>
              <w:rPr>
                <w:rFonts w:ascii="Arial" w:cs="Arial" w:eastAsia="Arial" w:hAnsi="Arial"/>
                <w:sz w:val="18"/>
                <w:szCs w:val="18"/>
                <w:color w:val="auto"/>
                <w:w w:val="94"/>
              </w:rPr>
              <w:t>THE TRUSTEE</w:t>
            </w:r>
          </w:p>
        </w:tc>
        <w:tc>
          <w:tcPr>
            <w:tcW w:w="164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858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6.02.</w:t>
            </w:r>
          </w:p>
        </w:tc>
        <w:tc>
          <w:tcPr>
            <w:tcW w:w="8580" w:type="dxa"/>
            <w:vAlign w:val="bottom"/>
          </w:tcPr>
          <w:p>
            <w:pPr>
              <w:ind w:left="200"/>
              <w:spacing w:after="0"/>
              <w:rPr>
                <w:sz w:val="20"/>
                <w:szCs w:val="20"/>
                <w:color w:val="auto"/>
              </w:rPr>
            </w:pPr>
            <w:r>
              <w:rPr>
                <w:rFonts w:ascii="Arial" w:cs="Arial" w:eastAsia="Arial" w:hAnsi="Arial"/>
                <w:sz w:val="18"/>
                <w:szCs w:val="18"/>
                <w:color w:val="auto"/>
              </w:rPr>
              <w:t>Certain 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6.03.</w:t>
            </w:r>
          </w:p>
        </w:tc>
        <w:tc>
          <w:tcPr>
            <w:tcW w:w="8580" w:type="dxa"/>
            <w:vAlign w:val="bottom"/>
          </w:tcPr>
          <w:p>
            <w:pPr>
              <w:ind w:left="200"/>
              <w:spacing w:after="0"/>
              <w:rPr>
                <w:sz w:val="20"/>
                <w:szCs w:val="20"/>
                <w:color w:val="auto"/>
              </w:rPr>
            </w:pPr>
            <w:r>
              <w:rPr>
                <w:rFonts w:ascii="Arial" w:cs="Arial" w:eastAsia="Arial" w:hAnsi="Arial"/>
                <w:sz w:val="18"/>
                <w:szCs w:val="18"/>
                <w:color w:val="auto"/>
              </w:rPr>
              <w:t>Not Responsible for Recitals or Issuance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6.04.</w:t>
            </w:r>
          </w:p>
        </w:tc>
        <w:tc>
          <w:tcPr>
            <w:tcW w:w="8580" w:type="dxa"/>
            <w:vAlign w:val="bottom"/>
          </w:tcPr>
          <w:p>
            <w:pPr>
              <w:ind w:left="200"/>
              <w:spacing w:after="0"/>
              <w:rPr>
                <w:sz w:val="20"/>
                <w:szCs w:val="20"/>
                <w:color w:val="auto"/>
              </w:rPr>
            </w:pPr>
            <w:r>
              <w:rPr>
                <w:rFonts w:ascii="Arial" w:cs="Arial" w:eastAsia="Arial" w:hAnsi="Arial"/>
                <w:sz w:val="18"/>
                <w:szCs w:val="18"/>
                <w:color w:val="auto"/>
              </w:rPr>
              <w:t>May Hold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6.05.</w:t>
            </w:r>
          </w:p>
        </w:tc>
        <w:tc>
          <w:tcPr>
            <w:tcW w:w="8580" w:type="dxa"/>
            <w:vAlign w:val="bottom"/>
          </w:tcPr>
          <w:p>
            <w:pPr>
              <w:ind w:left="200"/>
              <w:spacing w:after="0"/>
              <w:rPr>
                <w:sz w:val="20"/>
                <w:szCs w:val="20"/>
                <w:color w:val="auto"/>
              </w:rPr>
            </w:pPr>
            <w:r>
              <w:rPr>
                <w:rFonts w:ascii="Arial" w:cs="Arial" w:eastAsia="Arial" w:hAnsi="Arial"/>
                <w:sz w:val="18"/>
                <w:szCs w:val="18"/>
                <w:color w:val="auto"/>
              </w:rPr>
              <w:t>Money Held in Trust</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6.06.</w:t>
            </w:r>
          </w:p>
        </w:tc>
        <w:tc>
          <w:tcPr>
            <w:tcW w:w="8580" w:type="dxa"/>
            <w:vAlign w:val="bottom"/>
          </w:tcPr>
          <w:p>
            <w:pPr>
              <w:ind w:left="200"/>
              <w:spacing w:after="0"/>
              <w:rPr>
                <w:sz w:val="20"/>
                <w:szCs w:val="20"/>
                <w:color w:val="auto"/>
              </w:rPr>
            </w:pPr>
            <w:r>
              <w:rPr>
                <w:rFonts w:ascii="Arial" w:cs="Arial" w:eastAsia="Arial" w:hAnsi="Arial"/>
                <w:sz w:val="18"/>
                <w:szCs w:val="18"/>
                <w:color w:val="auto"/>
              </w:rPr>
              <w:t>Compensation and Reimbursement and Indemnification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6.07.</w:t>
            </w:r>
          </w:p>
        </w:tc>
        <w:tc>
          <w:tcPr>
            <w:tcW w:w="8580" w:type="dxa"/>
            <w:vAlign w:val="bottom"/>
          </w:tcPr>
          <w:p>
            <w:pPr>
              <w:ind w:left="200"/>
              <w:spacing w:after="0"/>
              <w:rPr>
                <w:sz w:val="20"/>
                <w:szCs w:val="20"/>
                <w:color w:val="auto"/>
              </w:rPr>
            </w:pPr>
            <w:r>
              <w:rPr>
                <w:rFonts w:ascii="Arial" w:cs="Arial" w:eastAsia="Arial" w:hAnsi="Arial"/>
                <w:sz w:val="18"/>
                <w:szCs w:val="18"/>
                <w:color w:val="auto"/>
              </w:rPr>
              <w:t>Corporate Trustee Required; Eligibility</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6.08.</w:t>
            </w:r>
          </w:p>
        </w:tc>
        <w:tc>
          <w:tcPr>
            <w:tcW w:w="8580" w:type="dxa"/>
            <w:vAlign w:val="bottom"/>
          </w:tcPr>
          <w:p>
            <w:pPr>
              <w:ind w:left="200"/>
              <w:spacing w:after="0"/>
              <w:rPr>
                <w:sz w:val="20"/>
                <w:szCs w:val="20"/>
                <w:color w:val="auto"/>
              </w:rPr>
            </w:pPr>
            <w:r>
              <w:rPr>
                <w:rFonts w:ascii="Arial" w:cs="Arial" w:eastAsia="Arial" w:hAnsi="Arial"/>
                <w:sz w:val="18"/>
                <w:szCs w:val="18"/>
                <w:color w:val="auto"/>
              </w:rPr>
              <w:t>Disqualification; Conflicting Interests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6.09.</w:t>
            </w:r>
          </w:p>
        </w:tc>
        <w:tc>
          <w:tcPr>
            <w:tcW w:w="8580" w:type="dxa"/>
            <w:vAlign w:val="bottom"/>
          </w:tcPr>
          <w:p>
            <w:pPr>
              <w:ind w:left="200"/>
              <w:spacing w:after="0"/>
              <w:rPr>
                <w:sz w:val="20"/>
                <w:szCs w:val="20"/>
                <w:color w:val="auto"/>
              </w:rPr>
            </w:pPr>
            <w:r>
              <w:rPr>
                <w:rFonts w:ascii="Arial" w:cs="Arial" w:eastAsia="Arial" w:hAnsi="Arial"/>
                <w:sz w:val="18"/>
                <w:szCs w:val="18"/>
                <w:color w:val="auto"/>
              </w:rPr>
              <w:t>Resignation and Removal; Appointment of Successor</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6.10.</w:t>
            </w:r>
          </w:p>
        </w:tc>
        <w:tc>
          <w:tcPr>
            <w:tcW w:w="8580" w:type="dxa"/>
            <w:vAlign w:val="bottom"/>
          </w:tcPr>
          <w:p>
            <w:pPr>
              <w:ind w:left="200"/>
              <w:spacing w:after="0"/>
              <w:rPr>
                <w:sz w:val="20"/>
                <w:szCs w:val="20"/>
                <w:color w:val="auto"/>
              </w:rPr>
            </w:pPr>
            <w:r>
              <w:rPr>
                <w:rFonts w:ascii="Arial" w:cs="Arial" w:eastAsia="Arial" w:hAnsi="Arial"/>
                <w:sz w:val="18"/>
                <w:szCs w:val="18"/>
                <w:color w:val="auto"/>
              </w:rPr>
              <w:t>Acceptance of Appointment by Successor</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6.11.</w:t>
            </w:r>
          </w:p>
        </w:tc>
        <w:tc>
          <w:tcPr>
            <w:tcW w:w="8580" w:type="dxa"/>
            <w:vAlign w:val="bottom"/>
          </w:tcPr>
          <w:p>
            <w:pPr>
              <w:ind w:left="200"/>
              <w:spacing w:after="0"/>
              <w:rPr>
                <w:sz w:val="20"/>
                <w:szCs w:val="20"/>
                <w:color w:val="auto"/>
              </w:rPr>
            </w:pPr>
            <w:r>
              <w:rPr>
                <w:rFonts w:ascii="Arial" w:cs="Arial" w:eastAsia="Arial" w:hAnsi="Arial"/>
                <w:sz w:val="18"/>
                <w:szCs w:val="18"/>
                <w:color w:val="auto"/>
              </w:rPr>
              <w:t>Merger, Conversion, Consolidation or Succession to Business</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6.12.</w:t>
            </w:r>
          </w:p>
        </w:tc>
        <w:tc>
          <w:tcPr>
            <w:tcW w:w="8580" w:type="dxa"/>
            <w:vAlign w:val="bottom"/>
          </w:tcPr>
          <w:p>
            <w:pPr>
              <w:ind w:left="200"/>
              <w:spacing w:after="0"/>
              <w:rPr>
                <w:sz w:val="20"/>
                <w:szCs w:val="20"/>
                <w:color w:val="auto"/>
              </w:rPr>
            </w:pPr>
            <w:r>
              <w:rPr>
                <w:rFonts w:ascii="Arial" w:cs="Arial" w:eastAsia="Arial" w:hAnsi="Arial"/>
                <w:sz w:val="18"/>
                <w:szCs w:val="18"/>
                <w:color w:val="auto"/>
              </w:rPr>
              <w:t>Appointment of Authenticating Agent</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6.13.</w:t>
            </w:r>
          </w:p>
        </w:tc>
        <w:tc>
          <w:tcPr>
            <w:tcW w:w="8580" w:type="dxa"/>
            <w:vAlign w:val="bottom"/>
          </w:tcPr>
          <w:p>
            <w:pPr>
              <w:ind w:left="200"/>
              <w:spacing w:after="0"/>
              <w:rPr>
                <w:sz w:val="20"/>
                <w:szCs w:val="20"/>
                <w:color w:val="auto"/>
              </w:rPr>
            </w:pPr>
            <w:r>
              <w:rPr>
                <w:rFonts w:ascii="Arial" w:cs="Arial" w:eastAsia="Arial" w:hAnsi="Arial"/>
                <w:sz w:val="18"/>
                <w:szCs w:val="18"/>
                <w:color w:val="auto"/>
              </w:rPr>
              <w:t>Preferential Collection of Claims Against Company</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140" w:type="dxa"/>
            <w:vAlign w:val="bottom"/>
          </w:tcPr>
          <w:p>
            <w:pPr>
              <w:spacing w:after="0"/>
              <w:rPr>
                <w:sz w:val="24"/>
                <w:szCs w:val="24"/>
                <w:color w:val="auto"/>
              </w:rPr>
            </w:pPr>
          </w:p>
        </w:tc>
        <w:tc>
          <w:tcPr>
            <w:tcW w:w="8580" w:type="dxa"/>
            <w:vAlign w:val="bottom"/>
          </w:tcPr>
          <w:p>
            <w:pPr>
              <w:jc w:val="center"/>
              <w:ind w:left="430"/>
              <w:spacing w:after="0"/>
              <w:rPr>
                <w:sz w:val="20"/>
                <w:szCs w:val="20"/>
                <w:color w:val="auto"/>
              </w:rPr>
            </w:pPr>
            <w:r>
              <w:rPr>
                <w:rFonts w:ascii="Arial" w:cs="Arial" w:eastAsia="Arial" w:hAnsi="Arial"/>
                <w:sz w:val="18"/>
                <w:szCs w:val="18"/>
                <w:color w:val="auto"/>
                <w:w w:val="97"/>
              </w:rPr>
              <w:t>ARTICLE SEVEN</w:t>
            </w:r>
          </w:p>
        </w:tc>
        <w:tc>
          <w:tcPr>
            <w:tcW w:w="164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80" w:type="dxa"/>
            <w:vAlign w:val="bottom"/>
          </w:tcPr>
          <w:p>
            <w:pPr>
              <w:jc w:val="center"/>
              <w:ind w:left="430"/>
              <w:spacing w:after="0"/>
              <w:rPr>
                <w:sz w:val="20"/>
                <w:szCs w:val="20"/>
                <w:color w:val="auto"/>
              </w:rPr>
            </w:pPr>
            <w:r>
              <w:rPr>
                <w:rFonts w:ascii="Arial" w:cs="Arial" w:eastAsia="Arial" w:hAnsi="Arial"/>
                <w:sz w:val="18"/>
                <w:szCs w:val="18"/>
                <w:color w:val="auto"/>
                <w:w w:val="96"/>
              </w:rPr>
              <w:t>HOLDERS’ LISTS AND REPORTS BY TRUSTEE AND COMPANY</w:t>
            </w:r>
          </w:p>
        </w:tc>
        <w:tc>
          <w:tcPr>
            <w:tcW w:w="164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7.01.</w:t>
            </w:r>
          </w:p>
        </w:tc>
        <w:tc>
          <w:tcPr>
            <w:tcW w:w="8580" w:type="dxa"/>
            <w:vAlign w:val="bottom"/>
          </w:tcPr>
          <w:p>
            <w:pPr>
              <w:ind w:left="200"/>
              <w:spacing w:after="0"/>
              <w:rPr>
                <w:sz w:val="20"/>
                <w:szCs w:val="20"/>
                <w:color w:val="auto"/>
              </w:rPr>
            </w:pPr>
            <w:r>
              <w:rPr>
                <w:rFonts w:ascii="Arial" w:cs="Arial" w:eastAsia="Arial" w:hAnsi="Arial"/>
                <w:sz w:val="18"/>
                <w:szCs w:val="18"/>
                <w:color w:val="auto"/>
              </w:rPr>
              <w:t>Disclosure of Names and Addresses of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7.02.</w:t>
            </w:r>
          </w:p>
        </w:tc>
        <w:tc>
          <w:tcPr>
            <w:tcW w:w="8580" w:type="dxa"/>
            <w:vAlign w:val="bottom"/>
          </w:tcPr>
          <w:p>
            <w:pPr>
              <w:ind w:left="200"/>
              <w:spacing w:after="0"/>
              <w:rPr>
                <w:sz w:val="20"/>
                <w:szCs w:val="20"/>
                <w:color w:val="auto"/>
              </w:rPr>
            </w:pPr>
            <w:r>
              <w:rPr>
                <w:rFonts w:ascii="Arial" w:cs="Arial" w:eastAsia="Arial" w:hAnsi="Arial"/>
                <w:sz w:val="18"/>
                <w:szCs w:val="18"/>
                <w:color w:val="auto"/>
              </w:rPr>
              <w:t>Preservation of Information; Communications to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7.03.</w:t>
            </w:r>
          </w:p>
        </w:tc>
        <w:tc>
          <w:tcPr>
            <w:tcW w:w="8580" w:type="dxa"/>
            <w:vAlign w:val="bottom"/>
          </w:tcPr>
          <w:p>
            <w:pPr>
              <w:ind w:left="200"/>
              <w:spacing w:after="0"/>
              <w:rPr>
                <w:sz w:val="20"/>
                <w:szCs w:val="20"/>
                <w:color w:val="auto"/>
              </w:rPr>
            </w:pPr>
            <w:r>
              <w:rPr>
                <w:rFonts w:ascii="Arial" w:cs="Arial" w:eastAsia="Arial" w:hAnsi="Arial"/>
                <w:sz w:val="18"/>
                <w:szCs w:val="18"/>
                <w:color w:val="auto"/>
              </w:rPr>
              <w:t>Reports by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7.04.</w:t>
            </w:r>
          </w:p>
        </w:tc>
        <w:tc>
          <w:tcPr>
            <w:tcW w:w="8580" w:type="dxa"/>
            <w:vAlign w:val="bottom"/>
          </w:tcPr>
          <w:p>
            <w:pPr>
              <w:ind w:left="200"/>
              <w:spacing w:after="0"/>
              <w:rPr>
                <w:sz w:val="20"/>
                <w:szCs w:val="20"/>
                <w:color w:val="auto"/>
              </w:rPr>
            </w:pPr>
            <w:r>
              <w:rPr>
                <w:rFonts w:ascii="Arial" w:cs="Arial" w:eastAsia="Arial" w:hAnsi="Arial"/>
                <w:sz w:val="18"/>
                <w:szCs w:val="18"/>
                <w:color w:val="auto"/>
              </w:rPr>
              <w:t>Reports by Company</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7.05.</w:t>
            </w:r>
          </w:p>
        </w:tc>
        <w:tc>
          <w:tcPr>
            <w:tcW w:w="8580" w:type="dxa"/>
            <w:vAlign w:val="bottom"/>
          </w:tcPr>
          <w:p>
            <w:pPr>
              <w:ind w:left="200"/>
              <w:spacing w:after="0"/>
              <w:rPr>
                <w:sz w:val="20"/>
                <w:szCs w:val="20"/>
                <w:color w:val="auto"/>
              </w:rPr>
            </w:pPr>
            <w:r>
              <w:rPr>
                <w:rFonts w:ascii="Arial" w:cs="Arial" w:eastAsia="Arial" w:hAnsi="Arial"/>
                <w:sz w:val="18"/>
                <w:szCs w:val="18"/>
                <w:color w:val="auto"/>
              </w:rPr>
              <w:t>Calculation of Original Issue Discount</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140" w:type="dxa"/>
            <w:vAlign w:val="bottom"/>
          </w:tcPr>
          <w:p>
            <w:pPr>
              <w:spacing w:after="0"/>
              <w:rPr>
                <w:sz w:val="24"/>
                <w:szCs w:val="24"/>
                <w:color w:val="auto"/>
              </w:rPr>
            </w:pPr>
          </w:p>
        </w:tc>
        <w:tc>
          <w:tcPr>
            <w:tcW w:w="8580" w:type="dxa"/>
            <w:vAlign w:val="bottom"/>
          </w:tcPr>
          <w:p>
            <w:pPr>
              <w:jc w:val="center"/>
              <w:ind w:left="430"/>
              <w:spacing w:after="0"/>
              <w:rPr>
                <w:sz w:val="20"/>
                <w:szCs w:val="20"/>
                <w:color w:val="auto"/>
              </w:rPr>
            </w:pPr>
            <w:r>
              <w:rPr>
                <w:rFonts w:ascii="Arial" w:cs="Arial" w:eastAsia="Arial" w:hAnsi="Arial"/>
                <w:sz w:val="18"/>
                <w:szCs w:val="18"/>
                <w:color w:val="auto"/>
                <w:w w:val="98"/>
              </w:rPr>
              <w:t>ARTICLE EIGHT</w:t>
            </w:r>
          </w:p>
        </w:tc>
        <w:tc>
          <w:tcPr>
            <w:tcW w:w="164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80" w:type="dxa"/>
            <w:vAlign w:val="bottom"/>
          </w:tcPr>
          <w:p>
            <w:pPr>
              <w:jc w:val="center"/>
              <w:ind w:left="430"/>
              <w:spacing w:after="0"/>
              <w:rPr>
                <w:sz w:val="20"/>
                <w:szCs w:val="20"/>
                <w:color w:val="auto"/>
              </w:rPr>
            </w:pPr>
            <w:r>
              <w:rPr>
                <w:rFonts w:ascii="Arial" w:cs="Arial" w:eastAsia="Arial" w:hAnsi="Arial"/>
                <w:sz w:val="18"/>
                <w:szCs w:val="18"/>
                <w:color w:val="auto"/>
                <w:w w:val="95"/>
              </w:rPr>
              <w:t>CONSOLIDATION, MERGER, CONVEYANCE OR TRANSFER</w:t>
            </w:r>
          </w:p>
        </w:tc>
        <w:tc>
          <w:tcPr>
            <w:tcW w:w="164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8.01.</w:t>
            </w:r>
          </w:p>
        </w:tc>
        <w:tc>
          <w:tcPr>
            <w:tcW w:w="8580" w:type="dxa"/>
            <w:vAlign w:val="bottom"/>
          </w:tcPr>
          <w:p>
            <w:pPr>
              <w:ind w:left="200"/>
              <w:spacing w:after="0"/>
              <w:rPr>
                <w:sz w:val="20"/>
                <w:szCs w:val="20"/>
                <w:color w:val="auto"/>
              </w:rPr>
            </w:pPr>
            <w:r>
              <w:rPr>
                <w:rFonts w:ascii="Arial" w:cs="Arial" w:eastAsia="Arial" w:hAnsi="Arial"/>
                <w:sz w:val="18"/>
                <w:szCs w:val="18"/>
                <w:color w:val="auto"/>
              </w:rPr>
              <w:t>Merger, Consolidation or Sale of Assets</w:t>
            </w: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8.02.</w:t>
            </w:r>
          </w:p>
        </w:tc>
        <w:tc>
          <w:tcPr>
            <w:tcW w:w="8580" w:type="dxa"/>
            <w:vAlign w:val="bottom"/>
          </w:tcPr>
          <w:p>
            <w:pPr>
              <w:ind w:left="200"/>
              <w:spacing w:after="0"/>
              <w:rPr>
                <w:sz w:val="20"/>
                <w:szCs w:val="20"/>
                <w:color w:val="auto"/>
              </w:rPr>
            </w:pPr>
            <w:r>
              <w:rPr>
                <w:rFonts w:ascii="Arial" w:cs="Arial" w:eastAsia="Arial" w:hAnsi="Arial"/>
                <w:sz w:val="18"/>
                <w:szCs w:val="18"/>
                <w:color w:val="auto"/>
              </w:rPr>
              <w:t>Successor Person Substituted</w:t>
            </w: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140" w:type="dxa"/>
            <w:vAlign w:val="bottom"/>
          </w:tcPr>
          <w:p>
            <w:pPr>
              <w:spacing w:after="0"/>
              <w:rPr>
                <w:sz w:val="24"/>
                <w:szCs w:val="24"/>
                <w:color w:val="auto"/>
              </w:rPr>
            </w:pPr>
          </w:p>
        </w:tc>
        <w:tc>
          <w:tcPr>
            <w:tcW w:w="8580" w:type="dxa"/>
            <w:vAlign w:val="bottom"/>
          </w:tcPr>
          <w:p>
            <w:pPr>
              <w:jc w:val="center"/>
              <w:ind w:left="430"/>
              <w:spacing w:after="0"/>
              <w:rPr>
                <w:sz w:val="20"/>
                <w:szCs w:val="20"/>
                <w:color w:val="auto"/>
              </w:rPr>
            </w:pPr>
            <w:r>
              <w:rPr>
                <w:rFonts w:ascii="Arial" w:cs="Arial" w:eastAsia="Arial" w:hAnsi="Arial"/>
                <w:sz w:val="18"/>
                <w:szCs w:val="18"/>
                <w:color w:val="auto"/>
                <w:w w:val="98"/>
              </w:rPr>
              <w:t>ARTICLE NINE</w:t>
            </w:r>
          </w:p>
        </w:tc>
        <w:tc>
          <w:tcPr>
            <w:tcW w:w="164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8580" w:type="dxa"/>
            <w:vAlign w:val="bottom"/>
          </w:tcPr>
          <w:p>
            <w:pPr>
              <w:jc w:val="center"/>
              <w:ind w:left="410"/>
              <w:spacing w:after="0"/>
              <w:rPr>
                <w:sz w:val="20"/>
                <w:szCs w:val="20"/>
                <w:color w:val="auto"/>
              </w:rPr>
            </w:pPr>
            <w:r>
              <w:rPr>
                <w:rFonts w:ascii="Arial" w:cs="Arial" w:eastAsia="Arial" w:hAnsi="Arial"/>
                <w:sz w:val="18"/>
                <w:szCs w:val="18"/>
                <w:color w:val="auto"/>
                <w:w w:val="96"/>
              </w:rPr>
              <w:t>SUPPLEMENTAL INDENTURES</w:t>
            </w:r>
          </w:p>
        </w:tc>
        <w:tc>
          <w:tcPr>
            <w:tcW w:w="164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Section 9.01.</w:t>
            </w:r>
          </w:p>
        </w:tc>
        <w:tc>
          <w:tcPr>
            <w:tcW w:w="8580" w:type="dxa"/>
            <w:vAlign w:val="bottom"/>
          </w:tcPr>
          <w:p>
            <w:pPr>
              <w:ind w:left="200"/>
              <w:spacing w:after="0"/>
              <w:rPr>
                <w:sz w:val="20"/>
                <w:szCs w:val="20"/>
                <w:color w:val="auto"/>
              </w:rPr>
            </w:pPr>
            <w:r>
              <w:rPr>
                <w:rFonts w:ascii="Arial" w:cs="Arial" w:eastAsia="Arial" w:hAnsi="Arial"/>
                <w:sz w:val="18"/>
                <w:szCs w:val="18"/>
                <w:color w:val="auto"/>
              </w:rPr>
              <w:t>Supplemental Indentures Without Consent of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9.02.</w:t>
            </w:r>
          </w:p>
        </w:tc>
        <w:tc>
          <w:tcPr>
            <w:tcW w:w="8580" w:type="dxa"/>
            <w:vAlign w:val="bottom"/>
          </w:tcPr>
          <w:p>
            <w:pPr>
              <w:ind w:left="200"/>
              <w:spacing w:after="0"/>
              <w:rPr>
                <w:sz w:val="20"/>
                <w:szCs w:val="20"/>
                <w:color w:val="auto"/>
              </w:rPr>
            </w:pPr>
            <w:r>
              <w:rPr>
                <w:rFonts w:ascii="Arial" w:cs="Arial" w:eastAsia="Arial" w:hAnsi="Arial"/>
                <w:sz w:val="18"/>
                <w:szCs w:val="18"/>
                <w:color w:val="auto"/>
              </w:rPr>
              <w:t>Supplemental Indentures With Consent of Holders</w:t>
            </w: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9.03.</w:t>
            </w:r>
          </w:p>
        </w:tc>
        <w:tc>
          <w:tcPr>
            <w:tcW w:w="8580" w:type="dxa"/>
            <w:vAlign w:val="bottom"/>
          </w:tcPr>
          <w:p>
            <w:pPr>
              <w:ind w:left="200"/>
              <w:spacing w:after="0"/>
              <w:rPr>
                <w:sz w:val="20"/>
                <w:szCs w:val="20"/>
                <w:color w:val="auto"/>
              </w:rPr>
            </w:pPr>
            <w:r>
              <w:rPr>
                <w:rFonts w:ascii="Arial" w:cs="Arial" w:eastAsia="Arial" w:hAnsi="Arial"/>
                <w:sz w:val="18"/>
                <w:szCs w:val="18"/>
                <w:color w:val="auto"/>
              </w:rPr>
              <w:t>Execution of Supplemental Indentures</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9.04.</w:t>
            </w:r>
          </w:p>
        </w:tc>
        <w:tc>
          <w:tcPr>
            <w:tcW w:w="8580" w:type="dxa"/>
            <w:vAlign w:val="bottom"/>
          </w:tcPr>
          <w:p>
            <w:pPr>
              <w:ind w:left="200"/>
              <w:spacing w:after="0"/>
              <w:rPr>
                <w:sz w:val="20"/>
                <w:szCs w:val="20"/>
                <w:color w:val="auto"/>
              </w:rPr>
            </w:pPr>
            <w:r>
              <w:rPr>
                <w:rFonts w:ascii="Arial" w:cs="Arial" w:eastAsia="Arial" w:hAnsi="Arial"/>
                <w:sz w:val="18"/>
                <w:szCs w:val="18"/>
                <w:color w:val="auto"/>
              </w:rPr>
              <w:t>Effect of Supplemental Indentures</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9.05.</w:t>
            </w:r>
          </w:p>
        </w:tc>
        <w:tc>
          <w:tcPr>
            <w:tcW w:w="8580" w:type="dxa"/>
            <w:vAlign w:val="bottom"/>
          </w:tcPr>
          <w:p>
            <w:pPr>
              <w:ind w:left="200"/>
              <w:spacing w:after="0"/>
              <w:rPr>
                <w:sz w:val="20"/>
                <w:szCs w:val="20"/>
                <w:color w:val="auto"/>
              </w:rPr>
            </w:pPr>
            <w:r>
              <w:rPr>
                <w:rFonts w:ascii="Arial" w:cs="Arial" w:eastAsia="Arial" w:hAnsi="Arial"/>
                <w:sz w:val="18"/>
                <w:szCs w:val="18"/>
                <w:color w:val="auto"/>
              </w:rPr>
              <w:t>Conformity With Trust Indenture Act</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9.06.</w:t>
            </w:r>
          </w:p>
        </w:tc>
        <w:tc>
          <w:tcPr>
            <w:tcW w:w="8580" w:type="dxa"/>
            <w:vAlign w:val="bottom"/>
          </w:tcPr>
          <w:p>
            <w:pPr>
              <w:ind w:left="200"/>
              <w:spacing w:after="0"/>
              <w:rPr>
                <w:sz w:val="20"/>
                <w:szCs w:val="20"/>
                <w:color w:val="auto"/>
              </w:rPr>
            </w:pPr>
            <w:r>
              <w:rPr>
                <w:rFonts w:ascii="Arial" w:cs="Arial" w:eastAsia="Arial" w:hAnsi="Arial"/>
                <w:sz w:val="18"/>
                <w:szCs w:val="18"/>
                <w:color w:val="auto"/>
              </w:rPr>
              <w:t>Reference in Securities to Supplemental Indentures</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8680" w:type="dxa"/>
            <w:vAlign w:val="bottom"/>
          </w:tcPr>
          <w:p>
            <w:pPr>
              <w:jc w:val="center"/>
              <w:ind w:left="210"/>
              <w:spacing w:after="0"/>
              <w:rPr>
                <w:sz w:val="20"/>
                <w:szCs w:val="20"/>
                <w:color w:val="auto"/>
              </w:rPr>
            </w:pPr>
            <w:r>
              <w:rPr>
                <w:rFonts w:ascii="Arial" w:cs="Arial" w:eastAsia="Arial" w:hAnsi="Arial"/>
                <w:sz w:val="18"/>
                <w:szCs w:val="18"/>
                <w:color w:val="auto"/>
                <w:w w:val="97"/>
              </w:rPr>
              <w:t>ARTICLE TEN</w:t>
            </w:r>
          </w:p>
        </w:tc>
        <w:tc>
          <w:tcPr>
            <w:tcW w:w="1480" w:type="dxa"/>
            <w:vAlign w:val="bottom"/>
          </w:tcPr>
          <w:p>
            <w:pPr>
              <w:spacing w:after="0"/>
              <w:rPr>
                <w:sz w:val="20"/>
                <w:szCs w:val="20"/>
                <w:color w:val="auto"/>
              </w:rPr>
            </w:pPr>
          </w:p>
        </w:tc>
      </w:tr>
      <w:tr>
        <w:trPr>
          <w:trHeight w:val="324"/>
        </w:trPr>
        <w:tc>
          <w:tcPr>
            <w:tcW w:w="1200" w:type="dxa"/>
            <w:vAlign w:val="bottom"/>
          </w:tcPr>
          <w:p>
            <w:pPr>
              <w:spacing w:after="0"/>
              <w:rPr>
                <w:sz w:val="24"/>
                <w:szCs w:val="24"/>
                <w:color w:val="auto"/>
              </w:rPr>
            </w:pPr>
          </w:p>
        </w:tc>
        <w:tc>
          <w:tcPr>
            <w:tcW w:w="8680" w:type="dxa"/>
            <w:vAlign w:val="bottom"/>
          </w:tcPr>
          <w:p>
            <w:pPr>
              <w:jc w:val="center"/>
              <w:ind w:left="210"/>
              <w:spacing w:after="0"/>
              <w:rPr>
                <w:sz w:val="20"/>
                <w:szCs w:val="20"/>
                <w:color w:val="auto"/>
              </w:rPr>
            </w:pPr>
            <w:r>
              <w:rPr>
                <w:rFonts w:ascii="Arial" w:cs="Arial" w:eastAsia="Arial" w:hAnsi="Arial"/>
                <w:sz w:val="18"/>
                <w:szCs w:val="18"/>
                <w:color w:val="auto"/>
                <w:w w:val="98"/>
              </w:rPr>
              <w:t>COVENANTS</w:t>
            </w:r>
          </w:p>
        </w:tc>
        <w:tc>
          <w:tcPr>
            <w:tcW w:w="1480" w:type="dxa"/>
            <w:vAlign w:val="bottom"/>
          </w:tcPr>
          <w:p>
            <w:pPr>
              <w:spacing w:after="0"/>
              <w:rPr>
                <w:sz w:val="24"/>
                <w:szCs w:val="24"/>
                <w:color w:val="auto"/>
              </w:rPr>
            </w:pPr>
          </w:p>
        </w:tc>
      </w:tr>
      <w:tr>
        <w:trPr>
          <w:trHeight w:val="31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10.01.    Payment of Principal, Premium, if any, and Interest</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10.02.    Maintenance of Office or Agency</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10.03.    Money for Securities Payments to Be Held in Trust</w:t>
            </w: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10.04.</w:t>
            </w:r>
          </w:p>
        </w:tc>
        <w:tc>
          <w:tcPr>
            <w:tcW w:w="8680" w:type="dxa"/>
            <w:vAlign w:val="bottom"/>
          </w:tcPr>
          <w:p>
            <w:pPr>
              <w:ind w:left="140"/>
              <w:spacing w:after="0"/>
              <w:rPr>
                <w:sz w:val="20"/>
                <w:szCs w:val="20"/>
                <w:color w:val="auto"/>
              </w:rPr>
            </w:pPr>
            <w:r>
              <w:rPr>
                <w:rFonts w:ascii="Arial" w:cs="Arial" w:eastAsia="Arial" w:hAnsi="Arial"/>
                <w:sz w:val="18"/>
                <w:szCs w:val="18"/>
                <w:color w:val="auto"/>
              </w:rPr>
              <w:t>Additional Amounts</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10.05.    Statement as to Compliance</w:t>
            </w: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10.06.    Waiver of Certain Covenants</w:t>
            </w: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10.07.    Section 18(a)(1)(A) of the Investment Company Act</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10.08.    Commission Reports and Reports to 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200" w:type="dxa"/>
            <w:vAlign w:val="bottom"/>
          </w:tcPr>
          <w:p>
            <w:pPr>
              <w:spacing w:after="0"/>
              <w:rPr>
                <w:sz w:val="24"/>
                <w:szCs w:val="24"/>
                <w:color w:val="auto"/>
              </w:rPr>
            </w:pPr>
          </w:p>
        </w:tc>
        <w:tc>
          <w:tcPr>
            <w:tcW w:w="8680" w:type="dxa"/>
            <w:vAlign w:val="bottom"/>
          </w:tcPr>
          <w:p>
            <w:pPr>
              <w:jc w:val="center"/>
              <w:ind w:left="210"/>
              <w:spacing w:after="0"/>
              <w:rPr>
                <w:sz w:val="20"/>
                <w:szCs w:val="20"/>
                <w:color w:val="auto"/>
              </w:rPr>
            </w:pPr>
            <w:r>
              <w:rPr>
                <w:rFonts w:ascii="Arial" w:cs="Arial" w:eastAsia="Arial" w:hAnsi="Arial"/>
                <w:sz w:val="18"/>
                <w:szCs w:val="18"/>
                <w:color w:val="auto"/>
                <w:w w:val="98"/>
              </w:rPr>
              <w:t>ARTICLE ELEVEN</w:t>
            </w:r>
          </w:p>
        </w:tc>
        <w:tc>
          <w:tcPr>
            <w:tcW w:w="14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8680" w:type="dxa"/>
            <w:vAlign w:val="bottom"/>
          </w:tcPr>
          <w:p>
            <w:pPr>
              <w:jc w:val="center"/>
              <w:ind w:left="210"/>
              <w:spacing w:after="0"/>
              <w:rPr>
                <w:sz w:val="20"/>
                <w:szCs w:val="20"/>
                <w:color w:val="auto"/>
              </w:rPr>
            </w:pPr>
            <w:r>
              <w:rPr>
                <w:rFonts w:ascii="Arial" w:cs="Arial" w:eastAsia="Arial" w:hAnsi="Arial"/>
                <w:sz w:val="18"/>
                <w:szCs w:val="18"/>
                <w:color w:val="auto"/>
                <w:w w:val="95"/>
              </w:rPr>
              <w:t>REDEMPTION OF SECURITIES</w:t>
            </w:r>
          </w:p>
        </w:tc>
        <w:tc>
          <w:tcPr>
            <w:tcW w:w="1480" w:type="dxa"/>
            <w:vAlign w:val="bottom"/>
          </w:tcPr>
          <w:p>
            <w:pPr>
              <w:spacing w:after="0"/>
              <w:rPr>
                <w:sz w:val="24"/>
                <w:szCs w:val="24"/>
                <w:color w:val="auto"/>
              </w:rPr>
            </w:pPr>
          </w:p>
        </w:tc>
      </w:tr>
      <w:tr>
        <w:trPr>
          <w:trHeight w:val="31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11.01.    Applicability of Article</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11.02.    Election to Redeem; Notice to Trustee</w:t>
            </w: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11.03.    Selection by Trustee of Securities to Be Redeemed</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11.04.    Notice of Redemption</w:t>
            </w: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11.05.    Deposit of Redemption Price</w:t>
            </w: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11.06.    Securities Payable on Redemption Date</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11.07.    Securities Redeemed in Part</w:t>
            </w: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200" w:type="dxa"/>
            <w:vAlign w:val="bottom"/>
          </w:tcPr>
          <w:p>
            <w:pPr>
              <w:spacing w:after="0"/>
              <w:rPr>
                <w:sz w:val="24"/>
                <w:szCs w:val="24"/>
                <w:color w:val="auto"/>
              </w:rPr>
            </w:pPr>
          </w:p>
        </w:tc>
        <w:tc>
          <w:tcPr>
            <w:tcW w:w="8680" w:type="dxa"/>
            <w:vAlign w:val="bottom"/>
          </w:tcPr>
          <w:p>
            <w:pPr>
              <w:jc w:val="center"/>
              <w:ind w:left="190"/>
              <w:spacing w:after="0"/>
              <w:rPr>
                <w:sz w:val="20"/>
                <w:szCs w:val="20"/>
                <w:color w:val="auto"/>
              </w:rPr>
            </w:pPr>
            <w:r>
              <w:rPr>
                <w:rFonts w:ascii="Arial" w:cs="Arial" w:eastAsia="Arial" w:hAnsi="Arial"/>
                <w:sz w:val="18"/>
                <w:szCs w:val="18"/>
                <w:color w:val="auto"/>
                <w:w w:val="98"/>
              </w:rPr>
              <w:t>ARTICLE TWELVE</w:t>
            </w:r>
          </w:p>
        </w:tc>
        <w:tc>
          <w:tcPr>
            <w:tcW w:w="14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8680" w:type="dxa"/>
            <w:vAlign w:val="bottom"/>
          </w:tcPr>
          <w:p>
            <w:pPr>
              <w:jc w:val="center"/>
              <w:ind w:left="210"/>
              <w:spacing w:after="0"/>
              <w:rPr>
                <w:sz w:val="20"/>
                <w:szCs w:val="20"/>
                <w:color w:val="auto"/>
              </w:rPr>
            </w:pPr>
            <w:r>
              <w:rPr>
                <w:rFonts w:ascii="Arial" w:cs="Arial" w:eastAsia="Arial" w:hAnsi="Arial"/>
                <w:sz w:val="18"/>
                <w:szCs w:val="18"/>
                <w:color w:val="auto"/>
                <w:w w:val="97"/>
              </w:rPr>
              <w:t>SINKING FUNDS</w:t>
            </w:r>
          </w:p>
        </w:tc>
        <w:tc>
          <w:tcPr>
            <w:tcW w:w="1480" w:type="dxa"/>
            <w:vAlign w:val="bottom"/>
          </w:tcPr>
          <w:p>
            <w:pPr>
              <w:spacing w:after="0"/>
              <w:rPr>
                <w:sz w:val="24"/>
                <w:szCs w:val="24"/>
                <w:color w:val="auto"/>
              </w:rPr>
            </w:pPr>
          </w:p>
        </w:tc>
      </w:tr>
      <w:tr>
        <w:trPr>
          <w:trHeight w:val="31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12.01.    Applicability of Article</w:t>
            </w: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12.02.    Satisfaction of Sinking Fund Payments With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12.03.    Redemption of Securities for Sinking Fund</w:t>
            </w: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200" w:type="dxa"/>
            <w:vAlign w:val="bottom"/>
          </w:tcPr>
          <w:p>
            <w:pPr>
              <w:spacing w:after="0"/>
              <w:rPr>
                <w:sz w:val="24"/>
                <w:szCs w:val="24"/>
                <w:color w:val="auto"/>
              </w:rPr>
            </w:pPr>
          </w:p>
        </w:tc>
        <w:tc>
          <w:tcPr>
            <w:tcW w:w="8680" w:type="dxa"/>
            <w:vAlign w:val="bottom"/>
          </w:tcPr>
          <w:p>
            <w:pPr>
              <w:jc w:val="center"/>
              <w:ind w:left="210"/>
              <w:spacing w:after="0"/>
              <w:rPr>
                <w:sz w:val="20"/>
                <w:szCs w:val="20"/>
                <w:color w:val="auto"/>
              </w:rPr>
            </w:pPr>
            <w:r>
              <w:rPr>
                <w:rFonts w:ascii="Arial" w:cs="Arial" w:eastAsia="Arial" w:hAnsi="Arial"/>
                <w:sz w:val="18"/>
                <w:szCs w:val="18"/>
                <w:color w:val="auto"/>
                <w:w w:val="97"/>
              </w:rPr>
              <w:t>ARTICLE THIRTEEN</w:t>
            </w:r>
          </w:p>
        </w:tc>
        <w:tc>
          <w:tcPr>
            <w:tcW w:w="14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8680" w:type="dxa"/>
            <w:vAlign w:val="bottom"/>
          </w:tcPr>
          <w:p>
            <w:pPr>
              <w:jc w:val="center"/>
              <w:ind w:left="210"/>
              <w:spacing w:after="0"/>
              <w:rPr>
                <w:sz w:val="20"/>
                <w:szCs w:val="20"/>
                <w:color w:val="auto"/>
              </w:rPr>
            </w:pPr>
            <w:r>
              <w:rPr>
                <w:rFonts w:ascii="Arial" w:cs="Arial" w:eastAsia="Arial" w:hAnsi="Arial"/>
                <w:sz w:val="18"/>
                <w:szCs w:val="18"/>
                <w:color w:val="auto"/>
                <w:w w:val="94"/>
              </w:rPr>
              <w:t>REPAYMENT AT THE OPTION OF HOLDERS</w:t>
            </w:r>
          </w:p>
        </w:tc>
        <w:tc>
          <w:tcPr>
            <w:tcW w:w="1480" w:type="dxa"/>
            <w:vAlign w:val="bottom"/>
          </w:tcPr>
          <w:p>
            <w:pPr>
              <w:spacing w:after="0"/>
              <w:rPr>
                <w:sz w:val="24"/>
                <w:szCs w:val="24"/>
                <w:color w:val="auto"/>
              </w:rPr>
            </w:pPr>
          </w:p>
        </w:tc>
      </w:tr>
      <w:tr>
        <w:trPr>
          <w:trHeight w:val="31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13.01.    Applicability of Article</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13.02.    Repayment of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13.03.    Exercise of Option</w:t>
            </w:r>
          </w:p>
        </w:tc>
        <w:tc>
          <w:tcPr>
            <w:tcW w:w="1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13.04.    When Securities Presented for Repayment Become Due and Payable</w:t>
            </w: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13.05.    Securities Repaid in Part</w:t>
            </w: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200" w:type="dxa"/>
            <w:vAlign w:val="bottom"/>
          </w:tcPr>
          <w:p>
            <w:pPr>
              <w:spacing w:after="0"/>
              <w:rPr>
                <w:sz w:val="24"/>
                <w:szCs w:val="24"/>
                <w:color w:val="auto"/>
              </w:rPr>
            </w:pPr>
          </w:p>
        </w:tc>
        <w:tc>
          <w:tcPr>
            <w:tcW w:w="8680" w:type="dxa"/>
            <w:vAlign w:val="bottom"/>
          </w:tcPr>
          <w:p>
            <w:pPr>
              <w:jc w:val="center"/>
              <w:ind w:left="190"/>
              <w:spacing w:after="0"/>
              <w:rPr>
                <w:sz w:val="20"/>
                <w:szCs w:val="20"/>
                <w:color w:val="auto"/>
              </w:rPr>
            </w:pPr>
            <w:r>
              <w:rPr>
                <w:rFonts w:ascii="Arial" w:cs="Arial" w:eastAsia="Arial" w:hAnsi="Arial"/>
                <w:sz w:val="18"/>
                <w:szCs w:val="18"/>
                <w:color w:val="auto"/>
                <w:w w:val="95"/>
              </w:rPr>
              <w:t>ARTICLE FOURTEEN</w:t>
            </w:r>
          </w:p>
        </w:tc>
        <w:tc>
          <w:tcPr>
            <w:tcW w:w="148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8680" w:type="dxa"/>
            <w:vAlign w:val="bottom"/>
          </w:tcPr>
          <w:p>
            <w:pPr>
              <w:jc w:val="center"/>
              <w:ind w:left="210"/>
              <w:spacing w:after="0"/>
              <w:rPr>
                <w:sz w:val="20"/>
                <w:szCs w:val="20"/>
                <w:color w:val="auto"/>
              </w:rPr>
            </w:pPr>
            <w:r>
              <w:rPr>
                <w:rFonts w:ascii="Arial" w:cs="Arial" w:eastAsia="Arial" w:hAnsi="Arial"/>
                <w:sz w:val="18"/>
                <w:szCs w:val="18"/>
                <w:color w:val="auto"/>
                <w:w w:val="97"/>
              </w:rPr>
              <w:t>DEFEASANCE AND COVENANT DEFEASANCE</w:t>
            </w:r>
          </w:p>
        </w:tc>
        <w:tc>
          <w:tcPr>
            <w:tcW w:w="1480" w:type="dxa"/>
            <w:vAlign w:val="bottom"/>
          </w:tcPr>
          <w:p>
            <w:pPr>
              <w:spacing w:after="0"/>
              <w:rPr>
                <w:sz w:val="24"/>
                <w:szCs w:val="24"/>
                <w:color w:val="auto"/>
              </w:rPr>
            </w:pPr>
          </w:p>
        </w:tc>
      </w:tr>
      <w:tr>
        <w:trPr>
          <w:trHeight w:val="31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14.01.    Applicability of Article; Company’s Option to Effect Defeasance or Covenant Defeasance</w:t>
            </w:r>
          </w:p>
        </w:tc>
        <w:tc>
          <w:tcPr>
            <w:tcW w:w="1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14.02.    Defeasance and Discharge</w:t>
            </w:r>
          </w:p>
        </w:tc>
        <w:tc>
          <w:tcPr>
            <w:tcW w:w="1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14.03.</w:t>
            </w:r>
          </w:p>
        </w:tc>
        <w:tc>
          <w:tcPr>
            <w:tcW w:w="8680" w:type="dxa"/>
            <w:vAlign w:val="bottom"/>
          </w:tcPr>
          <w:p>
            <w:pPr>
              <w:ind w:left="140"/>
              <w:spacing w:after="0"/>
              <w:rPr>
                <w:sz w:val="20"/>
                <w:szCs w:val="20"/>
                <w:color w:val="auto"/>
              </w:rPr>
            </w:pPr>
            <w:r>
              <w:rPr>
                <w:rFonts w:ascii="Arial" w:cs="Arial" w:eastAsia="Arial" w:hAnsi="Arial"/>
                <w:sz w:val="18"/>
                <w:szCs w:val="18"/>
                <w:color w:val="auto"/>
              </w:rPr>
              <w:t>Covenant Defeasance</w:t>
            </w:r>
          </w:p>
        </w:tc>
        <w:tc>
          <w:tcPr>
            <w:tcW w:w="1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Section 14.04.    Conditions to Defeasance or Covenant Defeasance</w:t>
            </w: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880" w:type="dxa"/>
            <w:vAlign w:val="bottom"/>
            <w:gridSpan w:val="2"/>
          </w:tcPr>
          <w:p>
            <w:pPr>
              <w:spacing w:after="0"/>
              <w:rPr>
                <w:sz w:val="20"/>
                <w:szCs w:val="20"/>
                <w:color w:val="auto"/>
              </w:rPr>
            </w:pPr>
            <w:r>
              <w:rPr>
                <w:rFonts w:ascii="Arial" w:cs="Arial" w:eastAsia="Arial" w:hAnsi="Arial"/>
                <w:sz w:val="18"/>
                <w:szCs w:val="18"/>
                <w:color w:val="auto"/>
              </w:rPr>
              <w:t>Section 14.05.    Deposited Money and Government Obligations to Be Held in Trust; Other Miscellaneous Provisions</w:t>
            </w:r>
          </w:p>
        </w:tc>
        <w:tc>
          <w:tcPr>
            <w:tcW w:w="148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4"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8700" w:type="dxa"/>
            <w:vAlign w:val="bottom"/>
          </w:tcPr>
          <w:p>
            <w:pPr>
              <w:jc w:val="center"/>
              <w:ind w:left="170"/>
              <w:spacing w:after="0"/>
              <w:rPr>
                <w:sz w:val="20"/>
                <w:szCs w:val="20"/>
                <w:color w:val="auto"/>
              </w:rPr>
            </w:pPr>
            <w:r>
              <w:rPr>
                <w:rFonts w:ascii="Arial" w:cs="Arial" w:eastAsia="Arial" w:hAnsi="Arial"/>
                <w:sz w:val="18"/>
                <w:szCs w:val="18"/>
                <w:color w:val="auto"/>
                <w:w w:val="97"/>
              </w:rPr>
              <w:t>ARTICLE FIFTEEN</w:t>
            </w:r>
          </w:p>
        </w:tc>
        <w:tc>
          <w:tcPr>
            <w:tcW w:w="1460" w:type="dxa"/>
            <w:vAlign w:val="bottom"/>
          </w:tcPr>
          <w:p>
            <w:pPr>
              <w:spacing w:after="0"/>
              <w:rPr>
                <w:sz w:val="20"/>
                <w:szCs w:val="20"/>
                <w:color w:val="auto"/>
              </w:rPr>
            </w:pPr>
          </w:p>
        </w:tc>
      </w:tr>
      <w:tr>
        <w:trPr>
          <w:trHeight w:val="324"/>
        </w:trPr>
        <w:tc>
          <w:tcPr>
            <w:tcW w:w="1200" w:type="dxa"/>
            <w:vAlign w:val="bottom"/>
          </w:tcPr>
          <w:p>
            <w:pPr>
              <w:spacing w:after="0"/>
              <w:rPr>
                <w:sz w:val="24"/>
                <w:szCs w:val="24"/>
                <w:color w:val="auto"/>
              </w:rPr>
            </w:pPr>
          </w:p>
        </w:tc>
        <w:tc>
          <w:tcPr>
            <w:tcW w:w="8700" w:type="dxa"/>
            <w:vAlign w:val="bottom"/>
          </w:tcPr>
          <w:p>
            <w:pPr>
              <w:jc w:val="center"/>
              <w:ind w:left="170"/>
              <w:spacing w:after="0"/>
              <w:rPr>
                <w:sz w:val="20"/>
                <w:szCs w:val="20"/>
                <w:color w:val="auto"/>
              </w:rPr>
            </w:pPr>
            <w:r>
              <w:rPr>
                <w:rFonts w:ascii="Arial" w:cs="Arial" w:eastAsia="Arial" w:hAnsi="Arial"/>
                <w:sz w:val="18"/>
                <w:szCs w:val="18"/>
                <w:color w:val="auto"/>
                <w:w w:val="94"/>
              </w:rPr>
              <w:t>MEETINGS OF HOLDERS OF SECURITIES</w:t>
            </w:r>
          </w:p>
        </w:tc>
        <w:tc>
          <w:tcPr>
            <w:tcW w:w="146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15.01.</w:t>
            </w:r>
          </w:p>
        </w:tc>
        <w:tc>
          <w:tcPr>
            <w:tcW w:w="8700" w:type="dxa"/>
            <w:vAlign w:val="bottom"/>
          </w:tcPr>
          <w:p>
            <w:pPr>
              <w:ind w:left="140"/>
              <w:spacing w:after="0"/>
              <w:rPr>
                <w:sz w:val="20"/>
                <w:szCs w:val="20"/>
                <w:color w:val="auto"/>
              </w:rPr>
            </w:pPr>
            <w:r>
              <w:rPr>
                <w:rFonts w:ascii="Arial" w:cs="Arial" w:eastAsia="Arial" w:hAnsi="Arial"/>
                <w:sz w:val="18"/>
                <w:szCs w:val="18"/>
                <w:color w:val="auto"/>
              </w:rPr>
              <w:t>Purposes for Which Meetings May Be Called</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15.02.</w:t>
            </w:r>
          </w:p>
        </w:tc>
        <w:tc>
          <w:tcPr>
            <w:tcW w:w="8700" w:type="dxa"/>
            <w:vAlign w:val="bottom"/>
          </w:tcPr>
          <w:p>
            <w:pPr>
              <w:ind w:left="140"/>
              <w:spacing w:after="0"/>
              <w:rPr>
                <w:sz w:val="20"/>
                <w:szCs w:val="20"/>
                <w:color w:val="auto"/>
              </w:rPr>
            </w:pPr>
            <w:r>
              <w:rPr>
                <w:rFonts w:ascii="Arial" w:cs="Arial" w:eastAsia="Arial" w:hAnsi="Arial"/>
                <w:sz w:val="18"/>
                <w:szCs w:val="18"/>
                <w:color w:val="auto"/>
              </w:rPr>
              <w:t>Call, Notice and Place of Meetings</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15.03.</w:t>
            </w:r>
          </w:p>
        </w:tc>
        <w:tc>
          <w:tcPr>
            <w:tcW w:w="8700" w:type="dxa"/>
            <w:vAlign w:val="bottom"/>
          </w:tcPr>
          <w:p>
            <w:pPr>
              <w:ind w:left="140"/>
              <w:spacing w:after="0"/>
              <w:rPr>
                <w:sz w:val="20"/>
                <w:szCs w:val="20"/>
                <w:color w:val="auto"/>
              </w:rPr>
            </w:pPr>
            <w:r>
              <w:rPr>
                <w:rFonts w:ascii="Arial" w:cs="Arial" w:eastAsia="Arial" w:hAnsi="Arial"/>
                <w:sz w:val="18"/>
                <w:szCs w:val="18"/>
                <w:color w:val="auto"/>
              </w:rPr>
              <w:t>Persons Entitled to Vote at Meetings</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15.04.</w:t>
            </w:r>
          </w:p>
        </w:tc>
        <w:tc>
          <w:tcPr>
            <w:tcW w:w="8700" w:type="dxa"/>
            <w:vAlign w:val="bottom"/>
          </w:tcPr>
          <w:p>
            <w:pPr>
              <w:ind w:left="140"/>
              <w:spacing w:after="0"/>
              <w:rPr>
                <w:sz w:val="20"/>
                <w:szCs w:val="20"/>
                <w:color w:val="auto"/>
              </w:rPr>
            </w:pPr>
            <w:r>
              <w:rPr>
                <w:rFonts w:ascii="Arial" w:cs="Arial" w:eastAsia="Arial" w:hAnsi="Arial"/>
                <w:sz w:val="18"/>
                <w:szCs w:val="18"/>
                <w:color w:val="auto"/>
              </w:rPr>
              <w:t>Quorum; Action</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15.05.</w:t>
            </w:r>
          </w:p>
        </w:tc>
        <w:tc>
          <w:tcPr>
            <w:tcW w:w="8700" w:type="dxa"/>
            <w:vAlign w:val="bottom"/>
          </w:tcPr>
          <w:p>
            <w:pPr>
              <w:ind w:left="1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15.06.</w:t>
            </w:r>
          </w:p>
        </w:tc>
        <w:tc>
          <w:tcPr>
            <w:tcW w:w="8700" w:type="dxa"/>
            <w:vAlign w:val="bottom"/>
          </w:tcPr>
          <w:p>
            <w:pPr>
              <w:ind w:left="140"/>
              <w:spacing w:after="0"/>
              <w:rPr>
                <w:sz w:val="20"/>
                <w:szCs w:val="20"/>
                <w:color w:val="auto"/>
              </w:rPr>
            </w:pPr>
            <w:r>
              <w:rPr>
                <w:rFonts w:ascii="Arial" w:cs="Arial" w:eastAsia="Arial" w:hAnsi="Arial"/>
                <w:sz w:val="18"/>
                <w:szCs w:val="18"/>
                <w:color w:val="auto"/>
              </w:rPr>
              <w:t>Counting Votes and Recording Action of Meetings</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200" w:type="dxa"/>
            <w:vAlign w:val="bottom"/>
          </w:tcPr>
          <w:p>
            <w:pPr>
              <w:spacing w:after="0"/>
              <w:rPr>
                <w:sz w:val="24"/>
                <w:szCs w:val="24"/>
                <w:color w:val="auto"/>
              </w:rPr>
            </w:pPr>
          </w:p>
        </w:tc>
        <w:tc>
          <w:tcPr>
            <w:tcW w:w="8700" w:type="dxa"/>
            <w:vAlign w:val="bottom"/>
          </w:tcPr>
          <w:p>
            <w:pPr>
              <w:jc w:val="center"/>
              <w:ind w:left="190"/>
              <w:spacing w:after="0"/>
              <w:rPr>
                <w:sz w:val="20"/>
                <w:szCs w:val="20"/>
                <w:color w:val="auto"/>
              </w:rPr>
            </w:pPr>
            <w:r>
              <w:rPr>
                <w:rFonts w:ascii="Arial" w:cs="Arial" w:eastAsia="Arial" w:hAnsi="Arial"/>
                <w:sz w:val="18"/>
                <w:szCs w:val="18"/>
                <w:color w:val="auto"/>
                <w:w w:val="97"/>
              </w:rPr>
              <w:t>ARTICLE SIXTEEN</w:t>
            </w:r>
          </w:p>
        </w:tc>
        <w:tc>
          <w:tcPr>
            <w:tcW w:w="1460" w:type="dxa"/>
            <w:vAlign w:val="bottom"/>
          </w:tcPr>
          <w:p>
            <w:pPr>
              <w:spacing w:after="0"/>
              <w:rPr>
                <w:sz w:val="24"/>
                <w:szCs w:val="24"/>
                <w:color w:val="auto"/>
              </w:rPr>
            </w:pPr>
          </w:p>
        </w:tc>
      </w:tr>
      <w:tr>
        <w:trPr>
          <w:trHeight w:val="324"/>
        </w:trPr>
        <w:tc>
          <w:tcPr>
            <w:tcW w:w="1200" w:type="dxa"/>
            <w:vAlign w:val="bottom"/>
          </w:tcPr>
          <w:p>
            <w:pPr>
              <w:spacing w:after="0"/>
              <w:rPr>
                <w:sz w:val="24"/>
                <w:szCs w:val="24"/>
                <w:color w:val="auto"/>
              </w:rPr>
            </w:pPr>
          </w:p>
        </w:tc>
        <w:tc>
          <w:tcPr>
            <w:tcW w:w="8700" w:type="dxa"/>
            <w:vAlign w:val="bottom"/>
          </w:tcPr>
          <w:p>
            <w:pPr>
              <w:jc w:val="center"/>
              <w:ind w:left="170"/>
              <w:spacing w:after="0"/>
              <w:rPr>
                <w:sz w:val="20"/>
                <w:szCs w:val="20"/>
                <w:color w:val="auto"/>
              </w:rPr>
            </w:pPr>
            <w:r>
              <w:rPr>
                <w:rFonts w:ascii="Arial" w:cs="Arial" w:eastAsia="Arial" w:hAnsi="Arial"/>
                <w:sz w:val="18"/>
                <w:szCs w:val="18"/>
                <w:color w:val="auto"/>
                <w:w w:val="95"/>
              </w:rPr>
              <w:t>SUBORDINATION OF SECURITIES</w:t>
            </w:r>
          </w:p>
        </w:tc>
        <w:tc>
          <w:tcPr>
            <w:tcW w:w="1460" w:type="dxa"/>
            <w:vAlign w:val="bottom"/>
          </w:tcPr>
          <w:p>
            <w:pPr>
              <w:spacing w:after="0"/>
              <w:rPr>
                <w:sz w:val="24"/>
                <w:szCs w:val="24"/>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16.01.</w:t>
            </w:r>
          </w:p>
        </w:tc>
        <w:tc>
          <w:tcPr>
            <w:tcW w:w="8700" w:type="dxa"/>
            <w:vAlign w:val="bottom"/>
          </w:tcPr>
          <w:p>
            <w:pPr>
              <w:ind w:left="140"/>
              <w:spacing w:after="0"/>
              <w:rPr>
                <w:sz w:val="20"/>
                <w:szCs w:val="20"/>
                <w:color w:val="auto"/>
              </w:rPr>
            </w:pPr>
            <w:r>
              <w:rPr>
                <w:rFonts w:ascii="Arial" w:cs="Arial" w:eastAsia="Arial" w:hAnsi="Arial"/>
                <w:sz w:val="18"/>
                <w:szCs w:val="18"/>
                <w:color w:val="auto"/>
              </w:rPr>
              <w:t>Agreement to Subordinate</w:t>
            </w:r>
          </w:p>
        </w:tc>
        <w:tc>
          <w:tcPr>
            <w:tcW w:w="1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16.02.</w:t>
            </w:r>
          </w:p>
        </w:tc>
        <w:tc>
          <w:tcPr>
            <w:tcW w:w="8700" w:type="dxa"/>
            <w:vAlign w:val="bottom"/>
          </w:tcPr>
          <w:p>
            <w:pPr>
              <w:ind w:left="140"/>
              <w:spacing w:after="0"/>
              <w:rPr>
                <w:sz w:val="20"/>
                <w:szCs w:val="20"/>
                <w:color w:val="auto"/>
              </w:rPr>
            </w:pPr>
            <w:r>
              <w:rPr>
                <w:rFonts w:ascii="Arial" w:cs="Arial" w:eastAsia="Arial" w:hAnsi="Arial"/>
                <w:sz w:val="18"/>
                <w:szCs w:val="18"/>
                <w:color w:val="auto"/>
              </w:rPr>
              <w:t>Distribution on Dissolution, Liquidation and Reorganization; Subrogation of Subordinated Securities</w:t>
            </w:r>
          </w:p>
        </w:tc>
        <w:tc>
          <w:tcPr>
            <w:tcW w:w="1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16.03.</w:t>
            </w:r>
          </w:p>
        </w:tc>
        <w:tc>
          <w:tcPr>
            <w:tcW w:w="8700" w:type="dxa"/>
            <w:vAlign w:val="bottom"/>
          </w:tcPr>
          <w:p>
            <w:pPr>
              <w:ind w:left="140"/>
              <w:spacing w:after="0"/>
              <w:rPr>
                <w:sz w:val="20"/>
                <w:szCs w:val="20"/>
                <w:color w:val="auto"/>
              </w:rPr>
            </w:pPr>
            <w:r>
              <w:rPr>
                <w:rFonts w:ascii="Arial" w:cs="Arial" w:eastAsia="Arial" w:hAnsi="Arial"/>
                <w:sz w:val="18"/>
                <w:szCs w:val="18"/>
                <w:color w:val="auto"/>
              </w:rPr>
              <w:t>No Payment on Subordinated Securities in Event of Default on Senior Indebtedness</w:t>
            </w:r>
          </w:p>
        </w:tc>
        <w:tc>
          <w:tcPr>
            <w:tcW w:w="1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16.04.</w:t>
            </w:r>
          </w:p>
        </w:tc>
        <w:tc>
          <w:tcPr>
            <w:tcW w:w="8700" w:type="dxa"/>
            <w:vAlign w:val="bottom"/>
          </w:tcPr>
          <w:p>
            <w:pPr>
              <w:ind w:left="140"/>
              <w:spacing w:after="0"/>
              <w:rPr>
                <w:sz w:val="20"/>
                <w:szCs w:val="20"/>
                <w:color w:val="auto"/>
              </w:rPr>
            </w:pPr>
            <w:r>
              <w:rPr>
                <w:rFonts w:ascii="Arial" w:cs="Arial" w:eastAsia="Arial" w:hAnsi="Arial"/>
                <w:sz w:val="18"/>
                <w:szCs w:val="18"/>
                <w:color w:val="auto"/>
              </w:rPr>
              <w:t>Payments on Subordinated Securities Permitted</w:t>
            </w:r>
          </w:p>
        </w:tc>
        <w:tc>
          <w:tcPr>
            <w:tcW w:w="14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16.05.</w:t>
            </w:r>
          </w:p>
        </w:tc>
        <w:tc>
          <w:tcPr>
            <w:tcW w:w="8700" w:type="dxa"/>
            <w:vAlign w:val="bottom"/>
          </w:tcPr>
          <w:p>
            <w:pPr>
              <w:ind w:left="140"/>
              <w:spacing w:after="0"/>
              <w:rPr>
                <w:sz w:val="20"/>
                <w:szCs w:val="20"/>
                <w:color w:val="auto"/>
              </w:rPr>
            </w:pPr>
            <w:r>
              <w:rPr>
                <w:rFonts w:ascii="Arial" w:cs="Arial" w:eastAsia="Arial" w:hAnsi="Arial"/>
                <w:sz w:val="18"/>
                <w:szCs w:val="18"/>
                <w:color w:val="auto"/>
              </w:rPr>
              <w:t>Authorization of Holders to Trustee to Effect Subordination</w:t>
            </w: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16.06.</w:t>
            </w:r>
          </w:p>
        </w:tc>
        <w:tc>
          <w:tcPr>
            <w:tcW w:w="8700" w:type="dxa"/>
            <w:vAlign w:val="bottom"/>
          </w:tcPr>
          <w:p>
            <w:pPr>
              <w:ind w:left="140"/>
              <w:spacing w:after="0"/>
              <w:rPr>
                <w:sz w:val="20"/>
                <w:szCs w:val="20"/>
                <w:color w:val="auto"/>
              </w:rPr>
            </w:pPr>
            <w:r>
              <w:rPr>
                <w:rFonts w:ascii="Arial" w:cs="Arial" w:eastAsia="Arial" w:hAnsi="Arial"/>
                <w:sz w:val="18"/>
                <w:szCs w:val="18"/>
                <w:color w:val="auto"/>
              </w:rPr>
              <w:t>Notices to Trustee</w:t>
            </w: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16.07.</w:t>
            </w:r>
          </w:p>
        </w:tc>
        <w:tc>
          <w:tcPr>
            <w:tcW w:w="8700" w:type="dxa"/>
            <w:vAlign w:val="bottom"/>
          </w:tcPr>
          <w:p>
            <w:pPr>
              <w:ind w:left="140"/>
              <w:spacing w:after="0"/>
              <w:rPr>
                <w:sz w:val="20"/>
                <w:szCs w:val="20"/>
                <w:color w:val="auto"/>
              </w:rPr>
            </w:pPr>
            <w:r>
              <w:rPr>
                <w:rFonts w:ascii="Arial" w:cs="Arial" w:eastAsia="Arial" w:hAnsi="Arial"/>
                <w:sz w:val="18"/>
                <w:szCs w:val="18"/>
                <w:color w:val="auto"/>
              </w:rPr>
              <w:t>Trustee as Holder of Senior Indebtedness</w:t>
            </w:r>
          </w:p>
        </w:tc>
        <w:tc>
          <w:tcPr>
            <w:tcW w:w="1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16.08.</w:t>
            </w:r>
          </w:p>
        </w:tc>
        <w:tc>
          <w:tcPr>
            <w:tcW w:w="8700" w:type="dxa"/>
            <w:vAlign w:val="bottom"/>
          </w:tcPr>
          <w:p>
            <w:pPr>
              <w:ind w:left="140"/>
              <w:spacing w:after="0"/>
              <w:rPr>
                <w:sz w:val="20"/>
                <w:szCs w:val="20"/>
                <w:color w:val="auto"/>
              </w:rPr>
            </w:pPr>
            <w:r>
              <w:rPr>
                <w:rFonts w:ascii="Arial" w:cs="Arial" w:eastAsia="Arial" w:hAnsi="Arial"/>
                <w:sz w:val="18"/>
                <w:szCs w:val="18"/>
                <w:color w:val="auto"/>
              </w:rPr>
              <w:t>Modifications of Terms of Senior Indebtedness</w:t>
            </w:r>
          </w:p>
        </w:tc>
        <w:tc>
          <w:tcPr>
            <w:tcW w:w="1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16.09.</w:t>
            </w:r>
          </w:p>
        </w:tc>
        <w:tc>
          <w:tcPr>
            <w:tcW w:w="8700" w:type="dxa"/>
            <w:vAlign w:val="bottom"/>
          </w:tcPr>
          <w:p>
            <w:pPr>
              <w:ind w:left="140"/>
              <w:spacing w:after="0"/>
              <w:rPr>
                <w:sz w:val="20"/>
                <w:szCs w:val="20"/>
                <w:color w:val="auto"/>
              </w:rPr>
            </w:pPr>
            <w:r>
              <w:rPr>
                <w:rFonts w:ascii="Arial" w:cs="Arial" w:eastAsia="Arial" w:hAnsi="Arial"/>
                <w:sz w:val="18"/>
                <w:szCs w:val="18"/>
                <w:color w:val="auto"/>
              </w:rPr>
              <w:t>Reliance on Judicial Order or Certificate of Liquidating Agent</w:t>
            </w:r>
          </w:p>
        </w:tc>
        <w:tc>
          <w:tcPr>
            <w:tcW w:w="146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60"/>
          </w:cols>
          <w:pgMar w:left="240" w:top="27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rPr>
              <w:t>Reconciliation and tie between Trust Indenture Act of 1939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300" w:type="dxa"/>
            <w:vAlign w:val="bottom"/>
            <w:gridSpan w:val="2"/>
          </w:tcPr>
          <w:p>
            <w:pPr>
              <w:ind w:left="1020"/>
              <w:spacing w:after="0"/>
              <w:rPr>
                <w:sz w:val="20"/>
                <w:szCs w:val="20"/>
                <w:color w:val="auto"/>
              </w:rPr>
            </w:pPr>
            <w:r>
              <w:rPr>
                <w:rFonts w:ascii="Arial" w:cs="Arial" w:eastAsia="Arial" w:hAnsi="Arial"/>
                <w:sz w:val="18"/>
                <w:szCs w:val="18"/>
                <w:color w:val="auto"/>
              </w:rPr>
              <w:t>and Indenture, dated as of January 22, 2018</w:t>
            </w:r>
          </w:p>
        </w:tc>
        <w:tc>
          <w:tcPr>
            <w:tcW w:w="0" w:type="dxa"/>
            <w:vAlign w:val="bottom"/>
          </w:tcPr>
          <w:p>
            <w:pPr>
              <w:spacing w:after="0"/>
              <w:rPr>
                <w:sz w:val="1"/>
                <w:szCs w:val="1"/>
                <w:color w:val="auto"/>
              </w:rPr>
            </w:pPr>
          </w:p>
        </w:tc>
      </w:tr>
      <w:tr>
        <w:trPr>
          <w:trHeight w:val="412"/>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43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Indenture Section</w:t>
            </w:r>
          </w:p>
        </w:tc>
        <w:tc>
          <w:tcPr>
            <w:tcW w:w="0" w:type="dxa"/>
            <w:vAlign w:val="bottom"/>
          </w:tcPr>
          <w:p>
            <w:pPr>
              <w:spacing w:after="0"/>
              <w:rPr>
                <w:sz w:val="1"/>
                <w:szCs w:val="1"/>
                <w:color w:val="auto"/>
              </w:rPr>
            </w:pPr>
          </w:p>
        </w:tc>
      </w:tr>
      <w:tr>
        <w:trPr>
          <w:trHeight w:val="189"/>
        </w:trPr>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§310</w:t>
            </w:r>
          </w:p>
        </w:tc>
        <w:tc>
          <w:tcPr>
            <w:tcW w:w="860" w:type="dxa"/>
            <w:vAlign w:val="bottom"/>
            <w:tcBorders>
              <w:top w:val="single" w:sz="8" w:color="auto"/>
            </w:tcBorders>
          </w:tcPr>
          <w:p>
            <w:pPr>
              <w:ind w:left="500"/>
              <w:spacing w:after="0" w:line="189" w:lineRule="exact"/>
              <w:rPr>
                <w:sz w:val="20"/>
                <w:szCs w:val="20"/>
                <w:color w:val="auto"/>
              </w:rPr>
            </w:pPr>
            <w:r>
              <w:rPr>
                <w:rFonts w:ascii="Arial" w:cs="Arial" w:eastAsia="Arial" w:hAnsi="Arial"/>
                <w:sz w:val="18"/>
                <w:szCs w:val="18"/>
                <w:color w:val="auto"/>
                <w:w w:val="77"/>
              </w:rPr>
              <w:t>(a)(1)</w:t>
            </w:r>
          </w:p>
        </w:tc>
        <w:tc>
          <w:tcPr>
            <w:tcW w:w="13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9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(a)(2)</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(a)(5)</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8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(b)</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300" w:type="dxa"/>
            <w:vAlign w:val="bottom"/>
            <w:gridSpan w:val="2"/>
            <w:vMerge w:val="restart"/>
          </w:tcPr>
          <w:p>
            <w:pPr>
              <w:ind w:left="43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(c)</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§313</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§314</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(a)(4)</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(c)(1)</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(c)(2)</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(e)</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§315</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(b)</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(c)</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(d)</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(e)</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§316</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 (last sentence)</w:t>
            </w:r>
          </w:p>
        </w:tc>
        <w:tc>
          <w:tcPr>
            <w:tcW w:w="43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1.01 (“Outstanding”)</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(a)(1)(A)</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5.02, 5.12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(a)(1)(B)</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(b)</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§317</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(a)(1)</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(a)(2)</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(b)</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§318</w:t>
            </w: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(a)</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240" w:type="dxa"/>
            <w:vAlign w:val="bottom"/>
            <w:gridSpan w:val="2"/>
          </w:tcPr>
          <w:p>
            <w:pPr>
              <w:ind w:left="500"/>
              <w:spacing w:after="0"/>
              <w:rPr>
                <w:sz w:val="20"/>
                <w:szCs w:val="20"/>
                <w:color w:val="auto"/>
              </w:rPr>
            </w:pPr>
            <w:r>
              <w:rPr>
                <w:rFonts w:ascii="Arial" w:cs="Arial" w:eastAsia="Arial" w:hAnsi="Arial"/>
                <w:sz w:val="18"/>
                <w:szCs w:val="18"/>
                <w:color w:val="auto"/>
              </w:rPr>
              <w:t>(c)</w:t>
            </w:r>
          </w:p>
        </w:tc>
        <w:tc>
          <w:tcPr>
            <w:tcW w:w="8300" w:type="dxa"/>
            <w:vAlign w:val="bottom"/>
            <w:gridSpan w:val="2"/>
          </w:tcPr>
          <w:p>
            <w:pPr>
              <w:ind w:left="43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270" w:right="239" w:bottom="1440" w:gutter="0" w:footer="0" w:header="0"/>
        </w:sectPr>
      </w:pPr>
    </w:p>
    <w:bookmarkStart w:id="11" w:name="page12"/>
    <w:bookmarkEnd w:id="11"/>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January 22, 2018 between TPG Specialty Lending,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as more fully set forth in Section 1.01), and Wells Fargo Bank, National Association, a national banking association, as Trustee (as trustee in such capacity and not in its individual capacity, the “</w:t>
      </w:r>
      <w:r>
        <w:rPr>
          <w:rFonts w:ascii="Arial" w:cs="Arial" w:eastAsia="Arial" w:hAnsi="Arial"/>
          <w:sz w:val="18"/>
          <w:szCs w:val="18"/>
          <w:u w:val="single" w:color="auto"/>
          <w:color w:val="auto"/>
        </w:rPr>
        <w:t>Trustee</w:t>
      </w:r>
      <w:r>
        <w:rPr>
          <w:rFonts w:ascii="Arial" w:cs="Arial" w:eastAsia="Arial" w:hAnsi="Arial"/>
          <w:sz w:val="18"/>
          <w:szCs w:val="18"/>
          <w:color w:val="auto"/>
        </w:rPr>
        <w:t>”, as more fully set forth in Section 1.01).</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WHEREAS, the Company deems it necessary to issue from time to time for its lawful purposes debt securities (hereinafter called the “</w:t>
      </w:r>
      <w:r>
        <w:rPr>
          <w:rFonts w:ascii="Arial" w:cs="Arial" w:eastAsia="Arial" w:hAnsi="Arial"/>
          <w:sz w:val="18"/>
          <w:szCs w:val="18"/>
          <w:u w:val="single" w:color="auto"/>
          <w:color w:val="auto"/>
        </w:rPr>
        <w:t>Securities</w:t>
      </w:r>
      <w:r>
        <w:rPr>
          <w:rFonts w:ascii="Arial" w:cs="Arial" w:eastAsia="Arial" w:hAnsi="Arial"/>
          <w:sz w:val="18"/>
          <w:szCs w:val="18"/>
          <w:color w:val="auto"/>
        </w:rPr>
        <w:t>”) evidencing its secured or unsecured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this Indenture (as defined herein) is subject to the provisions of the Trust Indenture Act (as defined herein), that are required to be part of this Indenture and shall, to the extent applicable, be governed by such provisions; and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and enforceable against, the Company, in accordance with its terms, have been done.</w:t>
      </w:r>
    </w:p>
    <w:p>
      <w:pPr>
        <w:spacing w:after="0" w:line="17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NOW, THEREFORE, for and in consideration of the premises and the purchase of the Securities by the Holders (as defined herein) thereof, it is mutually covenanted and agreed, for the benefit of each other and for the equal and proportionate benefit of all Holders of the Securities, or of a series thereof, as follows: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right="200" w:firstLine="464"/>
        <w:spacing w:after="0" w:line="342" w:lineRule="auto"/>
        <w:tabs>
          <w:tab w:leader="none" w:pos="70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spacing w:after="0" w:line="123" w:lineRule="exact"/>
        <w:rPr>
          <w:rFonts w:ascii="Arial" w:cs="Arial" w:eastAsia="Arial" w:hAnsi="Arial"/>
          <w:sz w:val="16"/>
          <w:szCs w:val="16"/>
          <w:color w:val="auto"/>
        </w:rPr>
      </w:pPr>
    </w:p>
    <w:p>
      <w:pPr>
        <w:jc w:val="both"/>
        <w:ind w:right="80" w:firstLine="464"/>
        <w:spacing w:after="0" w:line="264" w:lineRule="auto"/>
        <w:tabs>
          <w:tab w:leader="none" w:pos="711"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12" w:name="page13"/>
    <w:bookmarkEnd w:id="12"/>
    <w:p>
      <w:pPr>
        <w:ind w:right="100" w:firstLine="464"/>
        <w:spacing w:after="0" w:line="277" w:lineRule="auto"/>
        <w:tabs>
          <w:tab w:leader="none" w:pos="701"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accounting terms not otherwise defined herein have the meanings assigned to them in accordance with generally accepted accounting principles in the United States of America;</w:t>
      </w:r>
    </w:p>
    <w:p>
      <w:pPr>
        <w:spacing w:after="0" w:line="170"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right="340" w:firstLine="464"/>
        <w:spacing w:after="0" w:line="277" w:lineRule="auto"/>
        <w:tabs>
          <w:tab w:leader="none" w:pos="681"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 references to sections of or rules under the Exchange Act shall be deemed to include substitute, replacement of successor sections or rules adopted by the Commission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terms, used in other Articles herein, are defined in those Articles.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of a Security, has the meaning specified in Section 1.04.</w:t>
      </w:r>
    </w:p>
    <w:p>
      <w:pPr>
        <w:spacing w:after="0" w:line="225"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Amounts</w:t>
      </w:r>
      <w:r>
        <w:rPr>
          <w:rFonts w:ascii="Arial" w:cs="Arial" w:eastAsia="Arial" w:hAnsi="Arial"/>
          <w:sz w:val="16"/>
          <w:szCs w:val="16"/>
          <w:color w:val="auto"/>
        </w:rPr>
        <w:t>” means any additional amounts that are required by a Security or by or pursuant to a Board Resolution, under circumstances specified therein, to be paid by the Company in respect of certain taxes imposed on certain Holders and that are owing to such Holders.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Authenticating Agent, or Depositary Custodian.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matter at any time relating to a Global Note, the rules, policies and procedures of the Depositary applicable to such matter.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the Trustee or any authenticating agent appointed by the Trustee pursuant to Section 6.12 to act on behalf of the Trustee to authenticate Securities of one or more series.</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Newspaper</w:t>
      </w:r>
      <w:r>
        <w:rPr>
          <w:rFonts w:ascii="Arial" w:cs="Arial" w:eastAsia="Arial" w:hAnsi="Arial"/>
          <w:sz w:val="16"/>
          <w:szCs w:val="16"/>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 or any committee of that board duly authorized to act hereunder.</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that is not a day on which the Corporate Trust Office or banking institutions in that Place of Payment or particular location are authorized or obligated by law or executive order to close.</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a Chief Executive Officer, and by the Chief Financial Officer, the Chief Operating Officer, Chief Compliance Officer, any President or Vice President, the Secretary or an Assistant Secretary, of the Company, and delivered to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Component Currency</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u w:val="single" w:color="auto"/>
          <w:color w:val="auto"/>
        </w:rPr>
        <w:t>“Controlled Subsidiary”</w:t>
      </w:r>
      <w:r>
        <w:rPr>
          <w:rFonts w:ascii="Arial" w:cs="Arial" w:eastAsia="Arial" w:hAnsi="Arial"/>
          <w:sz w:val="18"/>
          <w:szCs w:val="18"/>
          <w:color w:val="auto"/>
        </w:rPr>
        <w:t xml:space="preserve">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has the meaning specified in Section 3.12(d).</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in respect of this Indenture shall be administered, which office at the date hereof is located at 1 Independent Drive, Suite 620, Jacksonville, Florida 32202 Attention: Corporate, Municipal and Escrow Services, and for Agent services such office shall also mean the office or agency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Trustee located at Corporate Trust Operations, MAC N9300-070, 600 South Fourth Street, Seventh Floor, Minneapolis, MN 55415, or the principal corporate trust office of any successor Trustee (or such other address as such successor Trustee may designate from time to time by notice to the Holders and the Company) or if at any time there is more than one Trustee, means the Corporate Trust Office of any such other Trustee with respect to the Securities of the applicable series.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any currency or currencies, composite currency or currency unit or currency units, including, without limitation, the ECU, issued by the government of one or more countries or by any reorganized confederation or association of such governments.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3.07(a).</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each global Security, the Person specified in Section 3.03 as the Depositary with respect to such Securities, until a successor shall have been appointed and become such pursuant to the applicable provisions of this Indenture, and thereafter,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or include such successor.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 Custodian</w:t>
      </w:r>
      <w:r>
        <w:rPr>
          <w:rFonts w:ascii="Arial" w:cs="Arial" w:eastAsia="Arial" w:hAnsi="Arial"/>
          <w:sz w:val="18"/>
          <w:szCs w:val="18"/>
          <w:color w:val="auto"/>
        </w:rPr>
        <w:t>” means the Trustee as custodian with respect to the Global Notes or any successor entity thereto.</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shall be legal tender for the payment of public and private debts.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Date</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European Communities</w:t>
      </w:r>
      <w:r>
        <w:rPr>
          <w:rFonts w:ascii="Arial" w:cs="Arial" w:eastAsia="Arial" w:hAnsi="Arial"/>
          <w:sz w:val="17"/>
          <w:szCs w:val="17"/>
          <w:color w:val="auto"/>
        </w:rPr>
        <w:t>” means the European Union, the European Coal and Steel Community and the European Atomic Energy Community.</w:t>
      </w:r>
    </w:p>
    <w:p>
      <w:pPr>
        <w:spacing w:after="0" w:line="23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and the rules and regulations promulgated by the Commission thereunder and any statute successor thereto, in each case as amended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5" w:name="page16"/>
    <w:bookmarkEnd w:id="15"/>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Exchange Rate Agent</w:t>
      </w:r>
      <w:r>
        <w:rPr>
          <w:rFonts w:ascii="Arial" w:cs="Arial" w:eastAsia="Arial" w:hAnsi="Arial"/>
          <w:sz w:val="18"/>
          <w:szCs w:val="18"/>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 Officer’s Certificate</w:t>
      </w:r>
      <w:r>
        <w:rPr>
          <w:rFonts w:ascii="Arial" w:cs="Arial" w:eastAsia="Arial" w:hAnsi="Arial"/>
          <w:sz w:val="17"/>
          <w:szCs w:val="17"/>
          <w:color w:val="auto"/>
        </w:rPr>
        <w:t>” means a certificate setting forth (i) the applicable Market Exchange Rate or the applicable bid quotation and</w:t>
      </w:r>
    </w:p>
    <w:p>
      <w:pPr>
        <w:spacing w:after="0" w:line="35" w:lineRule="exact"/>
        <w:rPr>
          <w:sz w:val="20"/>
          <w:szCs w:val="20"/>
          <w:color w:val="auto"/>
        </w:rPr>
      </w:pPr>
    </w:p>
    <w:p>
      <w:pPr>
        <w:ind w:firstLine="8"/>
        <w:spacing w:after="0" w:line="254"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Financial Officer or any President or Vice President of the Company.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Notice</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Period</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Currency, including, without limitation, the ECU, issued by the government of one or more countries other than the United States of America or by any recognized confederation or association of such governments.</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means securities that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that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that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2"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the rules, regulations and interpretations promulgated thereunder, to the extent applicable, and any statute successor thereto.</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Junior Subordinated Securities</w:t>
      </w:r>
      <w:r>
        <w:rPr>
          <w:rFonts w:ascii="Arial" w:cs="Arial" w:eastAsia="Arial" w:hAnsi="Arial"/>
          <w:sz w:val="18"/>
          <w:szCs w:val="18"/>
          <w:color w:val="auto"/>
        </w:rPr>
        <w:t>” means any Security or Securities designated pursuant to Section 3.01 as a Junior Subordinated Security.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Indebtedness</w:t>
      </w:r>
      <w:r>
        <w:rPr>
          <w:rFonts w:ascii="Arial" w:cs="Arial" w:eastAsia="Arial" w:hAnsi="Arial"/>
          <w:sz w:val="18"/>
          <w:szCs w:val="18"/>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ranks junior in right of payment to the Company’s Senior Indebtedness and Senior Subordinated Indebtedness and equally and pari passu in right of payment to any other Junior Subordinated Indebtedness, (b) Junior Subordinated Securities, and (c) renewals, extensions, modifications and refinancings of any such indebtedness.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7" w:name="page18"/>
    <w:bookmarkEnd w:id="17"/>
    <w:p>
      <w:pPr>
        <w:ind w:right="40"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Market Exchange Rate</w:t>
      </w:r>
      <w:r>
        <w:rPr>
          <w:rFonts w:ascii="Arial" w:cs="Arial" w:eastAsia="Arial" w:hAnsi="Arial"/>
          <w:sz w:val="16"/>
          <w:szCs w:val="16"/>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w:t>
      </w:r>
    </w:p>
    <w:p>
      <w:pPr>
        <w:spacing w:after="0" w:line="7" w:lineRule="exact"/>
        <w:rPr>
          <w:sz w:val="20"/>
          <w:szCs w:val="20"/>
          <w:color w:val="auto"/>
        </w:rPr>
      </w:pPr>
    </w:p>
    <w:p>
      <w:pPr>
        <w:ind w:right="60" w:firstLine="8"/>
        <w:spacing w:after="0" w:line="252"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 as determined by the Exchange Rate Agent, in its sole discretion.</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has the meaning provided in Section 5.01.</w:t>
      </w:r>
    </w:p>
    <w:p>
      <w:pPr>
        <w:spacing w:after="0" w:line="225"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means a certificate signed by a Chief Executive Officer and by the Chief Financial Officer, the Chief Operating Officer, the Chief Compliance Officer, any President or Vice President, the Secretary or an Assistant Secretary of the Company, and delivered to the Trustee.</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the Company, or other counsel acceptable to the Trustee.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Reset Date</w:t>
      </w:r>
      <w:r>
        <w:rPr>
          <w:rFonts w:ascii="Arial" w:cs="Arial" w:eastAsia="Arial" w:hAnsi="Arial"/>
          <w:sz w:val="18"/>
          <w:szCs w:val="18"/>
          <w:color w:val="auto"/>
        </w:rPr>
        <w:t>” has the meaning specified in Section 3.07(b).</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8" w:name="page19"/>
    <w:bookmarkEnd w:id="1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Stated Maturity</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or any series of Securities, means, as of the date of determination, all Securities or all Securities of such series, as the case may be,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62" w:lineRule="exact"/>
        <w:rPr>
          <w:sz w:val="20"/>
          <w:szCs w:val="20"/>
          <w:color w:val="auto"/>
        </w:rPr>
      </w:pPr>
    </w:p>
    <w:p>
      <w:pPr>
        <w:ind w:left="1120" w:hanging="21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17" w:lineRule="exact"/>
        <w:rPr>
          <w:rFonts w:ascii="Arial" w:cs="Arial" w:eastAsia="Arial" w:hAnsi="Arial"/>
          <w:sz w:val="18"/>
          <w:szCs w:val="18"/>
          <w:color w:val="auto"/>
        </w:rPr>
      </w:pPr>
    </w:p>
    <w:p>
      <w:pPr>
        <w:ind w:left="460" w:right="200" w:firstLine="443"/>
        <w:spacing w:after="0" w:line="302" w:lineRule="auto"/>
        <w:tabs>
          <w:tab w:leader="none" w:pos="1163"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Securities are to be redeemed, notice of such redemption has been duly given pursuant to this Indenture or provision therefor satisfactory to the Trustee has been made;</w:t>
      </w:r>
    </w:p>
    <w:p>
      <w:pPr>
        <w:spacing w:after="0" w:line="46" w:lineRule="exact"/>
        <w:rPr>
          <w:rFonts w:ascii="Arial" w:cs="Arial" w:eastAsia="Arial" w:hAnsi="Arial"/>
          <w:sz w:val="16"/>
          <w:szCs w:val="16"/>
          <w:color w:val="auto"/>
        </w:rPr>
      </w:pPr>
    </w:p>
    <w:p>
      <w:pPr>
        <w:ind w:left="460" w:right="340" w:firstLine="443"/>
        <w:spacing w:after="0" w:line="277" w:lineRule="auto"/>
        <w:tabs>
          <w:tab w:leader="none" w:pos="1213"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62" w:lineRule="exact"/>
        <w:rPr>
          <w:rFonts w:ascii="Arial" w:cs="Arial" w:eastAsia="Arial" w:hAnsi="Arial"/>
          <w:sz w:val="18"/>
          <w:szCs w:val="18"/>
          <w:color w:val="auto"/>
        </w:rPr>
      </w:pPr>
    </w:p>
    <w:p>
      <w:pPr>
        <w:ind w:left="460" w:right="60" w:firstLine="443"/>
        <w:spacing w:after="0" w:line="286" w:lineRule="auto"/>
        <w:tabs>
          <w:tab w:leader="none" w:pos="1203"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9" w:name="page20"/>
    <w:bookmarkEnd w:id="1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9"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premium, if any) or interest, if any, on any Securities on behalf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Securities</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1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when used with respect to the Securities of or within any series, means the place or places where the principal of (and premium, if any) and interest, if any, on such Securities are payable as specified and as contemplated by Sections 3.01 and 10.02.</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Predecessor Security</w:t>
      </w:r>
      <w:r>
        <w:rPr>
          <w:rFonts w:ascii="Arial" w:cs="Arial" w:eastAsia="Arial" w:hAnsi="Arial"/>
          <w:sz w:val="17"/>
          <w:szCs w:val="17"/>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Security to be redeemed, means the price at which it is to be redeemed pursuant to this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that is registered in the Security Register.</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means the date fixed for such repayment by or pursuant to this Indenture.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means the price at which it is to be repaid by or pursuant to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Notice</w:t>
      </w:r>
      <w:r>
        <w:rPr>
          <w:rFonts w:ascii="Arial" w:cs="Arial" w:eastAsia="Arial" w:hAnsi="Arial"/>
          <w:sz w:val="18"/>
          <w:szCs w:val="18"/>
          <w:color w:val="auto"/>
        </w:rPr>
        <w:t>” has the meaning specified in Section 3.07(b).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 w:name="page21"/>
    <w:bookmarkEnd w:id="20"/>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assigned by the Trustee to administer its corporate trust matters who shall have direct responsibility for the administration of this Indenture, or any other officer to whom any corporate trust matter is referred because of such officer’s knowledge of and familiarity with the particular subject.</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under which the same is outstanding it is provided that such indebtedness is not senior or prior in right of payment to Subordinated Indebtedness, (b) Senior Securities, and (c) renewals, extensions, modifications and refinancings of any such indebtedness.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Security or Securities designated pursuant to Section 3.01 as a Senior Security.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Indebtedness</w:t>
      </w:r>
      <w:r>
        <w:rPr>
          <w:rFonts w:ascii="Arial" w:cs="Arial" w:eastAsia="Arial" w:hAnsi="Arial"/>
          <w:sz w:val="18"/>
          <w:szCs w:val="18"/>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that in the instrument creating or evidencing the same or pursuant to which the same is outstanding it is provided that such indebtedness ranks junior in right of payment to the Company’s Senior Indebtedness, equally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Subordinated Securities</w:t>
      </w:r>
      <w:r>
        <w:rPr>
          <w:rFonts w:ascii="Arial" w:cs="Arial" w:eastAsia="Arial" w:hAnsi="Arial"/>
          <w:sz w:val="18"/>
          <w:szCs w:val="18"/>
          <w:color w:val="auto"/>
        </w:rPr>
        <w:t>” means any Security or Securities designated pursuant to Section 3.01 as a Senior Subordinated Security.</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means any Subsidiary that would be a “significant subsidiary” as defined in Article 1, Rule 1-02 of Regulation S-X under the Exchange Act, as such regulation is in effect on the original date of this Indenture (but excluding any Subsidiary which is (a) a non-recourse or limited recourse Subsidiary, (b) a bankruptcy remote special purpose vehicle or (c) is not consolidated with the Company for purposes of GAAP).</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1" w:name="page22"/>
    <w:bookmarkEnd w:id="21"/>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Trustee pursuant to Section 3.07.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Amount</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Senior Subordinated Indebtedness or Junior Subordinated Indebtedness.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Interest Period</w:t>
      </w:r>
      <w:r>
        <w:rPr>
          <w:rFonts w:ascii="Arial" w:cs="Arial" w:eastAsia="Arial" w:hAnsi="Arial"/>
          <w:sz w:val="18"/>
          <w:szCs w:val="18"/>
          <w:color w:val="auto"/>
        </w:rPr>
        <w:t>” has the meaning specified in Section 3.07(b).</w:t>
      </w:r>
    </w:p>
    <w:p>
      <w:pPr>
        <w:spacing w:after="0" w:line="22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15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as in force at the date as of which this Indenture was executed, except as provided in Section 9.05.</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means, unless otherwise specified with respect to any Securities pursuant to Section 3.01,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Valuation Date</w:t>
      </w:r>
      <w:r>
        <w:rPr>
          <w:rFonts w:ascii="Arial" w:cs="Arial" w:eastAsia="Arial" w:hAnsi="Arial"/>
          <w:sz w:val="18"/>
          <w:szCs w:val="18"/>
          <w:color w:val="auto"/>
        </w:rPr>
        <w:t>” has the meaning specified in Section 3.12(c).</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3"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pursuant to Section 10.05) shall include;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a statement that each individual signing such certificate or opinion has read such condition or covenant and the definitions herein relating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a brief statement as to the nature and scope of the examination or investigation upon which the statements contained in such certificate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w:t>
      </w:r>
    </w:p>
    <w:p>
      <w:pPr>
        <w:spacing w:after="0" w:line="211" w:lineRule="exact"/>
        <w:rPr>
          <w:sz w:val="20"/>
          <w:szCs w:val="20"/>
          <w:color w:val="auto"/>
        </w:rPr>
      </w:pPr>
    </w:p>
    <w:p>
      <w:pPr>
        <w:ind w:right="140" w:firstLine="921"/>
        <w:spacing w:after="0" w:line="277" w:lineRule="auto"/>
        <w:tabs>
          <w:tab w:leader="none" w:pos="115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statement that such individual signing the certificate or opinion has made such examination or investigation as is necessary to enable such individual to express an informed opinion as to whether or not such condition or covenant has been complied with;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statement as to whether in the opinion of such individual such condition or covenant has been complied 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23" w:name="page24"/>
    <w:bookmarkEnd w:id="23"/>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64" w:lineRule="auto"/>
        <w:tabs>
          <w:tab w:leader="none" w:pos="114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8" w:lineRule="exact"/>
        <w:rPr>
          <w:sz w:val="20"/>
          <w:szCs w:val="20"/>
          <w:color w:val="auto"/>
        </w:rPr>
      </w:pPr>
    </w:p>
    <w:p>
      <w:pPr>
        <w:ind w:firstLine="921"/>
        <w:spacing w:after="0" w:line="297" w:lineRule="auto"/>
        <w:tabs>
          <w:tab w:leader="none" w:pos="11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58" w:lineRule="exact"/>
        <w:rPr>
          <w:rFonts w:ascii="Arial" w:cs="Arial" w:eastAsia="Arial" w:hAnsi="Arial"/>
          <w:sz w:val="16"/>
          <w:szCs w:val="16"/>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 [Reserved]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4" w:name="page25"/>
    <w:bookmarkEnd w:id="24"/>
    <w:p>
      <w:pPr>
        <w:ind w:firstLine="921"/>
        <w:spacing w:after="0" w:line="269" w:lineRule="auto"/>
        <w:tabs>
          <w:tab w:leader="none" w:pos="1158"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82" w:lineRule="exact"/>
        <w:rPr>
          <w:rFonts w:ascii="Arial" w:cs="Arial" w:eastAsia="Arial" w:hAnsi="Arial"/>
          <w:sz w:val="17"/>
          <w:szCs w:val="17"/>
          <w:color w:val="auto"/>
        </w:rPr>
      </w:pPr>
    </w:p>
    <w:p>
      <w:pPr>
        <w:jc w:val="both"/>
        <w:ind w:right="60" w:firstLine="921"/>
        <w:spacing w:after="0" w:line="259" w:lineRule="auto"/>
        <w:tabs>
          <w:tab w:leader="none" w:pos="11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62" w:lineRule="exact"/>
        <w:rPr>
          <w:sz w:val="20"/>
          <w:szCs w:val="20"/>
          <w:color w:val="auto"/>
        </w:rPr>
      </w:pPr>
    </w:p>
    <w:p>
      <w:pPr>
        <w:ind w:left="460" w:right="20" w:firstLine="443"/>
        <w:spacing w:after="0" w:line="264" w:lineRule="auto"/>
        <w:tabs>
          <w:tab w:leader="none" w:pos="11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in writing and sent, first-class postage prepaid, or sent via overnight courier guaranteeing next day delivery, or same day messenger service or by electronic mail (in PDF) to the Trustee at its Corporate Trust Office, Attention: TPG Specialty Lending, or</w:t>
      </w:r>
    </w:p>
    <w:p>
      <w:pPr>
        <w:spacing w:after="0" w:line="73" w:lineRule="exact"/>
        <w:rPr>
          <w:rFonts w:ascii="Arial" w:cs="Arial" w:eastAsia="Arial" w:hAnsi="Arial"/>
          <w:sz w:val="18"/>
          <w:szCs w:val="18"/>
          <w:color w:val="auto"/>
        </w:rPr>
      </w:pPr>
    </w:p>
    <w:p>
      <w:pPr>
        <w:ind w:left="460" w:right="120" w:firstLine="443"/>
        <w:spacing w:after="0" w:line="259" w:lineRule="auto"/>
        <w:tabs>
          <w:tab w:leader="none" w:pos="11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sent, first-class postage prepaid, or sent via overnight courier guaranteeing next day delivery, or same day messenger service, or by electronic mail (in PDF), to the Company, to the attention of its Chief Financial Officer at 888 Seventh Avenue, 35th Floor, New York, New York 10019, with a copy to the TSL Chief Compliance Officer at the same address.</w:t>
      </w:r>
    </w:p>
    <w:p>
      <w:pPr>
        <w:spacing w:after="0" w:line="187" w:lineRule="exact"/>
        <w:rPr>
          <w:sz w:val="20"/>
          <w:szCs w:val="20"/>
          <w:color w:val="auto"/>
        </w:rPr>
      </w:pPr>
    </w:p>
    <w:p>
      <w:pPr>
        <w:jc w:val="center"/>
        <w:ind w:right="200"/>
        <w:spacing w:after="0" w:line="449" w:lineRule="auto"/>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 communications. 14</w:t>
      </w:r>
    </w:p>
    <w:p>
      <w:pPr>
        <w:sectPr>
          <w:pgSz w:w="11900" w:h="16838" w:orient="portrait"/>
          <w:cols w:equalWidth="0" w:num="1">
            <w:col w:w="11400"/>
          </w:cols>
          <w:pgMar w:left="240" w:top="274" w:right="259" w:bottom="1440" w:gutter="0" w:footer="0" w:header="0"/>
        </w:sectPr>
      </w:pPr>
    </w:p>
    <w:bookmarkStart w:id="25" w:name="page26"/>
    <w:bookmarkEnd w:id="25"/>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notices and communications (other than those sent to Holders) shall be deemed to have been duly given: (i) at the time delivered by hand, if personally delivered; (ii) when return receipt is delivered, if delivered by electronic mail; (iii) five Business Days after being deposited in the mail, postage prepaid; and (iv) the next Business Day after timely delivery to the courier, if sent by overnight air courier guaranteeing next day delivery. Notice to the Trustee shall be effective only if such receipt is acknowledged.</w:t>
      </w:r>
    </w:p>
    <w:p>
      <w:pPr>
        <w:spacing w:after="0" w:line="18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Whenever under this Indenture the Trustee or the Company is required to provide any notice by mail, in all cases each of the Trustee and the Company may alternatively provide notice by overnight courier, by facsimile, with confirmation of transmission, or by electronic mail, with return receipt requested.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Where this Indenture provides for notice of any event to Holders of Registered Securities by the Company or the Trustee, such notice shall be sufficiently given (unless otherwise herein expressly provided) if in writing and mailed, first-class postage prepaid, by overnight courier guaranteeing next day delivery, by facsimile or by electronic mail to each such Holder affected by such event, at his address, facsimile number or email address as it appears in the Security Register, not later than the latest date, and not earlier than the earliest date, prescribed for the giving of such notice. Any notice or communication shall also be so delivered to any Person described in TIA Section 313(c), to the extent required by the TIA. In any case where notice to Holders of Registered Securities is given as provided herein, neither the failure to send such notice, nor any defect in any notice so sent,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 In the case of a global Security, notices shall be given in accordance with the applicable procedures of the Depositary. Notwithstanding any other provision of this Indenture or any Note, where this Indenture or any Note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Procedures.</w:t>
      </w:r>
    </w:p>
    <w:p>
      <w:pPr>
        <w:spacing w:after="0" w:line="16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1.07.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Article and Section headings herein, the TIA cross reference table, and the Table of Contents are for convenience only and shall not affect the construction hereof.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any Security Registrar, any Depositary Custodian, any Paying Agent, any Authenticating Agent and their successors hereunder and the Holders any benefit or any legal or equitable right, remedy or claim under this Indenture.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This Indenture and the Securities shall be governed by and construed in accordance with the law of the State of New York without regard to principles of conflicts of laws that would cause the application of laws of another jurisdiction. This Indenture is subject to the provisions of the Trust Indenture Act that are required to be part of this Indenture and shall, to the extent applicable, be governed by such provisions.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interest shall accrue on the amount so payable for the period from and after such Interest Payment Date, Redemption Date, Repayment Date, sinking fund payment date, Stated Maturity or Maturity, as the case may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1.13.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 hereby irrevocably submits to the non-exclusive jurisdiction of any New York state or federal court sitting in The City of New York, New York County in any action or proceeding arising out of or relating to the Indenture and the Securities of any series, and the Company hereby irrevocably agrees that all claims in respect of such action or proceeding may be heard and determined in such New York state or federal court. The Company hereby irrevocably waives, to the fullest extent it may effectively do so, the defense of an inconvenient forum to the maintenance of such action or proceeding.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1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of Securities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Registered Securities of each series,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definitive Securities shall be printed, lithographed or engraved or produced by any combination of these methods on a steel engraved border or steel engraved borders or may be produced in any other manner, all as determined by the officers executing such Securities, as evidenced by their execution of such Securities.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Section 6.12, the Trustee’s certificate of authentication shall be in substantially the following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Securities Issuable in Global Form</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Securities of or within a series are issuable in global form, as specified as contemplated by Section 3.01, then, notwithstanding clause (viii)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w:t>
      </w:r>
    </w:p>
    <w:p>
      <w:pPr>
        <w:spacing w:after="0" w:line="18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provisions of the second to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with regard to the reduction in the principal amount of Securities represented thereby, together with the written statement contemplated by the second to last sentence of Section 3.03.</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 Neither the Trustee nor any Agent shall have responsibility for any actions taken or not taken by the Depositary.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9" w:name="page30"/>
    <w:bookmarkEnd w:id="29"/>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the Trustee, any authenticating agent, any Paying Agent, and any Securities Registrar may deem the Person in whose name a Security shall be registered upon the Security Register to be, and may treat it as, the absolute owner of such Security (whether or not such Security shall be overdue and notwithstanding any notation of ownership or other writing thereon made by any Person other than the Company or any Security Registrar) for the purpose of receiving payment of or on account of the principal of and (subject to Section 3.07) accrued and unpaid interest on such Security, for conversion of such Security and for all other purposes; and neither the Company nor the Trustee nor any Paying Agent nor any Conversion Agent nor any Security Registrar shall be affected by any notice to the contrary. All such payments so made to any Holder for the time being, or upon its order, shall be valid, and, to the extent of the sum or sums so paid, effectual to satisfy and discharge the liability for monies payable upon any such Security.</w:t>
      </w:r>
    </w:p>
    <w:p>
      <w:pPr>
        <w:spacing w:after="0" w:line="16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Certificated Notes</w:t>
      </w:r>
      <w:r>
        <w:rPr>
          <w:rFonts w:ascii="Arial" w:cs="Arial" w:eastAsia="Arial" w:hAnsi="Arial"/>
          <w:sz w:val="18"/>
          <w:szCs w:val="18"/>
          <w:color w:val="auto"/>
        </w:rPr>
        <w:t>.</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Notwithstanding anything to the contrary, Securities in physical, certificated form will be issued and delivered to each person that the Depositary identifies as a beneficial owner of the related Securities only if:</w:t>
      </w:r>
    </w:p>
    <w:p>
      <w:pPr>
        <w:spacing w:after="0" w:line="170" w:lineRule="exact"/>
        <w:rPr>
          <w:sz w:val="20"/>
          <w:szCs w:val="20"/>
          <w:color w:val="auto"/>
        </w:rPr>
      </w:pPr>
    </w:p>
    <w:p>
      <w:pPr>
        <w:ind w:right="520" w:firstLine="464"/>
        <w:spacing w:after="0" w:line="277"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Depositary notifies the Company at any time that it is unwilling or unable to continue as depositary for the Securities in global form and a successor depositary is not appointed within 90 days;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Depositary ceases to be registered as a clearing agency under the Exchange Act and a successor depositary is not appointed within 90 days; or</w:t>
      </w:r>
    </w:p>
    <w:p>
      <w:pPr>
        <w:spacing w:after="0" w:line="248" w:lineRule="exact"/>
        <w:rPr>
          <w:rFonts w:ascii="Arial" w:cs="Arial" w:eastAsia="Arial" w:hAnsi="Arial"/>
          <w:sz w:val="16"/>
          <w:szCs w:val="16"/>
          <w:color w:val="auto"/>
        </w:rPr>
      </w:pPr>
    </w:p>
    <w:p>
      <w:pPr>
        <w:ind w:right="180" w:firstLine="464"/>
        <w:spacing w:after="0" w:line="277"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Event of Default with respect to the Securities has occurred and is continuing and such beneficial owner requests that its Securities be issued in physical, certificated form.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THREE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 xml:space="preserve">The Securities may be issued in one or more series, each of which may consist of one or more tranches, and shall be designated as Senior Securities, Senior Subordinated Securities or Junior Subordinated Securities. Senior Securities are unsubordinated, shall rank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of the Company’s Senior Indebtedness and senior to all Subordinated Securities. Senior Subordinated Securities shall rank junior to the Company’s Senior Indebtedness,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Senior Subordinated Indebtedness and senior to any Junior Subordinated Indebtedness. Junior Subordinated Securities shall rank junior to the Company’s Senior Indebtedness and any Senior Subordinated Indebtedness and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Junior Subordinated Indebtedness. There shall be (i) established in one or more Board Resolutions or pursuant to authority granted by one or more Board Resolutions and, subject to Section 3.03, set forth, or determined in the manner provided, in an Officers’ Certificate, or (ii) established in one or more indentures supplemental hereto, prior to the issuance of Securities of any series, any or all of the following, as applicable (each of which (except for the matters set forth in clauses (i), (ii) and (xv) below), if so provided, may be determined from time to time by the Company with respect to unissued Securities of the series when issued from time to time, as provided in Section 3.03):</w:t>
      </w:r>
    </w:p>
    <w:p>
      <w:pPr>
        <w:spacing w:after="0" w:line="70" w:lineRule="exact"/>
        <w:rPr>
          <w:sz w:val="20"/>
          <w:szCs w:val="20"/>
          <w:color w:val="auto"/>
        </w:rPr>
      </w:pPr>
    </w:p>
    <w:p>
      <w:pPr>
        <w:ind w:left="460" w:right="160" w:firstLine="443"/>
        <w:spacing w:after="0" w:line="277" w:lineRule="auto"/>
        <w:tabs>
          <w:tab w:leader="none" w:pos="1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62" w:lineRule="exact"/>
        <w:rPr>
          <w:rFonts w:ascii="Arial" w:cs="Arial" w:eastAsia="Arial" w:hAnsi="Arial"/>
          <w:sz w:val="18"/>
          <w:szCs w:val="18"/>
          <w:color w:val="auto"/>
        </w:rPr>
      </w:pPr>
    </w:p>
    <w:p>
      <w:pPr>
        <w:ind w:left="460" w:firstLine="443"/>
        <w:spacing w:after="0" w:line="259" w:lineRule="auto"/>
        <w:tabs>
          <w:tab w:leader="none" w:pos="11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78" w:lineRule="exact"/>
        <w:rPr>
          <w:rFonts w:ascii="Arial" w:cs="Arial" w:eastAsia="Arial" w:hAnsi="Arial"/>
          <w:sz w:val="18"/>
          <w:szCs w:val="18"/>
          <w:color w:val="auto"/>
        </w:rPr>
      </w:pPr>
    </w:p>
    <w:p>
      <w:pPr>
        <w:ind w:left="460" w:right="220" w:firstLine="443"/>
        <w:spacing w:after="0" w:line="277" w:lineRule="auto"/>
        <w:tabs>
          <w:tab w:leader="none" w:pos="12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or dates, or the method by which such date or dates will be determined or extended, on which the principal of the Securities of the series shall be payable;</w:t>
      </w:r>
    </w:p>
    <w:p>
      <w:pPr>
        <w:spacing w:after="0" w:line="62" w:lineRule="exact"/>
        <w:rPr>
          <w:rFonts w:ascii="Arial" w:cs="Arial" w:eastAsia="Arial" w:hAnsi="Arial"/>
          <w:sz w:val="18"/>
          <w:szCs w:val="18"/>
          <w:color w:val="auto"/>
        </w:rPr>
      </w:pPr>
    </w:p>
    <w:p>
      <w:pPr>
        <w:ind w:left="460" w:right="100" w:firstLine="443"/>
        <w:spacing w:after="0" w:line="257" w:lineRule="auto"/>
        <w:tabs>
          <w:tab w:leader="none" w:pos="12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31" w:name="page32"/>
    <w:bookmarkEnd w:id="31"/>
    <w:p>
      <w:pPr>
        <w:jc w:val="both"/>
        <w:ind w:right="80" w:firstLine="443"/>
        <w:spacing w:after="0" w:line="257"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place or places, if any, other than or in addition to the Corporate Trust Office, where the principal of (and premium, if any) and interest, if any, on Securities of the series shall be payable, any Registered Securities of the series may be surrendered for registration of transfer, Securities of the series 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w:t>
      </w:r>
    </w:p>
    <w:p>
      <w:pPr>
        <w:spacing w:after="0" w:line="80" w:lineRule="exact"/>
        <w:rPr>
          <w:rFonts w:ascii="Arial" w:cs="Arial" w:eastAsia="Arial" w:hAnsi="Arial"/>
          <w:sz w:val="18"/>
          <w:szCs w:val="18"/>
          <w:color w:val="auto"/>
        </w:rPr>
      </w:pPr>
    </w:p>
    <w:p>
      <w:pPr>
        <w:jc w:val="both"/>
        <w:ind w:right="20" w:firstLine="443"/>
        <w:spacing w:after="0" w:line="264" w:lineRule="auto"/>
        <w:tabs>
          <w:tab w:leader="none" w:pos="7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73" w:lineRule="exact"/>
        <w:rPr>
          <w:rFonts w:ascii="Arial" w:cs="Arial" w:eastAsia="Arial" w:hAnsi="Arial"/>
          <w:sz w:val="18"/>
          <w:szCs w:val="18"/>
          <w:color w:val="auto"/>
        </w:rPr>
      </w:pPr>
    </w:p>
    <w:p>
      <w:pPr>
        <w:ind w:right="140" w:firstLine="443"/>
        <w:spacing w:after="0" w:line="259" w:lineRule="auto"/>
        <w:tabs>
          <w:tab w:leader="none" w:pos="7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78" w:lineRule="exact"/>
        <w:rPr>
          <w:rFonts w:ascii="Arial" w:cs="Arial" w:eastAsia="Arial" w:hAnsi="Arial"/>
          <w:sz w:val="18"/>
          <w:szCs w:val="18"/>
          <w:color w:val="auto"/>
        </w:rPr>
      </w:pPr>
    </w:p>
    <w:p>
      <w:pPr>
        <w:ind w:right="540" w:firstLine="443"/>
        <w:spacing w:after="0" w:line="277"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 or denominations in which any Registered Securities of the series shall be issuable;</w:t>
      </w:r>
    </w:p>
    <w:p>
      <w:pPr>
        <w:spacing w:after="0" w:line="62" w:lineRule="exact"/>
        <w:rPr>
          <w:rFonts w:ascii="Arial" w:cs="Arial" w:eastAsia="Arial" w:hAnsi="Arial"/>
          <w:sz w:val="18"/>
          <w:szCs w:val="18"/>
          <w:color w:val="auto"/>
        </w:rPr>
      </w:pPr>
    </w:p>
    <w:p>
      <w:pPr>
        <w:ind w:left="740" w:hanging="29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the Trustee, the identity of each Security Registrar, Depositary Custodian, and/or Paying Agent;</w:t>
      </w:r>
    </w:p>
    <w:p>
      <w:pPr>
        <w:spacing w:after="0" w:line="117" w:lineRule="exact"/>
        <w:rPr>
          <w:rFonts w:ascii="Arial" w:cs="Arial" w:eastAsia="Arial" w:hAnsi="Arial"/>
          <w:sz w:val="18"/>
          <w:szCs w:val="18"/>
          <w:color w:val="auto"/>
        </w:rPr>
      </w:pPr>
    </w:p>
    <w:p>
      <w:pPr>
        <w:ind w:firstLine="443"/>
        <w:spacing w:after="0" w:line="259" w:lineRule="auto"/>
        <w:tabs>
          <w:tab w:leader="none" w:pos="6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pacing w:after="0" w:line="78" w:lineRule="exact"/>
        <w:rPr>
          <w:rFonts w:ascii="Arial" w:cs="Arial" w:eastAsia="Arial" w:hAnsi="Arial"/>
          <w:sz w:val="18"/>
          <w:szCs w:val="18"/>
          <w:color w:val="auto"/>
        </w:rPr>
      </w:pPr>
    </w:p>
    <w:p>
      <w:pPr>
        <w:ind w:right="280" w:firstLine="443"/>
        <w:spacing w:after="0" w:line="264" w:lineRule="auto"/>
        <w:tabs>
          <w:tab w:leader="none" w:pos="7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73" w:lineRule="exact"/>
        <w:rPr>
          <w:rFonts w:ascii="Arial" w:cs="Arial" w:eastAsia="Arial" w:hAnsi="Arial"/>
          <w:sz w:val="18"/>
          <w:szCs w:val="18"/>
          <w:color w:val="auto"/>
        </w:rPr>
      </w:pPr>
    </w:p>
    <w:p>
      <w:pPr>
        <w:jc w:val="both"/>
        <w:ind w:right="300" w:firstLine="443"/>
        <w:spacing w:after="0" w:line="264" w:lineRule="auto"/>
        <w:tabs>
          <w:tab w:leader="none" w:pos="7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73" w:lineRule="exact"/>
        <w:rPr>
          <w:rFonts w:ascii="Arial" w:cs="Arial" w:eastAsia="Arial" w:hAnsi="Arial"/>
          <w:sz w:val="18"/>
          <w:szCs w:val="18"/>
          <w:color w:val="auto"/>
        </w:rPr>
      </w:pPr>
    </w:p>
    <w:p>
      <w:pPr>
        <w:ind w:right="40" w:firstLine="443"/>
        <w:spacing w:after="0" w:line="259"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which such Securities are denominated or stated to be payable and the Currency or Currencies in which such Securities are to be paid, in each case in accordance with, in addition to or in lieu of any of the provisions of Section 3.12;</w:t>
      </w:r>
    </w:p>
    <w:p>
      <w:pPr>
        <w:spacing w:after="0" w:line="62" w:lineRule="exact"/>
        <w:rPr>
          <w:sz w:val="20"/>
          <w:szCs w:val="20"/>
          <w:color w:val="auto"/>
        </w:rPr>
      </w:pPr>
    </w:p>
    <w:p>
      <w:pPr>
        <w:ind w:right="660" w:firstLine="443"/>
        <w:spacing w:after="0" w:line="277" w:lineRule="auto"/>
        <w:tabs>
          <w:tab w:leader="none" w:pos="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provisions, if any, granting special rights to the Holders of Securities of the series, including, without limitation, with respect to any collateral securing such Securities;</w:t>
      </w:r>
    </w:p>
    <w:p>
      <w:pPr>
        <w:spacing w:after="0" w:line="62" w:lineRule="exact"/>
        <w:rPr>
          <w:rFonts w:ascii="Arial" w:cs="Arial" w:eastAsia="Arial" w:hAnsi="Arial"/>
          <w:sz w:val="18"/>
          <w:szCs w:val="18"/>
          <w:color w:val="auto"/>
        </w:rPr>
      </w:pPr>
    </w:p>
    <w:p>
      <w:pPr>
        <w:jc w:val="both"/>
        <w:ind w:right="260" w:firstLine="443"/>
        <w:spacing w:after="0" w:line="264" w:lineRule="auto"/>
        <w:tabs>
          <w:tab w:leader="none" w:pos="7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(including any deletions from, modifications of or additions to any of the provisions of Section 10.06) of the Company with respect to Securities of the series, whether or not such Events of Default or covenants are consistent with the Events of Default or covenants set forth herein;</w:t>
      </w:r>
    </w:p>
    <w:p>
      <w:pPr>
        <w:spacing w:after="0" w:line="73" w:lineRule="exact"/>
        <w:rPr>
          <w:rFonts w:ascii="Arial" w:cs="Arial" w:eastAsia="Arial" w:hAnsi="Arial"/>
          <w:sz w:val="18"/>
          <w:szCs w:val="18"/>
          <w:color w:val="auto"/>
        </w:rPr>
      </w:pPr>
    </w:p>
    <w:p>
      <w:pPr>
        <w:ind w:firstLine="443"/>
        <w:spacing w:after="0" w:line="297" w:lineRule="auto"/>
        <w:tabs>
          <w:tab w:leader="none" w:pos="8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and the circumstances under which and the place or places where such exchanges may be made and if Securities of the series are to be issuable as a global Security, the identity of the depositary for such series;</w:t>
      </w:r>
    </w:p>
    <w:p>
      <w:pPr>
        <w:spacing w:after="0" w:line="50" w:lineRule="exact"/>
        <w:rPr>
          <w:rFonts w:ascii="Arial" w:cs="Arial" w:eastAsia="Arial" w:hAnsi="Arial"/>
          <w:sz w:val="16"/>
          <w:szCs w:val="16"/>
          <w:color w:val="auto"/>
        </w:rPr>
      </w:pPr>
    </w:p>
    <w:p>
      <w:pPr>
        <w:ind w:right="120" w:firstLine="443"/>
        <w:spacing w:after="0" w:line="277" w:lineRule="auto"/>
        <w:tabs>
          <w:tab w:leader="none" w:pos="8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as of which any temporary global Security representing Outstanding Securities of the series shall be dated if other than the date of original issuance of the first Security of the series to be issued;</w:t>
      </w:r>
    </w:p>
    <w:p>
      <w:pPr>
        <w:spacing w:after="0" w:line="62" w:lineRule="exact"/>
        <w:rPr>
          <w:rFonts w:ascii="Arial" w:cs="Arial" w:eastAsia="Arial" w:hAnsi="Arial"/>
          <w:sz w:val="18"/>
          <w:szCs w:val="18"/>
          <w:color w:val="auto"/>
        </w:rPr>
      </w:pPr>
    </w:p>
    <w:p>
      <w:pPr>
        <w:ind w:right="20" w:firstLine="443"/>
        <w:spacing w:after="0" w:line="257" w:lineRule="auto"/>
        <w:tabs>
          <w:tab w:leader="none" w:pos="9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w:t>
      </w:r>
    </w:p>
    <w:p>
      <w:pPr>
        <w:spacing w:after="0" w:line="80" w:lineRule="exact"/>
        <w:rPr>
          <w:rFonts w:ascii="Arial" w:cs="Arial" w:eastAsia="Arial" w:hAnsi="Arial"/>
          <w:sz w:val="18"/>
          <w:szCs w:val="18"/>
          <w:color w:val="auto"/>
        </w:rPr>
      </w:pPr>
    </w:p>
    <w:p>
      <w:pPr>
        <w:ind w:right="60" w:firstLine="443"/>
        <w:spacing w:after="0" w:line="277" w:lineRule="auto"/>
        <w:tabs>
          <w:tab w:leader="none" w:pos="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applicability, if any, of Sections 14.02 and/or 14.03 to the Securities of the series and any provisions in modification of, in addition to or in lieu of any of the provisions of Article Fourteen;</w:t>
      </w:r>
    </w:p>
    <w:p>
      <w:pPr>
        <w:spacing w:after="0" w:line="62" w:lineRule="exact"/>
        <w:rPr>
          <w:rFonts w:ascii="Arial" w:cs="Arial" w:eastAsia="Arial" w:hAnsi="Arial"/>
          <w:sz w:val="18"/>
          <w:szCs w:val="18"/>
          <w:color w:val="auto"/>
        </w:rPr>
      </w:pPr>
    </w:p>
    <w:p>
      <w:pPr>
        <w:ind w:right="40" w:firstLine="443"/>
        <w:spacing w:after="0" w:line="264" w:lineRule="auto"/>
        <w:tabs>
          <w:tab w:leader="none" w:pos="7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73" w:lineRule="exact"/>
        <w:rPr>
          <w:rFonts w:ascii="Arial" w:cs="Arial" w:eastAsia="Arial" w:hAnsi="Arial"/>
          <w:sz w:val="18"/>
          <w:szCs w:val="18"/>
          <w:color w:val="auto"/>
        </w:rPr>
      </w:pPr>
    </w:p>
    <w:p>
      <w:pPr>
        <w:ind w:left="840" w:hanging="397"/>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will pay Additional Amounts as contemplated by</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1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74" w:right="239" w:bottom="1440" w:gutter="0" w:footer="0" w:header="0"/>
        </w:sectPr>
      </w:pPr>
    </w:p>
    <w:bookmarkStart w:id="33" w:name="page34"/>
    <w:bookmarkEnd w:id="33"/>
    <w:p>
      <w:pPr>
        <w:ind w:left="1340" w:hanging="43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designation of the initial Exchange Rate Agent, if any;</w:t>
      </w:r>
    </w:p>
    <w:p>
      <w:pPr>
        <w:spacing w:after="0" w:line="117" w:lineRule="exact"/>
        <w:rPr>
          <w:rFonts w:ascii="Arial" w:cs="Arial" w:eastAsia="Arial" w:hAnsi="Arial"/>
          <w:sz w:val="18"/>
          <w:szCs w:val="18"/>
          <w:color w:val="auto"/>
        </w:rPr>
      </w:pPr>
    </w:p>
    <w:p>
      <w:pPr>
        <w:ind w:left="460" w:right="820" w:firstLine="443"/>
        <w:spacing w:after="0" w:line="277" w:lineRule="auto"/>
        <w:tabs>
          <w:tab w:leader="none" w:pos="1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Securities of the series are to be issued upon the exercise of warrants, the time, manner and place for such Securities to be authenticated and delivered;</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3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of any Person (including the Company), the terms and conditions upon which such Securities will be so convertible or exchangeable;</w:t>
      </w:r>
    </w:p>
    <w:p>
      <w:pPr>
        <w:spacing w:after="0" w:line="62" w:lineRule="exact"/>
        <w:rPr>
          <w:rFonts w:ascii="Arial" w:cs="Arial" w:eastAsia="Arial" w:hAnsi="Arial"/>
          <w:sz w:val="18"/>
          <w:szCs w:val="18"/>
          <w:color w:val="auto"/>
        </w:rPr>
      </w:pPr>
    </w:p>
    <w:p>
      <w:pPr>
        <w:ind w:left="1340" w:hanging="437"/>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Securities of the series are to be listed on a securities exchange, the name of such exchange may be indicated; and</w:t>
      </w:r>
    </w:p>
    <w:p>
      <w:pPr>
        <w:spacing w:after="0" w:line="117" w:lineRule="exact"/>
        <w:rPr>
          <w:rFonts w:ascii="Arial" w:cs="Arial" w:eastAsia="Arial" w:hAnsi="Arial"/>
          <w:sz w:val="18"/>
          <w:szCs w:val="18"/>
          <w:color w:val="auto"/>
        </w:rPr>
      </w:pPr>
    </w:p>
    <w:p>
      <w:pPr>
        <w:ind w:left="460" w:right="220" w:firstLine="443"/>
        <w:spacing w:after="0" w:line="308" w:lineRule="auto"/>
        <w:tabs>
          <w:tab w:leader="none" w:pos="1383"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terms of the series (which terms shall not be inconsistent with the provisions of this Indenture or the requirements of the Trust Indenture Act, except as permitted by Section 9.01(v)), including, but not limited to, secured Securities and guarantees of Securities.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(subject to Section 3.03) and set forth in the Officers’ Certificate referred to above or in any such indenture supplemental hereto. No Board Resolution or Officers’ Certificate may affect the Trustee’s own rights, duties or immunities under this Indenture or otherwise with respect to any series of Securities except as it may agree in writing.</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All Securities of any one series need not be issued at the same time and, unless otherwise provided, a series may be reopened, without the consent of the Holders, for issuances of additional Securities of such series.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shall be responsible for making calculations called for under the Securities and this Indenture, including but not limited to determination of interest, additional interest, Additional Amounts, Redemption Price, Repayment Price, applicable premium, make whole Amount, premium, if any, and any other amounts payable on the Securities. The Company will make the calculations in good faith and, absent manifest error, its calculations will be final and binding on the Holders. The Company will provide a schedule of its calculations to the Trustee when requested by the Trustee, and the Trustee is entitled to rely conclusively on the accuracy of the Company’s calculations without independent verification. The Trustee shall forward the Company’s calculations to any Holder of the Securities upon the written request of such Holder.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117"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The Securities shall be executed on behalf of the Company by a Chief Executive Officer, the Chief Financial Officer, Chief Operating Officer, Chief Compliance Officer, Secretary or one of its Presidents or Vice Presidents. The signature of any of these officers on the Securities may be manual or by facsimile, .pdf attachment or other electronically transmitted signature (with an original manual signature to be sent to the Trustee via overnight mail immediately thereafter) of the present or any future such authorized officer and may be imprinted or otherwise reproduced on the Securities.</w:t>
      </w:r>
    </w:p>
    <w:p>
      <w:pPr>
        <w:spacing w:after="0" w:line="154"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Securities bearing the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67" w:lineRule="exact"/>
        <w:rPr>
          <w:sz w:val="20"/>
          <w:szCs w:val="20"/>
          <w:color w:val="auto"/>
        </w:rPr>
      </w:pPr>
    </w:p>
    <w:p>
      <w:pPr>
        <w:ind w:left="700" w:hanging="23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Opinion of Counsel stating,</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the form or forms of such Securities have been established in conformity with the provisions of this Indenture;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conformity with the provisions of this Indenture; and</w:t>
      </w:r>
    </w:p>
    <w:p>
      <w:pPr>
        <w:spacing w:after="0" w:line="117" w:lineRule="exact"/>
        <w:rPr>
          <w:rFonts w:ascii="Arial" w:cs="Arial" w:eastAsia="Arial" w:hAnsi="Arial"/>
          <w:sz w:val="18"/>
          <w:szCs w:val="18"/>
          <w:color w:val="auto"/>
        </w:rPr>
      </w:pPr>
    </w:p>
    <w:p>
      <w:pPr>
        <w:ind w:left="460" w:right="80" w:firstLine="443"/>
        <w:spacing w:after="0" w:line="257" w:lineRule="auto"/>
        <w:tabs>
          <w:tab w:leader="none" w:pos="12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this Indenture and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5" w:name="page36"/>
    <w:bookmarkEnd w:id="35"/>
    <w:p>
      <w:pPr>
        <w:ind w:left="460"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affecting the enforcement of creditors’ rights, to general equitable principles and to such other qualifications as such counsel shall conclude do not materially affect the rights of Holders of such Securities; and</w:t>
      </w:r>
    </w:p>
    <w:p>
      <w:pPr>
        <w:spacing w:after="0" w:line="170" w:lineRule="exact"/>
        <w:rPr>
          <w:sz w:val="20"/>
          <w:szCs w:val="20"/>
          <w:color w:val="auto"/>
        </w:rPr>
      </w:pPr>
    </w:p>
    <w:p>
      <w:pPr>
        <w:ind w:right="300" w:firstLine="464"/>
        <w:spacing w:after="0" w:line="277"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Officers’ Certificate stating, to the best of the knowledge of the signers of such certificate, that no Event of Default with respect to any of the Securities shall have occurred and be continuing.</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5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that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Registered Security shall be dated the date of its authentication.</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until authenticated substantially in the form set out in Section 2.02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7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to act as Depositary with respect to the global Securities and the Trustee as Depositary Custodian. The Company has entered into a letter of representations with the Depositary in the form provided by the Depositary and the Trustee and each Agent are hereby authorized to act in accordance with such letter and Applicable Procedures.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in the case of temporary Securities in global form (which shall be exchanged as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and like tenor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w:t>
      </w:r>
      <w:r>
        <w:rPr>
          <w:rFonts w:ascii="Arial" w:cs="Arial" w:eastAsia="Arial" w:hAnsi="Arial"/>
          <w:sz w:val="17"/>
          <w:szCs w:val="17"/>
          <w:u w:val="single" w:color="auto"/>
          <w:color w:val="auto"/>
        </w:rPr>
        <w:t>Security Register</w:t>
      </w:r>
      <w:r>
        <w:rPr>
          <w:rFonts w:ascii="Arial" w:cs="Arial" w:eastAsia="Arial" w:hAnsi="Arial"/>
          <w:sz w:val="17"/>
          <w:szCs w:val="17"/>
          <w:color w:val="auto"/>
        </w:rPr>
        <w:t>”)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8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Upon surrender for registration of transfer of any Registered Security of any series to the Security Registrar or any co-Security Registrar, and satisfaction of the requirements for such transfer set forth in this Section 3.05, the Company shall execute, and the Trustee shall, upon receipt of a Company Order,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7" w:name="page38"/>
    <w:bookmarkEnd w:id="37"/>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that the Holder making the exchange is entitled to receive.</w:t>
      </w:r>
    </w:p>
    <w:p>
      <w:pPr>
        <w:spacing w:after="0" w:line="154"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Whenever any Securities are so surrendered for exchange, the Company shall execute, and the Trustee, upon receipt of a Company Order, shall authenticate and deliver, the Securities that the Holder making the exchange is entitled to receive.</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Notwithstanding the foregoing, except as otherwise specified as contemplated by Section 3.01 and 2.04,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or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8" w:name="page39"/>
    <w:bookmarkEnd w:id="38"/>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the day the relevant notice of redemption is sent, or (ii) to register the transfer of or exchange any Registered Security so selected for redemption in whole or in part, except, in the case of any Registered Security to be redeemed in part, the portion thereof not to be redeemed, or (iii) to issue, register the transfer of or exchange any Security that has been surrendered for repayment at the option of the Holder, except the portion, if any, of such Security not to be so repaid.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mutilated Security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there shall be delivered to the Company and to the Trustee (i) evidence to their satisfaction of the destruction, loss or theft of any Security, and</w:t>
      </w:r>
    </w:p>
    <w:p>
      <w:pPr>
        <w:spacing w:after="0" w:line="35" w:lineRule="exact"/>
        <w:rPr>
          <w:sz w:val="20"/>
          <w:szCs w:val="20"/>
          <w:color w:val="auto"/>
        </w:rPr>
      </w:pPr>
    </w:p>
    <w:p>
      <w:pPr>
        <w:ind w:right="40" w:firstLine="8"/>
        <w:spacing w:after="0" w:line="273" w:lineRule="auto"/>
        <w:tabs>
          <w:tab w:leader="none" w:pos="2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subject to the following paragraph, execute and upon its request the Trustee shall authenticate and deliver, in lieu of any such destroyed, lost or stolen Security, a new Security of the same series and principal amount, containing identical terms and provisions and bearing a number not contemporaneously outstanding.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9" w:name="page40"/>
    <w:bookmarkEnd w:id="39"/>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provisions of the previous two paragraphs, 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Payment of Interest; Interest Rights Preserved; Optional Interest Reset</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255"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8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w:t>
      </w:r>
      <w:r>
        <w:rPr>
          <w:rFonts w:ascii="Arial" w:cs="Arial" w:eastAsia="Arial" w:hAnsi="Arial"/>
          <w:sz w:val="17"/>
          <w:szCs w:val="17"/>
          <w:u w:val="single" w:color="auto"/>
          <w:color w:val="auto"/>
        </w:rPr>
        <w:t>Defaulted Interest</w:t>
      </w:r>
      <w:r>
        <w:rPr>
          <w:rFonts w:ascii="Arial" w:cs="Arial" w:eastAsia="Arial" w:hAnsi="Arial"/>
          <w:sz w:val="17"/>
          <w:szCs w:val="17"/>
          <w:color w:val="auto"/>
        </w:rPr>
        <w:t>”) shall forthwith cease to be payable to the registered Holder thereof on the relevant Regular Record Date by virtue of having been such Holder, and such Defaulted Interest may be paid by the Company, at its election in each case, as provided in clause (i) or (ii) below:</w:t>
      </w:r>
    </w:p>
    <w:p>
      <w:pPr>
        <w:spacing w:after="0" w:line="63" w:lineRule="exact"/>
        <w:rPr>
          <w:sz w:val="20"/>
          <w:szCs w:val="20"/>
          <w:color w:val="auto"/>
        </w:rPr>
      </w:pPr>
    </w:p>
    <w:p>
      <w:pPr>
        <w:ind w:left="460" w:firstLine="443"/>
        <w:spacing w:after="0" w:line="255" w:lineRule="auto"/>
        <w:tabs>
          <w:tab w:leader="none" w:pos="11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40" w:name="page41"/>
    <w:bookmarkEnd w:id="4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specified pursuant to Section 3.01 for the Securities of such series and except, if applicable, as provided in Sections 3.12(b),</w:t>
      </w:r>
    </w:p>
    <w:p>
      <w:pPr>
        <w:spacing w:after="0" w:line="46" w:lineRule="exact"/>
        <w:rPr>
          <w:sz w:val="20"/>
          <w:szCs w:val="20"/>
          <w:color w:val="auto"/>
        </w:rPr>
      </w:pPr>
    </w:p>
    <w:p>
      <w:pPr>
        <w:ind w:left="440"/>
        <w:spacing w:after="0" w:line="286" w:lineRule="auto"/>
        <w:rPr>
          <w:sz w:val="20"/>
          <w:szCs w:val="20"/>
          <w:color w:val="auto"/>
        </w:rPr>
      </w:pPr>
      <w:r>
        <w:rPr>
          <w:rFonts w:ascii="Arial" w:cs="Arial" w:eastAsia="Arial" w:hAnsi="Arial"/>
          <w:sz w:val="16"/>
          <w:szCs w:val="16"/>
          <w:color w:val="auto"/>
        </w:rPr>
        <w:t>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the Trustee shall cause notice of the proposed payment of such Defaulted Interest and the Special Record Date therefor to be sent pursuant to Applicable Procedures or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or sent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w:t>
      </w:r>
    </w:p>
    <w:p>
      <w:pPr>
        <w:spacing w:after="0" w:line="59" w:lineRule="exact"/>
        <w:rPr>
          <w:sz w:val="20"/>
          <w:szCs w:val="20"/>
          <w:color w:val="auto"/>
        </w:rPr>
      </w:pPr>
    </w:p>
    <w:p>
      <w:pPr>
        <w:ind w:left="440" w:right="40" w:firstLine="443"/>
        <w:spacing w:after="0" w:line="257" w:lineRule="auto"/>
        <w:tabs>
          <w:tab w:leader="none" w:pos="11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(and certification by the Company that the proposed manner of payment complies with the requirements of this clause (ii)), such manner of payment shall be deemed practicable by the Trustee.</w:t>
      </w:r>
    </w:p>
    <w:p>
      <w:pPr>
        <w:spacing w:after="0" w:line="188" w:lineRule="exact"/>
        <w:rPr>
          <w:rFonts w:ascii="Arial" w:cs="Arial" w:eastAsia="Arial" w:hAnsi="Arial"/>
          <w:sz w:val="18"/>
          <w:szCs w:val="18"/>
          <w:color w:val="auto"/>
        </w:rPr>
      </w:pPr>
    </w:p>
    <w:p>
      <w:pPr>
        <w:ind w:left="-20" w:right="20" w:firstLine="464"/>
        <w:spacing w:after="0" w:line="269" w:lineRule="auto"/>
        <w:tabs>
          <w:tab w:leader="none" w:pos="6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Arial" w:cs="Arial" w:eastAsia="Arial" w:hAnsi="Arial"/>
          <w:sz w:val="17"/>
          <w:szCs w:val="17"/>
          <w:u w:val="single" w:color="auto"/>
          <w:color w:val="auto"/>
        </w:rPr>
        <w:t>Optional Reset Date</w:t>
      </w:r>
      <w:r>
        <w:rPr>
          <w:rFonts w:ascii="Arial" w:cs="Arial" w:eastAsia="Arial" w:hAnsi="Arial"/>
          <w:sz w:val="17"/>
          <w:szCs w:val="17"/>
          <w:color w:val="auto"/>
        </w:rPr>
        <w:t>”).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w:t>
      </w:r>
      <w:r>
        <w:rPr>
          <w:rFonts w:ascii="Arial" w:cs="Arial" w:eastAsia="Arial" w:hAnsi="Arial"/>
          <w:sz w:val="17"/>
          <w:szCs w:val="17"/>
          <w:u w:val="single" w:color="auto"/>
          <w:color w:val="auto"/>
        </w:rPr>
        <w:t>Reset Notice</w:t>
      </w:r>
      <w:r>
        <w:rPr>
          <w:rFonts w:ascii="Arial" w:cs="Arial" w:eastAsia="Arial" w:hAnsi="Arial"/>
          <w:sz w:val="17"/>
          <w:szCs w:val="17"/>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Arial" w:cs="Arial" w:eastAsia="Arial" w:hAnsi="Arial"/>
          <w:sz w:val="17"/>
          <w:szCs w:val="17"/>
          <w:u w:val="single" w:color="auto"/>
          <w:color w:val="auto"/>
        </w:rPr>
        <w:t>Subsequent Interest Period</w:t>
      </w:r>
      <w:r>
        <w:rPr>
          <w:rFonts w:ascii="Arial" w:cs="Arial" w:eastAsia="Arial" w:hAnsi="Arial"/>
          <w:sz w:val="17"/>
          <w:szCs w:val="17"/>
          <w:color w:val="auto"/>
        </w:rPr>
        <w:t>”), including the date or dates on which or the period or periods during which and the price or prices at which such redemption may occur during the Subsequent Interest Period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274" w:right="259" w:bottom="1440" w:gutter="0" w:footer="0" w:header="0"/>
        </w:sectPr>
      </w:pPr>
    </w:p>
    <w:bookmarkStart w:id="41" w:name="page42"/>
    <w:bookmarkEnd w:id="41"/>
    <w:p>
      <w:pPr>
        <w:ind w:right="4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not later than 20 days prior to the Optional Reset Date (or if 20 days does not fall on a Business Day, the next succeeding Business Day),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9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93"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that were carried by such other Security.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Optional Extension of Maturity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Arial" w:cs="Arial" w:eastAsia="Arial" w:hAnsi="Arial"/>
          <w:sz w:val="17"/>
          <w:szCs w:val="17"/>
          <w:u w:val="single" w:color="auto"/>
          <w:color w:val="auto"/>
        </w:rPr>
        <w:t>Extension Period</w:t>
      </w:r>
      <w:r>
        <w:rPr>
          <w:rFonts w:ascii="Arial" w:cs="Arial" w:eastAsia="Arial" w:hAnsi="Arial"/>
          <w:sz w:val="17"/>
          <w:szCs w:val="17"/>
          <w:color w:val="auto"/>
        </w:rPr>
        <w:t>”) up to but not beyond the date (the “</w:t>
      </w:r>
      <w:r>
        <w:rPr>
          <w:rFonts w:ascii="Arial" w:cs="Arial" w:eastAsia="Arial" w:hAnsi="Arial"/>
          <w:sz w:val="17"/>
          <w:szCs w:val="17"/>
          <w:u w:val="single" w:color="auto"/>
          <w:color w:val="auto"/>
        </w:rPr>
        <w:t>Final Maturity</w:t>
      </w:r>
      <w:r>
        <w:rPr>
          <w:rFonts w:ascii="Arial" w:cs="Arial" w:eastAsia="Arial" w:hAnsi="Arial"/>
          <w:sz w:val="17"/>
          <w:szCs w:val="17"/>
          <w:color w:val="auto"/>
        </w:rPr>
        <w:t>”)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w:t>
      </w:r>
      <w:r>
        <w:rPr>
          <w:rFonts w:ascii="Arial" w:cs="Arial" w:eastAsia="Arial" w:hAnsi="Arial"/>
          <w:sz w:val="17"/>
          <w:szCs w:val="17"/>
          <w:u w:val="single" w:color="auto"/>
          <w:color w:val="auto"/>
        </w:rPr>
        <w:t>Original Stated Maturity</w:t>
      </w:r>
      <w:r>
        <w:rPr>
          <w:rFonts w:ascii="Arial" w:cs="Arial" w:eastAsia="Arial" w:hAnsi="Arial"/>
          <w:sz w:val="17"/>
          <w:szCs w:val="17"/>
          <w:color w:val="auto"/>
        </w:rPr>
        <w:t>”). If the Company exercises such option, the Trustee shall transmit, in the manner provided for in Section 1.06, to the Holder of such Security not later than 40 days prior to the Original Stated Maturity a notice (the “</w:t>
      </w:r>
      <w:r>
        <w:rPr>
          <w:rFonts w:ascii="Arial" w:cs="Arial" w:eastAsia="Arial" w:hAnsi="Arial"/>
          <w:sz w:val="17"/>
          <w:szCs w:val="17"/>
          <w:u w:val="single" w:color="auto"/>
          <w:color w:val="auto"/>
        </w:rPr>
        <w:t>Extension Notice</w:t>
      </w:r>
      <w:r>
        <w:rPr>
          <w:rFonts w:ascii="Arial" w:cs="Arial" w:eastAsia="Arial" w:hAnsi="Arial"/>
          <w:sz w:val="17"/>
          <w:szCs w:val="17"/>
          <w:color w:val="auto"/>
        </w:rPr>
        <w:t>”),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2" w:name="page43"/>
    <w:bookmarkEnd w:id="4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shall be extended automatically and, except as modified by the Extension Notice and as described in the next paragraph, such Security will have the same terms as prior to the transmittal of such Extension Notice.</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Notwithstanding the foregoing, not later than 20 days before the Original Stated Maturity (or if 20 days does not fall on a Business Day, the next succeeding Business Day)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8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3.10.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held by the Trustee shall be destroyed by the Trustee in accordance with its customary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Currency and Manner of Payments in Respect of Securities</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302"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payment of the principal of (and premium, if any) and interest, if any, on any Registered Security of such series will be made in the Currency in which such Registered Security is payable. The provisions of this Section 3.12 may be modified or superseded with respect to any Securities pursuant to Section 3.01.</w:t>
      </w:r>
    </w:p>
    <w:p>
      <w:pPr>
        <w:spacing w:after="0" w:line="154" w:lineRule="exact"/>
        <w:rPr>
          <w:rFonts w:ascii="Arial" w:cs="Arial" w:eastAsia="Arial" w:hAnsi="Arial"/>
          <w:sz w:val="16"/>
          <w:szCs w:val="16"/>
          <w:color w:val="auto"/>
        </w:rPr>
      </w:pPr>
    </w:p>
    <w:p>
      <w:pPr>
        <w:ind w:right="20" w:firstLine="464"/>
        <w:spacing w:after="0" w:line="255"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4" w:name="page45"/>
    <w:bookmarkEnd w:id="44"/>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Unless otherwise specified pursuant to Section 3.01, if the election referred to in paragraph (b) above has been provided for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3.01, then, unless otherwise specified pursuant to Section 3.01, not later than the fourth Business Day after the Election Date for each payment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Registered Securities of any series, the Exchange Rate Agent will deliver to the Company a written notice specifying the Currency in which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such series are payable, the respective aggregate amounts of principal of (and premium, if any) and interest, if any, on the Registered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paid on such payment date, specifying the amounts in such Currency so payable in respect of the Registered Securities as to which the Holders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Securities denominated in any Currency shall have elected to be paid in another Currency as provided in paragraph (b) above. If the election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in paragraph (b) above has been provided for pursuant to Section 3.01 and if at least one Holder has made such election, then, unless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pursuant to Section 3.01, on the second Business Day preceding such payment date the Company will deliver to the Trustee for such series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Registered Securities an Exchange Rate Officer’s Certificate in respect of the Dollar or Foreign Currency or Currencies payments to be made 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date. Unless otherwise specified pursuant to Section 3.01, the Dollar or Foreign Currency or Currencies amount receivable by Holders of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who have elected payment in a Currency as provided in paragraph (b) above shall be determined by the Company on the basis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Exchange Rate in effect on the second Business Day (the “</w:t>
      </w:r>
      <w:r>
        <w:rPr>
          <w:rFonts w:ascii="Arial" w:cs="Arial" w:eastAsia="Arial" w:hAnsi="Arial"/>
          <w:sz w:val="16"/>
          <w:szCs w:val="16"/>
          <w:u w:val="single" w:color="auto"/>
          <w:color w:val="auto"/>
        </w:rPr>
        <w:t>Valuation Date</w:t>
      </w:r>
      <w:r>
        <w:rPr>
          <w:rFonts w:ascii="Arial" w:cs="Arial" w:eastAsia="Arial" w:hAnsi="Arial"/>
          <w:sz w:val="16"/>
          <w:szCs w:val="16"/>
          <w:color w:val="auto"/>
        </w:rPr>
        <w:t>”) immediately preceding each payment date, and such determination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conclusive and binding for all purposes, absent manifest error.</w:t>
      </w:r>
    </w:p>
    <w:p>
      <w:pPr>
        <w:spacing w:after="0" w:line="211" w:lineRule="exact"/>
        <w:rPr>
          <w:sz w:val="20"/>
          <w:szCs w:val="20"/>
          <w:color w:val="auto"/>
        </w:rPr>
      </w:pPr>
    </w:p>
    <w:p>
      <w:pPr>
        <w:ind w:firstLine="464"/>
        <w:spacing w:after="0" w:line="254"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w:t>
      </w:r>
      <w:r>
        <w:rPr>
          <w:rFonts w:ascii="Arial" w:cs="Arial" w:eastAsia="Arial" w:hAnsi="Arial"/>
          <w:sz w:val="18"/>
          <w:szCs w:val="18"/>
          <w:u w:val="single" w:color="auto"/>
          <w:color w:val="auto"/>
        </w:rPr>
        <w:t>Conversion Date</w:t>
      </w:r>
      <w:r>
        <w:rPr>
          <w:rFonts w:ascii="Arial" w:cs="Arial" w:eastAsia="Arial" w:hAnsi="Arial"/>
          <w:sz w:val="18"/>
          <w:szCs w:val="18"/>
          <w:color w:val="auto"/>
        </w:rPr>
        <w:t>”),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45" w:name="page46"/>
    <w:bookmarkEnd w:id="45"/>
    <w:p>
      <w:pPr>
        <w:ind w:left="-8" w:right="80" w:firstLine="464"/>
        <w:spacing w:after="0" w:line="286" w:lineRule="auto"/>
        <w:tabs>
          <w:tab w:leader="none" w:pos="693" w:val="left"/>
        </w:tabs>
        <w:numPr>
          <w:ilvl w:val="1"/>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w:t>
      </w:r>
    </w:p>
    <w:p>
      <w:pPr>
        <w:spacing w:after="0" w:line="1" w:lineRule="exact"/>
        <w:rPr>
          <w:rFonts w:ascii="Arial" w:cs="Arial" w:eastAsia="Arial" w:hAnsi="Arial"/>
          <w:sz w:val="16"/>
          <w:szCs w:val="16"/>
          <w:color w:val="auto"/>
        </w:rPr>
      </w:pPr>
    </w:p>
    <w:p>
      <w:pPr>
        <w:ind w:left="252" w:hanging="252"/>
        <w:spacing w:after="0"/>
        <w:tabs>
          <w:tab w:leader="none" w:pos="2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this Section 3.12.</w:t>
      </w:r>
    </w:p>
    <w:p>
      <w:pPr>
        <w:spacing w:after="0" w:line="210" w:lineRule="exact"/>
        <w:rPr>
          <w:rFonts w:ascii="Arial" w:cs="Arial" w:eastAsia="Arial" w:hAnsi="Arial"/>
          <w:sz w:val="18"/>
          <w:szCs w:val="18"/>
          <w:color w:val="auto"/>
        </w:rPr>
      </w:pPr>
    </w:p>
    <w:p>
      <w:pPr>
        <w:ind w:left="-8" w:right="580" w:firstLine="464"/>
        <w:spacing w:after="0" w:line="308" w:lineRule="auto"/>
        <w:tabs>
          <w:tab w:leader="none" w:pos="673"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Dollar Equivalent of the Foreign Currency</w:t>
      </w:r>
      <w:r>
        <w:rPr>
          <w:rFonts w:ascii="Arial" w:cs="Arial" w:eastAsia="Arial" w:hAnsi="Arial"/>
          <w:sz w:val="17"/>
          <w:szCs w:val="17"/>
          <w:color w:val="auto"/>
        </w:rPr>
        <w:t>” shall be determined by the Exchange Rate Agent and shall be obtained for each subsequent payment date by converting the specified Foreign Currency into Dollars at the Market Exchange Rate on the Conversion Date.</w:t>
      </w:r>
    </w:p>
    <w:p>
      <w:pPr>
        <w:spacing w:after="0" w:line="146" w:lineRule="exact"/>
        <w:rPr>
          <w:rFonts w:ascii="Arial" w:cs="Arial" w:eastAsia="Arial" w:hAnsi="Arial"/>
          <w:sz w:val="17"/>
          <w:szCs w:val="17"/>
          <w:color w:val="auto"/>
        </w:rPr>
      </w:pPr>
    </w:p>
    <w:p>
      <w:pPr>
        <w:ind w:left="-8" w:right="20" w:firstLine="464"/>
        <w:spacing w:after="0" w:line="264" w:lineRule="auto"/>
        <w:tabs>
          <w:tab w:leader="none" w:pos="70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Dollar Equivalent of the Currency Unit</w:t>
      </w:r>
      <w:r>
        <w:rPr>
          <w:rFonts w:ascii="Arial" w:cs="Arial" w:eastAsia="Arial" w:hAnsi="Arial"/>
          <w:sz w:val="18"/>
          <w:szCs w:val="18"/>
          <w:color w:val="auto"/>
        </w:rPr>
        <w: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81" w:lineRule="exact"/>
        <w:rPr>
          <w:rFonts w:ascii="Arial" w:cs="Arial" w:eastAsia="Arial" w:hAnsi="Arial"/>
          <w:sz w:val="18"/>
          <w:szCs w:val="18"/>
          <w:color w:val="auto"/>
        </w:rPr>
      </w:pPr>
    </w:p>
    <w:p>
      <w:pPr>
        <w:ind w:left="712" w:hanging="256"/>
        <w:spacing w:after="0"/>
        <w:tabs>
          <w:tab w:leader="none" w:pos="712"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117" w:lineRule="exact"/>
        <w:rPr>
          <w:sz w:val="20"/>
          <w:szCs w:val="20"/>
          <w:color w:val="auto"/>
        </w:rPr>
      </w:pPr>
    </w:p>
    <w:p>
      <w:pPr>
        <w:ind w:left="452" w:right="400" w:firstLine="438"/>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Component Currency</w:t>
      </w:r>
      <w:r>
        <w:rPr>
          <w:rFonts w:ascii="Arial" w:cs="Arial" w:eastAsia="Arial" w:hAnsi="Arial"/>
          <w:sz w:val="18"/>
          <w:szCs w:val="18"/>
          <w:color w:val="auto"/>
        </w:rPr>
        <w:t>” shall mean any currency which, on the Conversion Date, was a component currency of the relevant currency unit, including, but not limited to, the ECU.</w:t>
      </w:r>
    </w:p>
    <w:p>
      <w:pPr>
        <w:spacing w:after="0" w:line="62" w:lineRule="exact"/>
        <w:rPr>
          <w:sz w:val="20"/>
          <w:szCs w:val="20"/>
          <w:color w:val="auto"/>
        </w:rPr>
      </w:pPr>
    </w:p>
    <w:p>
      <w:pPr>
        <w:ind w:left="452" w:firstLine="438"/>
        <w:spacing w:after="0" w:line="269"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Specified Amount</w:t>
      </w:r>
      <w:r>
        <w:rPr>
          <w:rFonts w:ascii="Arial" w:cs="Arial" w:eastAsia="Arial" w:hAnsi="Arial"/>
          <w:sz w:val="17"/>
          <w:szCs w:val="17"/>
          <w:color w:val="auto"/>
        </w:rPr>
        <w:t>” of a Component Currency shall mean the number of units of such Component Currency or fractions thereof which were represented in the relevant currency unit, including, but not limited to, the ECU,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ECU, a</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12"/>
          </w:cols>
          <w:pgMar w:left="248" w:top="274" w:right="239" w:bottom="1440" w:gutter="0" w:footer="0" w:header="0"/>
        </w:sectPr>
      </w:pPr>
    </w:p>
    <w:bookmarkStart w:id="46" w:name="page47"/>
    <w:bookmarkEnd w:id="46"/>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Event (other than any event referred to above in this definition of “</w:t>
      </w:r>
      <w:r>
        <w:rPr>
          <w:rFonts w:ascii="Arial" w:cs="Arial" w:eastAsia="Arial" w:hAnsi="Arial"/>
          <w:sz w:val="18"/>
          <w:szCs w:val="18"/>
          <w:u w:val="single" w:color="auto"/>
          <w:color w:val="auto"/>
        </w:rPr>
        <w:t>Specified Amount</w:t>
      </w:r>
      <w:r>
        <w:rPr>
          <w:rFonts w:ascii="Arial" w:cs="Arial" w:eastAsia="Arial" w:hAnsi="Arial"/>
          <w:sz w:val="18"/>
          <w:szCs w:val="18"/>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79"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Election Date</w:t>
      </w:r>
      <w:r>
        <w:rPr>
          <w:rFonts w:ascii="Arial" w:cs="Arial" w:eastAsia="Arial" w:hAnsi="Arial"/>
          <w:sz w:val="18"/>
          <w:szCs w:val="18"/>
          <w:color w:val="auto"/>
        </w:rPr>
        <w:t>” shall mean the Regular Record Date for the applicable series of Registered Securities or at least 16 days prior to Maturity, as the case may be, or such other prior date for any series of Registered Securities as specified pursuant to clause (xiii) of Section 3.01 by which the written election referred to in Section 3.12(b) may be made.</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event that the Company determines in good faith that a Conversion Event has occurred with respect to a Foreign Currency, the Company will immediately give written notice thereof and of the applicable Conversion Date to the Trustee of the appropriate series of Securities and to the Exchange Rate Agent (and such Trustee will promptly thereafter give notice in the manner provided in Section 1.06 to the affected Holders) specifying the Conversion Date. In the event the Company so determines that a Conversion Event has occurred with respect to the ECU or any other currency unit in which Securities are denominated or payable, the Company will immediately give written notice thereof to the Trustee of the appropriate series of Securities and to the Exchange Rate Agent (and such Trustee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of the appropriate series of Securities and to the Exchange Rate Agent.</w:t>
      </w:r>
    </w:p>
    <w:p>
      <w:pPr>
        <w:spacing w:after="0" w:line="18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Appointment and Resignation of Successor Exchange Rate Agent</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and so long as the Securities of any series (i) are denominated in a Foreign Currency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be payable in a Foreign Currency, or so long as it is required under any other provision of this Indenture,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7" w:name="page48"/>
    <w:bookmarkEnd w:id="47"/>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71" w:lineRule="exact"/>
        <w:rPr>
          <w:sz w:val="20"/>
          <w:szCs w:val="20"/>
          <w:color w:val="auto"/>
        </w:rPr>
      </w:pPr>
    </w:p>
    <w:p>
      <w:pPr>
        <w:jc w:val="both"/>
        <w:ind w:firstLine="464"/>
        <w:spacing w:after="0" w:line="286" w:lineRule="auto"/>
        <w:tabs>
          <w:tab w:leader="none" w:pos="711"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65" w:lineRule="exact"/>
        <w:rPr>
          <w:rFonts w:ascii="Arial" w:cs="Arial" w:eastAsia="Arial" w:hAnsi="Arial"/>
          <w:sz w:val="17"/>
          <w:szCs w:val="17"/>
          <w:color w:val="auto"/>
        </w:rPr>
      </w:pPr>
    </w:p>
    <w:p>
      <w:pPr>
        <w:ind w:right="180" w:firstLine="464"/>
        <w:spacing w:after="0" w:line="293" w:lineRule="auto"/>
        <w:tabs>
          <w:tab w:leader="none" w:pos="7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advise the Trustee as promptly as practicable in writing of any change in the CUSIP numbers.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expense of the Company, shall execute proper instruments acknowledging satisfaction and discharge of this Indenture as to such series when</w:t>
      </w:r>
    </w:p>
    <w:p>
      <w:pPr>
        <w:spacing w:after="0" w:line="237" w:lineRule="exact"/>
        <w:rPr>
          <w:sz w:val="20"/>
          <w:szCs w:val="20"/>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firstLine="443"/>
        <w:spacing w:after="0" w:line="279" w:lineRule="auto"/>
        <w:tabs>
          <w:tab w:leader="none" w:pos="1113"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Securities of such series theretofore authenticated and delivered (other than (i) Securities that have been destroyed, lost or stolen and which have been replaced or paid as provided in Section 3.06 and (ii) Securities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Securities of such series</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500" w:right="20" w:hanging="8"/>
        <w:spacing w:after="0" w:line="272" w:lineRule="auto"/>
        <w:tabs>
          <w:tab w:leader="none" w:pos="1755" w:val="left"/>
        </w:tabs>
        <w:numPr>
          <w:ilvl w:val="2"/>
          <w:numId w:val="32"/>
        </w:numPr>
        <w:rPr>
          <w:rFonts w:ascii="Arial" w:cs="Arial" w:eastAsia="Arial" w:hAnsi="Arial"/>
          <w:sz w:val="17"/>
          <w:szCs w:val="17"/>
          <w:color w:val="auto"/>
        </w:rPr>
      </w:pPr>
      <w:r>
        <w:rPr>
          <w:rFonts w:ascii="Arial" w:cs="Arial" w:eastAsia="Arial" w:hAnsi="Arial"/>
          <w:sz w:val="17"/>
          <w:szCs w:val="17"/>
          <w:color w:val="auto"/>
        </w:rPr>
        <w:t>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77" w:lineRule="exact"/>
        <w:rPr>
          <w:rFonts w:ascii="Arial" w:cs="Arial" w:eastAsia="Arial" w:hAnsi="Arial"/>
          <w:sz w:val="17"/>
          <w:szCs w:val="17"/>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irrevocably paid or caused to be irrevocably paid all other sums payable hereunder by the Company; and</w:t>
      </w:r>
    </w:p>
    <w:p>
      <w:pPr>
        <w:spacing w:after="0" w:line="225" w:lineRule="exact"/>
        <w:rPr>
          <w:rFonts w:ascii="Arial" w:cs="Arial" w:eastAsia="Arial" w:hAnsi="Arial"/>
          <w:sz w:val="18"/>
          <w:szCs w:val="18"/>
          <w:color w:val="auto"/>
        </w:rPr>
      </w:pPr>
    </w:p>
    <w:p>
      <w:pPr>
        <w:ind w:right="460" w:firstLine="464"/>
        <w:spacing w:after="0" w:line="277"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(ii) of clause (a) of this Section, the obligations of the Trustee under Section 4.02 and the last paragraph of Section 10.03 shall survive any termination of this Indenture.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4"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Application of Trust Funds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spacing w:after="0" w:line="80" w:lineRule="exact"/>
        <w:rPr>
          <w:sz w:val="20"/>
          <w:szCs w:val="20"/>
          <w:color w:val="auto"/>
        </w:rPr>
      </w:pPr>
    </w:p>
    <w:p>
      <w:pPr>
        <w:ind w:left="460" w:right="140" w:firstLine="443"/>
        <w:spacing w:after="0" w:line="277" w:lineRule="auto"/>
        <w:tabs>
          <w:tab w:leader="none" w:pos="11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such interest becomes due and payable, and continuance of such default for a period of 30 days; or</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any Security of that series when it becomes due and payable at its Maturity, including upon any Redemption Date or required repurchase date; or</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2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Security of that series, and continuance of such default for a period of 5 days; or</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20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failure for 60 consecutive days after written notice from the Trustee or the Holders of at least 25% in principal amount of the Securities of such series then Outstanding to the Company and the Trustee, as applicable, has been received to comply with any of the Company’s other agreements contained in such Securities or this Indenture;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sz w:val="20"/>
          <w:szCs w:val="20"/>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commences a voluntary case or proceeding under any Bankruptcy Law,</w:t>
      </w:r>
    </w:p>
    <w:p>
      <w:pPr>
        <w:spacing w:after="0" w:line="117" w:lineRule="exact"/>
        <w:rPr>
          <w:rFonts w:ascii="Arial" w:cs="Arial" w:eastAsia="Arial" w:hAnsi="Arial"/>
          <w:sz w:val="18"/>
          <w:szCs w:val="18"/>
          <w:color w:val="auto"/>
        </w:rPr>
      </w:pPr>
    </w:p>
    <w:p>
      <w:pPr>
        <w:ind w:left="920" w:right="80" w:firstLine="1"/>
        <w:spacing w:after="0" w:line="277" w:lineRule="auto"/>
        <w:tabs>
          <w:tab w:leader="none" w:pos="11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consents to the commencement of any bankruptcy or insolvency case or proceeding against it, or files a petition or answer or consent seeking reorganization or relief against it,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consents to the entry of a decree or order for relief against it in an involuntary case or proceeding,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0" w:name="page51"/>
    <w:bookmarkEnd w:id="50"/>
    <w:p>
      <w:pPr>
        <w:ind w:left="460" w:right="80" w:firstLine="1"/>
        <w:spacing w:after="0" w:line="277" w:lineRule="auto"/>
        <w:tabs>
          <w:tab w:leader="none" w:pos="715"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consents to the filing of such petition or to the appointment of or taking possession by a Custodian of the Company or for all or substantially all of its property, or</w:t>
      </w:r>
    </w:p>
    <w:p>
      <w:pPr>
        <w:spacing w:after="0" w:line="62" w:lineRule="exact"/>
        <w:rPr>
          <w:rFonts w:ascii="Arial" w:cs="Arial" w:eastAsia="Arial" w:hAnsi="Arial"/>
          <w:sz w:val="18"/>
          <w:szCs w:val="18"/>
          <w:color w:val="auto"/>
        </w:rPr>
      </w:pPr>
    </w:p>
    <w:p>
      <w:pPr>
        <w:ind w:left="460" w:right="240" w:firstLine="1"/>
        <w:spacing w:after="0" w:line="277" w:lineRule="auto"/>
        <w:tabs>
          <w:tab w:leader="none" w:pos="7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makes an assignment for the benefit of creditors, or admits in writing of its inability to pay its debts generally as they become due or takes any corporate action in furtherance of any such action;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U.S. Code or any applicable federal or state bankruptcy, insolvency, reorganization or other similar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Custodian</w:t>
      </w:r>
      <w:r>
        <w:rPr>
          <w:rFonts w:ascii="Arial" w:cs="Arial" w:eastAsia="Arial" w:hAnsi="Arial"/>
          <w:sz w:val="16"/>
          <w:szCs w:val="16"/>
          <w:color w:val="auto"/>
        </w:rPr>
        <w:t>” means any custodian, receiver, trustee, assignee, liquidator, sequestrator or other similar official under any Bankruptcy Law.</w:t>
      </w:r>
    </w:p>
    <w:p>
      <w:pPr>
        <w:spacing w:after="0" w:line="126" w:lineRule="exact"/>
        <w:rPr>
          <w:sz w:val="20"/>
          <w:szCs w:val="20"/>
          <w:color w:val="auto"/>
        </w:rPr>
      </w:pPr>
    </w:p>
    <w:p>
      <w:pPr>
        <w:ind w:left="740" w:hanging="297"/>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 is for relief against the Company in an involuntary case or proceeding, or</w:t>
      </w:r>
    </w:p>
    <w:p>
      <w:pPr>
        <w:spacing w:after="0" w:line="117" w:lineRule="exact"/>
        <w:rPr>
          <w:sz w:val="20"/>
          <w:szCs w:val="20"/>
          <w:color w:val="auto"/>
        </w:rPr>
      </w:pPr>
    </w:p>
    <w:p>
      <w:pPr>
        <w:ind w:left="460" w:right="340" w:firstLine="1"/>
        <w:spacing w:after="0" w:line="277" w:lineRule="auto"/>
        <w:tabs>
          <w:tab w:leader="none" w:pos="7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w:t>
      </w:r>
    </w:p>
    <w:p>
      <w:pPr>
        <w:spacing w:after="0" w:line="117"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and the continuance of any such decree or order for relief or any such other decree or order remains unstayed and in effect for a period of 90 consecutive days;</w:t>
      </w:r>
    </w:p>
    <w:p>
      <w:pPr>
        <w:spacing w:after="0" w:line="62" w:lineRule="exact"/>
        <w:rPr>
          <w:sz w:val="20"/>
          <w:szCs w:val="20"/>
          <w:color w:val="auto"/>
        </w:rPr>
      </w:pPr>
    </w:p>
    <w:p>
      <w:pPr>
        <w:jc w:val="both"/>
        <w:ind w:right="20" w:firstLine="443"/>
        <w:spacing w:after="0" w:line="259" w:lineRule="auto"/>
        <w:tabs>
          <w:tab w:leader="none" w:pos="79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pursuant to Sections 18(a)(1)(C)(ii) and 61 of the Investment Company Act, or any successor provisions, on the last business day of each of twenty-four consecutive calendar months any class of Securities shall have an asset coverage (as such term is used in the Investment Company Act) of less than 100 per centum, giving effect to any amendments to such provisions of the Investment Company Act or to any exemptive relief granted to the Company by the Commission; or</w:t>
      </w:r>
    </w:p>
    <w:p>
      <w:pPr>
        <w:spacing w:after="0" w:line="78" w:lineRule="exact"/>
        <w:rPr>
          <w:rFonts w:ascii="Arial" w:cs="Arial" w:eastAsia="Arial" w:hAnsi="Arial"/>
          <w:sz w:val="18"/>
          <w:szCs w:val="18"/>
          <w:color w:val="auto"/>
        </w:rPr>
      </w:pPr>
    </w:p>
    <w:p>
      <w:pPr>
        <w:ind w:firstLine="443"/>
        <w:spacing w:after="0" w:line="254" w:lineRule="auto"/>
        <w:tabs>
          <w:tab w:leader="none" w:pos="8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by the Company or any of its Significant Subsidiaries,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Securities of any series then Outstanding.</w:t>
      </w:r>
    </w:p>
    <w:p>
      <w:pPr>
        <w:spacing w:after="0" w:line="84" w:lineRule="exact"/>
        <w:rPr>
          <w:rFonts w:ascii="Arial" w:cs="Arial" w:eastAsia="Arial" w:hAnsi="Arial"/>
          <w:sz w:val="18"/>
          <w:szCs w:val="18"/>
          <w:color w:val="auto"/>
        </w:rPr>
      </w:pPr>
    </w:p>
    <w:p>
      <w:pPr>
        <w:ind w:left="740" w:hanging="297"/>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0"/>
          </w:cols>
          <w:pgMar w:left="700" w:top="274"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then and in every such case (other than an Event of Default specified in Section 5.01(v) or 5.01(vi), the Trustee (if a Responsible Officer has actual knowledge of such Event of Default)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 provided that 100% of the principal of, and accrued and unpaid interest on, the Notes will automatically become due and payable in the case of an Event of Default specified in Section 5.01(v) or 5.01(vi) hereof.</w:t>
      </w:r>
    </w:p>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39" w:lineRule="exact"/>
        <w:rPr>
          <w:sz w:val="20"/>
          <w:szCs w:val="20"/>
          <w:color w:val="auto"/>
        </w:rPr>
      </w:pPr>
    </w:p>
    <w:p>
      <w:pPr>
        <w:ind w:left="460" w:right="60" w:firstLine="443"/>
        <w:spacing w:after="0" w:line="291" w:lineRule="auto"/>
        <w:tabs>
          <w:tab w:leader="none" w:pos="111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w:t>
      </w:r>
    </w:p>
    <w:p>
      <w:pPr>
        <w:ind w:left="460"/>
        <w:spacing w:after="0"/>
        <w:rPr>
          <w:rFonts w:ascii="Arial" w:cs="Arial" w:eastAsia="Arial" w:hAnsi="Arial"/>
          <w:sz w:val="16"/>
          <w:szCs w:val="16"/>
          <w:color w:val="auto"/>
        </w:rPr>
      </w:pPr>
      <w:r>
        <w:rPr>
          <w:rFonts w:ascii="Arial" w:cs="Arial" w:eastAsia="Arial" w:hAnsi="Arial"/>
          <w:sz w:val="18"/>
          <w:szCs w:val="18"/>
          <w:color w:val="auto"/>
        </w:rPr>
        <w:t>3.12(d) and 3.12(e)):</w:t>
      </w:r>
    </w:p>
    <w:p>
      <w:pPr>
        <w:spacing w:after="0" w:line="102" w:lineRule="exact"/>
        <w:rPr>
          <w:rFonts w:ascii="Arial" w:cs="Arial" w:eastAsia="Arial" w:hAnsi="Arial"/>
          <w:sz w:val="16"/>
          <w:szCs w:val="16"/>
          <w:color w:val="auto"/>
        </w:rPr>
      </w:pPr>
    </w:p>
    <w:p>
      <w:pPr>
        <w:ind w:left="1180" w:hanging="259"/>
        <w:spacing w:after="0"/>
        <w:tabs>
          <w:tab w:leader="none" w:pos="11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overdue installments of interest, if any, on all Outstanding Securities of that series,</w:t>
      </w:r>
    </w:p>
    <w:p>
      <w:pPr>
        <w:spacing w:after="0" w:line="117" w:lineRule="exact"/>
        <w:rPr>
          <w:rFonts w:ascii="Arial" w:cs="Arial" w:eastAsia="Arial" w:hAnsi="Arial"/>
          <w:sz w:val="18"/>
          <w:szCs w:val="18"/>
          <w:color w:val="auto"/>
        </w:rPr>
      </w:pPr>
    </w:p>
    <w:p>
      <w:pPr>
        <w:ind w:left="920" w:right="240" w:firstLine="1"/>
        <w:spacing w:after="0" w:line="277" w:lineRule="auto"/>
        <w:tabs>
          <w:tab w:leader="none" w:pos="11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principal of (and premium, if any) all Outstanding Securities of that series that have become due otherwise than by such declaration of acceleration and interest thereon at the rate or rates borne by or provided for in such Securities,</w:t>
      </w:r>
    </w:p>
    <w:p>
      <w:pPr>
        <w:spacing w:after="0" w:line="62" w:lineRule="exact"/>
        <w:rPr>
          <w:rFonts w:ascii="Arial" w:cs="Arial" w:eastAsia="Arial" w:hAnsi="Arial"/>
          <w:sz w:val="18"/>
          <w:szCs w:val="18"/>
          <w:color w:val="auto"/>
        </w:rPr>
      </w:pPr>
    </w:p>
    <w:p>
      <w:pPr>
        <w:ind w:left="920" w:right="20" w:firstLine="1"/>
        <w:spacing w:after="0" w:line="277" w:lineRule="auto"/>
        <w:tabs>
          <w:tab w:leader="none" w:pos="11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left="920" w:right="100" w:firstLine="1"/>
        <w:spacing w:after="0" w:line="277" w:lineRule="auto"/>
        <w:tabs>
          <w:tab w:leader="none" w:pos="11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460" w:right="20" w:firstLine="443"/>
        <w:spacing w:after="0" w:line="342" w:lineRule="auto"/>
        <w:tabs>
          <w:tab w:leader="none" w:pos="116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Events of Default with respect to Securities of that series, other than the nonpayment of the principal of (or premium, if any) or interest on Securities of that series that have become due solely by such declaration of acceleration, have been cured or waived as provided in Section 5.13.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74"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60" w:right="220" w:firstLine="443"/>
        <w:spacing w:after="0" w:line="277" w:lineRule="auto"/>
        <w:tabs>
          <w:tab w:leader="none" w:pos="111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any Security of any series at its Maturity,</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then the Company will, upon demand of the Trustee, pay to the Trustee, for the benefit of the Holders of Securities of such series, the whole amount then due and payable on such Securities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80" w:lineRule="exact"/>
        <w:rPr>
          <w:sz w:val="20"/>
          <w:szCs w:val="20"/>
          <w:color w:val="auto"/>
        </w:rPr>
      </w:pPr>
    </w:p>
    <w:p>
      <w:pPr>
        <w:ind w:left="460" w:right="20" w:firstLine="443"/>
        <w:spacing w:after="0" w:line="259" w:lineRule="auto"/>
        <w:tabs>
          <w:tab w:leader="none" w:pos="11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(and take such other actions, including voting for the election of a trustee in bankruptcy or similar official and serving on a committee of creditors) as may be necessary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53" w:name="page54"/>
    <w:bookmarkEnd w:id="53"/>
    <w:p>
      <w:pPr>
        <w:ind w:left="46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advisable in order to have the claims of the Trustee (including any claim for the reasonable compensation, expenses, disbursements and advances of the Trustee, its agents and counsel) and of the Holders allowed in such judicial proceeding, and</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to collect and receive any moneys or other property payable or deliverable on any such claims and to distribute the same;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 To the extent that the payment of any such compensation, expenses, disbursements and advances of the Trustee, its agents and counsel, and any other amounts due the Trustee under Section 6.06 hereof out of the estate in any such proceeding, shall be unpaid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w:t>
      </w:r>
    </w:p>
    <w:p>
      <w:pPr>
        <w:spacing w:after="0" w:line="17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Subject to Article Eight and Section 9.02 and unless otherwise provided as contemplated by Section 3.01, 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money or property collected by the Trustee pursuant to this Article and after an Event of Default any money or other property distributable in respect of the Company’s obligations under this Indenture shall be applied in the following order, at the date or dates fixed by the Trustee and, in case of the distribution of such money or property on account of principal (or premium, if any) or interest, if any, upon presentation of the Securities and the notation thereon of the payment if only partially paid and upon surrender thereof if fully paid: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4" w:name="page55"/>
    <w:bookmarkEnd w:id="54"/>
    <w:p>
      <w:pPr>
        <w:jc w:val="both"/>
        <w:ind w:right="18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To the payment of the amounts then due and unpaid upon any Senior Securities for principal (and premium, if any) and interest, if any, in respect of which or for the benefit of which such money has been collected, ratably, without preference or priority of any kind, according to the aggregate amounts due and payable on such Senior Securities for principal (and premium, if any) and interest, if any, respectively; and</w:t>
      </w:r>
    </w:p>
    <w:p>
      <w:pPr>
        <w:spacing w:after="0" w:line="166"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THIRD: To the payment of the amounts then due and unpaid upon any Senior Subordinated Securities for principal (and premium, if any) and interest, if any, in respect of which or for the benefit of which such money has been collected, ratably, without preference or priority of any kind, according to the aggregate amounts due and payable on such Senior Subordinated Securities for principal (and premium, if any) and interest, if any, respectively; and</w:t>
      </w:r>
    </w:p>
    <w:p>
      <w:pPr>
        <w:spacing w:after="0" w:line="147"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FOURTH: To the payment of the amounts then due and unpaid upon any other Securities for principal (and premium, if any) and interest, if any, in respect of which or for the benefit of which such money has been collected, ratably, without preference or priority of any kind, according to the aggregate amounts due and payable on such Securities for principal (and premium, if any) and interest, if any, respectively;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FIFTH: To the payment of the remainder, if any, to the Company or any other Person or Persons entitled thereto.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20" w:hanging="217"/>
        <w:spacing w:after="0"/>
        <w:tabs>
          <w:tab w:leader="none" w:pos="11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left="460" w:right="480" w:firstLine="443"/>
        <w:spacing w:after="0" w:line="277" w:lineRule="auto"/>
        <w:tabs>
          <w:tab w:leader="none" w:pos="11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60" w:firstLine="443"/>
        <w:spacing w:after="0" w:line="277" w:lineRule="auto"/>
        <w:tabs>
          <w:tab w:leader="none" w:pos="12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security or indemnity has failed to institute any such proceeding;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60" w:right="200" w:firstLine="443"/>
        <w:spacing w:after="0" w:line="277" w:lineRule="auto"/>
        <w:tabs>
          <w:tab w:leader="none" w:pos="11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274" w:right="319" w:bottom="1440" w:gutter="0" w:footer="0" w:header="0"/>
        </w:sectPr>
      </w:pPr>
    </w:p>
    <w:bookmarkStart w:id="55" w:name="page56"/>
    <w:bookmarkEnd w:id="55"/>
    <w:p>
      <w:pPr>
        <w:jc w:val="both"/>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Notwithstanding any other provision in this Indenture, the Holder of any Security shall have the right, which is absolute and unconditional, to receive payment of the principal of (and premium, if any) and (subject to Sections 3.05 and 3.07) interest, if any, on such Security on the Stated Maturity or Maturities expressed in such Security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as the case may be.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Subject to Section 6.02(v),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1120" w:hanging="217"/>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that is not inconsistent with such direction, and</w:t>
      </w:r>
    </w:p>
    <w:p>
      <w:pPr>
        <w:spacing w:after="0" w:line="117" w:lineRule="exact"/>
        <w:rPr>
          <w:rFonts w:ascii="Arial" w:cs="Arial" w:eastAsia="Arial" w:hAnsi="Arial"/>
          <w:sz w:val="18"/>
          <w:szCs w:val="18"/>
          <w:color w:val="auto"/>
        </w:rPr>
      </w:pPr>
    </w:p>
    <w:p>
      <w:pPr>
        <w:ind w:left="460" w:firstLine="443"/>
        <w:spacing w:after="0" w:line="264" w:lineRule="auto"/>
        <w:tabs>
          <w:tab w:leader="none" w:pos="12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need not take any action that might involve it in personal liability or be unjustly prejudicial to the Holders of Securities of such series not consenting (it being understood that the Trustee does not have an affirmative duty to ascertain whether or not any such directions are unduly prejudicial to such 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Subject to Section 5.02, the Holders of not less than a majority in principal amount of the Outstanding Securities of any series may on behalf of the Holders of all the Securities of such series waive any past default hereunder with respect to Securities of such series and its consequences, except a default</w:t>
      </w:r>
    </w:p>
    <w:p>
      <w:pPr>
        <w:spacing w:after="0" w:line="16" w:lineRule="exact"/>
        <w:rPr>
          <w:sz w:val="20"/>
          <w:szCs w:val="20"/>
          <w:color w:val="auto"/>
        </w:rPr>
      </w:pPr>
    </w:p>
    <w:p>
      <w:pPr>
        <w:ind w:left="1120" w:hanging="217"/>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if any, on any Security of such series, or</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w:t>
      </w:r>
    </w:p>
    <w:p>
      <w:pPr>
        <w:spacing w:after="0" w:line="170"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Undertaking for Costs.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274" w:right="359" w:bottom="1440" w:gutter="0" w:footer="0" w:header="0"/>
        </w:sectPr>
      </w:pPr>
    </w:p>
    <w:bookmarkStart w:id="57" w:name="page58"/>
    <w:bookmarkEnd w:id="57"/>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of the suit, and the court in its discretion may assess reasonable costs, including reasonable attorneys’ fees, against any party litigant in the suit, having due regard to the merits and good faith of the claims or defenses made by the party litigant. This Section 5.15 does not apply to a suit by the Trustee, a suit by a Holder of a Note pursuant to Section 5.08 hereof, or a suit by Holders of more than 10% in principal amount of the then outstanding Securities.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right="140" w:firstLine="464"/>
        <w:spacing w:after="0" w:line="284" w:lineRule="auto"/>
        <w:tabs>
          <w:tab w:leader="none" w:pos="7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Within 90 days after the occurrence of any Default hereunder with respect to the Securities of any series, the Trustee shall transmit in the manner and to the extent provided in TIA Section 313(c), notice of such Default hereunder actually known to a Responsible Officer of the Trustee, unless such Default shall have been cured or waived; provided, however,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Trustee in good faith determines that the withholding of such notice is in the interest of the Holders of the Securities of such series; and provided further that in the case of any Default or breach of the character specified in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5.01(iv) with respect to the Securities of such series, no such notice to Holders shall be given until at least 60 days after the occurrence thereof.</w:t>
      </w:r>
    </w:p>
    <w:p>
      <w:pPr>
        <w:spacing w:after="0" w:line="222" w:lineRule="exact"/>
        <w:rPr>
          <w:rFonts w:ascii="Arial" w:cs="Arial" w:eastAsia="Arial" w:hAnsi="Arial"/>
          <w:sz w:val="16"/>
          <w:szCs w:val="16"/>
          <w:color w:val="auto"/>
        </w:rPr>
      </w:pPr>
    </w:p>
    <w:p>
      <w:pPr>
        <w:ind w:firstLine="464"/>
        <w:spacing w:after="0" w:line="277"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the time when the occurrence of an Event of Default becomes known to a Responsible Officer of the Trustee and after the curing or waiving of all such Events of Default with respect to a series of Securities that may have occurred:</w:t>
      </w:r>
    </w:p>
    <w:p>
      <w:pPr>
        <w:spacing w:after="0" w:line="62" w:lineRule="exact"/>
        <w:rPr>
          <w:rFonts w:ascii="Arial" w:cs="Arial" w:eastAsia="Arial" w:hAnsi="Arial"/>
          <w:sz w:val="18"/>
          <w:szCs w:val="18"/>
          <w:color w:val="auto"/>
        </w:rPr>
      </w:pPr>
    </w:p>
    <w:p>
      <w:pPr>
        <w:ind w:left="460" w:right="20" w:firstLine="443"/>
        <w:spacing w:after="0" w:line="286" w:lineRule="auto"/>
        <w:tabs>
          <w:tab w:leader="none" w:pos="1113"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duties and obligations of the Trustee shall with respect to the Securities of any series be determined solely by the express provisions of this Indenture, and the Trustee shall not be liable with respect to the Securities except for the performance of such duties and obligations as are specifically set forth in this Indenture, and no implied covenants or obligations shall be read into this Indenture against the Trustee; and</w:t>
      </w:r>
    </w:p>
    <w:p>
      <w:pPr>
        <w:spacing w:after="0" w:line="57" w:lineRule="exact"/>
        <w:rPr>
          <w:rFonts w:ascii="Arial" w:cs="Arial" w:eastAsia="Arial" w:hAnsi="Arial"/>
          <w:sz w:val="17"/>
          <w:szCs w:val="17"/>
          <w:color w:val="auto"/>
        </w:rPr>
      </w:pPr>
    </w:p>
    <w:p>
      <w:pPr>
        <w:ind w:left="460" w:right="20" w:firstLine="443"/>
        <w:spacing w:after="0" w:line="276" w:lineRule="auto"/>
        <w:tabs>
          <w:tab w:leader="none" w:pos="1163"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w:t>
      </w:r>
    </w:p>
    <w:p>
      <w:pPr>
        <w:spacing w:after="0" w:line="172" w:lineRule="exact"/>
        <w:rPr>
          <w:rFonts w:ascii="Arial" w:cs="Arial" w:eastAsia="Arial" w:hAnsi="Arial"/>
          <w:sz w:val="17"/>
          <w:szCs w:val="17"/>
          <w:color w:val="auto"/>
        </w:rPr>
      </w:pPr>
    </w:p>
    <w:p>
      <w:pPr>
        <w:ind w:right="40" w:firstLine="464"/>
        <w:spacing w:after="0" w:line="312" w:lineRule="auto"/>
        <w:tabs>
          <w:tab w:leader="none" w:pos="7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with respect to the Securities of any series of which a Responsible Officer of the Trustee has actual notice, the Trustee shall exercise such of the rights and powers vested in it by this Indenture with respect to the Securities of such series, and use the same degree of care and skill in their exercise, as a prudent person would exercise or use under the circumstances in the conduct of such person’s own affairs.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58" w:name="page59"/>
    <w:bookmarkEnd w:id="58"/>
    <w:p>
      <w:pPr>
        <w:ind w:firstLine="464"/>
        <w:spacing w:after="0" w:line="293" w:lineRule="auto"/>
        <w:tabs>
          <w:tab w:leader="none" w:pos="711"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not be relieved from liabilities for its own negligent action, its own negligent failure to act, or its own willful misconduct, except that: (i) this paragraph does not limit the effect of paragraph (b) of this Section 6.01; (ii) the Trustee shall not be liable for any error of judgment made in good faith by a Responsible Officer or Responsible Officers, unless it shall be proved that the Trustee was negligent in ascertaining the pertinent facts; and (iii) the Trustee shall not be liable with respect to any action it takes or omits to take in good faith in accordance with the direction of the holders of not less than a majority in principal amount of the Securities Outstanding relating to the time, method, and place of conducting any proceeding for any remedy available to the Trustee, or exercising any trust or power conferred upon the Trustee, with respect to the Securities of any series under this Indenture.</w:t>
      </w:r>
    </w:p>
    <w:p>
      <w:pPr>
        <w:spacing w:after="0" w:line="164" w:lineRule="exact"/>
        <w:rPr>
          <w:rFonts w:ascii="Arial" w:cs="Arial" w:eastAsia="Arial" w:hAnsi="Arial"/>
          <w:sz w:val="16"/>
          <w:szCs w:val="16"/>
          <w:color w:val="auto"/>
        </w:rPr>
      </w:pPr>
    </w:p>
    <w:p>
      <w:pPr>
        <w:ind w:right="280" w:firstLine="464"/>
        <w:spacing w:after="0" w:line="277" w:lineRule="auto"/>
        <w:tabs>
          <w:tab w:leader="none" w:pos="69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(c) and (d) of this Section 6.01.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TIA Section 315(a) through 315(d):</w:t>
      </w:r>
    </w:p>
    <w:p>
      <w:pPr>
        <w:spacing w:after="0" w:line="117" w:lineRule="exact"/>
        <w:rPr>
          <w:sz w:val="20"/>
          <w:szCs w:val="20"/>
          <w:color w:val="auto"/>
        </w:rPr>
      </w:pPr>
    </w:p>
    <w:p>
      <w:pPr>
        <w:ind w:left="460" w:right="20" w:firstLine="443"/>
        <w:spacing w:after="0" w:line="264" w:lineRule="auto"/>
        <w:tabs>
          <w:tab w:leader="none" w:pos="11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coupon or other paper or document (whether in its original or facsimile form) believed by it to be genuine and to have been signed or presented by the proper party or parties.</w:t>
      </w:r>
    </w:p>
    <w:p>
      <w:pPr>
        <w:spacing w:after="0" w:line="73" w:lineRule="exact"/>
        <w:rPr>
          <w:rFonts w:ascii="Arial" w:cs="Arial" w:eastAsia="Arial" w:hAnsi="Arial"/>
          <w:sz w:val="18"/>
          <w:szCs w:val="18"/>
          <w:color w:val="auto"/>
        </w:rPr>
      </w:pPr>
    </w:p>
    <w:p>
      <w:pPr>
        <w:jc w:val="both"/>
        <w:ind w:left="460" w:right="140" w:firstLine="443"/>
        <w:spacing w:after="0" w:line="286" w:lineRule="auto"/>
        <w:tabs>
          <w:tab w:leader="none" w:pos="116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request or direction of the Company mentioned herein shall be sufficiently evidenced by a Company Request or Company Order (other than delivery of any Security to the Trustee for authentication and delivery pursuant to Section 3.03 which shall be sufficiently evidenced as provided therein) and any resolution of the Board of Directors may be sufficiently evidenced by a Board Resolution.</w:t>
      </w:r>
    </w:p>
    <w:p>
      <w:pPr>
        <w:spacing w:after="0" w:line="57" w:lineRule="exact"/>
        <w:rPr>
          <w:rFonts w:ascii="Arial" w:cs="Arial" w:eastAsia="Arial" w:hAnsi="Arial"/>
          <w:sz w:val="17"/>
          <w:szCs w:val="17"/>
          <w:color w:val="auto"/>
        </w:rPr>
      </w:pPr>
    </w:p>
    <w:p>
      <w:pPr>
        <w:jc w:val="both"/>
        <w:ind w:left="460" w:firstLine="443"/>
        <w:spacing w:after="0" w:line="259" w:lineRule="auto"/>
        <w:tabs>
          <w:tab w:leader="none" w:pos="12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and rely upon a Board Resolution, an Opinion of Counsel and/or an Officers’ Certificate and the Trustee shall not be liable for any action it takes or omits to take in good faith in reliance thereon.</w:t>
      </w:r>
    </w:p>
    <w:p>
      <w:pPr>
        <w:spacing w:after="0" w:line="78" w:lineRule="exact"/>
        <w:rPr>
          <w:rFonts w:ascii="Arial" w:cs="Arial" w:eastAsia="Arial" w:hAnsi="Arial"/>
          <w:sz w:val="18"/>
          <w:szCs w:val="18"/>
          <w:color w:val="auto"/>
        </w:rPr>
      </w:pPr>
    </w:p>
    <w:p>
      <w:pPr>
        <w:ind w:left="460" w:right="40" w:firstLine="443"/>
        <w:spacing w:after="0" w:line="259" w:lineRule="auto"/>
        <w:tabs>
          <w:tab w:leader="none" w:pos="120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may consult with counsel concerning all matters hereunder, and may in all cases pay such reasonable compensation to any attorney, agent, receiver or employee retained or employed by it in connection herewith and the advice of such counsel or any Opinion of Counsel shall be full and complete authorization and protection in respect of any action taken, suffered or omitted by it hereunder in good faith and in reliance thereon.</w:t>
      </w:r>
    </w:p>
    <w:p>
      <w:pPr>
        <w:spacing w:after="0" w:line="78"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shall be under no obligation to take any action or exercise any of the rights or powers vested in it by this Indenture at the request or direction of any of the Holders of Securities of any series pursuant to this Indenture, unless such Holders shall have offered to the Trustee security or indemnity satisfactory to the Trustee against the costs, expenses and liabilities (including the reasonable fees and expenses of its agents and counsel) which might be incurred by it in compliance with such request or direction.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59" w:name="page60"/>
    <w:bookmarkEnd w:id="59"/>
    <w:p>
      <w:pPr>
        <w:ind w:right="40" w:firstLine="443"/>
        <w:spacing w:after="0" w:line="255" w:lineRule="auto"/>
        <w:tabs>
          <w:tab w:leader="none" w:pos="743"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 and shall incur no liability or additional liability of any kind by reason of such inquiry or investigation.</w:t>
      </w:r>
    </w:p>
    <w:p>
      <w:pPr>
        <w:spacing w:after="0" w:line="85" w:lineRule="exact"/>
        <w:rPr>
          <w:rFonts w:ascii="Arial" w:cs="Arial" w:eastAsia="Arial" w:hAnsi="Arial"/>
          <w:sz w:val="18"/>
          <w:szCs w:val="18"/>
          <w:color w:val="auto"/>
        </w:rPr>
      </w:pPr>
    </w:p>
    <w:p>
      <w:pPr>
        <w:ind w:right="220" w:firstLine="443"/>
        <w:spacing w:after="0" w:line="264" w:lineRule="auto"/>
        <w:tabs>
          <w:tab w:leader="none" w:pos="7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ind w:right="160" w:firstLine="443"/>
        <w:spacing w:after="0" w:line="259" w:lineRule="auto"/>
        <w:tabs>
          <w:tab w:leader="none" w:pos="8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by the Company or by the Holders of at least 25% of the aggregate principal amount of the Securities of any series then outstanding is received by the Trustee at the Corporate Trust Office of the Trustee, and such notice references the Securities and this Indenture.</w:t>
      </w:r>
    </w:p>
    <w:p>
      <w:pPr>
        <w:spacing w:after="0" w:line="78" w:lineRule="exact"/>
        <w:rPr>
          <w:rFonts w:ascii="Arial" w:cs="Arial" w:eastAsia="Arial" w:hAnsi="Arial"/>
          <w:sz w:val="18"/>
          <w:szCs w:val="18"/>
          <w:color w:val="auto"/>
        </w:rPr>
      </w:pPr>
    </w:p>
    <w:p>
      <w:pPr>
        <w:ind w:right="240" w:firstLine="443"/>
        <w:spacing w:after="0" w:line="342" w:lineRule="auto"/>
        <w:tabs>
          <w:tab w:leader="none" w:pos="7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rights, privileges, protections, immunities and benefits given to the Trustee, including, without limitation, its right to be compensated, reimbursed and indemnified, are extended to, and shall be enforceable by, the Trustee in each of its capacities hereunder and each Agent.</w:t>
      </w:r>
    </w:p>
    <w:p>
      <w:pPr>
        <w:spacing w:after="0" w:line="15" w:lineRule="exact"/>
        <w:rPr>
          <w:rFonts w:ascii="Arial" w:cs="Arial" w:eastAsia="Arial" w:hAnsi="Arial"/>
          <w:sz w:val="16"/>
          <w:szCs w:val="16"/>
          <w:color w:val="auto"/>
        </w:rPr>
      </w:pPr>
    </w:p>
    <w:p>
      <w:pPr>
        <w:ind w:left="700" w:hanging="25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17" w:lineRule="exact"/>
        <w:rPr>
          <w:rFonts w:ascii="Arial" w:cs="Arial" w:eastAsia="Arial" w:hAnsi="Arial"/>
          <w:sz w:val="18"/>
          <w:szCs w:val="18"/>
          <w:color w:val="auto"/>
        </w:rPr>
      </w:pPr>
    </w:p>
    <w:p>
      <w:pPr>
        <w:ind w:right="80" w:firstLine="443"/>
        <w:spacing w:after="0" w:line="277" w:lineRule="auto"/>
        <w:tabs>
          <w:tab w:leader="none" w:pos="7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right="100" w:firstLine="443"/>
        <w:spacing w:after="0" w:line="312" w:lineRule="auto"/>
        <w:tabs>
          <w:tab w:leader="none" w:pos="79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38" w:lineRule="exact"/>
        <w:rPr>
          <w:rFonts w:ascii="Arial" w:cs="Arial" w:eastAsia="Arial" w:hAnsi="Arial"/>
          <w:sz w:val="16"/>
          <w:szCs w:val="16"/>
          <w:color w:val="auto"/>
        </w:rPr>
      </w:pPr>
    </w:p>
    <w:p>
      <w:pPr>
        <w:jc w:val="both"/>
        <w:ind w:right="340" w:firstLine="443"/>
        <w:spacing w:after="0" w:line="264" w:lineRule="auto"/>
        <w:tabs>
          <w:tab w:leader="none" w:pos="8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73" w:lineRule="exact"/>
        <w:rPr>
          <w:rFonts w:ascii="Arial" w:cs="Arial" w:eastAsia="Arial" w:hAnsi="Arial"/>
          <w:sz w:val="18"/>
          <w:szCs w:val="18"/>
          <w:color w:val="auto"/>
        </w:rPr>
      </w:pPr>
    </w:p>
    <w:p>
      <w:pPr>
        <w:ind w:firstLine="443"/>
        <w:spacing w:after="0" w:line="277" w:lineRule="auto"/>
        <w:tabs>
          <w:tab w:leader="none" w:pos="8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failure or delay in the performance of its obligations under this Indenture arising out of or caused, directly or indirectly, by circumstances beyond its control, including acts of God; earthquakes; fire;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700" w:top="274" w:right="259" w:bottom="1440" w:gutter="0" w:footer="0" w:header="0"/>
        </w:sectPr>
      </w:pPr>
    </w:p>
    <w:bookmarkStart w:id="60" w:name="page61"/>
    <w:bookmarkEnd w:id="60"/>
    <w:p>
      <w:pPr>
        <w:jc w:val="both"/>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flood; terrorism; wars and other military disturbances; sabotage; epidemics; riots; interruptions; loss or malfunctions of utilities, computer (hardware or software) or communication services; accidents; labor disputes; acts of civil or military authority and governmental action or other unavailability of the Federal Reserve Bank wire or facsimile or other wire or communication facility.</w:t>
      </w:r>
    </w:p>
    <w:p>
      <w:pPr>
        <w:spacing w:after="0" w:line="73" w:lineRule="exact"/>
        <w:rPr>
          <w:sz w:val="20"/>
          <w:szCs w:val="20"/>
          <w:color w:val="auto"/>
        </w:rPr>
      </w:pPr>
    </w:p>
    <w:p>
      <w:pPr>
        <w:ind w:left="460" w:right="240" w:firstLine="443"/>
        <w:spacing w:after="0" w:line="264" w:lineRule="auto"/>
        <w:tabs>
          <w:tab w:leader="none" w:pos="12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or duties 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and shall not be responsible for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 or for funds received and disbursed in accordance with Indenture. The Trustee shall not be bound to ascertain or inquire as to the performance, observance, or breach of any covenants, conditions, representations, warranties or agreements on the part of the Company but the Trustee may require full information and advice as to the performance of the aforementioned covenants. Under no circumstances shall the Trustee be liable in its individual capacity for the obligations evidenced by the Securities. The Trustee shall have no obligation to pursue any action that is not in accordance with applicable law. The Trustee makes no representation as to and shall not be responsible for any statement or recital herein or any statement in any document in connection with the sale of any of the Securities. The Trustee shall not be responsible for and makes no representation as to any act or omission of any rating agency or any rating with respect to the Securities. The Trustee shall have no obligation to independently determine or verify if any event has occurred or notify the Holders of any event dependent upon the rating of the Securities, or if the rating on the Securities has been changed, suspended or withdrawn by any rating agency.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The Trustee, any Paying Agent, Security Registrar, Authenticating Agent or any other agent of the Company, in its individual or any other capacity, may become the owner or pledgee of Securities and, subject to TIA Sections 310(b) and 311, may otherwise deal with the Company with the same rights it would have if it were not Trustee, Paying Agent, Security Registrar, Authenticating Agent or such other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 and Indemnification of Trustee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left="460" w:firstLine="443"/>
        <w:spacing w:after="0" w:line="264" w:lineRule="auto"/>
        <w:tabs>
          <w:tab w:leader="none" w:pos="11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pay to the Trustee and any predecessor Trustee from time to time such compensation for all services rendered by it hereunder as has been agreed upon from time to time in writing (which compensation shall not be limited by any provision of law in regard to the compensation of a trustee of an express trust).</w:t>
      </w:r>
    </w:p>
    <w:p>
      <w:pPr>
        <w:spacing w:after="0" w:line="73" w:lineRule="exact"/>
        <w:rPr>
          <w:rFonts w:ascii="Arial" w:cs="Arial" w:eastAsia="Arial" w:hAnsi="Arial"/>
          <w:sz w:val="18"/>
          <w:szCs w:val="18"/>
          <w:color w:val="auto"/>
        </w:rPr>
      </w:pPr>
    </w:p>
    <w:p>
      <w:pPr>
        <w:ind w:left="460" w:right="80" w:firstLine="443"/>
        <w:spacing w:after="0" w:line="259" w:lineRule="auto"/>
        <w:tabs>
          <w:tab w:leader="none" w:pos="11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willful misconduct as finally adjudicated by a court of competent jurisdiction.</w:t>
      </w:r>
    </w:p>
    <w:p>
      <w:pPr>
        <w:spacing w:after="0" w:line="78" w:lineRule="exact"/>
        <w:rPr>
          <w:rFonts w:ascii="Arial" w:cs="Arial" w:eastAsia="Arial" w:hAnsi="Arial"/>
          <w:sz w:val="18"/>
          <w:szCs w:val="18"/>
          <w:color w:val="auto"/>
        </w:rPr>
      </w:pPr>
    </w:p>
    <w:p>
      <w:pPr>
        <w:ind w:left="460" w:right="20" w:firstLine="443"/>
        <w:spacing w:after="0" w:line="255" w:lineRule="auto"/>
        <w:tabs>
          <w:tab w:leader="none" w:pos="12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fee, cost or expense incurred without negligence or willful misconduct on its own part as finally adjudicated by a court of competent jurisdiction, arising out of or in connection with the acceptance or administration of the trust or trusts hereunder, including the costs and expenses (including the reasonable fees and expenses of its agents and counsel) of defending itself against any claim or liability in connection with the exercise or performance of any of its powers or duties hereunder (whether asserted by the Company, any Holder, or any other Person), and including reasonable attorneys’ fees and expenses and court costs incurred in connection with any action, claim or suit brought to enforce the Trustee’s right to compensation, reimbursement or indemnification.</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indemnifications and releases from liability granted hereunder to the Trustee shall extend to its officers, directors, employees, agents, attorneys, custodians, successors and assigns. 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w:t>
      </w:r>
    </w:p>
    <w:p>
      <w:pPr>
        <w:spacing w:after="0" w:line="18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62" w:name="page63"/>
    <w:bookmarkEnd w:id="62"/>
    <w:p>
      <w:pPr>
        <w:ind w:right="2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this Section 6.06 shall survive the resignation or removal of the Trustee and the satisfaction, termination or discharge of this Indenture. “Trustee” for the purposes of this Section 6.06 shall include any predecessor Trustee and the Trustee in each of its capacities hereunder and each agent, custodian and other person employed to act hereunder; provided, however, that the negligence or willful misconduct of any Trustee hereunder, as finally adjudicated by a court of competent jurisdiction, shall not affect the rights of any other Trustee hereunder.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shall at all times be a Trustee hereunder that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apply to the Commission for permission to continue as trustee or resign, to the extent and in the manner provided by, and subject to the provisions of, the Trust Indenture Act and this Indenture. To the extent permitted by such Act, the Trustee shall not be deemed to have a conflicting interest with respect to Securities of any series under this Indenture or any other indenture of the Company by virtue of being a trustee under this Indenture with respect to any particular series of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640" w:firstLine="464"/>
        <w:spacing w:after="0" w:line="277" w:lineRule="auto"/>
        <w:tabs>
          <w:tab w:leader="none" w:pos="7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Trustee may resign at any time with respect to the Securities of one or more series by giving written notice thereof to the Company.</w:t>
      </w:r>
    </w:p>
    <w:p>
      <w:pPr>
        <w:spacing w:after="0" w:line="236" w:lineRule="exact"/>
        <w:rPr>
          <w:rFonts w:ascii="Arial" w:cs="Arial" w:eastAsia="Arial" w:hAnsi="Arial"/>
          <w:sz w:val="17"/>
          <w:szCs w:val="17"/>
          <w:color w:val="auto"/>
        </w:rPr>
      </w:pPr>
    </w:p>
    <w:p>
      <w:pPr>
        <w:ind w:right="180" w:firstLine="464"/>
        <w:spacing w:after="0" w:line="277" w:lineRule="auto"/>
        <w:tabs>
          <w:tab w:leader="none" w:pos="6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63" w:name="page64"/>
    <w:bookmarkEnd w:id="63"/>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13"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left="460" w:right="500" w:firstLine="443"/>
        <w:spacing w:after="0" w:line="277" w:lineRule="auto"/>
        <w:tabs>
          <w:tab w:leader="none" w:pos="1163"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jc w:val="both"/>
        <w:ind w:left="460" w:right="120" w:firstLine="443"/>
        <w:spacing w:after="0" w:line="264" w:lineRule="auto"/>
        <w:tabs>
          <w:tab w:leader="none" w:pos="1213"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right="20" w:firstLine="464"/>
        <w:spacing w:after="0" w:line="264" w:lineRule="auto"/>
        <w:tabs>
          <w:tab w:leader="none" w:pos="7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w:t>
      </w:r>
    </w:p>
    <w:p>
      <w:pPr>
        <w:spacing w:after="0" w:line="181" w:lineRule="exact"/>
        <w:rPr>
          <w:rFonts w:ascii="Arial" w:cs="Arial" w:eastAsia="Arial" w:hAnsi="Arial"/>
          <w:sz w:val="18"/>
          <w:szCs w:val="18"/>
          <w:color w:val="auto"/>
        </w:rPr>
      </w:pPr>
    </w:p>
    <w:p>
      <w:pPr>
        <w:ind w:firstLine="464"/>
        <w:spacing w:after="0" w:line="287" w:lineRule="auto"/>
        <w:tabs>
          <w:tab w:leader="none" w:pos="68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2" w:lineRule="exact"/>
        <w:rPr>
          <w:rFonts w:ascii="Arial" w:cs="Arial" w:eastAsia="Arial" w:hAnsi="Arial"/>
          <w:sz w:val="16"/>
          <w:szCs w:val="16"/>
          <w:color w:val="auto"/>
        </w:rPr>
      </w:pPr>
    </w:p>
    <w:p>
      <w:pPr>
        <w:ind w:right="40" w:firstLine="464"/>
        <w:spacing w:after="0" w:line="312" w:lineRule="auto"/>
        <w:tabs>
          <w:tab w:leader="none" w:pos="71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6.10.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55" w:lineRule="auto"/>
        <w:tabs>
          <w:tab w:leader="none" w:pos="7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9" w:lineRule="exact"/>
        <w:rPr>
          <w:rFonts w:ascii="Arial" w:cs="Arial" w:eastAsia="Arial" w:hAnsi="Arial"/>
          <w:sz w:val="18"/>
          <w:szCs w:val="18"/>
          <w:color w:val="auto"/>
        </w:rPr>
      </w:pPr>
    </w:p>
    <w:p>
      <w:pPr>
        <w:ind w:firstLine="464"/>
        <w:spacing w:after="0" w:line="285" w:lineRule="auto"/>
        <w:tabs>
          <w:tab w:leader="none" w:pos="7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that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w:t>
      </w:r>
      <w:r>
        <w:rPr>
          <w:rFonts w:ascii="Arial" w:cs="Arial" w:eastAsia="Arial" w:hAnsi="Arial"/>
          <w:sz w:val="16"/>
          <w:szCs w:val="16"/>
          <w:u w:val="single" w:color="auto"/>
          <w:color w:val="auto"/>
        </w:rPr>
        <w:t>Indenture</w:t>
      </w:r>
      <w:r>
        <w:rPr>
          <w:rFonts w:ascii="Arial" w:cs="Arial" w:eastAsia="Arial" w:hAnsi="Arial"/>
          <w:sz w:val="16"/>
          <w:szCs w:val="16"/>
          <w:color w:val="auto"/>
        </w:rPr>
        <w:t>” and “</w:t>
      </w:r>
      <w:r>
        <w:rPr>
          <w:rFonts w:ascii="Arial" w:cs="Arial" w:eastAsia="Arial" w:hAnsi="Arial"/>
          <w:sz w:val="16"/>
          <w:szCs w:val="16"/>
          <w:u w:val="single" w:color="auto"/>
          <w:color w:val="auto"/>
        </w:rPr>
        <w:t>Securities</w:t>
      </w:r>
      <w:r>
        <w:rPr>
          <w:rFonts w:ascii="Arial" w:cs="Arial" w:eastAsia="Arial" w:hAnsi="Arial"/>
          <w:sz w:val="16"/>
          <w:szCs w:val="16"/>
          <w:color w:val="auto"/>
        </w:rPr>
        <w:t>” shall have the meanings specified in the provisos to the respective definition of those terms in Section 1.01 which contemplate such situation.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65" w:name="page66"/>
    <w:bookmarkEnd w:id="65"/>
    <w:p>
      <w:pPr>
        <w:jc w:val="both"/>
        <w:ind w:right="280" w:firstLine="464"/>
        <w:spacing w:after="0" w:line="342" w:lineRule="auto"/>
        <w:tabs>
          <w:tab w:leader="none" w:pos="701"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request of any such successor Trustee, the Company shall execute any and all instruments reasonably necessary to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right="100" w:firstLine="464"/>
        <w:spacing w:after="0" w:line="277" w:lineRule="auto"/>
        <w:tabs>
          <w:tab w:leader="none" w:pos="7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At any time when any of the Securities remain Outstanding, the Trustee may appoint an Authenticating Agent or Agents (which may be an Affiliate or Affiliates of the Company) with respect to one or more series of Securities that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$1,500,000 and subject to supervision or examination by Federal or State authorities.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66" w:name="page67"/>
    <w:bookmarkEnd w:id="66"/>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9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Wells Fargo Bank, National Association, as Authenticating</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67" w:name="page68"/>
    <w:bookmarkEnd w:id="6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and conditions of such appointment are reasonably acceptable to the Trustee.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Preferential Collection of Claims Against Company.</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Trustee is subject to TIA Section 311(a), excluding any creditor relationship listed in TIA Section 311(b). A Trustee who has resigned or been removed shall be subject to TIA Section 311(a) to the extent indicated therein.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Disclosure of Names and Addresses of Holders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or sending any material pursuant to a request made under TIA Section 312(b).</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86" w:lineRule="auto"/>
        <w:tabs>
          <w:tab w:leader="none" w:pos="70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65" w:lineRule="exact"/>
        <w:rPr>
          <w:rFonts w:ascii="Arial" w:cs="Arial" w:eastAsia="Arial" w:hAnsi="Arial"/>
          <w:sz w:val="17"/>
          <w:szCs w:val="17"/>
          <w:color w:val="auto"/>
        </w:rPr>
      </w:pPr>
    </w:p>
    <w:p>
      <w:pPr>
        <w:ind w:right="800" w:firstLine="464"/>
        <w:spacing w:after="0" w:line="277" w:lineRule="auto"/>
        <w:tabs>
          <w:tab w:leader="none" w:pos="7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68" w:name="page69"/>
    <w:bookmarkEnd w:id="68"/>
    <w:p>
      <w:pPr>
        <w:jc w:val="both"/>
        <w:ind w:right="160" w:firstLine="464"/>
        <w:spacing w:after="0" w:line="264" w:lineRule="auto"/>
        <w:tabs>
          <w:tab w:leader="none" w:pos="701"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Within 60 days after May 15 of each year commencing with the first May 15 after the first issuance of Securities pursuant to this Indenture, the Trustee shall transmit by mail or send to all Holders of Securities as provided in TIA Section 313(c) a brief report dated as of such May 15 which meets the requirements of TIA Section 313(a).</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with the Commission and with the Company. The Company will promptly notify the Trustee of the listing of the Securities on any stock exchange. In the event that, on any such reporting date, no events have occurred under the applicable sections of the TIA within the 12 months preceding such reporting date, the Trustee shall be under no duty or obligation to provide such reports.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Reports by Company</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The Company will file with the Trustee and the Commission, and transmit to Holders, such information, documents and other reports, and such summaries thereof, as may be required pursuant to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information, documents or reports filed electronically with the Commission pursuant to Section 13 or 15(d) of the Exchange Act shall be deemed filed with and delivered to the Trustee and the Holders at the same time as filed with the Commission. The Trustee shall have no obligation whatsoever to determine whether or not such information, documents or reports have been filed pursuant to the EDGAR filing system (or its successor) or postings to any website have occurred.</w:t>
      </w:r>
    </w:p>
    <w:p>
      <w:pPr>
        <w:spacing w:after="0" w:line="17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Calculation of Original Issue Discount</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EIGHT</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Merger, Consolidation or Sale of Assets.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Controlled Subsidiaries shall not be deemed to be any such sale, transfer, lease, conveyance or disposition) in one transaction or series of related transactions unless:</w:t>
      </w:r>
    </w:p>
    <w:p>
      <w:pPr>
        <w:spacing w:after="0" w:line="79" w:lineRule="exact"/>
        <w:rPr>
          <w:sz w:val="20"/>
          <w:szCs w:val="20"/>
          <w:color w:val="auto"/>
        </w:rPr>
      </w:pPr>
    </w:p>
    <w:p>
      <w:pPr>
        <w:ind w:left="460" w:right="280" w:firstLine="443"/>
        <w:spacing w:after="0" w:line="286" w:lineRule="auto"/>
        <w:tabs>
          <w:tab w:leader="none" w:pos="124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shall be the surviving Person (the “Surviving Person”) or the Surviving Person (if other than the Company)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57" w:lineRule="exact"/>
        <w:rPr>
          <w:rFonts w:ascii="Arial" w:cs="Arial" w:eastAsia="Arial" w:hAnsi="Arial"/>
          <w:sz w:val="17"/>
          <w:szCs w:val="17"/>
          <w:color w:val="auto"/>
        </w:rPr>
      </w:pPr>
    </w:p>
    <w:p>
      <w:pPr>
        <w:ind w:left="460" w:right="20" w:firstLine="443"/>
        <w:spacing w:after="0" w:line="259" w:lineRule="auto"/>
        <w:tabs>
          <w:tab w:leader="none" w:pos="12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Securities Outstanding, and the due and punctual performance and observance of all the covenants and conditions of this Indenture to be performed by the Company;</w:t>
      </w:r>
    </w:p>
    <w:p>
      <w:pPr>
        <w:spacing w:after="0" w:line="78" w:lineRule="exact"/>
        <w:rPr>
          <w:rFonts w:ascii="Arial" w:cs="Arial" w:eastAsia="Arial" w:hAnsi="Arial"/>
          <w:sz w:val="18"/>
          <w:szCs w:val="18"/>
          <w:color w:val="auto"/>
        </w:rPr>
      </w:pPr>
    </w:p>
    <w:p>
      <w:pPr>
        <w:ind w:left="460" w:right="100" w:firstLine="443"/>
        <w:spacing w:after="0" w:line="277" w:lineRule="auto"/>
        <w:tabs>
          <w:tab w:leader="none" w:pos="13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62" w:lineRule="exact"/>
        <w:rPr>
          <w:rFonts w:ascii="Arial" w:cs="Arial" w:eastAsia="Arial" w:hAnsi="Arial"/>
          <w:sz w:val="18"/>
          <w:szCs w:val="18"/>
          <w:color w:val="auto"/>
        </w:rPr>
      </w:pPr>
    </w:p>
    <w:p>
      <w:pPr>
        <w:ind w:left="460" w:right="120" w:firstLine="443"/>
        <w:spacing w:after="0" w:line="259" w:lineRule="auto"/>
        <w:tabs>
          <w:tab w:leader="none" w:pos="13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 and that such supplemental indenture, if any, is valid, binding and enforceable against the successor company.</w:t>
      </w:r>
    </w:p>
    <w:p>
      <w:pPr>
        <w:spacing w:after="0" w:line="187"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Person Substituted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may be dissolved and liquidated.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0"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NINE</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Without the consent of any Holders of Securities,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73" w:lineRule="exact"/>
        <w:rPr>
          <w:sz w:val="20"/>
          <w:szCs w:val="20"/>
          <w:color w:val="auto"/>
        </w:rPr>
      </w:pPr>
    </w:p>
    <w:p>
      <w:pPr>
        <w:ind w:left="460" w:right="360" w:firstLine="443"/>
        <w:spacing w:after="0" w:line="277" w:lineRule="auto"/>
        <w:tabs>
          <w:tab w:leader="none" w:pos="11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contained; or</w:t>
      </w:r>
    </w:p>
    <w:p>
      <w:pPr>
        <w:spacing w:after="0" w:line="62" w:lineRule="exact"/>
        <w:rPr>
          <w:rFonts w:ascii="Arial" w:cs="Arial" w:eastAsia="Arial" w:hAnsi="Arial"/>
          <w:sz w:val="18"/>
          <w:szCs w:val="18"/>
          <w:color w:val="auto"/>
        </w:rPr>
      </w:pPr>
    </w:p>
    <w:p>
      <w:pPr>
        <w:jc w:val="both"/>
        <w:ind w:left="460" w:right="60" w:firstLine="443"/>
        <w:spacing w:after="0" w:line="264" w:lineRule="auto"/>
        <w:tabs>
          <w:tab w:leader="none" w:pos="11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3" w:lineRule="exact"/>
        <w:rPr>
          <w:rFonts w:ascii="Arial" w:cs="Arial" w:eastAsia="Arial" w:hAnsi="Arial"/>
          <w:sz w:val="18"/>
          <w:szCs w:val="18"/>
          <w:color w:val="auto"/>
        </w:rPr>
      </w:pPr>
    </w:p>
    <w:p>
      <w:pPr>
        <w:ind w:left="460" w:right="20" w:firstLine="443"/>
        <w:spacing w:after="0" w:line="293" w:lineRule="auto"/>
        <w:tabs>
          <w:tab w:leader="none" w:pos="121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56" w:lineRule="exact"/>
        <w:rPr>
          <w:rFonts w:ascii="Arial" w:cs="Arial" w:eastAsia="Arial" w:hAnsi="Arial"/>
          <w:sz w:val="16"/>
          <w:szCs w:val="16"/>
          <w:color w:val="auto"/>
        </w:rPr>
      </w:pPr>
    </w:p>
    <w:p>
      <w:pPr>
        <w:ind w:left="1200" w:hanging="297"/>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0" w:right="40" w:firstLine="443"/>
        <w:spacing w:after="0" w:line="264"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Security Outstanding of any series created prior to the execution of such supplemental indenture that is entitled to the benefit of such provision; or</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secure the Securities pursuant to the requirements of Section 8.01, or otherwise; or</w:t>
      </w:r>
    </w:p>
    <w:p>
      <w:pPr>
        <w:spacing w:after="0" w:line="117" w:lineRule="exact"/>
        <w:rPr>
          <w:rFonts w:ascii="Arial" w:cs="Arial" w:eastAsia="Arial" w:hAnsi="Arial"/>
          <w:sz w:val="18"/>
          <w:szCs w:val="18"/>
          <w:color w:val="auto"/>
        </w:rPr>
      </w:pPr>
    </w:p>
    <w:p>
      <w:pPr>
        <w:ind w:left="460" w:firstLine="443"/>
        <w:spacing w:after="0" w:line="257" w:lineRule="auto"/>
        <w:tabs>
          <w:tab w:leader="none" w:pos="12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including the provisions and procedures relating to Securities convertible into or exchangeable for any securities of any Person (including the Company),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0" w:right="259" w:bottom="1440" w:gutter="0" w:footer="0" w:header="0"/>
        </w:sectPr>
      </w:pPr>
    </w:p>
    <w:bookmarkStart w:id="71" w:name="page72"/>
    <w:bookmarkEnd w:id="71"/>
    <w:p>
      <w:pPr>
        <w:ind w:left="460" w:right="220" w:firstLine="443"/>
        <w:spacing w:after="0" w:line="264" w:lineRule="auto"/>
        <w:tabs>
          <w:tab w:leader="none" w:pos="1303"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2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that may be inconsistent with any other provision herein, or to make any other provisions with respect to matters or questions arising under this Indenture; provided that such action shall not adversely affect the interests of the Holders of Securities of any series in any material respect, in each case as determined in good faith by the Company, as evidenced in an Officers’ Certificate; or</w:t>
      </w:r>
    </w:p>
    <w:p>
      <w:pPr>
        <w:spacing w:after="0" w:line="78" w:lineRule="exact"/>
        <w:rPr>
          <w:rFonts w:ascii="Arial" w:cs="Arial" w:eastAsia="Arial" w:hAnsi="Arial"/>
          <w:sz w:val="18"/>
          <w:szCs w:val="18"/>
          <w:color w:val="auto"/>
        </w:rPr>
      </w:pPr>
    </w:p>
    <w:p>
      <w:pPr>
        <w:ind w:left="460" w:right="140" w:firstLine="443"/>
        <w:spacing w:after="0" w:line="259" w:lineRule="auto"/>
        <w:tabs>
          <w:tab w:leader="none" w:pos="11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or any other series of Securities in any material respect as determined in good faith by the Company, as evidenced in an Officers’ Certificate; or</w:t>
      </w:r>
    </w:p>
    <w:p>
      <w:pPr>
        <w:spacing w:after="0" w:line="78" w:lineRule="exact"/>
        <w:rPr>
          <w:rFonts w:ascii="Arial" w:cs="Arial" w:eastAsia="Arial" w:hAnsi="Arial"/>
          <w:sz w:val="18"/>
          <w:szCs w:val="18"/>
          <w:color w:val="auto"/>
        </w:rPr>
      </w:pPr>
    </w:p>
    <w:p>
      <w:pPr>
        <w:ind w:left="460" w:right="620" w:firstLine="443"/>
        <w:spacing w:after="0" w:line="277" w:lineRule="auto"/>
        <w:tabs>
          <w:tab w:leader="none" w:pos="12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add guarantors or co-obligors with respect to any series of Securities or to release guarantors from their guarantees of Securities in accordance with the terms of the applicable series of Securities; 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2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make any change in any series of Securities that does not adversely affect in any material respect the rights of the Holders of such Securities as determined in good faith by the Company, as evidenced in an Officers’ Certificate.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that affects such series of Securities or of modifying in any manner the rights of the Holders of such series of Securities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85" w:lineRule="exact"/>
        <w:rPr>
          <w:sz w:val="20"/>
          <w:szCs w:val="20"/>
          <w:color w:val="auto"/>
        </w:rPr>
      </w:pPr>
    </w:p>
    <w:p>
      <w:pPr>
        <w:ind w:left="460" w:firstLine="443"/>
        <w:spacing w:after="0" w:line="255" w:lineRule="auto"/>
        <w:tabs>
          <w:tab w:leader="none" w:pos="11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8.01(i) and permitted by Section 9.01(i)), or reduce the portion of the principal of an Original Issue Discount Security or Indexed Security that would be due and payable upon a declaration of acceleration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72" w:name="page73"/>
    <w:bookmarkEnd w:id="72"/>
    <w:p>
      <w:pPr>
        <w:ind w:left="4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 modify the subordination provisions set forth in Article Sixteen in a manner that is adverse to the Holder of any Security, or</w:t>
      </w:r>
    </w:p>
    <w:p>
      <w:pPr>
        <w:spacing w:after="0" w:line="57" w:lineRule="exact"/>
        <w:rPr>
          <w:sz w:val="20"/>
          <w:szCs w:val="20"/>
          <w:color w:val="auto"/>
        </w:rPr>
      </w:pPr>
    </w:p>
    <w:p>
      <w:pPr>
        <w:jc w:val="both"/>
        <w:ind w:left="460" w:right="180" w:firstLine="443"/>
        <w:spacing w:after="0" w:line="259" w:lineRule="auto"/>
        <w:tabs>
          <w:tab w:leader="none" w:pos="11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78" w:lineRule="exact"/>
        <w:rPr>
          <w:rFonts w:ascii="Arial" w:cs="Arial" w:eastAsia="Arial" w:hAnsi="Arial"/>
          <w:sz w:val="18"/>
          <w:szCs w:val="18"/>
          <w:color w:val="auto"/>
        </w:rPr>
      </w:pPr>
    </w:p>
    <w:p>
      <w:pPr>
        <w:ind w:left="460" w:right="120" w:firstLine="443"/>
        <w:spacing w:after="0" w:line="257" w:lineRule="auto"/>
        <w:tabs>
          <w:tab w:leader="none" w:pos="12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10.06,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of a Security with respect to changes in the references to “the Trustee” and concomitant changes in this Section, or the deletion of this proviso, in accordance with the requirements of Sections 6.10(b) and 9.01(viii).</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that is eleven months after such record date, any such consent previously given shall automatically and without further action by any Holder be cancelled and of no further effect.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in addition to the documents required by Section 1.02 of this Indenture, an Officers’ Certificate and an Opinion of Counsel stating that the execution of such supplemental indenture is authorized or permitted by this Indenture, constitutes the legal, valid and binding obligation of the Company, enforceable against it in accordance with its terms and that all conditions precedent to such supplemental indenture have been complied with, subject to customary assumptions and exceptions. The Trustee may, but shall not be obligated to, enter into any such supplemental indenture that affects the Trustee’s own rights, duties or immunities under this Indenture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Every supplemental indenture executed pursuant to this Article shall conform to the requirements of the Trust Indenture Act as then in effect.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if any, and Interest</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premium, if any) and interest, if any, on the Securities of that series in accordance with the terms of such series of Securities and this Indenture.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Corporate Trust Office, and initially appoints the Trustee at its Corporate Trust Office as Paying Agent, and as its agent to receive all such presentations, surrenders, notices and demands.</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 The Company will notify the Trustee of the name and address of any Exchange Rate Agent retained by 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Company shall at any time act as its own Paying Agent with respect to any series of any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will promptly notify the Trustee of its action or failure so to act.</w:t>
      </w:r>
    </w:p>
    <w:p>
      <w:pPr>
        <w:spacing w:after="0" w:line="193"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Whenever the Company shall have one or more Paying Agents for any series of Securities, it will,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will promptly notify the Trustee of its action or failure so to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75" w:name="page76"/>
    <w:bookmarkEnd w:id="75"/>
    <w:p>
      <w:pPr>
        <w:ind w:right="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the Securities of a series provide for the payment of Additional Amounts, the Company will pay to the Holder of any Security of such series such Additional Amounts as may be specified as contemplated by Section 3.01. Whenever in this Indenture there is mentioned, in any context, the payment of the principal of (or premium, if any) or interest, if any, on any Security of any series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6" w:name="page77"/>
    <w:bookmarkEnd w:id="7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the Trustee, with an Officers’ Certificate instructing the Trustee and such Paying Agent or Paying Agents whether such payment of principal, premium or interest on the Securities of that series shall be made to Holders of Securities of that series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Company will deliver to the Trustee, within 120 days after the end of each fiscal year ending after the date hereof so long as any Security is Outstanding hereunder, an Officers’ Certificate one signer of which shall be either the principal executive officer, the principal financial officer or the principal accounting officer of the Company, that need not comply with Section 1.02 stating to the knowledge of the signers thereof whether the Company is in default in the performance of any of the terms, provisions or conditions of this Indenture. For purposes of this Section 10.05, such default shall be determined without regard to any period of grace or requirement of notice under this Indenture.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may omit in any particular instance to comply with any covenant or condition of the Company set forth herein or added to Article Ten pursuant to Section 3.01(xiv) or Section 3.01(xv)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10.07. </w:t>
      </w:r>
      <w:r>
        <w:rPr>
          <w:rFonts w:ascii="Arial" w:cs="Arial" w:eastAsia="Arial" w:hAnsi="Arial"/>
          <w:sz w:val="18"/>
          <w:szCs w:val="18"/>
          <w:u w:val="single" w:color="auto"/>
          <w:color w:val="auto"/>
        </w:rPr>
        <w:t>Section 18(a)(1)(A) of the Investment Company Act.</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Company hereby agrees that for the period of time during which Securities are Outstanding, the Company will not violate, whether or not it is subject thereto, Section 18(a)(1)(A) as modified by Section 61(a)(1) of the Investment Company Act or any successor provisions thereto of the Investment Company Act, but giving effect, in either case, to any exemptive relief granted to the Company by the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Commission Reports and Reports to Holders.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at any time, the Company is not subject to the reporting requirements of Sections 13 or 15(d) of the Exchange Act to file any periodic reports with the Commission, the Company agrees to furnish to the Holders of any series of Securities and the Trustee for the period of time during which such Securities are Outstanding: (i) within 90 days after the end of the each fiscal year of the Company, audited annual consolidated financial statements of the Company and</w:t>
      </w:r>
    </w:p>
    <w:p>
      <w:pPr>
        <w:jc w:val="both"/>
        <w:ind w:right="540" w:firstLine="8"/>
        <w:spacing w:after="0" w:line="323" w:lineRule="auto"/>
        <w:tabs>
          <w:tab w:leader="none" w:pos="2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Delivery of reports, information and documents to the Trustee hereunder is for informational purposes only and the Trustee’s receipt of any such reports, information and documents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or certificates or statements delivered to the Trustee pursuant to Section 1.02 of the Base Indenture). The Trustee shall not be obligated to monitor or confirm, on a continuing basis or otherwise, compliance with the covenants or with respect to any reports or other documents filed with the Commission or EDGAR or any website under this Indenture, or participate in any conference calls.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 OF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3.01 for Securities of any series) in accordance with this Article.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78" w:name="page79"/>
    <w:bookmarkEnd w:id="7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(i) if the Securities are listed on any national securities exchange, in compliance with the requirements of the principal national securities exchange on which the Securities are listed, (ii)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to the extent practicable or (iii) to the extent that selection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is not practicable by lot or such other similar method the Trustee deems to be fair and appropriate from the Outstanding Securities of such series issued on such date with the same terms not previously called for redemption, not less than 30 nor more than 60 days prior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partial redemption shall reduce the portion of the principal amount of a Security not redeemed to less than the minimum authorized denomination for Securities of such series.</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79" w:name="page80"/>
    <w:bookmarkEnd w:id="79"/>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that is mailed or sent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notices of redemption shall identify the Securities to be redeemed and shall state:</w:t>
      </w:r>
    </w:p>
    <w:p>
      <w:pPr>
        <w:spacing w:after="0" w:line="117" w:lineRule="exact"/>
        <w:rPr>
          <w:sz w:val="20"/>
          <w:szCs w:val="20"/>
          <w:color w:val="auto"/>
        </w:rPr>
      </w:pPr>
    </w:p>
    <w:p>
      <w:pPr>
        <w:ind w:left="1120" w:hanging="217"/>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Price and accrued interest, if any, to the Redemption Date payable as provided in Section 11.06,</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2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jc w:val="both"/>
        <w:ind w:left="460" w:right="120" w:firstLine="443"/>
        <w:spacing w:after="0" w:line="264" w:lineRule="auto"/>
        <w:tabs>
          <w:tab w:leader="none" w:pos="12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that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73" w:lineRule="exact"/>
        <w:rPr>
          <w:rFonts w:ascii="Arial" w:cs="Arial" w:eastAsia="Arial" w:hAnsi="Arial"/>
          <w:sz w:val="18"/>
          <w:szCs w:val="18"/>
          <w:color w:val="auto"/>
        </w:rPr>
      </w:pPr>
    </w:p>
    <w:p>
      <w:pPr>
        <w:ind w:left="460" w:right="700" w:firstLine="443"/>
        <w:spacing w:after="0" w:line="277" w:lineRule="auto"/>
        <w:tabs>
          <w:tab w:leader="none" w:pos="12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Place or Places of Payment where such Securities maturing after the Redemption Date, are to be surrendered for payment of the Redemption Price and accrued interest, if any, and the name of the Paying Agent,</w:t>
      </w:r>
    </w:p>
    <w:p>
      <w:pPr>
        <w:spacing w:after="0" w:line="62" w:lineRule="exact"/>
        <w:rPr>
          <w:rFonts w:ascii="Arial" w:cs="Arial" w:eastAsia="Arial" w:hAnsi="Arial"/>
          <w:sz w:val="18"/>
          <w:szCs w:val="18"/>
          <w:color w:val="auto"/>
        </w:rPr>
      </w:pPr>
    </w:p>
    <w:p>
      <w:pPr>
        <w:ind w:left="1260" w:hanging="357"/>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CUSIP number of such Security, if any, and that no representation is made as to the correctness or accuracy of the CUSIP number, if any, listed in such notice or printed on the Security.</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notice of redemption published as contemplated by Section 1.06 need not identify particular Registered Securities to be redeemed. Notice of redemption of Securities to be redeemed shall be given by the Company or, at the Company’s request, delivered to the Trustee at least 2 Business Days prior to the date the notice of redemption is to be sent (unless a shorter period shall be satisfactory to the Trustee), an Officers’ Certificate requesting that the Trustee give such notice together with the notice to be given setting forth the information to be stated therein as provided in the preceding paragraph, by the Trustee in the name and at the expense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or prior to 10:00 am, New York City time, on the Business Day prior to any Redemption Date, the Company shall deposit with the Trustee or with a Paying Agent (or, if the Company is acting as its own Paying Agent, in accordance with the terms of this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80" w:name="page81"/>
    <w:bookmarkEnd w:id="8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6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Registered Security that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274" w:right="3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TWELVE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Company may, in satisfaction of all or any part of any mandatory sinking fund payment with respect to the Securities of a series, (i) deliver Outstanding Securities of such series (other than any previously called for redemption) and (ii)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0" w:right="259" w:bottom="1440" w:gutter="0" w:footer="0" w:header="0"/>
        </w:sectPr>
      </w:pPr>
    </w:p>
    <w:bookmarkStart w:id="82" w:name="page83"/>
    <w:bookmarkEnd w:id="8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THIRTEEN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REPAYMENT AT THE OPTION OF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Repayment of Securities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Business Day preceding the Repayment Date it will deposit with the Trustee or with a Paying Agent (or, if the Company is acting as its own Paying Agent, segregate and hold in trust as provided in</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83" w:name="page84"/>
    <w:bookmarkEnd w:id="8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 If the Security is in global form, the exercise of such option and payment thereof shall also be made in compliance with the applicable procedures of the Depositary.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When Securities Presented for Repayment Become Due and Payable</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Repayment Price of such Security so to be repaid shall be paid by the Company, together with accrued interest, if any, to the Repayment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Upon surrender of any Registered Security that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that is not to be repaid. If a temporary global Security or permanent global Security is so surrendered, such new Security so issued shall be a new temporary global Security or a new permanent global Security,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FOURTEEN</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Applicability of Article; Company’s Option to Effect Defeasance or Covenant Defeasance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pursuant to Section 3.01 provision is made for either or both of (a) defeasance of the Securities of or within a series under Section 14.02 or</w:t>
      </w:r>
    </w:p>
    <w:p>
      <w:pPr>
        <w:spacing w:after="0" w:line="35" w:lineRule="exact"/>
        <w:rPr>
          <w:sz w:val="20"/>
          <w:szCs w:val="20"/>
          <w:color w:val="auto"/>
        </w:rPr>
      </w:pPr>
    </w:p>
    <w:p>
      <w:pPr>
        <w:ind w:right="40" w:firstLine="8"/>
        <w:spacing w:after="0" w:line="253"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the Company may at its option by Board Resolution, at any time, with respect to such Securities, elect to have either Section 14.02 (if applicable) or Section 14.03 (if applicable) be applied to such Outstanding Securities upon compliance with the conditions set forth below in this Article.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Defeasance and Discharge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deemed to have been discharged from its obligations with respect to such Outstanding Securities on and after the date the conditions set forth in Section 14.04 are satisfied (hereinafter, “defeasance”). For this purpose, such defeasance means that the Company shall be deemed to have paid and discharged the entire indebtedness represented by such Outstanding Securities, which shall thereafter be deemed to be “Outstanding” only for the purposes of Section 14.05 and the other Sections of this Indenture referred to in clauses (A) and (B) of this Section,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Outstanding Securities to receive, solely from the trust fund described in Section 14.04 and as more fully set forth in such Section, payments in respect of the principal of (and premium, if any) and interest, if any, on such Securities when such payments are due, (B) the Company’s obligations with respect to such Securities under Sections 3.05, 3.06, 10.02 and 10.03 and with respect to the payment of Additional Amounts, if any, on such Securities as contemplated by</w:t>
      </w:r>
    </w:p>
    <w:p>
      <w:pPr>
        <w:spacing w:after="0" w:line="6"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Following a defeasance, payment of such Securities may not be accelerated because of an Event of Default.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Upon the Company’s exercise of the above option applicable to this Section with respect to any Securities of or within a series, the Company shall be released from its obligations, if specified pursuant to Section 3.01, under any covenant with respect to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0" w:right="239" w:bottom="1440" w:gutter="0" w:footer="0" w:header="0"/>
        </w:sectPr>
      </w:pPr>
    </w:p>
    <w:bookmarkStart w:id="85" w:name="page86"/>
    <w:bookmarkEnd w:id="8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Securities on and after the date the conditions set forth in Section 14.04 are satisfied (hereinafter, “covenant defeasance”), and such Securities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5.01(iv) or 5.01(vii) or otherwise, as the case may be, but, except as specified above, the remainder of this Indenture and such Securities shall be unaffected thereby. Following a covenant defeasance, payment of such Securities may not be accelerated because of an Event of Default solely by reference to such Sections specified above in this Section 14.03.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shall be the conditions to application of either Section 14.02 or Section 14.03 to any Outstanding Securities of or within a series:</w:t>
      </w:r>
    </w:p>
    <w:p>
      <w:pPr>
        <w:spacing w:after="0" w:line="129" w:lineRule="exact"/>
        <w:rPr>
          <w:sz w:val="20"/>
          <w:szCs w:val="20"/>
          <w:color w:val="auto"/>
        </w:rPr>
      </w:pPr>
    </w:p>
    <w:p>
      <w:pPr>
        <w:ind w:left="460" w:right="200" w:firstLine="443"/>
        <w:spacing w:after="0" w:line="288" w:lineRule="auto"/>
        <w:tabs>
          <w:tab w:leader="none" w:pos="1113"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w:t>
      </w:r>
    </w:p>
    <w:p>
      <w:pPr>
        <w:ind w:left="460" w:firstLine="4"/>
        <w:spacing w:after="0" w:line="268" w:lineRule="auto"/>
        <w:tabs>
          <w:tab w:leader="none" w:pos="7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without reinvestment thereof, not later than one day before the due date of any payment of principal of (and premium, if any) and interest, if any, on such Securities, money in an amount, or (C)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(1) the principal of (and premium, if any) and interest, if any, on such Outstanding Securities on the Stated Maturity of such principal or installment of principal or interest and (2) any mandatory sinking fund payments or analogous payments applicable to such Outstanding Securities on the day on which such payments are due and payable in accordance with the terms of this Indenture and of such Securities.</w:t>
      </w:r>
    </w:p>
    <w:p>
      <w:pPr>
        <w:spacing w:after="0" w:line="71" w:lineRule="exact"/>
        <w:rPr>
          <w:rFonts w:ascii="Arial" w:cs="Arial" w:eastAsia="Arial" w:hAnsi="Arial"/>
          <w:sz w:val="17"/>
          <w:szCs w:val="17"/>
          <w:color w:val="auto"/>
        </w:rPr>
      </w:pPr>
    </w:p>
    <w:p>
      <w:pPr>
        <w:ind w:left="460" w:right="200" w:firstLine="443"/>
        <w:spacing w:after="0" w:line="277" w:lineRule="auto"/>
        <w:tabs>
          <w:tab w:leader="none" w:pos="1163"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86" w:name="page87"/>
    <w:bookmarkEnd w:id="86"/>
    <w:p>
      <w:pPr>
        <w:jc w:val="both"/>
        <w:ind w:left="460" w:firstLine="443"/>
        <w:spacing w:after="0" w:line="264" w:lineRule="auto"/>
        <w:tabs>
          <w:tab w:leader="none" w:pos="1213"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Default or Event of Default with respect to such Securities shall have occurred and be continuing on the date of such deposit or, insofar as Sections 5.01(v) and 5.01(vi) are concerned, at any time during the period ending on the 91st day after the date of such deposit (it being understood that this condition shall not be deemed satisfied until the expiration of such period).</w:t>
      </w:r>
    </w:p>
    <w:p>
      <w:pPr>
        <w:spacing w:after="0" w:line="73" w:lineRule="exact"/>
        <w:rPr>
          <w:rFonts w:ascii="Arial" w:cs="Arial" w:eastAsia="Arial" w:hAnsi="Arial"/>
          <w:sz w:val="18"/>
          <w:szCs w:val="18"/>
          <w:color w:val="auto"/>
        </w:rPr>
      </w:pPr>
    </w:p>
    <w:p>
      <w:pPr>
        <w:ind w:left="460" w:right="60" w:firstLine="443"/>
        <w:spacing w:after="0" w:line="255" w:lineRule="auto"/>
        <w:tabs>
          <w:tab w:leader="none" w:pos="12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5"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left="460" w:right="140" w:firstLine="443"/>
        <w:spacing w:after="0" w:line="342" w:lineRule="auto"/>
        <w:tabs>
          <w:tab w:leader="none" w:pos="120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w:t>
      </w:r>
    </w:p>
    <w:p>
      <w:pPr>
        <w:spacing w:after="0" w:line="15" w:lineRule="exact"/>
        <w:rPr>
          <w:rFonts w:ascii="Arial" w:cs="Arial" w:eastAsia="Arial" w:hAnsi="Arial"/>
          <w:sz w:val="16"/>
          <w:szCs w:val="16"/>
          <w:color w:val="auto"/>
        </w:rPr>
      </w:pPr>
    </w:p>
    <w:p>
      <w:pPr>
        <w:jc w:val="both"/>
        <w:ind w:left="460" w:right="440" w:firstLine="443"/>
        <w:spacing w:after="0" w:line="342" w:lineRule="auto"/>
        <w:tabs>
          <w:tab w:leader="none" w:pos="12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Deposited Money and Government Obligations to Be Held in Trust; Other Miscellaneous Provisions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w:t>
      </w:r>
      <w:r>
        <w:rPr>
          <w:rFonts w:ascii="Arial" w:cs="Arial" w:eastAsia="Arial" w:hAnsi="Arial"/>
          <w:sz w:val="16"/>
          <w:szCs w:val="16"/>
          <w:u w:val="single" w:color="auto"/>
          <w:color w:val="auto"/>
        </w:rPr>
        <w:t>Trustee</w:t>
      </w:r>
      <w:r>
        <w:rPr>
          <w:rFonts w:ascii="Arial" w:cs="Arial" w:eastAsia="Arial" w:hAnsi="Arial"/>
          <w:sz w:val="16"/>
          <w:szCs w:val="16"/>
          <w:color w:val="auto"/>
        </w:rPr>
        <w:t>”) pursuant to Section 14.04 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Unless otherwise specified with respect to any Security pursuant to Section 3.01, if, after a deposit referred to in Section 14.04(a) has been made,</w:t>
      </w:r>
    </w:p>
    <w:p>
      <w:pPr>
        <w:spacing w:after="0" w:line="35" w:lineRule="exact"/>
        <w:rPr>
          <w:sz w:val="20"/>
          <w:szCs w:val="20"/>
          <w:color w:val="auto"/>
        </w:rPr>
      </w:pPr>
    </w:p>
    <w:p>
      <w:pPr>
        <w:ind w:left="5620" w:right="3380" w:hanging="5612"/>
        <w:spacing w:after="0" w:line="433"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Holder of a Security in respect of which such deposit was made is entitled to, and does, elect pursuant to 76</w:t>
      </w:r>
    </w:p>
    <w:p>
      <w:pPr>
        <w:sectPr>
          <w:pgSz w:w="11900" w:h="16838" w:orient="portrait"/>
          <w:cols w:equalWidth="0" w:num="1">
            <w:col w:w="11420"/>
          </w:cols>
          <w:pgMar w:left="240" w:top="274" w:right="239" w:bottom="1440" w:gutter="0" w:footer="0" w:header="0"/>
        </w:sectPr>
      </w:pPr>
    </w:p>
    <w:bookmarkStart w:id="87" w:name="page88"/>
    <w:bookmarkEnd w:id="8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3.12(b) or the terms of such Security to receive payment in a Currency other than that in which the deposit pursuant to Section 14.04(a) has been made in respect of such Security, or (b) a Conversion Event occurs as contemplated in Section 3.12(d) or 3.12(e) or by the terms of any Security in respect of which the deposit pursuant to Section 14.04(a) has been made, the indebtedness represented by such Security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after the Company has made a deposit with the Trustee pursuant to Section 14.04, the Trustee is unable to apply any money in accordance with Section 14.05 by reason of any legal proceeding or by reason of any order or judgment of any court or governmental authority enjoining, restraining or otherwise prohibiting such application, then the Company’s obligations under this Indenture and the applicable Securities shall be revived and reinstated as though no deposit had occurred pursuant to Section 14.04 until such time as the Trustee is permitted to apply all such money in accordance with this Article Fourteen; provided, however, that if the Company has made any payment of the principal of or interest on any series of Securities because of the reinstatement of its obligations, the Company shall be subrogated to the rights of the Holders of such Securities to receive any such payment from the money held by the Trustee.</w:t>
      </w:r>
    </w:p>
    <w:p>
      <w:pPr>
        <w:spacing w:after="0" w:line="189" w:lineRule="exact"/>
        <w:rPr>
          <w:sz w:val="20"/>
          <w:szCs w:val="20"/>
          <w:color w:val="auto"/>
        </w:rPr>
      </w:pPr>
    </w:p>
    <w:p>
      <w:pPr>
        <w:jc w:val="center"/>
        <w:ind w:right="200"/>
        <w:spacing w:after="0" w:line="449" w:lineRule="auto"/>
        <w:rPr>
          <w:sz w:val="20"/>
          <w:szCs w:val="20"/>
          <w:color w:val="auto"/>
        </w:rPr>
      </w:pPr>
      <w:r>
        <w:rPr>
          <w:rFonts w:ascii="Arial" w:cs="Arial" w:eastAsia="Arial" w:hAnsi="Arial"/>
          <w:sz w:val="18"/>
          <w:szCs w:val="18"/>
          <w:color w:val="auto"/>
        </w:rPr>
        <w:t>Money deposited with the Trustee in trust pursuant to this Section 14.05 shall not be subject to the subordination provisions of Article Sixteen. 77</w:t>
      </w:r>
    </w:p>
    <w:p>
      <w:pPr>
        <w:sectPr>
          <w:pgSz w:w="11900" w:h="16838" w:orient="portrait"/>
          <w:cols w:equalWidth="0" w:num="1">
            <w:col w:w="11400"/>
          </w:cols>
          <w:pgMar w:left="240" w:top="274" w:right="25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FIFTEEN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MEETINGS OF HOLDERS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64"/>
        <w:spacing w:after="0" w:line="279" w:lineRule="auto"/>
        <w:tabs>
          <w:tab w:leader="none" w:pos="701"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Trustee may at any time call a meeting of Holders of Securities of any series for any purpose specified in Section 15.01, to be held at such time and at such place in the Borough of Manhattan, the City of New York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71" w:lineRule="exact"/>
        <w:rPr>
          <w:rFonts w:ascii="Arial" w:cs="Arial" w:eastAsia="Arial" w:hAnsi="Arial"/>
          <w:sz w:val="17"/>
          <w:szCs w:val="17"/>
          <w:color w:val="auto"/>
        </w:rPr>
      </w:pPr>
    </w:p>
    <w:p>
      <w:pPr>
        <w:ind w:right="20" w:firstLine="464"/>
        <w:spacing w:after="0" w:line="272" w:lineRule="auto"/>
        <w:tabs>
          <w:tab w:leader="none" w:pos="7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or sending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Persons Entitled to Vote at Meetings</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be entitled to vote at any meeting of Holders of Securities of any series, a Person shall be (i) a Holder of one or more Outstanding Securities of such series, or (ii)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Quorum; Action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Persons entitled to vote a majority in principal amount of the Outstanding Securities of a series shall constitute a quorum for a meeting of Holders of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action is to be taken at such meeting with respect to a consent, waiver, request, demand, notice, authorization, direction or other action that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270" w:right="299" w:bottom="1440" w:gutter="0" w:footer="0" w:header="0"/>
        </w:sectPr>
      </w:pPr>
    </w:p>
    <w:bookmarkStart w:id="89" w:name="page90"/>
    <w:bookmarkEnd w:id="89"/>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8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1120" w:hanging="217"/>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17" w:lineRule="exact"/>
        <w:rPr>
          <w:rFonts w:ascii="Arial" w:cs="Arial" w:eastAsia="Arial" w:hAnsi="Arial"/>
          <w:sz w:val="18"/>
          <w:szCs w:val="18"/>
          <w:color w:val="auto"/>
        </w:rPr>
      </w:pPr>
    </w:p>
    <w:p>
      <w:pPr>
        <w:ind w:left="460" w:right="540" w:firstLine="443"/>
        <w:spacing w:after="0" w:line="264" w:lineRule="auto"/>
        <w:tabs>
          <w:tab w:leader="none" w:pos="116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7" w:lineRule="auto"/>
        <w:tabs>
          <w:tab w:leader="none" w:pos="701"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of a series in regard to proof of the holding of Securities of such series and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90" w:name="page91"/>
    <w:bookmarkEnd w:id="90"/>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Such regulations may provide that written instruments appointing proxies, regular on their face, may be presumed valid and genuine without the proof specified in Section 1.04 or other proof.</w:t>
      </w:r>
    </w:p>
    <w:p>
      <w:pPr>
        <w:spacing w:after="0" w:line="173" w:lineRule="exact"/>
        <w:rPr>
          <w:sz w:val="20"/>
          <w:szCs w:val="20"/>
          <w:color w:val="auto"/>
        </w:rPr>
      </w:pPr>
    </w:p>
    <w:p>
      <w:pPr>
        <w:jc w:val="both"/>
        <w:ind w:right="300" w:firstLine="464"/>
        <w:spacing w:after="0" w:line="302" w:lineRule="auto"/>
        <w:tabs>
          <w:tab w:leader="none" w:pos="71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4" w:lineRule="exact"/>
        <w:rPr>
          <w:rFonts w:ascii="Arial" w:cs="Arial" w:eastAsia="Arial" w:hAnsi="Arial"/>
          <w:sz w:val="16"/>
          <w:szCs w:val="16"/>
          <w:color w:val="auto"/>
        </w:rPr>
      </w:pPr>
    </w:p>
    <w:p>
      <w:pPr>
        <w:ind w:firstLine="464"/>
        <w:spacing w:after="0" w:line="259" w:lineRule="auto"/>
        <w:tabs>
          <w:tab w:leader="none" w:pos="7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At any meeting of Holders, each Holder of a Security of such series or proxy shall be entitled to one vote for each $1,000 principal amount of the Outstanding Securities of such series held or represented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firstLine="464"/>
        <w:spacing w:after="0" w:line="264" w:lineRule="auto"/>
        <w:tabs>
          <w:tab w:leader="none" w:pos="7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Counting Votes and Recording Action of Meetings</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SIXTEEN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Agreement to Subordinate</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for itself, its successors and assigns, covenants and agrees, and each Holder of Senior Subordinated Securities by his acceptance thereof, whether upon original issue or upon transfer, assignment or exchange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Distribution on Dissolution, Liquidation and Reorganization; Subrogation of Subordinated Securities</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80" w:lineRule="exact"/>
        <w:rPr>
          <w:sz w:val="20"/>
          <w:szCs w:val="20"/>
          <w:color w:val="auto"/>
        </w:rPr>
      </w:pPr>
    </w:p>
    <w:p>
      <w:pPr>
        <w:ind w:left="460" w:firstLine="443"/>
        <w:spacing w:after="0" w:line="276" w:lineRule="auto"/>
        <w:tabs>
          <w:tab w:leader="none" w:pos="111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holders of all Senior Indebtedness shall be entitled to receive payment in full of the principal thereof (and premium, if any) and interest due thereon before the Holders of the Subordinated Securities (except that, anything in this Indenture to the contrary notwithstanding, Holders of Subordinated Securities may receive and retain Permitted Junior Securities); are entitled to receive any payment upon the principal (or premium, if any) or interest, if any, on indebtedness evidenced by the Subordinated Securities (except that, anything in this Indenture to the contrary notwithstanding, Holders of Subordinated Securities may receive and retain Permitted Junior Securities); and</w:t>
      </w:r>
    </w:p>
    <w:p>
      <w:pPr>
        <w:spacing w:after="0" w:line="64" w:lineRule="exact"/>
        <w:rPr>
          <w:rFonts w:ascii="Arial" w:cs="Arial" w:eastAsia="Arial" w:hAnsi="Arial"/>
          <w:sz w:val="17"/>
          <w:szCs w:val="17"/>
          <w:color w:val="auto"/>
        </w:rPr>
      </w:pPr>
    </w:p>
    <w:p>
      <w:pPr>
        <w:ind w:left="460" w:right="60" w:firstLine="443"/>
        <w:spacing w:after="0" w:line="264" w:lineRule="auto"/>
        <w:tabs>
          <w:tab w:leader="none" w:pos="11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0" w:right="239" w:bottom="1440" w:gutter="0" w:footer="0" w:header="0"/>
        </w:sectPr>
      </w:pPr>
    </w:p>
    <w:bookmarkStart w:id="92" w:name="page93"/>
    <w:bookmarkEnd w:id="92"/>
    <w:p>
      <w:pPr>
        <w:ind w:left="460" w:right="40" w:firstLine="443"/>
        <w:spacing w:after="0" w:line="254" w:lineRule="auto"/>
        <w:tabs>
          <w:tab w:leader="none" w:pos="1213"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84" w:lineRule="exact"/>
        <w:rPr>
          <w:rFonts w:ascii="Arial" w:cs="Arial" w:eastAsia="Arial" w:hAnsi="Arial"/>
          <w:sz w:val="18"/>
          <w:szCs w:val="18"/>
          <w:color w:val="auto"/>
        </w:rPr>
      </w:pPr>
    </w:p>
    <w:p>
      <w:pPr>
        <w:ind w:left="460" w:firstLine="443"/>
        <w:spacing w:after="0" w:line="293" w:lineRule="auto"/>
        <w:tabs>
          <w:tab w:leader="none" w:pos="1203"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Securities</w:t>
      </w:r>
      <w:r>
        <w:rPr>
          <w:rFonts w:ascii="Arial" w:cs="Arial" w:eastAsia="Arial" w:hAnsi="Arial"/>
          <w:sz w:val="18"/>
          <w:szCs w:val="18"/>
          <w:color w:val="auto"/>
        </w:rPr>
        <w:t>” means:</w:t>
      </w:r>
    </w:p>
    <w:p>
      <w:pPr>
        <w:spacing w:after="0" w:line="117" w:lineRule="exact"/>
        <w:rPr>
          <w:sz w:val="20"/>
          <w:szCs w:val="20"/>
          <w:color w:val="auto"/>
        </w:rPr>
      </w:pPr>
    </w:p>
    <w:p>
      <w:pPr>
        <w:ind w:left="1180" w:hanging="259"/>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Equity Interests in the Company; or</w:t>
      </w:r>
    </w:p>
    <w:p>
      <w:pPr>
        <w:spacing w:after="0" w:line="117" w:lineRule="exact"/>
        <w:rPr>
          <w:rFonts w:ascii="Arial" w:cs="Arial" w:eastAsia="Arial" w:hAnsi="Arial"/>
          <w:sz w:val="18"/>
          <w:szCs w:val="18"/>
          <w:color w:val="auto"/>
        </w:rPr>
      </w:pPr>
    </w:p>
    <w:p>
      <w:pPr>
        <w:ind w:left="920" w:right="120" w:firstLine="1"/>
        <w:spacing w:after="0" w:line="264" w:lineRule="auto"/>
        <w:tabs>
          <w:tab w:leader="none" w:pos="11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debt securities that are subordinated to all Senior Indebtedness and any debt securities issued in exchange for Senior Indebtedness to substantially the same extent as, or to a greater extent than, the Subordinated Securities and the Junior Subordinated Securities are subordinated to Senior Indebtedness under this Indenture.</w:t>
      </w:r>
    </w:p>
    <w:p>
      <w:pPr>
        <w:spacing w:after="0" w:line="18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4" w:right="279" w:bottom="1440" w:gutter="0" w:footer="0" w:header="0"/>
        </w:sectPr>
      </w:pPr>
    </w:p>
    <w:bookmarkStart w:id="93" w:name="page94"/>
    <w:bookmarkEnd w:id="9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8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Trustee does not owe any fiduciary duties to the holders of Senior Indebtedness, including any holder of Securities other than Securities issued under this Indenture.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No Payment on Subordinated Securities in Event of Default on Senior Indebtedness</w:t>
      </w:r>
      <w:r>
        <w:rPr>
          <w:rFonts w:ascii="Arial" w:cs="Arial" w:eastAsia="Arial" w:hAnsi="Arial"/>
          <w:sz w:val="18"/>
          <w:szCs w:val="18"/>
          <w:color w:val="auto"/>
        </w:rPr>
        <w:t>.</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Payments on Subordinated Securities Permitted</w:t>
      </w:r>
      <w:r>
        <w:rPr>
          <w:rFonts w:ascii="Arial" w:cs="Arial" w:eastAsia="Arial" w:hAnsi="Arial"/>
          <w:sz w:val="18"/>
          <w:szCs w:val="18"/>
          <w:color w:val="auto"/>
        </w:rPr>
        <w:t>.</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94" w:name="page95"/>
    <w:bookmarkEnd w:id="94"/>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Authorization of Holders to Trustee to Effect Subordination</w:t>
      </w:r>
      <w:r>
        <w:rPr>
          <w:rFonts w:ascii="Arial" w:cs="Arial" w:eastAsia="Arial" w:hAnsi="Arial"/>
          <w:sz w:val="18"/>
          <w:szCs w:val="18"/>
          <w:color w:val="auto"/>
        </w:rPr>
        <w:t>.</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Notices to Trustee</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reasonably satisfactory to the Trustee of such holding of Senior Indebtedness or of the authority of such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274"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16.07. </w:t>
      </w:r>
      <w:r>
        <w:rPr>
          <w:rFonts w:ascii="Arial" w:cs="Arial" w:eastAsia="Arial" w:hAnsi="Arial"/>
          <w:sz w:val="18"/>
          <w:szCs w:val="18"/>
          <w:u w:val="single" w:color="auto"/>
          <w:color w:val="auto"/>
        </w:rPr>
        <w:t>Trustee as Holder of Senior Indebtedness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Sixteen in respect of any Senior Indebtedness at any time held by it to the same extent as any other holder of Senior Indebtedness and nothing in this Indenture shall be construed to deprive the Trustee of any of its rights as such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Sixteen shall apply to claims of, or payments to, the Trustee under or pursuant to Section 6.06.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Modifications of Terms of Senior Indebtedness</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This Indenture may be executed in any number of counterparts, each of which so executed shall be deemed to be an original, but all such counterparts shall together constitute but one and the same Indenture. The exchange of copies of this Indenture and of signature pages by facsimile, .pdf transmission or electronic mail shall constitute effective execution and delivery of this Indenture for all purposes. Signatures of the parties hereto transmitted by facsimile,</w:t>
      </w:r>
    </w:p>
    <w:p>
      <w:pPr>
        <w:spacing w:after="0"/>
        <w:rPr>
          <w:sz w:val="20"/>
          <w:szCs w:val="20"/>
          <w:color w:val="auto"/>
        </w:rPr>
      </w:pPr>
      <w:r>
        <w:rPr>
          <w:rFonts w:ascii="Arial" w:cs="Arial" w:eastAsia="Arial" w:hAnsi="Arial"/>
          <w:sz w:val="18"/>
          <w:szCs w:val="18"/>
          <w:color w:val="auto"/>
        </w:rPr>
        <w:t>.pdf transmission or electronic mail shall be deemed to be their original signatures for all purposes.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T. Simmonds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Ian T. Simmonds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Yana Kislenko</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11420"/>
          </w:cols>
          <w:pgMar w:left="240" w:top="27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FIRST SUPPLEMENTAL INDENTURE (this “First Supplemental Indenture”), dated as of January 22, 2018, between TPG Specialty Lending, Inc., a Delaware corporation (the “Company”), and Wells Fargo Bank, National Association, as trustee (the “Trustee”). All capitalized terms used herein shall have the meaning set forth in the Base Indenture (as defined below) unless otherwise defined 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Company and the Trustee executed and delivered an Indenture, dated as of January 22, 2018 (the “Base Indenture” and, as supplemented by this First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desires to issue and sell $150,000,000 aggregate principal amount of the Company’s 4.500% Notes due 2023 (the “Notes”).</w:t>
      </w:r>
    </w:p>
    <w:p>
      <w:pPr>
        <w:spacing w:after="0" w:line="23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Sections 9.01(v) and 9.01(vii)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73"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pacing w:after="0" w:line="12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has duly authorized the execution and delivery of this First Supplemental Indenture to provide for the issuance of the Notes and all acts and things necessary to make this First Supplemental Indenture a valid, binding, and legal obligation of the Company and to constitute a valid agreement of the Company, in accordance with its terms, have been done and performed.</w:t>
      </w:r>
    </w:p>
    <w:p>
      <w:pPr>
        <w:sectPr>
          <w:pgSz w:w="11900" w:h="16838" w:orient="portrait"/>
          <w:cols w:equalWidth="0" w:num="1">
            <w:col w:w="11420"/>
          </w:cols>
          <w:pgMar w:left="240" w:top="121" w:right="239"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THIS INDENTURE WITNESSETH:</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OF THE NOTES</w:t>
      </w:r>
    </w:p>
    <w:p>
      <w:pPr>
        <w:spacing w:after="0" w:line="21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Terms of the Notes</w:t>
      </w:r>
      <w:r>
        <w:rPr>
          <w:rFonts w:ascii="Arial" w:cs="Arial" w:eastAsia="Arial" w:hAnsi="Arial"/>
          <w:sz w:val="16"/>
          <w:szCs w:val="16"/>
          <w:color w:val="auto"/>
        </w:rPr>
        <w:t>. The following terms relating to the Notes are hereby established:</w:t>
      </w:r>
    </w:p>
    <w:p>
      <w:pPr>
        <w:spacing w:after="0" w:line="225" w:lineRule="exact"/>
        <w:rPr>
          <w:sz w:val="20"/>
          <w:szCs w:val="20"/>
          <w:color w:val="auto"/>
        </w:rPr>
      </w:pPr>
    </w:p>
    <w:p>
      <w:pPr>
        <w:ind w:firstLine="921"/>
        <w:spacing w:after="0" w:line="277" w:lineRule="auto"/>
        <w:tabs>
          <w:tab w:leader="none" w:pos="12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Notes shall constitute a series of Securities having the title “4.500% Notes due 2023” and shall be designated as Senior Securities under the Indenture. The Notes shall bear a CUSIP number of 87265K AE2 and an ISIN number of US87265KAE29.</w:t>
      </w:r>
    </w:p>
    <w:p>
      <w:pPr>
        <w:spacing w:after="0" w:line="170" w:lineRule="exact"/>
        <w:rPr>
          <w:rFonts w:ascii="Arial" w:cs="Arial" w:eastAsia="Arial" w:hAnsi="Arial"/>
          <w:sz w:val="18"/>
          <w:szCs w:val="18"/>
          <w:color w:val="auto"/>
        </w:rPr>
      </w:pPr>
    </w:p>
    <w:p>
      <w:pPr>
        <w:ind w:right="80" w:firstLine="921"/>
        <w:spacing w:after="0" w:line="290"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$150,000,000.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either (i) be issued in a “qualified reopening” for U.S. Federal income tax purposes, with no more than a de minimis amount of original issue discount, or otherwise (ii) must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spacing w:after="0" w:line="166" w:lineRule="exact"/>
        <w:rPr>
          <w:rFonts w:ascii="Arial" w:cs="Arial" w:eastAsia="Arial" w:hAnsi="Arial"/>
          <w:sz w:val="16"/>
          <w:szCs w:val="16"/>
          <w:color w:val="auto"/>
        </w:rPr>
      </w:pPr>
    </w:p>
    <w:p>
      <w:pPr>
        <w:ind w:right="460" w:firstLine="921"/>
        <w:spacing w:after="0" w:line="277" w:lineRule="auto"/>
        <w:tabs>
          <w:tab w:leader="none" w:pos="12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entire Outstanding principal amount of the Notes shall be payable on January 22, 2023, unless earlier redeemed or repurchased in accordance with the provisions of this First Supplemental Indenture.</w:t>
      </w:r>
    </w:p>
    <w:p>
      <w:pPr>
        <w:spacing w:after="0" w:line="170" w:lineRule="exact"/>
        <w:rPr>
          <w:rFonts w:ascii="Arial" w:cs="Arial" w:eastAsia="Arial" w:hAnsi="Arial"/>
          <w:sz w:val="18"/>
          <w:szCs w:val="18"/>
          <w:color w:val="auto"/>
        </w:rPr>
      </w:pPr>
    </w:p>
    <w:p>
      <w:pPr>
        <w:ind w:firstLine="921"/>
        <w:spacing w:after="0" w:line="268" w:lineRule="auto"/>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rate at which the Notes shall bear interest shall be 4.500% per annum (the “Applicable Interest Rate”). The date from which interest shall accrue on the Notes shall be January 22, 2018, or the most recent Interest Payment Date to which interest has been paid or provided for; the Interest Payment Dates for the Notes shall be January 22 and July 22 of each year, commencing July 22, 2018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January 22, 2018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the close of business on the Regular Record Date for such interest, which shall be January 7 and July 7 (whether or not a Business Day), as the case may be, next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9" w:name="page100"/>
    <w:bookmarkEnd w:id="99"/>
    <w:p>
      <w:pPr>
        <w:ind w:right="180" w:firstLine="921"/>
        <w:spacing w:after="0" w:line="293" w:lineRule="auto"/>
        <w:tabs>
          <w:tab w:leader="none" w:pos="1289"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First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64" w:lineRule="exact"/>
        <w:rPr>
          <w:rFonts w:ascii="Arial" w:cs="Arial" w:eastAsia="Arial" w:hAnsi="Arial"/>
          <w:sz w:val="16"/>
          <w:szCs w:val="16"/>
          <w:color w:val="auto"/>
        </w:rPr>
      </w:pPr>
    </w:p>
    <w:p>
      <w:pPr>
        <w:ind w:left="1280" w:hanging="359"/>
        <w:spacing w:after="0"/>
        <w:tabs>
          <w:tab w:leader="none" w:pos="12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depositary for such Global Notes shall be the Depositary Custodian. The Security Registrar with respect to the Global Notes shall be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left="1300" w:hanging="379"/>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Notes shall be defeasible pursuant to Section 14.02 or Section 14.03 of the Base Indenture. Covenant defeasance contained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14.03 of the Base Indenture shall apply to the covenants contained in Sections 10.06, 10.07 and 10.08 of the Indenture.</w:t>
      </w:r>
    </w:p>
    <w:p>
      <w:pPr>
        <w:spacing w:after="0" w:line="211" w:lineRule="exact"/>
        <w:rPr>
          <w:sz w:val="20"/>
          <w:szCs w:val="20"/>
          <w:color w:val="auto"/>
        </w:rPr>
      </w:pPr>
    </w:p>
    <w:p>
      <w:pPr>
        <w:ind w:left="1300" w:hanging="379"/>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Notes shall be redeemable pursuant to Section 11.01 of the Base Indenture and as follows:</w:t>
      </w:r>
    </w:p>
    <w:p>
      <w:pPr>
        <w:spacing w:after="0" w:line="117" w:lineRule="exact"/>
        <w:rPr>
          <w:rFonts w:ascii="Arial" w:cs="Arial" w:eastAsia="Arial" w:hAnsi="Arial"/>
          <w:sz w:val="18"/>
          <w:szCs w:val="18"/>
          <w:color w:val="auto"/>
        </w:rPr>
      </w:pPr>
    </w:p>
    <w:p>
      <w:pPr>
        <w:ind w:left="920" w:right="260" w:firstLine="1"/>
        <w:spacing w:after="0" w:line="308" w:lineRule="auto"/>
        <w:tabs>
          <w:tab w:leader="none" w:pos="1267"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Notes will be redeemable, in whole or in part, at any time, or from time to time, at the option of the Company, at a Redemption Price equal to the greater of the following amounts, plus, in each case, accrued and unpaid interest to the Redemption Date:</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480" w:right="40" w:hanging="567"/>
        <w:spacing w:after="0" w:line="286" w:lineRule="auto"/>
        <w:tabs>
          <w:tab w:leader="none" w:pos="1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35 basis points;</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provided, however, that if the Company redeems any Notes on or after December 22, 2022, the Redemption Price for the Notes will be equal to 100% of the principal amount of the Notes to be redeemed, plus accrued and unpaid interest, if any, to, but excluding, the date of redemption.</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0" w:name="page101"/>
    <w:bookmarkEnd w:id="100"/>
    <w:p>
      <w:pPr>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“Reference Treasury Dealer” means each of (1) Merrill Lynch, Pierce, Fenner &amp; Smith Incorporated and (2) J.P. Morgan Securities LLC, or their respective affiliates which are primary U.S.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or their affiliates shall cease to be a primary U.S. government securities dealer in the United States (a “Primary Treasury Dealer”), the Company shall select another Primary Treasury Dealer.</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62" w:lineRule="exact"/>
        <w:rPr>
          <w:sz w:val="20"/>
          <w:szCs w:val="20"/>
          <w:color w:val="auto"/>
        </w:rPr>
      </w:pPr>
    </w:p>
    <w:p>
      <w:pPr>
        <w:ind w:left="920" w:firstLine="1"/>
        <w:spacing w:after="0" w:line="293" w:lineRule="auto"/>
        <w:tabs>
          <w:tab w:leader="none" w:pos="1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Notes to be redeemed, not less than thirty (30) nor more than sixty (60) days prior to the Redemption Date,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56" w:lineRule="exact"/>
        <w:rPr>
          <w:rFonts w:ascii="Arial" w:cs="Arial" w:eastAsia="Arial" w:hAnsi="Arial"/>
          <w:sz w:val="16"/>
          <w:szCs w:val="16"/>
          <w:color w:val="auto"/>
        </w:rPr>
      </w:pPr>
    </w:p>
    <w:p>
      <w:pPr>
        <w:ind w:left="920" w:right="280" w:firstLine="1"/>
        <w:spacing w:after="0" w:line="277" w:lineRule="auto"/>
        <w:tabs>
          <w:tab w:leader="none" w:pos="1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exercise of the Company’s option to redeem the Notes will be done in compliance with the Investment Company Act, to the extent applicable.</w:t>
      </w:r>
    </w:p>
    <w:p>
      <w:pPr>
        <w:spacing w:after="0" w:line="62" w:lineRule="exact"/>
        <w:rPr>
          <w:rFonts w:ascii="Arial" w:cs="Arial" w:eastAsia="Arial" w:hAnsi="Arial"/>
          <w:sz w:val="18"/>
          <w:szCs w:val="18"/>
          <w:color w:val="auto"/>
        </w:rPr>
      </w:pPr>
    </w:p>
    <w:p>
      <w:pPr>
        <w:ind w:left="920" w:right="240" w:firstLine="1"/>
        <w:spacing w:after="0" w:line="286" w:lineRule="auto"/>
        <w:tabs>
          <w:tab w:leader="none" w:pos="13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If the Company elects to redeem only a portion of the Notes, the particular Notes to be redeemed will be selected by the Trustee in accordance with the applicable procedures of the Depositary and in accordance with the Investment Company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partial redemption shall reduce the portion of the principal amount of a Note not redeemed to less than $2,000.</w:t>
      </w:r>
    </w:p>
    <w:p>
      <w:pPr>
        <w:spacing w:after="0" w:line="57" w:lineRule="exact"/>
        <w:rPr>
          <w:rFonts w:ascii="Arial" w:cs="Arial" w:eastAsia="Arial" w:hAnsi="Arial"/>
          <w:sz w:val="17"/>
          <w:szCs w:val="17"/>
          <w:color w:val="auto"/>
        </w:rPr>
      </w:pPr>
    </w:p>
    <w:p>
      <w:pPr>
        <w:ind w:left="920" w:right="240" w:firstLine="1"/>
        <w:spacing w:after="0" w:line="277" w:lineRule="auto"/>
        <w:tabs>
          <w:tab w:leader="none" w:pos="13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Unless the Company defaults in payment of the Redemption Price, on and after the Redemption Date, interest will cease to accrue on the Notes called for redemption hereunder.</w:t>
      </w:r>
    </w:p>
    <w:p>
      <w:pPr>
        <w:spacing w:after="0" w:line="170" w:lineRule="exact"/>
        <w:rPr>
          <w:sz w:val="20"/>
          <w:szCs w:val="20"/>
          <w:color w:val="auto"/>
        </w:rPr>
      </w:pPr>
    </w:p>
    <w:p>
      <w:pPr>
        <w:ind w:left="5660" w:right="3000" w:hanging="4739"/>
        <w:spacing w:after="0" w:line="449" w:lineRule="auto"/>
        <w:tabs>
          <w:tab w:leader="none" w:pos="125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Notes shall not be subject to any sinking fund pursuant to Section 12.01 of the Base Indenture. 4</w:t>
      </w:r>
    </w:p>
    <w:p>
      <w:pPr>
        <w:sectPr>
          <w:pgSz w:w="11900" w:h="16838" w:orient="portrait"/>
          <w:cols w:equalWidth="0" w:num="1">
            <w:col w:w="11400"/>
          </w:cols>
          <w:pgMar w:left="240" w:top="274" w:right="259" w:bottom="1440" w:gutter="0" w:footer="0" w:header="0"/>
        </w:sectPr>
      </w:pPr>
    </w:p>
    <w:bookmarkStart w:id="101" w:name="page102"/>
    <w:bookmarkEnd w:id="101"/>
    <w:p>
      <w:pPr>
        <w:ind w:left="1260" w:hanging="339"/>
        <w:spacing w:after="0"/>
        <w:tabs>
          <w:tab w:leader="none" w:pos="1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shall be issuable in denominations of $2,000 and integral multiples of $1,000 in excess thereof.</w:t>
      </w:r>
    </w:p>
    <w:p>
      <w:pPr>
        <w:spacing w:after="0" w:line="225" w:lineRule="exact"/>
        <w:rPr>
          <w:rFonts w:ascii="Arial" w:cs="Arial" w:eastAsia="Arial" w:hAnsi="Arial"/>
          <w:sz w:val="18"/>
          <w:szCs w:val="18"/>
          <w:color w:val="auto"/>
        </w:rPr>
      </w:pPr>
    </w:p>
    <w:p>
      <w:pPr>
        <w:ind w:right="320" w:firstLine="921"/>
        <w:spacing w:after="0" w:line="277" w:lineRule="auto"/>
        <w:tabs>
          <w:tab w:leader="none" w:pos="13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Holders of the Notes will not have the option to have the Notes repaid prior to the Stated Maturity other than in accordance with Article Thirteen of the Indenture.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Below Investment Grade Rating Event</w:t>
      </w:r>
      <w:r>
        <w:rPr>
          <w:rFonts w:ascii="Arial" w:cs="Arial" w:eastAsia="Arial" w:hAnsi="Arial"/>
          <w:sz w:val="17"/>
          <w:szCs w:val="17"/>
          <w:color w:val="auto"/>
        </w:rPr>
        <w:t xml:space="preserve">”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right="20" w:firstLine="464"/>
        <w:spacing w:after="0" w:line="257"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188" w:lineRule="exact"/>
        <w:rPr>
          <w:rFonts w:ascii="Arial" w:cs="Arial" w:eastAsia="Arial" w:hAnsi="Arial"/>
          <w:sz w:val="18"/>
          <w:szCs w:val="18"/>
          <w:color w:val="auto"/>
        </w:rPr>
      </w:pPr>
    </w:p>
    <w:p>
      <w:pPr>
        <w:ind w:firstLine="464"/>
        <w:spacing w:after="0" w:line="259"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a Change of Control and a Below Investment Grade Rating Event.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2" w:name="page103"/>
    <w:bookmarkEnd w:id="102"/>
    <w:p>
      <w:pPr>
        <w:ind w:right="5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also known as Fitch Ratings, or any successor thereto.</w:t>
      </w:r>
    </w:p>
    <w:p>
      <w:pPr>
        <w:spacing w:after="0" w:line="225"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Grade</w:t>
      </w:r>
      <w:r>
        <w:rPr>
          <w:rFonts w:ascii="Arial" w:cs="Arial" w:eastAsia="Arial" w:hAnsi="Arial"/>
          <w:sz w:val="16"/>
          <w:szCs w:val="16"/>
          <w:color w:val="auto"/>
        </w:rPr>
        <w:t>” means a rating of BBB- or better by Fitch (or its equivalent under any successor rating categories of Fitch) and BBB- or better by S&amp;P (or its equivalent under any successor rating categories of S&amp;P) (or, in each case, if such Rating Agency ceases to rate the Notes for reasons outside of the Company’s control, the equivalent investment grade credit rating from any Rating Agency selected by the Company as a replacement Rating Agency).</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(i) the Company, (ii) one or more of the Company’s Controlled Subsidiaries and (iii) TSL Advisers LLC or any Affiliate of TSL Advisers LLC that is organized under the laws of a jurisdiction located in the United States of America and in the business of managing or advising clients.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(1) each of Fitch and S&amp;P; and (2) if either of Fitch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or S&amp;P, or both, as the case may be.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McGraw-Hill, Inc., or any successor thereto.</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Section 3.01. Neither the Trustee nor any Paying Agent shall be responsible for determining whether any Change of Control or Below Investment Grade Rating Event has occurred and whether any Change of Control offer with respect to the Notes is required.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OFFER TO REPURCHASE UPON A CHANGE OF CONTROL REPURCHASE EVENT</w:t>
      </w:r>
    </w:p>
    <w:p>
      <w:pPr>
        <w:spacing w:after="0" w:line="211"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Section 4.01.  Except as may be provided in a Future Supplemental Indenture, for the benefit of the Holders of the Notes but no other series of 6</w:t>
      </w:r>
    </w:p>
    <w:p>
      <w:pPr>
        <w:sectPr>
          <w:pgSz w:w="11900" w:h="16838" w:orient="portrait"/>
          <w:cols w:equalWidth="0" w:num="1">
            <w:col w:w="11360"/>
          </w:cols>
          <w:pgMar w:left="240" w:top="274" w:right="29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under the Indenture, whether now or hereafter issued and Outstanding, Article Thirteen of the Base Indenture shall be amended by replacing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Sections 13.01 to 13.05 thereto with the following:</w:t>
      </w:r>
    </w:p>
    <w:p>
      <w:pPr>
        <w:spacing w:after="0" w:line="319"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w:t>
      </w:r>
    </w:p>
    <w:p>
      <w:pPr>
        <w:spacing w:after="0" w:line="183"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Investment Company Act, the Company shall, to the extent lawful:</w:t>
      </w:r>
    </w:p>
    <w:p>
      <w:pPr>
        <w:spacing w:after="0" w:line="62" w:lineRule="exact"/>
        <w:rPr>
          <w:sz w:val="20"/>
          <w:szCs w:val="20"/>
          <w:color w:val="auto"/>
        </w:rPr>
      </w:pPr>
    </w:p>
    <w:p>
      <w:pPr>
        <w:ind w:left="860" w:hanging="396"/>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its offer;</w:t>
      </w:r>
    </w:p>
    <w:p>
      <w:pPr>
        <w:spacing w:after="0" w:line="117" w:lineRule="exact"/>
        <w:rPr>
          <w:rFonts w:ascii="Arial" w:cs="Arial" w:eastAsia="Arial" w:hAnsi="Arial"/>
          <w:sz w:val="18"/>
          <w:szCs w:val="18"/>
          <w:color w:val="auto"/>
        </w:rPr>
      </w:pPr>
    </w:p>
    <w:p>
      <w:pPr>
        <w:ind w:left="860" w:hanging="396"/>
        <w:spacing w:after="0"/>
        <w:tabs>
          <w:tab w:leader="none" w:pos="8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aggregate purchase price in respect of all Notes or portions of Notes properly tendered; and</w:t>
      </w:r>
    </w:p>
    <w:p>
      <w:pPr>
        <w:spacing w:after="0" w:line="140" w:lineRule="exact"/>
        <w:rPr>
          <w:rFonts w:ascii="Arial" w:cs="Arial" w:eastAsia="Arial" w:hAnsi="Arial"/>
          <w:sz w:val="16"/>
          <w:szCs w:val="16"/>
          <w:color w:val="auto"/>
        </w:rPr>
      </w:pPr>
    </w:p>
    <w:p>
      <w:pPr>
        <w:ind w:left="460" w:right="240" w:firstLine="4"/>
        <w:spacing w:after="0" w:line="277" w:lineRule="auto"/>
        <w:tabs>
          <w:tab w:leader="none" w:pos="8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70"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Section 5.01. This First Supplemental Indenture and the Notes shall be governed by and construed in accordance with the laws of the State of New York, without regard to principles of conflicts of laws that would cause the application of laws of another jurisdiction. This First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Section 5.02. In case any provision in this First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Section 5.03. This First Supplemental Indenture may be executed in any number of counterparts, each of which will be an original, but such counterparts will together constitute but one and the same First Supplemental Indenture. The exchange of copies of this First Supplemental Indenture and of signature pages by facsimile, .pdf transmission, email or other electronic means shall constitute effective execution and delivery of this First Supplemental Indenture for all purposes. Signatures of the parties hereto transmitted by facsimile, .pdf transmission, email or other electronic means shall be deemed to be their original signatures for all purposes.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Section 5.04. The Base Indenture, as supplemented and amended by this First Supplemental Indenture, is in all respects ratified and confirmed, and the Base Indenture and this First Supplemental Indenture shall be read, taken and construed as one and the same instrument with respect to the Notes. All provisions included in this First Supplemental Indenture supersede any conflicting provisions included in the Base Indenture with respect to the Notes, unless not permitted by law. The Trustee accepts the trusts created by the Indenture, as supplemented by this First Supplemental Indenture, and agrees to perform the same upon the terms and conditions of the Indenture, as supplemented by this First Supplemental Indenture. All of the provisions contained in the Base Indenture in respect of the rights, privileges, immunities, powers, and duties of the Trustee shall be applicable in respect of this First Supplemental Indenture as fully and with like force and effect as though fully set forth in full herein.</w:t>
      </w:r>
    </w:p>
    <w:p>
      <w:pPr>
        <w:spacing w:after="0" w:line="17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color w:val="auto"/>
        </w:rPr>
        <w:t>The provisions of this First Supplemental Indenture shall become effective as of the date hereof.</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5.06. Notwithstanding anything else to the contrary herein, the terms and provisions of this First Supplemental Indenture shall apply only to the Notes and shall not apply to any other series of Securities under the Indenture and this First Supplemental Indenture shall not and does not otherwise affect, modify, alter, supplement or change the terms and provisions of any other series of Securities under the Indenture, whether now or hereafter issued and Outstanding.</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Section 5.07. The recitals contained herein and in the Notes shall be taken as the statements of the Company, and the Trustee assumes no responsibility for their correctness. The Trustee makes no representations as to and shall not be responsible for the validity or sufficiency of this First Supplemental Indenture, the Notes or any Additional Notes, except that the Trustee represents that it is duly authorized to execute and deliver this First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First Supplemental Indenture to be duly executed as of the date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T. Simmonds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Ian T. Simmonds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Yana Kislenko</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First Supplemental Indenture]</w:t>
      </w:r>
    </w:p>
    <w:p>
      <w:pPr>
        <w:sectPr>
          <w:pgSz w:w="11900" w:h="16838" w:orient="portrait"/>
          <w:cols w:equalWidth="0" w:num="1">
            <w:col w:w="10960"/>
          </w:cols>
          <w:pgMar w:left="700" w:top="274"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Form of Global Note</w:t>
      </w:r>
    </w:p>
    <w:p>
      <w:pPr>
        <w:spacing w:after="0" w:line="22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84"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Initially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CUSIP No. 87265K AE2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ISIN No. US87265KAE29</w:t>
      </w:r>
    </w:p>
    <w:p>
      <w:pPr>
        <w:spacing w:after="0" w:line="200" w:lineRule="exact"/>
        <w:rPr>
          <w:sz w:val="20"/>
          <w:szCs w:val="20"/>
          <w:color w:val="auto"/>
        </w:rPr>
      </w:pPr>
    </w:p>
    <w:p>
      <w:pPr>
        <w:sectPr>
          <w:pgSz w:w="11900" w:h="16838" w:orient="portrait"/>
          <w:cols w:equalWidth="0" w:num="2">
            <w:col w:w="8540" w:space="720"/>
            <w:col w:w="2160"/>
          </w:cols>
          <w:pgMar w:left="240" w:top="270" w:right="2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4.500% Notes due 2023</w:t>
      </w:r>
    </w:p>
    <w:p>
      <w:pPr>
        <w:sectPr>
          <w:pgSz w:w="11900" w:h="16838" w:orient="portrait"/>
          <w:cols w:equalWidth="0" w:num="1">
            <w:col w:w="11420"/>
          </w:cols>
          <w:pgMar w:left="240" w:top="270" w:right="239" w:bottom="1440" w:gutter="0" w:footer="0" w:header="0"/>
          <w:type w:val="continuous"/>
        </w:sectPr>
      </w:pPr>
    </w:p>
    <w:p>
      <w:pPr>
        <w:spacing w:after="0" w:line="24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TPG Specialty Lending, Inc., a corporation duly organized and existing under the laws of Delaware (herein called the “Company”, which term includes any successor Person under the Indenture hereinafter referred to), for value received, hereby promises to pay to Cede &amp; Co., or registered assigns, the</w:t>
      </w:r>
    </w:p>
    <w:p>
      <w:pPr>
        <w:ind w:right="40"/>
        <w:spacing w:after="0" w:line="286" w:lineRule="auto"/>
        <w:rPr>
          <w:sz w:val="20"/>
          <w:szCs w:val="20"/>
          <w:color w:val="auto"/>
        </w:rPr>
      </w:pPr>
      <w:r>
        <w:rPr>
          <w:rFonts w:ascii="Arial" w:cs="Arial" w:eastAsia="Arial" w:hAnsi="Arial"/>
          <w:sz w:val="16"/>
          <w:szCs w:val="16"/>
          <w:color w:val="auto"/>
        </w:rPr>
        <w:t>principal sum of (U.S. $ ), or such other principal sum as shall be set forth in the Schedule of Increases or Decreases attached hereto, on January 22, 2023, and to pay interest thereon from January 22, 2018 or from the most recent Interest Payment Date to which interest has been paid or duly provided for, semi-annually on January 22 and July 22 in each year, commencing July 22, 2018, at the rate of 4.500%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January 7 and July 7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ectPr>
          <w:pgSz w:w="11900" w:h="16838" w:orient="portrait"/>
          <w:cols w:equalWidth="0" w:num="1">
            <w:col w:w="11420"/>
          </w:cols>
          <w:pgMar w:left="240" w:top="270" w:right="239" w:bottom="1440" w:gutter="0" w:footer="0" w:header="0"/>
          <w:type w:val="continuous"/>
        </w:sectPr>
      </w:pPr>
    </w:p>
    <w:bookmarkStart w:id="107" w:name="page108"/>
    <w:bookmarkEnd w:id="10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4" w:right="419"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 OF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4.500% Notes due 2023</w:t>
      </w:r>
    </w:p>
    <w:p>
      <w:pPr>
        <w:spacing w:after="0" w:line="21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January 22, 2018 (herein called the “Base Indenture”, which term shall have the meaning assigned to it in such instrument), between the Company and Wells Fargo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the First Supplemental Indenture, relating to the Securities, dated as of January 22, 2018, by and between the Company and the Trustee (herein called the “First Supplemental Indenture”; and together with the Base Indenture, the “Indenture”). In the event of any conflict between the Base Indenture and the First Supplemental Indenture, the First Supplemental Indenture shall govern and control.</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Security is one of the series designated on the face hereof, initially limited in aggregate principal amount to $ .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Securities either (i) be issued in a “qualified reopening” for U.S. Federal income tax purposes, with no more than a de minimis amount of original issue discount, or otherwise (ii) must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Securities of this series are subject to redemption in whole or in part at any time or from time to time, at the option of the Company, at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 equal to the greater of the following amounts, plus, in each case, accrued and unpaid interest to the Redemption Date:</w:t>
      </w:r>
    </w:p>
    <w:p>
      <w:pPr>
        <w:spacing w:after="0" w:line="116"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or</w:t>
      </w:r>
    </w:p>
    <w:p>
      <w:pPr>
        <w:spacing w:after="0" w:line="130"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Redemption Date) on the Securities to be redeemed, discounted to the Redemption Date on a semi-annual basis (assuming a 360-day year consisting of twelve 30-day months) using the applicable Treasury Rate plus 35 basis points;</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provided, however, that if the Company redeems any Securities on or after December 22, 2022, the Redemption Price for the Securities will be equal to 100% of the principal amount of the Securities to be redeemed, plus accrued and unpaid interest, if any, to, but excluding, the Redemption Date.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111" w:name="page112"/>
    <w:bookmarkEnd w:id="111"/>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calculating the Redemption Price in connection with the redemption of the Securities, on any Redemption Date, the following terms have the meanings set forth below:</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Securities to be redeemed that would be utilized, at the time of selection and in accordance with customary financing practice, in pricing new issues of corporate debt securities of comparable maturity to the remaining term of the Securities being redeemed.</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“Reference Treasury Dealer” means each of (1) Merrill Lynch, Pierce, Fenner &amp; Smith Incorporated and (2) J.P. Morgan Securities LLC, or their affiliates which are primary U.S.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or their affiliates shall cease to be a primary U.S. government securities dealer in the United States (a “Primary Treasury Dealer”), the Company shall select another Primary Treasury Dealer.</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7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Securities to be redeemed, not less than thirty (30) nor more than sixty (60) days prior to the Redemption Date, at the Holder’s address appearing in the Security Register. All notices of redemption shall contain the information set forth in Section 11.04 of the Base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exercise of the Company’s option to redeem the Securities will be done in compliance with the Investment Company Act, to the extent applicable.</w:t>
      </w:r>
    </w:p>
    <w:p>
      <w:pPr>
        <w:spacing w:after="0" w:line="24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If the Company elects to redeem only a portion of the Securities, the particular Securities to be redeemed will be selected by the Trustee in accordance with the applicable procedures of the Depository and in accordance with the Investment Company Act. In the event of redemption of this Security in part only, a new Security or Securities of this series and of like tenor for the unredeemed portion hereof will be issued in the name of the Holder hereof upon the cancellation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partial redemption shall reduce the portion of the principal amount of a Security not redeemed to less than $2,000.</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2" w:name="page113"/>
    <w:bookmarkEnd w:id="112"/>
    <w:p>
      <w:pPr>
        <w:ind w:right="3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Company defaults in payment of the Redemption Price, on and after the Redemption Date, interest will cease to accrue on the Securities called for redemption.</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Holders will have the right to require the Company to repurchase their Securities upon the occurrence of a Change of Control Repurchase Event as set forth in the Indenture.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0"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ninety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8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3" w:name="page114"/>
    <w:bookmarkEnd w:id="113"/>
    <w:p>
      <w:pPr>
        <w:ind w:right="4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To the extent any provision of this Security conflicts with the express provisions of the Indenture, the provisions of the Indenture shall govern and be controlling.</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Indenture and this Security shall be governed by and construed in accordance with the laws of the State of New York, without regard to principles of conflicts of laws.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114" w:name="page115"/>
    <w:bookmarkEnd w:id="114"/>
    <w:p>
      <w:pPr>
        <w:ind w:left="4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color w:val="auto"/>
        </w:rPr>
        <w:t>SSIGNMENT</w:t>
      </w:r>
      <w:r>
        <w:rPr>
          <w:rFonts w:ascii="Arial" w:cs="Arial" w:eastAsia="Arial" w:hAnsi="Arial"/>
          <w:sz w:val="18"/>
          <w:szCs w:val="18"/>
          <w:color w:val="auto"/>
        </w:rPr>
        <w:t xml:space="preserve"> F</w:t>
      </w:r>
      <w:r>
        <w:rPr>
          <w:rFonts w:ascii="Arial" w:cs="Arial" w:eastAsia="Arial" w:hAnsi="Arial"/>
          <w:sz w:val="15"/>
          <w:szCs w:val="15"/>
          <w:color w:val="auto"/>
        </w:rPr>
        <w:t>ORM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-10160</wp:posOffset>
            </wp:positionV>
            <wp:extent cx="42291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2910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NSERT ASSIGNEE</w:t>
      </w:r>
      <w:r>
        <w:rPr>
          <w:rFonts w:ascii="Arial" w:cs="Arial" w:eastAsia="Arial" w:hAnsi="Arial"/>
          <w:sz w:val="18"/>
          <w:szCs w:val="18"/>
          <w:color w:val="auto"/>
        </w:rPr>
        <w:t>’</w:t>
      </w:r>
      <w:r>
        <w:rPr>
          <w:rFonts w:ascii="Arial" w:cs="Arial" w:eastAsia="Arial" w:hAnsi="Arial"/>
          <w:sz w:val="15"/>
          <w:szCs w:val="15"/>
          <w:color w:val="auto"/>
        </w:rPr>
        <w:t>S LEGAL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62579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62579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62579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62579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57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1121410</wp:posOffset>
            </wp:positionV>
            <wp:extent cx="62579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-10160</wp:posOffset>
            </wp:positionV>
            <wp:extent cx="51149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149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-10160</wp:posOffset>
            </wp:positionV>
            <wp:extent cx="32004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040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-10160</wp:posOffset>
            </wp:positionV>
            <wp:extent cx="15144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32" w:lineRule="exact"/>
        <w:rPr>
          <w:sz w:val="20"/>
          <w:szCs w:val="20"/>
          <w:color w:val="auto"/>
        </w:rPr>
      </w:pPr>
    </w:p>
    <w:p>
      <w:pPr>
        <w:ind w:left="5660" w:right="1540" w:hanging="5652"/>
        <w:spacing w:after="0" w:line="449" w:lineRule="auto"/>
        <w:tabs>
          <w:tab w:leader="none" w:pos="2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9</w:t>
      </w:r>
    </w:p>
    <w:p>
      <w:pPr>
        <w:sectPr>
          <w:pgSz w:w="11900" w:h="16838" w:orient="portrait"/>
          <w:cols w:equalWidth="0" w:num="1">
            <w:col w:w="10700"/>
          </w:cols>
          <w:pgMar w:left="240" w:top="274" w:right="9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you want to elect to have this Note purchased by the Company pursuant to Section 13.01 of the Indenture, check the box below:</w:t>
      </w:r>
    </w:p>
    <w:p>
      <w:pPr>
        <w:spacing w:after="0" w:line="225" w:lineRule="exact"/>
        <w:rPr>
          <w:sz w:val="20"/>
          <w:szCs w:val="20"/>
          <w:color w:val="auto"/>
        </w:rPr>
      </w:pPr>
    </w:p>
    <w:p>
      <w:pPr>
        <w:ind w:left="1740" w:hanging="248"/>
        <w:spacing w:after="0"/>
        <w:tabs>
          <w:tab w:leader="none" w:pos="1740" w:val="left"/>
        </w:tabs>
        <w:numPr>
          <w:ilvl w:val="0"/>
          <w:numId w:val="88"/>
        </w:numPr>
        <w:rPr>
          <w:rFonts w:ascii="MS PGothic" w:cs="MS PGothic" w:eastAsia="MS PGothic" w:hAnsi="MS PGothic"/>
          <w:sz w:val="18"/>
          <w:szCs w:val="18"/>
          <w:color w:val="auto"/>
        </w:rPr>
      </w:pPr>
      <w:r>
        <w:rPr>
          <w:rFonts w:ascii="Arial" w:cs="Arial" w:eastAsia="Arial" w:hAnsi="Arial"/>
          <w:sz w:val="18"/>
          <w:szCs w:val="18"/>
          <w:color w:val="auto"/>
        </w:rPr>
        <w:t>Section 13.01</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13.01 of the Indenture, state the amount you elect to have purchased:</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-10160</wp:posOffset>
            </wp:positionV>
            <wp:extent cx="2286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27616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-10160</wp:posOffset>
            </wp:positionV>
            <wp:extent cx="20288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28825"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126365</wp:posOffset>
            </wp:positionV>
            <wp:extent cx="4286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-10160</wp:posOffset>
            </wp:positionV>
            <wp:extent cx="12858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32" w:lineRule="exact"/>
        <w:rPr>
          <w:sz w:val="20"/>
          <w:szCs w:val="20"/>
          <w:color w:val="auto"/>
        </w:rPr>
      </w:pPr>
    </w:p>
    <w:p>
      <w:pPr>
        <w:ind w:left="5620" w:right="2260" w:hanging="5612"/>
        <w:spacing w:after="0" w:line="449" w:lineRule="auto"/>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10</w:t>
      </w:r>
    </w:p>
    <w:p>
      <w:pPr>
        <w:sectPr>
          <w:pgSz w:w="11900" w:h="16838" w:orient="portrait"/>
          <w:cols w:equalWidth="0" w:num="1">
            <w:col w:w="11420"/>
          </w:cols>
          <w:pgMar w:left="240" w:top="27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AND DECREASES OF GLOBAL NOTE</w:t>
      </w:r>
    </w:p>
    <w:p>
      <w:pPr>
        <w:spacing w:after="0" w:line="225" w:lineRule="exact"/>
        <w:rPr>
          <w:sz w:val="20"/>
          <w:szCs w:val="20"/>
          <w:color w:val="auto"/>
        </w:rPr>
      </w:pPr>
    </w:p>
    <w:p>
      <w:pPr>
        <w:ind w:left="920"/>
        <w:spacing w:after="0"/>
        <w:tabs>
          <w:tab w:leader="none" w:pos="5020" w:val="left"/>
        </w:tabs>
        <w:rPr>
          <w:sz w:val="20"/>
          <w:szCs w:val="20"/>
          <w:color w:val="auto"/>
        </w:rPr>
      </w:pPr>
      <w:r>
        <w:rPr>
          <w:rFonts w:ascii="Arial" w:cs="Arial" w:eastAsia="Arial" w:hAnsi="Arial"/>
          <w:sz w:val="18"/>
          <w:szCs w:val="18"/>
          <w:color w:val="auto"/>
        </w:rPr>
        <w:t>The Initial principal amount of this Global Note is $</w:t>
      </w:r>
      <w:r>
        <w:rPr>
          <w:sz w:val="20"/>
          <w:szCs w:val="20"/>
          <w:color w:val="auto"/>
        </w:rPr>
        <w:tab/>
      </w:r>
      <w:r>
        <w:rPr>
          <w:rFonts w:ascii="Arial" w:cs="Arial" w:eastAsia="Arial" w:hAnsi="Arial"/>
          <w:sz w:val="16"/>
          <w:szCs w:val="16"/>
          <w:color w:val="auto"/>
        </w:rPr>
        <w:t>. The following increases and decreases to this Global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Principal Amount at</w:t>
            </w:r>
          </w:p>
        </w:tc>
        <w:tc>
          <w:tcPr>
            <w:tcW w:w="2060" w:type="dxa"/>
            <w:vAlign w:val="bottom"/>
          </w:tcPr>
          <w:p>
            <w:pPr>
              <w:spacing w:after="0"/>
              <w:rPr>
                <w:sz w:val="14"/>
                <w:szCs w:val="14"/>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Amount of Decrease in</w:t>
            </w: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Amount of Increase in</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Maturity</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Principal Amount at</w:t>
            </w: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Principal Amount at</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of this Global Note</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5"/>
              </w:rPr>
              <w:t>Authorized Signatory</w:t>
            </w:r>
          </w:p>
        </w:tc>
      </w:tr>
      <w:tr>
        <w:trPr>
          <w:trHeight w:val="149"/>
        </w:trPr>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Date of Increase or</w:t>
            </w: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Maturity</w:t>
            </w: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Maturity</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4"/>
              </w:rPr>
              <w:t>of Trustee or DTC</w:t>
            </w:r>
          </w:p>
        </w:tc>
      </w:tr>
      <w:tr>
        <w:trPr>
          <w:trHeight w:val="181"/>
        </w:trPr>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Decrease</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of this Global Note</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of this Global Note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decrease (or increase)</w:t>
            </w:r>
          </w:p>
        </w:tc>
        <w:tc>
          <w:tcPr>
            <w:tcW w:w="2060" w:type="dxa"/>
            <w:vAlign w:val="bottom"/>
          </w:tcPr>
          <w:p>
            <w:pPr>
              <w:jc w:val="center"/>
              <w:spacing w:after="0"/>
              <w:rPr>
                <w:sz w:val="20"/>
                <w:szCs w:val="20"/>
                <w:color w:val="auto"/>
              </w:rPr>
            </w:pPr>
            <w:r>
              <w:rPr>
                <w:rFonts w:ascii="Arial" w:cs="Arial" w:eastAsia="Arial" w:hAnsi="Arial"/>
                <w:sz w:val="14"/>
                <w:szCs w:val="14"/>
                <w:color w:val="auto"/>
                <w:w w:val="91"/>
              </w:rPr>
              <w:t>Custodian</w:t>
            </w:r>
          </w:p>
        </w:tc>
      </w:tr>
      <w:tr>
        <w:trPr>
          <w:trHeight w:val="196"/>
        </w:trPr>
        <w:tc>
          <w:tcPr>
            <w:tcW w:w="2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1)"/>
      <w:numFmt w:val="lowerLetter"/>
      <w:start w:val="4"/>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1)"/>
      <w:numFmt w:val="lowerLetter"/>
      <w:start w:val="3"/>
    </w:lvl>
  </w:abstractNum>
  <w:abstractNum w:abstractNumId="4">
    <w:nsid w:val="6DE91B18"/>
    <w:multiLevelType w:val="hybridMultilevel"/>
    <w:lvl w:ilvl="0">
      <w:lvlJc w:val="left"/>
      <w:lvlText w:val="(%1)"/>
      <w:numFmt w:val="lowerRoman"/>
      <w:start w:val="2"/>
    </w:lvl>
  </w:abstractNum>
  <w:abstractNum w:abstractNumId="5">
    <w:nsid w:val="38437FDB"/>
    <w:multiLevelType w:val="hybridMultilevel"/>
    <w:lvl w:ilvl="0">
      <w:lvlJc w:val="left"/>
      <w:lvlText w:val="(%1)"/>
      <w:numFmt w:val="lowerRoman"/>
      <w:start w:val="2"/>
    </w:lvl>
  </w:abstractNum>
  <w:abstractNum w:abstractNumId="6">
    <w:nsid w:val="7644A45C"/>
    <w:multiLevelType w:val="hybridMultilevel"/>
    <w:lvl w:ilvl="0">
      <w:lvlJc w:val="left"/>
      <w:lvlText w:val="(%1)"/>
      <w:numFmt w:val="lowerRoman"/>
      <w:start w:val="1"/>
    </w:lvl>
  </w:abstractNum>
  <w:abstractNum w:abstractNumId="7">
    <w:nsid w:val="32FFF902"/>
    <w:multiLevelType w:val="hybridMultilevel"/>
    <w:lvl w:ilvl="0">
      <w:lvlJc w:val="left"/>
      <w:lvlText w:val="(%1)"/>
      <w:numFmt w:val="lowerLetter"/>
      <w:start w:val="3"/>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Letter"/>
      <w:start w:val="2"/>
    </w:lvl>
  </w:abstractNum>
  <w:abstractNum w:abstractNumId="10">
    <w:nsid w:val="749ABB43"/>
    <w:multiLevelType w:val="hybridMultilevel"/>
    <w:lvl w:ilvl="0">
      <w:lvlJc w:val="left"/>
      <w:lvlText w:val="(%1)"/>
      <w:numFmt w:val="lowerLetter"/>
      <w:start w:val="5"/>
    </w:lvl>
  </w:abstractNum>
  <w:abstractNum w:abstractNumId="11">
    <w:nsid w:val="3DC240FB"/>
    <w:multiLevelType w:val="hybridMultilevel"/>
    <w:lvl w:ilvl="0">
      <w:lvlJc w:val="left"/>
      <w:lvlText w:val="(%1)"/>
      <w:numFmt w:val="lowerRoman"/>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Roman"/>
      <w:start w:val="1"/>
    </w:lvl>
  </w:abstractNum>
  <w:abstractNum w:abstractNumId="14">
    <w:nsid w:val="75C6C33A"/>
    <w:multiLevelType w:val="hybridMultilevel"/>
    <w:lvl w:ilvl="0">
      <w:lvlJc w:val="left"/>
      <w:lvlText w:val="(%1)"/>
      <w:numFmt w:val="lowerRoman"/>
      <w:start w:val="5"/>
    </w:lvl>
  </w:abstractNum>
  <w:abstractNum w:abstractNumId="15">
    <w:nsid w:val="12E685FB"/>
    <w:multiLevelType w:val="hybridMultilevel"/>
    <w:lvl w:ilvl="0">
      <w:lvlJc w:val="left"/>
      <w:lvlText w:val="(%1)"/>
      <w:numFmt w:val="lowerRoman"/>
      <w:start w:val="14"/>
    </w:lvl>
  </w:abstractNum>
  <w:abstractNum w:abstractNumId="16">
    <w:nsid w:val="70C6A529"/>
    <w:multiLevelType w:val="hybridMultilevel"/>
    <w:lvl w:ilvl="0">
      <w:lvlJc w:val="left"/>
      <w:lvlText w:val="(%1)"/>
      <w:numFmt w:val="lowerRoman"/>
      <w:start w:val="22"/>
    </w:lvl>
  </w:abstractNum>
  <w:abstractNum w:abstractNumId="17">
    <w:nsid w:val="520EEDD1"/>
    <w:multiLevelType w:val="hybridMultilevel"/>
    <w:lvl w:ilvl="0">
      <w:lvlJc w:val="left"/>
      <w:lvlText w:val="(%1)"/>
      <w:numFmt w:val="lowerLetter"/>
      <w:start w:val="1"/>
    </w:lvl>
    <w:lvl w:ilvl="1">
      <w:lvlJc w:val="left"/>
      <w:lvlText w:val="(%2)"/>
      <w:numFmt w:val="lowerRoman"/>
      <w:start w:val="1"/>
    </w:lvl>
  </w:abstractNum>
  <w:abstractNum w:abstractNumId="18">
    <w:nsid w:val="374A3FE6"/>
    <w:multiLevelType w:val="hybridMultilevel"/>
    <w:lvl w:ilvl="0">
      <w:lvlJc w:val="left"/>
      <w:lvlText w:val="(%1)"/>
      <w:numFmt w:val="lowerLetter"/>
      <w:start w:val="2"/>
    </w:lvl>
  </w:abstractNum>
  <w:abstractNum w:abstractNumId="19">
    <w:nsid w:val="4F4EF005"/>
    <w:multiLevelType w:val="hybridMultilevel"/>
    <w:lvl w:ilvl="0">
      <w:lvlJc w:val="left"/>
      <w:lvlText w:val="(%1)"/>
      <w:numFmt w:val="lowerRoman"/>
      <w:start w:val="2"/>
    </w:lvl>
  </w:abstractNum>
  <w:abstractNum w:abstractNumId="20">
    <w:nsid w:val="23F9C13C"/>
    <w:multiLevelType w:val="hybridMultilevel"/>
    <w:lvl w:ilvl="0">
      <w:lvlJc w:val="left"/>
      <w:lvlText w:val="(%1)"/>
      <w:numFmt w:val="lowerLetter"/>
      <w:start w:val="1"/>
    </w:lvl>
  </w:abstractNum>
  <w:abstractNum w:abstractNumId="21">
    <w:nsid w:val="649BB77C"/>
    <w:multiLevelType w:val="hybridMultilevel"/>
    <w:lvl w:ilvl="0">
      <w:lvlJc w:val="left"/>
      <w:lvlText w:val="(%1)"/>
      <w:numFmt w:val="lowerRoman"/>
      <w:start w:val="1"/>
    </w:lvl>
  </w:abstractNum>
  <w:abstractNum w:abstractNumId="22">
    <w:nsid w:val="275AC794"/>
    <w:multiLevelType w:val="hybridMultilevel"/>
    <w:lvl w:ilvl="0">
      <w:lvlJc w:val="left"/>
      <w:lvlText w:val="%1"/>
      <w:numFmt w:val="lowerLetter"/>
      <w:start w:val="1"/>
    </w:lvl>
    <w:lvl w:ilvl="1">
      <w:lvlJc w:val="left"/>
      <w:lvlText w:val="(%2)"/>
      <w:numFmt w:val="lowerLetter"/>
      <w:start w:val="35"/>
    </w:lvl>
  </w:abstractNum>
  <w:abstractNum w:abstractNumId="23">
    <w:nsid w:val="39386575"/>
    <w:multiLevelType w:val="hybridMultilevel"/>
    <w:lvl w:ilvl="0">
      <w:lvlJc w:val="left"/>
      <w:lvlText w:val="(%1)"/>
      <w:numFmt w:val="lowerLetter"/>
      <w:start w:val="2"/>
    </w:lvl>
    <w:lvl w:ilvl="1">
      <w:lvlJc w:val="left"/>
      <w:lvlText w:val="%2"/>
      <w:numFmt w:val="lowerLetter"/>
      <w:start w:val="1"/>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4"/>
    </w:lvl>
  </w:abstractNum>
  <w:abstractNum w:abstractNumId="26">
    <w:nsid w:val="235BA861"/>
    <w:multiLevelType w:val="hybridMultilevel"/>
    <w:lvl w:ilvl="0">
      <w:lvlJc w:val="left"/>
      <w:lvlText w:val="%1"/>
      <w:numFmt w:val="lowerLetter"/>
      <w:start w:val="1"/>
    </w:lvl>
    <w:lvl w:ilvl="1">
      <w:lvlJc w:val="left"/>
      <w:lvlText w:val="(%2)"/>
      <w:numFmt w:val="lowerLetter"/>
      <w:start w:val="5"/>
    </w:lvl>
  </w:abstractNum>
  <w:abstractNum w:abstractNumId="27">
    <w:nsid w:val="47398C89"/>
    <w:multiLevelType w:val="hybridMultilevel"/>
    <w:lvl w:ilvl="0">
      <w:lvlJc w:val="left"/>
      <w:lvlText w:val="(%1)"/>
      <w:numFmt w:val="lowerLetter"/>
      <w:start w:val="4"/>
    </w:lvl>
    <w:lvl w:ilvl="1">
      <w:lvlJc w:val="left"/>
      <w:lvlText w:val="(%2)"/>
      <w:numFmt w:val="lowerLetter"/>
      <w:start w:val="6"/>
    </w:lvl>
  </w:abstractNum>
  <w:abstractNum w:abstractNumId="28">
    <w:nsid w:val="354FE9F9"/>
    <w:multiLevelType w:val="hybridMultilevel"/>
    <w:lvl w:ilvl="0">
      <w:lvlJc w:val="left"/>
      <w:lvlText w:val="%1"/>
      <w:numFmt w:val="lowerLetter"/>
      <w:start w:val="1"/>
    </w:lvl>
    <w:lvl w:ilvl="1">
      <w:lvlJc w:val="left"/>
      <w:lvlText w:val="(%2)"/>
      <w:numFmt w:val="lowerLetter"/>
      <w:start w:val="1"/>
    </w:lvl>
  </w:abstractNum>
  <w:abstractNum w:abstractNumId="29">
    <w:nsid w:val="15B5AF5C"/>
    <w:multiLevelType w:val="hybridMultilevel"/>
    <w:lvl w:ilvl="0">
      <w:lvlJc w:val="left"/>
      <w:lvlText w:val="(%1)"/>
      <w:numFmt w:val="lowerLetter"/>
      <w:start w:val="35"/>
    </w:lvl>
    <w:lvl w:ilvl="1">
      <w:lvlJc w:val="left"/>
      <w:lvlText w:val="%2"/>
      <w:numFmt w:val="lowerLetter"/>
      <w:start w:val="1"/>
    </w:lvl>
  </w:abstractNum>
  <w:abstractNum w:abstractNumId="30">
    <w:nsid w:val="741226BB"/>
    <w:multiLevelType w:val="hybridMultilevel"/>
    <w:lvl w:ilvl="0">
      <w:lvlJc w:val="left"/>
      <w:lvlText w:val="(%1)"/>
      <w:numFmt w:val="lowerLetter"/>
      <w:start w:val="2"/>
    </w:lvl>
  </w:abstractNum>
  <w:abstractNum w:abstractNumId="31">
    <w:nsid w:val="D34B6A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2">
    <w:nsid w:val="10233C99"/>
    <w:multiLevelType w:val="hybridMultilevel"/>
    <w:lvl w:ilvl="0">
      <w:lvlJc w:val="left"/>
      <w:lvlText w:val="(%1)"/>
      <w:numFmt w:val="lowerRoman"/>
      <w:start w:val="1"/>
    </w:lvl>
  </w:abstractNum>
  <w:abstractNum w:abstractNumId="33">
    <w:nsid w:val="3F6AB60F"/>
    <w:multiLevelType w:val="hybridMultilevel"/>
    <w:lvl w:ilvl="0">
      <w:lvlJc w:val="left"/>
      <w:lvlText w:val="(%1)"/>
      <w:numFmt w:val="decimal"/>
      <w:start w:val="1"/>
    </w:lvl>
    <w:lvl w:ilvl="1">
      <w:lvlJc w:val="left"/>
      <w:lvlText w:val="(%2)"/>
      <w:numFmt w:val="decimal"/>
      <w:start w:val="2"/>
    </w:lvl>
  </w:abstractNum>
  <w:abstractNum w:abstractNumId="34">
    <w:nsid w:val="61574095"/>
    <w:multiLevelType w:val="hybridMultilevel"/>
    <w:lvl w:ilvl="0">
      <w:lvlJc w:val="left"/>
      <w:lvlText w:val="(%1)"/>
      <w:numFmt w:val="decimal"/>
      <w:start w:val="4"/>
    </w:lvl>
  </w:abstractNum>
  <w:abstractNum w:abstractNumId="35">
    <w:nsid w:val="7E0C57B1"/>
    <w:multiLevelType w:val="hybridMultilevel"/>
    <w:lvl w:ilvl="0">
      <w:lvlJc w:val="left"/>
      <w:lvlText w:val="(%1)"/>
      <w:numFmt w:val="lowerRoman"/>
      <w:start w:val="6"/>
    </w:lvl>
  </w:abstractNum>
  <w:abstractNum w:abstractNumId="36">
    <w:nsid w:val="77AE35EB"/>
    <w:multiLevelType w:val="hybridMultilevel"/>
    <w:lvl w:ilvl="0">
      <w:lvlJc w:val="left"/>
      <w:lvlText w:val="(%1)"/>
      <w:numFmt w:val="decimal"/>
      <w:start w:val="2"/>
    </w:lvl>
  </w:abstractNum>
  <w:abstractNum w:abstractNumId="37">
    <w:nsid w:val="579BE4F1"/>
    <w:multiLevelType w:val="hybridMultilevel"/>
    <w:lvl w:ilvl="0">
      <w:lvlJc w:val="left"/>
      <w:lvlText w:val="(%1)"/>
      <w:numFmt w:val="lowerRoman"/>
      <w:start w:val="7"/>
    </w:lvl>
  </w:abstractNum>
  <w:abstractNum w:abstractNumId="38">
    <w:nsid w:val="310C50B3"/>
    <w:multiLevelType w:val="hybridMultilevel"/>
    <w:lvl w:ilvl="0">
      <w:lvlJc w:val="left"/>
      <w:lvlText w:val="(%1)"/>
      <w:numFmt w:val="lowerRoman"/>
      <w:start w:val="1"/>
    </w:lvl>
    <w:lvl w:ilvl="1">
      <w:lvlJc w:val="left"/>
      <w:lvlText w:val="(%2)"/>
      <w:numFmt w:val="decimal"/>
      <w:start w:val="1"/>
    </w:lvl>
  </w:abstractNum>
  <w:abstractNum w:abstractNumId="39">
    <w:nsid w:val="5FF87E05"/>
    <w:multiLevelType w:val="hybridMultilevel"/>
    <w:lvl w:ilvl="0">
      <w:lvlJc w:val="left"/>
      <w:lvlText w:val="(%1)"/>
      <w:numFmt w:val="lowerRoman"/>
      <w:start w:val="1"/>
    </w:lvl>
  </w:abstractNum>
  <w:abstractNum w:abstractNumId="40">
    <w:nsid w:val="2F305DEF"/>
    <w:multiLevelType w:val="hybridMultilevel"/>
    <w:lvl w:ilvl="0">
      <w:lvlJc w:val="left"/>
      <w:lvlText w:val="(%1)"/>
      <w:numFmt w:val="lowerRoman"/>
      <w:start w:val="1"/>
    </w:lvl>
  </w:abstractNum>
  <w:abstractNum w:abstractNumId="41">
    <w:nsid w:val="25A70BF7"/>
    <w:multiLevelType w:val="hybridMultilevel"/>
    <w:lvl w:ilvl="0">
      <w:lvlJc w:val="left"/>
      <w:lvlText w:val="(%1)"/>
      <w:numFmt w:val="lowerRoman"/>
      <w:start w:val="1"/>
    </w:lvl>
  </w:abstractNum>
  <w:abstractNum w:abstractNumId="42">
    <w:nsid w:val="1DBABF00"/>
    <w:multiLevelType w:val="hybridMultilevel"/>
    <w:lvl w:ilvl="0">
      <w:lvlJc w:val="left"/>
      <w:lvlText w:val="(%1)"/>
      <w:numFmt w:val="lowerRoman"/>
      <w:start w:val="1"/>
    </w:lvl>
  </w:abstractNum>
  <w:abstractNum w:abstractNumId="43">
    <w:nsid w:val="4AD084E9"/>
    <w:multiLevelType w:val="hybridMultilevel"/>
    <w:lvl w:ilvl="0">
      <w:lvlJc w:val="left"/>
      <w:lvlText w:val="(%1)"/>
      <w:numFmt w:val="lowerRoman"/>
      <w:start w:val="1"/>
    </w:lvl>
  </w:abstractNum>
  <w:abstractNum w:abstractNumId="44">
    <w:nsid w:val="1F48EAA1"/>
    <w:multiLevelType w:val="hybridMultilevel"/>
    <w:lvl w:ilvl="0">
      <w:lvlJc w:val="left"/>
      <w:lvlText w:val="(%1)"/>
      <w:numFmt w:val="lowerLetter"/>
      <w:start w:val="1"/>
    </w:lvl>
    <w:lvl w:ilvl="1">
      <w:lvlJc w:val="left"/>
      <w:lvlText w:val="(%2)"/>
      <w:numFmt w:val="lowerRoman"/>
      <w:start w:val="1"/>
    </w:lvl>
  </w:abstractNum>
  <w:abstractNum w:abstractNumId="45">
    <w:nsid w:val="1381823A"/>
    <w:multiLevelType w:val="hybridMultilevel"/>
    <w:lvl w:ilvl="0">
      <w:lvlJc w:val="left"/>
      <w:lvlText w:val="(%1)"/>
      <w:numFmt w:val="lowerLetter"/>
      <w:start w:val="4"/>
    </w:lvl>
  </w:abstractNum>
  <w:abstractNum w:abstractNumId="46">
    <w:nsid w:val="5DB70AE5"/>
    <w:multiLevelType w:val="hybridMultilevel"/>
    <w:lvl w:ilvl="0">
      <w:lvlJc w:val="left"/>
      <w:lvlText w:val="(%1)"/>
      <w:numFmt w:val="lowerRoman"/>
      <w:start w:val="1"/>
    </w:lvl>
  </w:abstractNum>
  <w:abstractNum w:abstractNumId="47">
    <w:nsid w:val="100F8FCA"/>
    <w:multiLevelType w:val="hybridMultilevel"/>
    <w:lvl w:ilvl="0">
      <w:lvlJc w:val="left"/>
      <w:lvlText w:val="(%1)"/>
      <w:numFmt w:val="lowerRoman"/>
      <w:start w:val="6"/>
    </w:lvl>
  </w:abstractNum>
  <w:abstractNum w:abstractNumId="48">
    <w:nsid w:val="6590700B"/>
    <w:multiLevelType w:val="hybridMultilevel"/>
    <w:lvl w:ilvl="0">
      <w:lvlJc w:val="left"/>
      <w:lvlText w:val="(%1)"/>
      <w:numFmt w:val="lowerRoman"/>
      <w:start w:val="15"/>
    </w:lvl>
  </w:abstractNum>
  <w:abstractNum w:abstractNumId="49">
    <w:nsid w:val="15014ACB"/>
    <w:multiLevelType w:val="hybridMultilevel"/>
    <w:lvl w:ilvl="0">
      <w:lvlJc w:val="left"/>
      <w:lvlText w:val="(%1)"/>
      <w:numFmt w:val="lowerRoman"/>
      <w:start w:val="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4"/>
    </w:lvl>
    <w:lvl w:ilvl="1">
      <w:lvlJc w:val="left"/>
      <w:lvlText w:val="(%2)"/>
      <w:numFmt w:val="lowerRoman"/>
      <w:start w:val="1"/>
    </w:lvl>
  </w:abstractNum>
  <w:abstractNum w:abstractNumId="52">
    <w:nsid w:val="799D0247"/>
    <w:multiLevelType w:val="hybridMultilevel"/>
    <w:lvl w:ilvl="0">
      <w:lvlJc w:val="left"/>
      <w:lvlText w:val="(%1)"/>
      <w:numFmt w:val="lowerLetter"/>
      <w:start w:val="5"/>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3"/>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3"/>
    </w:lvl>
  </w:abstractNum>
  <w:abstractNum w:abstractNumId="57">
    <w:nsid w:val="661E3F1E"/>
    <w:multiLevelType w:val="hybridMultilevel"/>
    <w:lvl w:ilvl="0">
      <w:lvlJc w:val="left"/>
      <w:lvlText w:val="(%1)"/>
      <w:numFmt w:val="lowerRoman"/>
      <w:start w:val="1"/>
    </w:lvl>
  </w:abstractNum>
  <w:abstractNum w:abstractNumId="58">
    <w:nsid w:val="5DC79EA8"/>
    <w:multiLevelType w:val="hybridMultilevel"/>
    <w:lvl w:ilvl="0">
      <w:lvlJc w:val="left"/>
      <w:lvlText w:val="(%1)"/>
      <w:numFmt w:val="lowerRoman"/>
      <w:start w:val="1"/>
    </w:lvl>
  </w:abstractNum>
  <w:abstractNum w:abstractNumId="59">
    <w:nsid w:val="540A471C"/>
    <w:multiLevelType w:val="hybridMultilevel"/>
    <w:lvl w:ilvl="0">
      <w:lvlJc w:val="left"/>
      <w:lvlText w:val="(%1)"/>
      <w:numFmt w:val="lowerRoman"/>
      <w:start w:val="8"/>
    </w:lvl>
  </w:abstractNum>
  <w:abstractNum w:abstractNumId="60">
    <w:nsid w:val="7BD3EE7B"/>
    <w:multiLevelType w:val="hybridMultilevel"/>
    <w:lvl w:ilvl="0">
      <w:lvlJc w:val="left"/>
      <w:lvlText w:val="(%1)"/>
      <w:numFmt w:val="lowerRoman"/>
      <w:start w:val="1"/>
    </w:lvl>
  </w:abstractNum>
  <w:abstractNum w:abstractNumId="61">
    <w:nsid w:val="51D9C564"/>
    <w:multiLevelType w:val="hybridMultilevel"/>
    <w:lvl w:ilvl="0">
      <w:lvlJc w:val="left"/>
      <w:lvlText w:val="(%1)"/>
      <w:numFmt w:val="lowerRoman"/>
      <w:start w:val="2"/>
    </w:lvl>
  </w:abstractNum>
  <w:abstractNum w:abstractNumId="62">
    <w:nsid w:val="613EFDC5"/>
    <w:multiLevelType w:val="hybridMultilevel"/>
    <w:lvl w:ilvl="0">
      <w:lvlJc w:val="left"/>
      <w:lvlText w:val="(%1)"/>
      <w:numFmt w:val="lowerRoman"/>
      <w:start w:val="2"/>
    </w:lvl>
  </w:abstractNum>
  <w:abstractNum w:abstractNumId="63">
    <w:nsid w:val="BF72B14"/>
    <w:multiLevelType w:val="hybridMultilevel"/>
    <w:lvl w:ilvl="0">
      <w:lvlJc w:val="left"/>
      <w:lvlText w:val="(%1)"/>
      <w:numFmt w:val="lowerRoman"/>
      <w:start w:val="1"/>
    </w:lvl>
  </w:abstractNum>
  <w:abstractNum w:abstractNumId="64">
    <w:nsid w:val="11447B73"/>
    <w:multiLevelType w:val="hybridMultilevel"/>
    <w:lvl w:ilvl="0">
      <w:lvlJc w:val="left"/>
      <w:lvlText w:val="(%1)"/>
      <w:numFmt w:val="lowerLetter"/>
      <w:start w:val="2"/>
    </w:lvl>
  </w:abstractNum>
  <w:abstractNum w:abstractNumId="65">
    <w:nsid w:val="42963E5A"/>
    <w:multiLevelType w:val="hybridMultilevel"/>
    <w:lvl w:ilvl="0">
      <w:lvlJc w:val="left"/>
      <w:lvlText w:val="%1"/>
      <w:numFmt w:val="upperLetter"/>
      <w:start w:val="1"/>
    </w:lvl>
    <w:lvl w:ilvl="1">
      <w:lvlJc w:val="left"/>
      <w:lvlText w:val="(%2)"/>
      <w:numFmt w:val="lowerRoman"/>
      <w:start w:val="1"/>
    </w:lvl>
  </w:abstractNum>
  <w:abstractNum w:abstractNumId="66">
    <w:nsid w:val="A0382C5"/>
    <w:multiLevelType w:val="hybridMultilevel"/>
    <w:lvl w:ilvl="0">
      <w:lvlJc w:val="left"/>
      <w:lvlText w:val="(%1)"/>
      <w:numFmt w:val="upperLetter"/>
      <w:start w:val="1"/>
    </w:lvl>
    <w:lvl w:ilvl="1">
      <w:lvlJc w:val="left"/>
      <w:lvlText w:val="(%2)"/>
      <w:numFmt w:val="lowerRoman"/>
      <w:start w:val="2"/>
    </w:lvl>
  </w:abstractNum>
  <w:abstractNum w:abstractNumId="67">
    <w:nsid w:val="8F2B15E"/>
    <w:multiLevelType w:val="hybridMultilevel"/>
    <w:lvl w:ilvl="0">
      <w:lvlJc w:val="left"/>
      <w:lvlText w:val="(%1)"/>
      <w:numFmt w:val="lowerRoman"/>
      <w:start w:val="3"/>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Roman"/>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2"/>
    </w:lvl>
  </w:abstractNum>
  <w:abstractNum w:abstractNumId="73">
    <w:nsid w:val="6A5EE64"/>
    <w:multiLevelType w:val="hybridMultilevel"/>
    <w:lvl w:ilvl="0">
      <w:lvlJc w:val="left"/>
      <w:lvlText w:val="(%1)"/>
      <w:numFmt w:val="lowerRoman"/>
      <w:start w:val="1"/>
    </w:lvl>
  </w:abstractNum>
  <w:abstractNum w:abstractNumId="74">
    <w:nsid w:val="14330624"/>
    <w:multiLevelType w:val="hybridMultilevel"/>
    <w:lvl w:ilvl="0">
      <w:lvlJc w:val="left"/>
      <w:lvlText w:val="(%1)"/>
      <w:numFmt w:val="lowerRoman"/>
      <w:start w:val="3"/>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5"/>
    </w:lvl>
  </w:abstractNum>
  <w:abstractNum w:abstractNumId="78">
    <w:nsid w:val="100F59DC"/>
    <w:multiLevelType w:val="hybridMultilevel"/>
    <w:lvl w:ilvl="0">
      <w:lvlJc w:val="left"/>
      <w:lvlText w:val="(%1)"/>
      <w:numFmt w:val="lowerLetter"/>
      <w:start w:val="8"/>
    </w:lvl>
    <w:lvl w:ilvl="1">
      <w:lvlJc w:val="left"/>
      <w:lvlText w:val="%2"/>
      <w:numFmt w:val="lowerLetter"/>
      <w:start w:val="1"/>
    </w:lvl>
  </w:abstractNum>
  <w:abstractNum w:abstractNumId="79">
    <w:nsid w:val="7FB7E0AA"/>
    <w:multiLevelType w:val="hybridMultilevel"/>
    <w:lvl w:ilvl="0">
      <w:lvlJc w:val="left"/>
      <w:lvlText w:val="(%1)"/>
      <w:numFmt w:val="lowerLetter"/>
      <w:start w:val="1"/>
    </w:lvl>
    <w:lvl w:ilvl="1">
      <w:lvlJc w:val="left"/>
      <w:lvlText w:val="%2"/>
      <w:numFmt w:val="lowerLetter"/>
      <w:start w:val="1"/>
    </w:lvl>
  </w:abstractNum>
  <w:abstractNum w:abstractNumId="80">
    <w:nsid w:val="6EB5BD4"/>
    <w:multiLevelType w:val="hybridMultilevel"/>
    <w:lvl w:ilvl="0">
      <w:lvlJc w:val="left"/>
      <w:lvlText w:val="(%1)"/>
      <w:numFmt w:val="lowerRoman"/>
      <w:start w:val="2"/>
    </w:lvl>
  </w:abstractNum>
  <w:abstractNum w:abstractNumId="81">
    <w:nsid w:val="6F6DD9AC"/>
    <w:multiLevelType w:val="hybridMultilevel"/>
    <w:lvl w:ilvl="0">
      <w:lvlJc w:val="left"/>
      <w:lvlText w:val="(%1)"/>
      <w:numFmt w:val="lowerRoman"/>
      <w:start w:val="1"/>
    </w:lvl>
  </w:abstractNum>
  <w:abstractNum w:abstractNumId="82">
    <w:nsid w:val="94211F2"/>
    <w:multiLevelType w:val="hybridMultilevel"/>
    <w:lvl w:ilvl="0">
      <w:lvlJc w:val="left"/>
      <w:lvlText w:val="(%1)"/>
      <w:numFmt w:val="lowerLetter"/>
      <w:start w:val="10"/>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lowerLetter"/>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
      <w:numFmt w:val="bullet"/>
      <w:start w:val="1"/>
    </w:lvl>
  </w:abstractNum>
  <w:abstractNum w:abstractNumId="88">
    <w:nsid w:val="3222E7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2019-12-29T02:23:47Z</dcterms:created>
  <dcterms:modified xsi:type="dcterms:W3CDTF">2019-12-29T02:23:47Z</dcterms:modified>
</cp:coreProperties>
</file>