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548640</wp:posOffset>
            </wp:positionH>
            <wp:positionV relativeFrom="page">
              <wp:posOffset>160020</wp:posOffset>
            </wp:positionV>
            <wp:extent cx="64649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4935" cy="7620"/>
                    </a:xfrm>
                    <a:prstGeom prst="rect">
                      <a:avLst/>
                    </a:prstGeom>
                    <a:noFill/>
                  </pic:spPr>
                </pic:pic>
              </a:graphicData>
            </a:graphic>
          </wp:anchor>
        </w:drawing>
        <w:drawing>
          <wp:anchor simplePos="0" relativeHeight="251657728" behindDoc="1" locked="0" layoutInCell="0" allowOverlap="1">
            <wp:simplePos x="0" y="0"/>
            <wp:positionH relativeFrom="page">
              <wp:posOffset>548640</wp:posOffset>
            </wp:positionH>
            <wp:positionV relativeFrom="page">
              <wp:posOffset>200025</wp:posOffset>
            </wp:positionV>
            <wp:extent cx="64649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4935" cy="762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196850</wp:posOffset>
            </wp:positionV>
            <wp:extent cx="1362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209550</wp:posOffset>
            </wp:positionV>
            <wp:extent cx="1362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November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202565</wp:posOffset>
            </wp:positionV>
            <wp:extent cx="1362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200025</wp:posOffset>
            </wp:positionV>
            <wp:extent cx="1362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940" w:type="dxa"/>
        <w:tblCellMar>
          <w:top w:w="0" w:type="dxa"/>
          <w:left w:w="0" w:type="dxa"/>
          <w:bottom w:w="0" w:type="dxa"/>
          <w:right w:w="0" w:type="dxa"/>
        </w:tblCellMar>
      </w:tblPr>
      <w:tr>
        <w:trPr>
          <w:trHeight w:val="196"/>
        </w:trPr>
        <w:tc>
          <w:tcPr>
            <w:tcW w:w="3760" w:type="dxa"/>
            <w:vAlign w:val="bottom"/>
          </w:tcPr>
          <w:p>
            <w:pPr>
              <w:jc w:val="center"/>
              <w:ind w:right="2105"/>
              <w:spacing w:after="0"/>
              <w:rPr>
                <w:sz w:val="20"/>
                <w:szCs w:val="20"/>
                <w:color w:val="auto"/>
              </w:rPr>
            </w:pPr>
            <w:r>
              <w:rPr>
                <w:rFonts w:ascii="Arial" w:cs="Arial" w:eastAsia="Arial" w:hAnsi="Arial"/>
                <w:sz w:val="17"/>
                <w:szCs w:val="17"/>
                <w:b w:val="1"/>
                <w:bCs w:val="1"/>
                <w:color w:val="auto"/>
                <w:w w:val="88"/>
              </w:rPr>
              <w:t>Delaware</w:t>
            </w:r>
          </w:p>
        </w:tc>
        <w:tc>
          <w:tcPr>
            <w:tcW w:w="2100" w:type="dxa"/>
            <w:vAlign w:val="bottom"/>
          </w:tcPr>
          <w:p>
            <w:pPr>
              <w:ind w:left="140"/>
              <w:spacing w:after="0"/>
              <w:rPr>
                <w:sz w:val="20"/>
                <w:szCs w:val="20"/>
                <w:color w:val="auto"/>
              </w:rPr>
            </w:pPr>
            <w:r>
              <w:rPr>
                <w:rFonts w:ascii="Arial" w:cs="Arial" w:eastAsia="Arial" w:hAnsi="Arial"/>
                <w:sz w:val="17"/>
                <w:szCs w:val="17"/>
                <w:b w:val="1"/>
                <w:bCs w:val="1"/>
                <w:color w:val="auto"/>
              </w:rPr>
              <w:t>001-36364</w:t>
            </w:r>
          </w:p>
        </w:tc>
        <w:tc>
          <w:tcPr>
            <w:tcW w:w="2280" w:type="dxa"/>
            <w:vAlign w:val="bottom"/>
          </w:tcPr>
          <w:p>
            <w:pPr>
              <w:jc w:val="center"/>
              <w:ind w:left="1167"/>
              <w:spacing w:after="0"/>
              <w:rPr>
                <w:sz w:val="20"/>
                <w:szCs w:val="20"/>
                <w:color w:val="auto"/>
              </w:rPr>
            </w:pPr>
            <w:r>
              <w:rPr>
                <w:rFonts w:ascii="Arial" w:cs="Arial" w:eastAsia="Arial" w:hAnsi="Arial"/>
                <w:sz w:val="17"/>
                <w:szCs w:val="17"/>
                <w:b w:val="1"/>
                <w:bCs w:val="1"/>
                <w:color w:val="auto"/>
                <w:w w:val="88"/>
              </w:rPr>
              <w:t>27-3380000</w:t>
            </w:r>
          </w:p>
        </w:tc>
      </w:tr>
      <w:tr>
        <w:trPr>
          <w:trHeight w:val="137"/>
        </w:trPr>
        <w:tc>
          <w:tcPr>
            <w:tcW w:w="3760" w:type="dxa"/>
            <w:vAlign w:val="bottom"/>
          </w:tcPr>
          <w:p>
            <w:pPr>
              <w:jc w:val="center"/>
              <w:ind w:right="2105"/>
              <w:spacing w:after="0" w:line="138" w:lineRule="exact"/>
              <w:rPr>
                <w:sz w:val="20"/>
                <w:szCs w:val="20"/>
                <w:color w:val="auto"/>
              </w:rPr>
            </w:pPr>
            <w:r>
              <w:rPr>
                <w:rFonts w:ascii="Arial" w:cs="Arial" w:eastAsia="Arial" w:hAnsi="Arial"/>
                <w:sz w:val="13"/>
                <w:szCs w:val="13"/>
                <w:b w:val="1"/>
                <w:bCs w:val="1"/>
                <w:color w:val="auto"/>
                <w:w w:val="93"/>
              </w:rPr>
              <w:t>(State or Other Jurisdiction</w:t>
            </w:r>
          </w:p>
        </w:tc>
        <w:tc>
          <w:tcPr>
            <w:tcW w:w="210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7"/>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3760" w:type="dxa"/>
            <w:vAlign w:val="bottom"/>
          </w:tcPr>
          <w:p>
            <w:pPr>
              <w:jc w:val="center"/>
              <w:ind w:right="2105"/>
              <w:spacing w:after="0"/>
              <w:rPr>
                <w:sz w:val="20"/>
                <w:szCs w:val="20"/>
                <w:color w:val="auto"/>
              </w:rPr>
            </w:pPr>
            <w:r>
              <w:rPr>
                <w:rFonts w:ascii="Arial" w:cs="Arial" w:eastAsia="Arial" w:hAnsi="Arial"/>
                <w:sz w:val="13"/>
                <w:szCs w:val="13"/>
                <w:b w:val="1"/>
                <w:bCs w:val="1"/>
                <w:color w:val="auto"/>
                <w:w w:val="94"/>
              </w:rPr>
              <w:t>of Incorporation)</w:t>
            </w:r>
          </w:p>
        </w:tc>
        <w:tc>
          <w:tcPr>
            <w:tcW w:w="2100" w:type="dxa"/>
            <w:vAlign w:val="bottom"/>
          </w:tcPr>
          <w:p>
            <w:pPr>
              <w:ind w:left="1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7"/>
              <w:spacing w:after="0"/>
              <w:rPr>
                <w:sz w:val="20"/>
                <w:szCs w:val="20"/>
                <w:color w:val="auto"/>
              </w:rPr>
            </w:pPr>
            <w:r>
              <w:rPr>
                <w:rFonts w:ascii="Arial" w:cs="Arial" w:eastAsia="Arial" w:hAnsi="Arial"/>
                <w:sz w:val="13"/>
                <w:szCs w:val="13"/>
                <w:b w:val="1"/>
                <w:bCs w:val="1"/>
                <w:color w:val="auto"/>
                <w:w w:val="94"/>
              </w:rPr>
              <w:t>Identification No.)</w:t>
            </w:r>
          </w:p>
        </w:tc>
      </w:tr>
      <w:tr>
        <w:trPr>
          <w:trHeight w:val="380"/>
        </w:trPr>
        <w:tc>
          <w:tcPr>
            <w:tcW w:w="3760" w:type="dxa"/>
            <w:vAlign w:val="bottom"/>
          </w:tcPr>
          <w:p>
            <w:pPr>
              <w:jc w:val="center"/>
              <w:ind w:left="1105"/>
              <w:spacing w:after="0"/>
              <w:rPr>
                <w:sz w:val="20"/>
                <w:szCs w:val="20"/>
                <w:color w:val="auto"/>
              </w:rPr>
            </w:pPr>
            <w:r>
              <w:rPr>
                <w:rFonts w:ascii="Arial" w:cs="Arial" w:eastAsia="Arial" w:hAnsi="Arial"/>
                <w:sz w:val="17"/>
                <w:szCs w:val="17"/>
                <w:b w:val="1"/>
                <w:bCs w:val="1"/>
                <w:color w:val="auto"/>
                <w:w w:val="87"/>
              </w:rPr>
              <w:t>301 Commerce Street, Suite 3300</w:t>
            </w: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8"/>
        </w:trPr>
        <w:tc>
          <w:tcPr>
            <w:tcW w:w="3760" w:type="dxa"/>
            <w:vAlign w:val="bottom"/>
          </w:tcPr>
          <w:p>
            <w:pPr>
              <w:jc w:val="center"/>
              <w:ind w:left="1105"/>
              <w:spacing w:after="0"/>
              <w:rPr>
                <w:sz w:val="20"/>
                <w:szCs w:val="20"/>
                <w:color w:val="auto"/>
              </w:rPr>
            </w:pPr>
            <w:r>
              <w:rPr>
                <w:rFonts w:ascii="Arial" w:cs="Arial" w:eastAsia="Arial" w:hAnsi="Arial"/>
                <w:sz w:val="17"/>
                <w:szCs w:val="17"/>
                <w:b w:val="1"/>
                <w:bCs w:val="1"/>
                <w:color w:val="auto"/>
                <w:w w:val="96"/>
              </w:rPr>
              <w:t>Fort Worth, TX</w:t>
            </w:r>
          </w:p>
        </w:tc>
        <w:tc>
          <w:tcPr>
            <w:tcW w:w="2100" w:type="dxa"/>
            <w:vAlign w:val="bottom"/>
          </w:tcPr>
          <w:p>
            <w:pPr>
              <w:spacing w:after="0"/>
              <w:rPr>
                <w:sz w:val="18"/>
                <w:szCs w:val="18"/>
                <w:color w:val="auto"/>
              </w:rPr>
            </w:pPr>
          </w:p>
        </w:tc>
        <w:tc>
          <w:tcPr>
            <w:tcW w:w="2280" w:type="dxa"/>
            <w:vAlign w:val="bottom"/>
          </w:tcPr>
          <w:p>
            <w:pPr>
              <w:jc w:val="right"/>
              <w:ind w:right="187"/>
              <w:spacing w:after="0"/>
              <w:rPr>
                <w:sz w:val="20"/>
                <w:szCs w:val="20"/>
                <w:color w:val="auto"/>
              </w:rPr>
            </w:pPr>
            <w:r>
              <w:rPr>
                <w:rFonts w:ascii="Arial" w:cs="Arial" w:eastAsia="Arial" w:hAnsi="Arial"/>
                <w:sz w:val="17"/>
                <w:szCs w:val="17"/>
                <w:b w:val="1"/>
                <w:bCs w:val="1"/>
                <w:color w:val="auto"/>
              </w:rPr>
              <w:t>76102</w:t>
            </w:r>
          </w:p>
        </w:tc>
      </w:tr>
      <w:tr>
        <w:trPr>
          <w:trHeight w:val="173"/>
        </w:trPr>
        <w:tc>
          <w:tcPr>
            <w:tcW w:w="3760" w:type="dxa"/>
            <w:vAlign w:val="bottom"/>
          </w:tcPr>
          <w:p>
            <w:pPr>
              <w:jc w:val="center"/>
              <w:ind w:left="110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100" w:type="dxa"/>
            <w:vAlign w:val="bottom"/>
          </w:tcPr>
          <w:p>
            <w:pPr>
              <w:spacing w:after="0"/>
              <w:rPr>
                <w:sz w:val="15"/>
                <w:szCs w:val="15"/>
                <w:color w:val="auto"/>
              </w:rPr>
            </w:pPr>
          </w:p>
        </w:tc>
        <w:tc>
          <w:tcPr>
            <w:tcW w:w="2280" w:type="dxa"/>
            <w:vAlign w:val="bottom"/>
          </w:tcPr>
          <w:p>
            <w:pPr>
              <w:jc w:val="center"/>
              <w:ind w:left="1267"/>
              <w:spacing w:after="0"/>
              <w:rPr>
                <w:sz w:val="20"/>
                <w:szCs w:val="20"/>
                <w:color w:val="auto"/>
              </w:rPr>
            </w:pPr>
            <w:r>
              <w:rPr>
                <w:rFonts w:ascii="Arial" w:cs="Arial" w:eastAsia="Arial" w:hAnsi="Arial"/>
                <w:sz w:val="13"/>
                <w:szCs w:val="13"/>
                <w:b w:val="1"/>
                <w:bCs w:val="1"/>
                <w:color w:val="auto"/>
                <w:w w:val="88"/>
              </w:rPr>
              <w:t>(zip code)</w:t>
            </w:r>
          </w:p>
        </w:tc>
      </w:tr>
    </w:tbl>
    <w:p>
      <w:pPr>
        <w:spacing w:after="0" w:line="1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203200</wp:posOffset>
            </wp:positionV>
            <wp:extent cx="13627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440"/>
        <w:spacing w:after="0" w:line="26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6" w:lineRule="exact"/>
        <w:rPr>
          <w:rFonts w:ascii="MS PGothic" w:cs="MS PGothic" w:eastAsia="MS PGothic" w:hAnsi="MS PGothic"/>
          <w:sz w:val="17"/>
          <w:szCs w:val="17"/>
          <w:color w:val="auto"/>
        </w:rPr>
      </w:pPr>
    </w:p>
    <w:p>
      <w:pPr>
        <w:ind w:left="400" w:hanging="396"/>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6" w:lineRule="exact"/>
        <w:rPr>
          <w:rFonts w:ascii="MS PGothic" w:cs="MS PGothic" w:eastAsia="MS PGothic" w:hAnsi="MS PGothic"/>
          <w:sz w:val="17"/>
          <w:szCs w:val="17"/>
          <w:color w:val="auto"/>
        </w:rPr>
      </w:pPr>
    </w:p>
    <w:p>
      <w:pPr>
        <w:ind w:left="400" w:hanging="396"/>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6" w:lineRule="exact"/>
        <w:rPr>
          <w:rFonts w:ascii="MS PGothic" w:cs="MS PGothic" w:eastAsia="MS PGothic" w:hAnsi="MS PGothic"/>
          <w:sz w:val="17"/>
          <w:szCs w:val="17"/>
          <w:color w:val="auto"/>
        </w:rPr>
      </w:pPr>
    </w:p>
    <w:p>
      <w:pPr>
        <w:ind w:left="400" w:hanging="396"/>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Title of each class</w:t>
            </w: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w:t>
            </w:r>
          </w:p>
        </w:tc>
        <w:tc>
          <w:tcPr>
            <w:tcW w:w="0" w:type="dxa"/>
            <w:vAlign w:val="bottom"/>
          </w:tcPr>
          <w:p>
            <w:pPr>
              <w:spacing w:after="0"/>
              <w:rPr>
                <w:sz w:val="1"/>
                <w:szCs w:val="1"/>
                <w:color w:val="auto"/>
              </w:rPr>
            </w:pPr>
          </w:p>
        </w:tc>
      </w:tr>
      <w:tr>
        <w:trPr>
          <w:trHeight w:val="170"/>
        </w:trPr>
        <w:tc>
          <w:tcPr>
            <w:tcW w:w="3580" w:type="dxa"/>
            <w:vAlign w:val="bottom"/>
            <w:gridSpan w:val="2"/>
            <w:vMerge w:val="continue"/>
          </w:tcPr>
          <w:p>
            <w:pPr>
              <w:spacing w:after="0"/>
              <w:rPr>
                <w:sz w:val="14"/>
                <w:szCs w:val="14"/>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Symbol(s)</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1"/>
              </w:rPr>
              <w:t>on which registered</w:t>
            </w: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Common Stock, par value $0.01 per share</w:t>
            </w:r>
          </w:p>
        </w:tc>
        <w:tc>
          <w:tcPr>
            <w:tcW w:w="12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TSLX</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The New York Stock Exchange</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260"/>
        <w:spacing w:after="0" w:line="265"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9" w:lineRule="exact"/>
        <w:rPr>
          <w:sz w:val="24"/>
          <w:szCs w:val="24"/>
          <w:color w:val="auto"/>
        </w:rPr>
      </w:pPr>
    </w:p>
    <w:p>
      <w:pPr>
        <w:ind w:right="26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64649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49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64649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4935" cy="7620"/>
                    </a:xfrm>
                    <a:prstGeom prst="rect">
                      <a:avLst/>
                    </a:prstGeom>
                    <a:noFill/>
                  </pic:spPr>
                </pic:pic>
              </a:graphicData>
            </a:graphic>
          </wp:anchor>
        </w:drawing>
      </w:r>
    </w:p>
    <w:p>
      <w:pPr>
        <w:sectPr>
          <w:pgSz w:w="11900" w:h="16838" w:orient="portrait"/>
          <w:cols w:equalWidth="0" w:num="1">
            <w:col w:w="10180"/>
          </w:cols>
          <w:pgMar w:left="860" w:top="350" w:right="85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055" cy="36195"/>
                    </a:xfrm>
                    <a:prstGeom prst="rect">
                      <a:avLst/>
                    </a:prstGeom>
                    <a:noFill/>
                  </pic:spPr>
                </pic:pic>
              </a:graphicData>
            </a:graphic>
          </wp:anchor>
        </w:drawing>
        <w:t>Item 1.01 – Entry into a Material Definitive Agreement</w:t>
      </w:r>
    </w:p>
    <w:p>
      <w:pPr>
        <w:spacing w:after="0" w:line="108"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On November 1, 2019, TPG Specialty Lending, Inc. (the “Company”) and Wells Fargo Bank, National Association (the “Trustee”), entered into a Second Supplemental Indenture (the “Second Supplemental Indenture”) to the Indenture, dated as of January 22, 2018, between the Company and the Trustee (the “Base Indenture”; and together with the Second Supplemental Indenture, the “Indenture”), relating to the Company’s issuance, offer and sale of $300,000,000 aggregate principal amount of its 3.875% notes due 2024 (the “Notes”).</w:t>
      </w:r>
    </w:p>
    <w:p>
      <w:pPr>
        <w:spacing w:after="0" w:line="16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Notes will mature on November 1, 2024 and may be redeemed in whole or in part at the Company’s option at any time at the redemption prices set forth in the Second Supplemental Indenture. The Notes bear interest at a rate of 3.875% per year payable semiannually on May 1 and November 1 of each year, commencing on May 1, 2020. The Notes are direct unsecured obligations of the Company.</w:t>
      </w:r>
    </w:p>
    <w:p>
      <w:pPr>
        <w:spacing w:after="0" w:line="15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5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Notes were offered and sold pursuant to the Registration Statement on Form N-2 (File No. 333-231271), the preliminary prospectus supplement filed with the Securities and Exchange Commission on October 25, 2019 and the pricing term sheet filed with the Securities and Exchange Commission on October 25, 2019. The transaction closed on November 1, 2019.</w:t>
      </w:r>
    </w:p>
    <w:p>
      <w:pPr>
        <w:spacing w:after="0" w:line="175"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The foregoing descriptions of the Base Indenture, Second Supplemental Indenture and the Notes do not purport to be complete and are qualified in their entirety by reference to the full text of the Base Indenture, Second Supplemental Indenture and the Notes, respectively, each filed as exhibits hereto and incorporated by reference herein.</w:t>
      </w:r>
    </w:p>
    <w:p>
      <w:pPr>
        <w:spacing w:after="0" w:line="271" w:lineRule="exact"/>
        <w:rPr>
          <w:sz w:val="20"/>
          <w:szCs w:val="20"/>
          <w:color w:val="auto"/>
        </w:rPr>
      </w:pPr>
    </w:p>
    <w:p>
      <w:pPr>
        <w:ind w:right="1080"/>
        <w:spacing w:after="0" w:line="393" w:lineRule="auto"/>
        <w:rPr>
          <w:sz w:val="20"/>
          <w:szCs w:val="20"/>
          <w:color w:val="auto"/>
        </w:rPr>
      </w:pPr>
      <w:r>
        <w:rPr>
          <w:rFonts w:ascii="Arial" w:cs="Arial" w:eastAsia="Arial" w:hAnsi="Arial"/>
          <w:sz w:val="17"/>
          <w:szCs w:val="17"/>
          <w:b w:val="1"/>
          <w:bCs w:val="1"/>
          <w:color w:val="auto"/>
        </w:rPr>
        <w:t xml:space="preserve">Item 2.03 – Creation of a Direct Financial Obligation or an Obligation Under an Off-Balance Sheet Arrangement of a Registrant </w:t>
      </w:r>
      <w:r>
        <w:rPr>
          <w:rFonts w:ascii="Arial" w:cs="Arial" w:eastAsia="Arial" w:hAnsi="Arial"/>
          <w:sz w:val="17"/>
          <w:szCs w:val="17"/>
          <w:color w:val="auto"/>
        </w:rPr>
        <w:t>The information set forth under Item 1.01 of this Form 8-K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 Financial Statements and Exhibits</w:t>
      </w:r>
    </w:p>
    <w:p>
      <w:pPr>
        <w:sectPr>
          <w:pgSz w:w="11900" w:h="16838" w:orient="portrait"/>
          <w:cols w:equalWidth="0" w:num="1">
            <w:col w:w="10180"/>
          </w:cols>
          <w:pgMar w:left="860" w:top="260" w:right="859" w:bottom="1440" w:gutter="0" w:footer="0" w:header="0"/>
        </w:sectPr>
      </w:pPr>
    </w:p>
    <w:bookmarkStart w:id="2" w:name="page3"/>
    <w:bookmarkEnd w:id="2"/>
    <w:p>
      <w:pPr>
        <w:ind w:left="400" w:hanging="396"/>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055" cy="36195"/>
                    </a:xfrm>
                    <a:prstGeom prst="rect">
                      <a:avLst/>
                    </a:prstGeom>
                    <a:noFill/>
                  </pic:spPr>
                </pic:pic>
              </a:graphicData>
            </a:graphic>
          </wp:anchor>
        </w:drawing>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1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40" w:type="dxa"/>
            <w:vAlign w:val="bottom"/>
            <w:gridSpan w:val="6"/>
            <w:vMerge w:val="restart"/>
          </w:tcPr>
          <w:p>
            <w:pPr>
              <w:ind w:left="9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7"/>
        </w:trPr>
        <w:tc>
          <w:tcPr>
            <w:tcW w:w="9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Number</w:t>
            </w:r>
          </w:p>
        </w:tc>
        <w:tc>
          <w:tcPr>
            <w:tcW w:w="1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80" w:type="dxa"/>
            <w:vAlign w:val="bottom"/>
            <w:tcBorders>
              <w:top w:val="single" w:sz="8" w:color="auto"/>
            </w:tcBorders>
          </w:tcPr>
          <w:p>
            <w:pPr>
              <w:jc w:val="right"/>
              <w:ind w:right="102"/>
              <w:spacing w:after="0"/>
              <w:rPr>
                <w:sz w:val="20"/>
                <w:szCs w:val="20"/>
                <w:color w:val="auto"/>
              </w:rPr>
            </w:pPr>
            <w:r>
              <w:rPr>
                <w:rFonts w:ascii="Arial" w:cs="Arial" w:eastAsia="Arial" w:hAnsi="Arial"/>
                <w:sz w:val="17"/>
                <w:szCs w:val="17"/>
                <w:color w:val="auto"/>
              </w:rPr>
              <w:t>4.1</w:t>
            </w:r>
          </w:p>
        </w:tc>
        <w:tc>
          <w:tcPr>
            <w:tcW w:w="480" w:type="dxa"/>
            <w:vAlign w:val="bottom"/>
          </w:tcPr>
          <w:p>
            <w:pPr>
              <w:spacing w:after="0"/>
              <w:rPr>
                <w:sz w:val="21"/>
                <w:szCs w:val="21"/>
                <w:color w:val="auto"/>
              </w:rPr>
            </w:pPr>
          </w:p>
        </w:tc>
        <w:tc>
          <w:tcPr>
            <w:tcW w:w="9220" w:type="dxa"/>
            <w:vAlign w:val="bottom"/>
            <w:tcBorders>
              <w:top w:val="single" w:sz="8" w:color="auto"/>
            </w:tcBorders>
            <w:gridSpan w:val="8"/>
          </w:tcPr>
          <w:p>
            <w:pPr>
              <w:spacing w:after="0"/>
              <w:rPr>
                <w:rFonts w:ascii="Arial" w:cs="Arial" w:eastAsia="Arial" w:hAnsi="Arial"/>
                <w:sz w:val="17"/>
                <w:szCs w:val="17"/>
                <w:color w:val="0000EE"/>
                <w:w w:val="90"/>
              </w:rPr>
            </w:pPr>
            <w:hyperlink r:id="rId19">
              <w:r>
                <w:rPr>
                  <w:rFonts w:ascii="Arial" w:cs="Arial" w:eastAsia="Arial" w:hAnsi="Arial"/>
                  <w:sz w:val="17"/>
                  <w:szCs w:val="17"/>
                  <w:color w:val="0000EE"/>
                  <w:w w:val="90"/>
                </w:rPr>
                <w:t>Indenture, dated as of January 22, 2018, between TPG Specialty Lending, Inc. and Wells Fargo Bank, National Association, as Trustee</w:t>
              </w:r>
            </w:hyperlink>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80" w:type="dxa"/>
            <w:vAlign w:val="bottom"/>
            <w:tcBorders>
              <w:top w:val="single" w:sz="8" w:color="0000EE"/>
              <w:bottom w:val="single" w:sz="8" w:color="0000EE"/>
            </w:tcBorders>
            <w:gridSpan w:val="5"/>
          </w:tcPr>
          <w:p>
            <w:pPr>
              <w:spacing w:after="0" w:line="180" w:lineRule="exact"/>
              <w:rPr>
                <w:rFonts w:ascii="Arial" w:cs="Arial" w:eastAsia="Arial" w:hAnsi="Arial"/>
                <w:sz w:val="17"/>
                <w:szCs w:val="17"/>
                <w:color w:val="0000EE"/>
                <w:w w:val="89"/>
              </w:rPr>
            </w:pPr>
            <w:hyperlink r:id="rId19">
              <w:r>
                <w:rPr>
                  <w:rFonts w:ascii="Arial" w:cs="Arial" w:eastAsia="Arial" w:hAnsi="Arial"/>
                  <w:sz w:val="17"/>
                  <w:szCs w:val="17"/>
                  <w:color w:val="0000EE"/>
                  <w:w w:val="89"/>
                </w:rPr>
                <w:t>(incorporated by reference to Exhibit 4.1 to the Company’s Current Report on Form 8-K filed on January 22, 2018)</w:t>
              </w:r>
            </w:hyperlink>
          </w:p>
        </w:tc>
        <w:tc>
          <w:tcPr>
            <w:tcW w:w="1320" w:type="dxa"/>
            <w:vAlign w:val="bottom"/>
            <w:tcBorders>
              <w:top w:val="single" w:sz="8" w:color="0000EE"/>
            </w:tcBorders>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480" w:type="dxa"/>
            <w:vAlign w:val="bottom"/>
          </w:tcPr>
          <w:p>
            <w:pPr>
              <w:jc w:val="right"/>
              <w:ind w:right="102"/>
              <w:spacing w:after="0"/>
              <w:rPr>
                <w:sz w:val="20"/>
                <w:szCs w:val="20"/>
                <w:color w:val="auto"/>
              </w:rPr>
            </w:pPr>
            <w:r>
              <w:rPr>
                <w:rFonts w:ascii="Arial" w:cs="Arial" w:eastAsia="Arial" w:hAnsi="Arial"/>
                <w:sz w:val="17"/>
                <w:szCs w:val="17"/>
                <w:color w:val="auto"/>
              </w:rPr>
              <w:t>4.2</w:t>
            </w:r>
          </w:p>
        </w:tc>
        <w:tc>
          <w:tcPr>
            <w:tcW w:w="48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Second Supplemental Indenture, dated as of November 1, 2019, between TPG Specialty Lending, Inc. and Wells Fargo Bank, National</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20" w:type="dxa"/>
            <w:vAlign w:val="bottom"/>
            <w:gridSpan w:val="8"/>
          </w:tcPr>
          <w:p>
            <w:pPr>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Association, as Trustee</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80" w:type="dxa"/>
            <w:vAlign w:val="bottom"/>
          </w:tcPr>
          <w:p>
            <w:pPr>
              <w:jc w:val="right"/>
              <w:ind w:right="102"/>
              <w:spacing w:after="0"/>
              <w:rPr>
                <w:sz w:val="20"/>
                <w:szCs w:val="20"/>
                <w:color w:val="auto"/>
              </w:rPr>
            </w:pPr>
            <w:r>
              <w:rPr>
                <w:rFonts w:ascii="Arial" w:cs="Arial" w:eastAsia="Arial" w:hAnsi="Arial"/>
                <w:sz w:val="17"/>
                <w:szCs w:val="17"/>
                <w:color w:val="auto"/>
              </w:rPr>
              <w:t>4.3</w:t>
            </w:r>
          </w:p>
        </w:tc>
        <w:tc>
          <w:tcPr>
            <w:tcW w:w="4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Form of 3.875% Note Due 2024 (included as part of Exhibit 4.2)</w:t>
              </w:r>
            </w:hyperlink>
          </w:p>
        </w:tc>
        <w:tc>
          <w:tcPr>
            <w:tcW w:w="0" w:type="dxa"/>
            <w:vAlign w:val="bottom"/>
          </w:tcPr>
          <w:p>
            <w:pPr>
              <w:spacing w:after="0"/>
              <w:rPr>
                <w:sz w:val="1"/>
                <w:szCs w:val="1"/>
                <w:color w:val="auto"/>
              </w:rPr>
            </w:pPr>
          </w:p>
        </w:tc>
      </w:tr>
      <w:tr>
        <w:trPr>
          <w:trHeight w:val="279"/>
        </w:trPr>
        <w:tc>
          <w:tcPr>
            <w:tcW w:w="480" w:type="dxa"/>
            <w:vAlign w:val="bottom"/>
          </w:tcPr>
          <w:p>
            <w:pPr>
              <w:jc w:val="right"/>
              <w:ind w:right="102"/>
              <w:spacing w:after="0"/>
              <w:rPr>
                <w:sz w:val="20"/>
                <w:szCs w:val="20"/>
                <w:color w:val="auto"/>
              </w:rPr>
            </w:pPr>
            <w:r>
              <w:rPr>
                <w:rFonts w:ascii="Arial" w:cs="Arial" w:eastAsia="Arial" w:hAnsi="Arial"/>
                <w:sz w:val="17"/>
                <w:szCs w:val="17"/>
                <w:color w:val="auto"/>
              </w:rPr>
              <w:t>5.1</w:t>
            </w:r>
          </w:p>
        </w:tc>
        <w:tc>
          <w:tcPr>
            <w:tcW w:w="480" w:type="dxa"/>
            <w:vAlign w:val="bottom"/>
          </w:tcPr>
          <w:p>
            <w:pPr>
              <w:spacing w:after="0"/>
              <w:rPr>
                <w:sz w:val="24"/>
                <w:szCs w:val="24"/>
                <w:color w:val="auto"/>
              </w:rPr>
            </w:pPr>
          </w:p>
        </w:tc>
        <w:tc>
          <w:tcPr>
            <w:tcW w:w="4320" w:type="dxa"/>
            <w:vAlign w:val="bottom"/>
            <w:tcBorders>
              <w:top w:val="single" w:sz="8" w:color="0000EE"/>
            </w:tcBorders>
            <w:gridSpan w:val="3"/>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Opinion of Cleary Gottlieb Steen &amp; Hamilton LLP</w:t>
              </w:r>
            </w:hyperlink>
          </w:p>
        </w:tc>
        <w:tc>
          <w:tcPr>
            <w:tcW w:w="4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80" w:type="dxa"/>
            <w:vAlign w:val="bottom"/>
          </w:tcPr>
          <w:p>
            <w:pPr>
              <w:jc w:val="right"/>
              <w:ind w:right="102"/>
              <w:spacing w:after="0"/>
              <w:rPr>
                <w:sz w:val="20"/>
                <w:szCs w:val="20"/>
                <w:color w:val="auto"/>
              </w:rPr>
            </w:pPr>
            <w:r>
              <w:rPr>
                <w:rFonts w:ascii="Arial" w:cs="Arial" w:eastAsia="Arial" w:hAnsi="Arial"/>
                <w:sz w:val="17"/>
                <w:szCs w:val="17"/>
                <w:color w:val="auto"/>
                <w:w w:val="84"/>
              </w:rPr>
              <w:t>23.1</w:t>
            </w:r>
          </w:p>
        </w:tc>
        <w:tc>
          <w:tcPr>
            <w:tcW w:w="480" w:type="dxa"/>
            <w:vAlign w:val="bottom"/>
          </w:tcPr>
          <w:p>
            <w:pPr>
              <w:spacing w:after="0"/>
              <w:rPr>
                <w:sz w:val="24"/>
                <w:szCs w:val="24"/>
                <w:color w:val="auto"/>
              </w:rPr>
            </w:pPr>
          </w:p>
        </w:tc>
        <w:tc>
          <w:tcPr>
            <w:tcW w:w="556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26">
              <w:r>
                <w:rPr>
                  <w:rFonts w:ascii="Arial" w:cs="Arial" w:eastAsia="Arial" w:hAnsi="Arial"/>
                  <w:sz w:val="17"/>
                  <w:szCs w:val="17"/>
                  <w:color w:val="0000EE"/>
                  <w:w w:val="90"/>
                </w:rPr>
                <w:t>Consent of Cleary Gottlieb Steen &amp; Hamilton LLP (included as part of Exhibit 5.1)</w:t>
              </w:r>
            </w:hyperlink>
          </w:p>
        </w:tc>
        <w:tc>
          <w:tcPr>
            <w:tcW w:w="3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860" w:top="264" w:right="8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98055" cy="36195"/>
                    </a:xfrm>
                    <a:prstGeom prst="rect">
                      <a:avLst/>
                    </a:prstGeom>
                    <a:noFill/>
                  </pic:spPr>
                </pic:pic>
              </a:graphicData>
            </a:graphic>
          </wp:anchor>
        </w:drawing>
        <w:t>SIGNATURES</w:t>
      </w:r>
    </w:p>
    <w:p>
      <w:pPr>
        <w:spacing w:after="0" w:line="20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p>
      <w:pPr>
        <w:jc w:val="center"/>
        <w:ind w:left="2660"/>
        <w:spacing w:after="0"/>
        <w:rPr>
          <w:sz w:val="20"/>
          <w:szCs w:val="20"/>
          <w:color w:val="auto"/>
        </w:rPr>
      </w:pPr>
      <w:r>
        <w:rPr>
          <w:rFonts w:ascii="Arial" w:cs="Arial" w:eastAsia="Arial" w:hAnsi="Arial"/>
          <w:sz w:val="17"/>
          <w:szCs w:val="17"/>
          <w:color w:val="auto"/>
        </w:rPr>
        <w:t>TPG SPECIALTY LENDING, INC.</w:t>
      </w:r>
    </w:p>
    <w:p>
      <w:pPr>
        <w:spacing w:after="0" w:line="17" w:lineRule="exact"/>
        <w:rPr>
          <w:sz w:val="20"/>
          <w:szCs w:val="20"/>
          <w:color w:val="auto"/>
        </w:rPr>
      </w:pPr>
    </w:p>
    <w:p>
      <w:pPr>
        <w:jc w:val="center"/>
        <w:ind w:left="2700"/>
        <w:spacing w:after="0"/>
        <w:rPr>
          <w:sz w:val="20"/>
          <w:szCs w:val="20"/>
          <w:color w:val="auto"/>
        </w:rPr>
      </w:pPr>
      <w:r>
        <w:rPr>
          <w:rFonts w:ascii="Arial" w:cs="Arial" w:eastAsia="Arial" w:hAnsi="Arial"/>
          <w:sz w:val="17"/>
          <w:szCs w:val="17"/>
          <w:color w:val="auto"/>
        </w:rPr>
        <w:t>(Registrant)</w:t>
      </w:r>
    </w:p>
    <w:p>
      <w:pPr>
        <w:spacing w:after="0" w:line="204" w:lineRule="exact"/>
        <w:rPr>
          <w:sz w:val="20"/>
          <w:szCs w:val="20"/>
          <w:color w:val="auto"/>
        </w:rPr>
      </w:pPr>
    </w:p>
    <w:p>
      <w:pPr>
        <w:spacing w:after="0"/>
        <w:tabs>
          <w:tab w:leader="none" w:pos="5180" w:val="left"/>
          <w:tab w:leader="none" w:pos="5580" w:val="left"/>
        </w:tabs>
        <w:rPr>
          <w:sz w:val="20"/>
          <w:szCs w:val="20"/>
          <w:color w:val="auto"/>
        </w:rPr>
      </w:pPr>
      <w:r>
        <w:rPr>
          <w:rFonts w:ascii="Arial" w:cs="Arial" w:eastAsia="Arial" w:hAnsi="Arial"/>
          <w:sz w:val="17"/>
          <w:szCs w:val="17"/>
          <w:color w:val="auto"/>
        </w:rPr>
        <w:t>Date: November 1,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10795</wp:posOffset>
            </wp:positionV>
            <wp:extent cx="29076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907665" cy="7620"/>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Ian Simmonds</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0180"/>
          </w:cols>
          <w:pgMar w:left="860" w:top="264"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4.2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SUPPLEMENTAL INDENTURE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TPG SPECIALTY LENDING,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WELLS FARGO BANK, NATIONAL ASSOCIATION,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Trustee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64649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464935" cy="76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SUPPLEMENTAL INDENTURE</w:t>
      </w:r>
    </w:p>
    <w:p>
      <w:pPr>
        <w:spacing w:after="0" w:line="204" w:lineRule="exact"/>
        <w:rPr>
          <w:sz w:val="20"/>
          <w:szCs w:val="20"/>
          <w:color w:val="auto"/>
        </w:rPr>
      </w:pPr>
    </w:p>
    <w:p>
      <w:pPr>
        <w:ind w:right="600" w:firstLine="407"/>
        <w:spacing w:after="0" w:line="305" w:lineRule="auto"/>
        <w:rPr>
          <w:sz w:val="20"/>
          <w:szCs w:val="20"/>
          <w:color w:val="auto"/>
        </w:rPr>
      </w:pPr>
      <w:r>
        <w:rPr>
          <w:rFonts w:ascii="Arial" w:cs="Arial" w:eastAsia="Arial" w:hAnsi="Arial"/>
          <w:sz w:val="15"/>
          <w:szCs w:val="15"/>
          <w:color w:val="auto"/>
        </w:rPr>
        <w:t>THIS SECOND SUPPLEMENTAL INDENTURE (this “Second Supplemental Indenture”), dated as of November 1, 2019, between TPG Specialty Lending, Inc., a Delaware corporation (the “Company”), and Wells Fargo Bank, National Association, as trustee (the “Trustee”). All capitalized terms used herein shall have the meaning set forth in the Base Indenture (as defined below) unless otherwise defined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 OF THE COMPANY</w:t>
      </w:r>
    </w:p>
    <w:p>
      <w:pPr>
        <w:spacing w:after="0" w:line="204" w:lineRule="exact"/>
        <w:rPr>
          <w:sz w:val="20"/>
          <w:szCs w:val="20"/>
          <w:color w:val="auto"/>
        </w:rPr>
      </w:pPr>
    </w:p>
    <w:p>
      <w:pPr>
        <w:ind w:right="160" w:firstLine="407"/>
        <w:spacing w:after="0" w:line="305" w:lineRule="auto"/>
        <w:rPr>
          <w:sz w:val="20"/>
          <w:szCs w:val="20"/>
          <w:color w:val="auto"/>
        </w:rPr>
      </w:pPr>
      <w:r>
        <w:rPr>
          <w:rFonts w:ascii="Arial" w:cs="Arial" w:eastAsia="Arial" w:hAnsi="Arial"/>
          <w:sz w:val="15"/>
          <w:szCs w:val="15"/>
          <w:color w:val="auto"/>
        </w:rPr>
        <w:t>The Company and the Trustee executed and delivered an Indenture, dated as of January 22, 2018 (the “Base Indenture” and, as supplemented by this Second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Company desires to issue and sell $300,000,000 aggregate principal amount of the Company’s 3.875% Notes due 2024 (the “Notes”).</w:t>
      </w:r>
    </w:p>
    <w:p>
      <w:pPr>
        <w:spacing w:after="0" w:line="227" w:lineRule="exact"/>
        <w:rPr>
          <w:sz w:val="20"/>
          <w:szCs w:val="20"/>
          <w:color w:val="auto"/>
        </w:rPr>
      </w:pPr>
    </w:p>
    <w:p>
      <w:pPr>
        <w:ind w:right="60" w:firstLine="407"/>
        <w:spacing w:after="0" w:line="265" w:lineRule="auto"/>
        <w:rPr>
          <w:sz w:val="20"/>
          <w:szCs w:val="20"/>
          <w:color w:val="auto"/>
        </w:rPr>
      </w:pPr>
      <w:r>
        <w:rPr>
          <w:rFonts w:ascii="Arial" w:cs="Arial" w:eastAsia="Arial" w:hAnsi="Arial"/>
          <w:sz w:val="17"/>
          <w:szCs w:val="17"/>
          <w:color w:val="auto"/>
        </w:rPr>
        <w:t>The Company previously entered into the First Supplemental Indenture, dated as of January 22, 2018 (the “First Supplemental Indenture”), which supplemented the Base Indenture. The First Supplemental Indenture is not applicable to the Notes.</w:t>
      </w:r>
    </w:p>
    <w:p>
      <w:pPr>
        <w:spacing w:after="0" w:line="167" w:lineRule="exact"/>
        <w:rPr>
          <w:sz w:val="20"/>
          <w:szCs w:val="20"/>
          <w:color w:val="auto"/>
        </w:rPr>
      </w:pPr>
    </w:p>
    <w:p>
      <w:pPr>
        <w:ind w:right="100" w:firstLine="407"/>
        <w:spacing w:after="0" w:line="291" w:lineRule="auto"/>
        <w:rPr>
          <w:sz w:val="20"/>
          <w:szCs w:val="20"/>
          <w:color w:val="auto"/>
        </w:rPr>
      </w:pPr>
      <w:r>
        <w:rPr>
          <w:rFonts w:ascii="Arial" w:cs="Arial" w:eastAsia="Arial" w:hAnsi="Arial"/>
          <w:sz w:val="15"/>
          <w:szCs w:val="15"/>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52" w:lineRule="exact"/>
        <w:rPr>
          <w:sz w:val="20"/>
          <w:szCs w:val="20"/>
          <w:color w:val="auto"/>
        </w:rPr>
      </w:pPr>
    </w:p>
    <w:p>
      <w:pPr>
        <w:ind w:right="380" w:firstLine="407"/>
        <w:spacing w:after="0" w:line="255" w:lineRule="auto"/>
        <w:rPr>
          <w:sz w:val="20"/>
          <w:szCs w:val="20"/>
          <w:color w:val="auto"/>
        </w:rPr>
      </w:pPr>
      <w:r>
        <w:rPr>
          <w:rFonts w:ascii="Arial" w:cs="Arial" w:eastAsia="Arial" w:hAnsi="Arial"/>
          <w:sz w:val="17"/>
          <w:szCs w:val="17"/>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80"/>
          </w:cols>
          <w:pgMar w:left="860" w:top="123" w:right="859" w:bottom="1440" w:gutter="0" w:footer="0" w:header="0"/>
        </w:sectPr>
      </w:pPr>
    </w:p>
    <w:bookmarkStart w:id="5" w:name="page6"/>
    <w:bookmarkEnd w:id="5"/>
    <w:p>
      <w:pPr>
        <w:jc w:val="both"/>
        <w:ind w:right="20" w:firstLine="407"/>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The Company has duly authorized the execution and delivery of this Second Supplemental Indenture to provide for the issuance of the Notes and all acts and things necessary to make this Second Supplemental Indenture a valid, binding, and legal obligation of the Company and to constitute a valid agreement of the Company, in accordance with its terms, have been done and performed.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THIS INDENTURE WITNESSETH:</w:t>
      </w:r>
    </w:p>
    <w:p>
      <w:pPr>
        <w:spacing w:after="0" w:line="204" w:lineRule="exact"/>
        <w:rPr>
          <w:sz w:val="20"/>
          <w:szCs w:val="20"/>
          <w:color w:val="auto"/>
        </w:rPr>
      </w:pPr>
    </w:p>
    <w:p>
      <w:pPr>
        <w:ind w:right="880" w:firstLine="407"/>
        <w:spacing w:after="0" w:line="265" w:lineRule="auto"/>
        <w:rPr>
          <w:sz w:val="20"/>
          <w:szCs w:val="20"/>
          <w:color w:val="auto"/>
        </w:rPr>
      </w:pPr>
      <w:r>
        <w:rPr>
          <w:rFonts w:ascii="Arial" w:cs="Arial" w:eastAsia="Arial" w:hAnsi="Arial"/>
          <w:sz w:val="17"/>
          <w:szCs w:val="17"/>
          <w:color w:val="auto"/>
        </w:rPr>
        <w:t>For and in consideration of the premises and the purchase of the Notes by the Holders thereof, it is mutually agreed, for the equal and proportionate benefit of all Holders of the Notes, as follows: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 TERMS OF THE NOTES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Terms of the Notes</w:t>
      </w:r>
      <w:r>
        <w:rPr>
          <w:rFonts w:ascii="Arial" w:cs="Arial" w:eastAsia="Arial" w:hAnsi="Arial"/>
          <w:sz w:val="17"/>
          <w:szCs w:val="17"/>
          <w:color w:val="auto"/>
        </w:rPr>
        <w:t>. The following terms relating to the Notes are hereby established:</w:t>
      </w:r>
    </w:p>
    <w:p>
      <w:pPr>
        <w:spacing w:after="0" w:line="104" w:lineRule="exact"/>
        <w:rPr>
          <w:sz w:val="20"/>
          <w:szCs w:val="20"/>
          <w:color w:val="auto"/>
        </w:rPr>
      </w:pPr>
    </w:p>
    <w:p>
      <w:pPr>
        <w:ind w:right="100" w:firstLine="920"/>
        <w:spacing w:after="0" w:line="297" w:lineRule="auto"/>
        <w:tabs>
          <w:tab w:leader="none" w:pos="11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Notes shall constitute a series of Securities having the title “3.875% Notes due 2024” and shall be designated as Senior Securities under the Indenture. The Notes shall bear a CUSIP number of 87265K AF9 and an ISIN number of US87265KAF93.</w:t>
      </w:r>
    </w:p>
    <w:p>
      <w:pPr>
        <w:spacing w:after="0" w:line="43" w:lineRule="exact"/>
        <w:rPr>
          <w:rFonts w:ascii="Arial" w:cs="Arial" w:eastAsia="Arial" w:hAnsi="Arial"/>
          <w:sz w:val="16"/>
          <w:szCs w:val="16"/>
          <w:color w:val="auto"/>
        </w:rPr>
      </w:pPr>
    </w:p>
    <w:p>
      <w:pPr>
        <w:ind w:right="40" w:firstLine="920"/>
        <w:spacing w:after="0" w:line="264" w:lineRule="auto"/>
        <w:tabs>
          <w:tab w:leader="none" w:pos="1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74" w:lineRule="exact"/>
        <w:rPr>
          <w:rFonts w:ascii="Arial" w:cs="Arial" w:eastAsia="Arial" w:hAnsi="Arial"/>
          <w:sz w:val="16"/>
          <w:szCs w:val="16"/>
          <w:color w:val="auto"/>
        </w:rPr>
      </w:pPr>
    </w:p>
    <w:p>
      <w:pPr>
        <w:ind w:firstLine="920"/>
        <w:spacing w:after="0" w:line="265" w:lineRule="auto"/>
        <w:tabs>
          <w:tab w:leader="none" w:pos="114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entire Outstanding principal amount of the Notes shall be payable on November 1, 2024, unless earlier redeemed or repurchased in accordance with the provisions of this Second Supplemental Indenture.</w:t>
      </w:r>
    </w:p>
    <w:p>
      <w:pPr>
        <w:spacing w:after="0" w:line="67" w:lineRule="exact"/>
        <w:rPr>
          <w:rFonts w:ascii="Arial" w:cs="Arial" w:eastAsia="Arial" w:hAnsi="Arial"/>
          <w:sz w:val="17"/>
          <w:szCs w:val="17"/>
          <w:color w:val="auto"/>
        </w:rPr>
      </w:pPr>
    </w:p>
    <w:p>
      <w:pPr>
        <w:ind w:firstLine="920"/>
        <w:spacing w:after="0" w:line="283" w:lineRule="auto"/>
        <w:tabs>
          <w:tab w:leader="none" w:pos="115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rate at which the Notes shall bear interest shall be 3.875% per annum (the “Applicable Interest Rate”). The date from which interest shall accrue on the Notes shall be November 1, 2019, or the most recent Interest Payment Date to which interest has been paid or provided for; the Interest Payment Dates for the Notes shall be May 1 and November 1 of each year, commencing May 1, 2020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November 1, 2019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April 15 and October 15 (whether or not a Business Day), as the case may be, immediately preceding such Interest Payment Date. Payment of principal of (and premium, if any) and any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60"/>
          </w:cols>
          <w:pgMar w:left="860" w:top="264" w:right="879" w:bottom="1440" w:gutter="0" w:footer="0" w:header="0"/>
        </w:sectPr>
      </w:pPr>
    </w:p>
    <w:bookmarkStart w:id="6" w:name="page7"/>
    <w:bookmarkEnd w:id="6"/>
    <w:p>
      <w:pPr>
        <w:jc w:val="both"/>
        <w:ind w:right="40"/>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98055" cy="36195"/>
                    </a:xfrm>
                    <a:prstGeom prst="rect">
                      <a:avLst/>
                    </a:prstGeom>
                    <a:noFill/>
                  </pic:spPr>
                </pic:pic>
              </a:graphicData>
            </a:graphic>
          </wp:anchor>
        </w:drawing>
        <w:t>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47" w:lineRule="exact"/>
        <w:rPr>
          <w:sz w:val="20"/>
          <w:szCs w:val="20"/>
          <w:color w:val="auto"/>
        </w:rPr>
      </w:pPr>
    </w:p>
    <w:p>
      <w:pPr>
        <w:ind w:firstLine="920"/>
        <w:spacing w:after="0" w:line="248" w:lineRule="auto"/>
        <w:tabs>
          <w:tab w:leader="none" w:pos="114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Second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83" w:lineRule="exact"/>
        <w:rPr>
          <w:rFonts w:ascii="Arial" w:cs="Arial" w:eastAsia="Arial" w:hAnsi="Arial"/>
          <w:sz w:val="17"/>
          <w:szCs w:val="17"/>
          <w:color w:val="auto"/>
        </w:rPr>
      </w:pPr>
    </w:p>
    <w:p>
      <w:pPr>
        <w:ind w:left="1120" w:hanging="200"/>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depositary for such Global Notes shall be the Depositary Custodian. The Security Registrar with respect to the Global Notes shall</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be the Trustee.</w:t>
      </w:r>
    </w:p>
    <w:p>
      <w:pPr>
        <w:spacing w:after="0" w:line="91" w:lineRule="exact"/>
        <w:rPr>
          <w:rFonts w:ascii="Arial" w:cs="Arial" w:eastAsia="Arial" w:hAnsi="Arial"/>
          <w:sz w:val="15"/>
          <w:szCs w:val="15"/>
          <w:color w:val="auto"/>
        </w:rPr>
      </w:pPr>
    </w:p>
    <w:p>
      <w:pPr>
        <w:ind w:right="360" w:firstLine="920"/>
        <w:spacing w:after="0" w:line="333" w:lineRule="auto"/>
        <w:tabs>
          <w:tab w:leader="none" w:pos="1152"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Notes shall be defeasible pursuant to Section 14.02 or Section 14.03 of the Base Indenture. Covenant defeasance contained in Section 14.03 of the Base Indenture shall apply to the covenants contained in Sections 10.06, 10.07 and 10.08 of the Indenture.</w:t>
      </w:r>
    </w:p>
    <w:p>
      <w:pPr>
        <w:spacing w:after="0" w:line="20" w:lineRule="exact"/>
        <w:rPr>
          <w:rFonts w:ascii="Arial" w:cs="Arial" w:eastAsia="Arial" w:hAnsi="Arial"/>
          <w:sz w:val="15"/>
          <w:szCs w:val="15"/>
          <w:color w:val="auto"/>
        </w:rPr>
      </w:pPr>
    </w:p>
    <w:p>
      <w:pPr>
        <w:ind w:left="1160" w:hanging="240"/>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Notes shall be redeemable pursuant to Section 11.01 of the Base Indenture and as follows:</w:t>
      </w:r>
    </w:p>
    <w:p>
      <w:pPr>
        <w:spacing w:after="0" w:line="103" w:lineRule="exact"/>
        <w:rPr>
          <w:rFonts w:ascii="Arial" w:cs="Arial" w:eastAsia="Arial" w:hAnsi="Arial"/>
          <w:sz w:val="17"/>
          <w:szCs w:val="17"/>
          <w:color w:val="auto"/>
        </w:rPr>
      </w:pPr>
    </w:p>
    <w:p>
      <w:pPr>
        <w:ind w:left="1320" w:right="180" w:firstLine="7"/>
        <w:spacing w:after="0" w:line="255" w:lineRule="auto"/>
        <w:tabs>
          <w:tab w:leader="none" w:pos="1518"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Notes will be redeemable, in whole or in part, at any time, or from time to time, at the option of the Company, at a Redemption Price equal to the greater of the following amounts, plus, in each case, accrued and unpaid interest to the Redemption Date:</w:t>
      </w:r>
    </w:p>
    <w:p>
      <w:pPr>
        <w:spacing w:after="0" w:line="88" w:lineRule="exact"/>
        <w:rPr>
          <w:sz w:val="20"/>
          <w:szCs w:val="20"/>
          <w:color w:val="auto"/>
        </w:rPr>
      </w:pPr>
    </w:p>
    <w:p>
      <w:pPr>
        <w:ind w:left="1820" w:hanging="494"/>
        <w:spacing w:after="0"/>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100% of the principal amount of the Notes to be redeemed, or</w:t>
      </w:r>
    </w:p>
    <w:p>
      <w:pPr>
        <w:spacing w:after="0" w:line="116" w:lineRule="exact"/>
        <w:rPr>
          <w:rFonts w:ascii="Arial" w:cs="Arial" w:eastAsia="Arial" w:hAnsi="Arial"/>
          <w:sz w:val="17"/>
          <w:szCs w:val="17"/>
          <w:color w:val="auto"/>
        </w:rPr>
      </w:pPr>
    </w:p>
    <w:p>
      <w:pPr>
        <w:ind w:left="1820" w:hanging="494"/>
        <w:spacing w:after="0" w:line="305" w:lineRule="auto"/>
        <w:tabs>
          <w:tab w:leader="none" w:pos="1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40 basis points;</w:t>
      </w:r>
    </w:p>
    <w:p>
      <w:pPr>
        <w:spacing w:after="0" w:line="14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redeems any Notes on or after October 1, 2024, the Redemption Price for the Notes will be equal to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the Notes to be redeemed, plus accrued and unpaid interest, if any, to, but excluding, the date of redemption.</w:t>
      </w:r>
    </w:p>
    <w:p>
      <w:pPr>
        <w:spacing w:after="0" w:line="144" w:lineRule="exact"/>
        <w:rPr>
          <w:sz w:val="20"/>
          <w:szCs w:val="20"/>
          <w:color w:val="auto"/>
        </w:rPr>
      </w:pPr>
    </w:p>
    <w:p>
      <w:pPr>
        <w:ind w:right="140" w:firstLine="407"/>
        <w:spacing w:after="0" w:line="265" w:lineRule="auto"/>
        <w:rPr>
          <w:sz w:val="20"/>
          <w:szCs w:val="20"/>
          <w:color w:val="auto"/>
        </w:rPr>
      </w:pPr>
      <w:r>
        <w:rPr>
          <w:rFonts w:ascii="Arial" w:cs="Arial" w:eastAsia="Arial" w:hAnsi="Arial"/>
          <w:sz w:val="17"/>
          <w:szCs w:val="17"/>
          <w:color w:val="auto"/>
        </w:rPr>
        <w:t>For purposes of calculating the Redemption Price in connection with the redemption of the Notes, on any Redemption Date, the following terms have the meanings set forth below:</w:t>
      </w:r>
    </w:p>
    <w:p>
      <w:pPr>
        <w:spacing w:after="0" w:line="167" w:lineRule="exact"/>
        <w:rPr>
          <w:sz w:val="20"/>
          <w:szCs w:val="20"/>
          <w:color w:val="auto"/>
        </w:rPr>
      </w:pPr>
    </w:p>
    <w:p>
      <w:pPr>
        <w:ind w:right="100" w:firstLine="407"/>
        <w:spacing w:after="0" w:line="251" w:lineRule="auto"/>
        <w:rPr>
          <w:sz w:val="20"/>
          <w:szCs w:val="20"/>
          <w:color w:val="auto"/>
        </w:rPr>
      </w:pPr>
      <w:r>
        <w:rPr>
          <w:rFonts w:ascii="Arial" w:cs="Arial" w:eastAsia="Arial" w:hAnsi="Arial"/>
          <w:sz w:val="17"/>
          <w:szCs w:val="17"/>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“Comparable Treasury Issue” means the United States Treasury security selected by the</w:t>
      </w:r>
    </w:p>
    <w:p>
      <w:pPr>
        <w:spacing w:after="0" w:line="14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60"/>
          </w:cols>
          <w:pgMar w:left="860" w:top="264" w:right="879" w:bottom="1440" w:gutter="0" w:footer="0" w:header="0"/>
        </w:sectPr>
      </w:pPr>
    </w:p>
    <w:bookmarkStart w:id="7" w:name="page8"/>
    <w:bookmarkEnd w:id="7"/>
    <w:p>
      <w:pPr>
        <w:ind w:right="34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98055" cy="36195"/>
                    </a:xfrm>
                    <a:prstGeom prst="rect">
                      <a:avLst/>
                    </a:prstGeom>
                    <a:noFill/>
                  </pic:spPr>
                </pic:pic>
              </a:graphicData>
            </a:graphic>
          </wp:anchor>
        </w:drawing>
        <w:t>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75" w:lineRule="exact"/>
        <w:rPr>
          <w:sz w:val="20"/>
          <w:szCs w:val="20"/>
          <w:color w:val="auto"/>
        </w:rPr>
      </w:pPr>
    </w:p>
    <w:p>
      <w:pPr>
        <w:ind w:right="120" w:firstLine="407"/>
        <w:spacing w:after="0" w:line="255" w:lineRule="auto"/>
        <w:rPr>
          <w:sz w:val="20"/>
          <w:szCs w:val="20"/>
          <w:color w:val="auto"/>
        </w:rPr>
      </w:pPr>
      <w:r>
        <w:rPr>
          <w:rFonts w:ascii="Arial" w:cs="Arial" w:eastAsia="Arial" w:hAnsi="Arial"/>
          <w:sz w:val="17"/>
          <w:szCs w:val="17"/>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“Quotation Agent” means a Reference Treasury Dealer selected by the Company.</w:t>
      </w:r>
    </w:p>
    <w:p>
      <w:pPr>
        <w:spacing w:after="0" w:line="204" w:lineRule="exact"/>
        <w:rPr>
          <w:sz w:val="20"/>
          <w:szCs w:val="20"/>
          <w:color w:val="auto"/>
        </w:rPr>
      </w:pPr>
    </w:p>
    <w:p>
      <w:pPr>
        <w:jc w:val="both"/>
        <w:ind w:right="80" w:firstLine="407"/>
        <w:spacing w:after="0" w:line="305" w:lineRule="auto"/>
        <w:rPr>
          <w:sz w:val="20"/>
          <w:szCs w:val="20"/>
          <w:color w:val="auto"/>
        </w:rPr>
      </w:pPr>
      <w:r>
        <w:rPr>
          <w:rFonts w:ascii="Arial" w:cs="Arial" w:eastAsia="Arial" w:hAnsi="Arial"/>
          <w:sz w:val="15"/>
          <w:szCs w:val="15"/>
          <w:color w:val="auto"/>
        </w:rPr>
        <w:t xml:space="preserve">“Reference Treasury Dealer” means (1) BofA Securities, Inc. or its affiliates which are primary U.S. government securities dealers in the United States (a “Primary Treasury Dealer”) and their respective successors; </w:t>
      </w:r>
      <w:r>
        <w:rPr>
          <w:rFonts w:ascii="Arial" w:cs="Arial" w:eastAsia="Arial" w:hAnsi="Arial"/>
          <w:sz w:val="15"/>
          <w:szCs w:val="15"/>
          <w:i w:val="1"/>
          <w:iCs w:val="1"/>
          <w:color w:val="auto"/>
        </w:rPr>
        <w:t>provided</w:t>
      </w:r>
      <w:r>
        <w:rPr>
          <w:rFonts w:ascii="Arial" w:cs="Arial" w:eastAsia="Arial" w:hAnsi="Arial"/>
          <w:sz w:val="15"/>
          <w:szCs w:val="15"/>
          <w:color w:val="auto"/>
        </w:rPr>
        <w:t>, however, that if the foregoing or its affiliates shall cease to be a Primary Treasury Dealer, the Company shall select another Primary Treasury Dealer, and (2) three other Primary Treasury Dealers selected by the Company.</w:t>
      </w:r>
    </w:p>
    <w:p>
      <w:pPr>
        <w:spacing w:after="0" w:line="141" w:lineRule="exact"/>
        <w:rPr>
          <w:sz w:val="20"/>
          <w:szCs w:val="20"/>
          <w:color w:val="auto"/>
        </w:rPr>
      </w:pPr>
    </w:p>
    <w:p>
      <w:pPr>
        <w:ind w:right="200" w:firstLine="407"/>
        <w:spacing w:after="0" w:line="251"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0" w:lineRule="exact"/>
        <w:rPr>
          <w:sz w:val="20"/>
          <w:szCs w:val="20"/>
          <w:color w:val="auto"/>
        </w:rPr>
      </w:pPr>
    </w:p>
    <w:p>
      <w:pPr>
        <w:ind w:right="20" w:firstLine="407"/>
        <w:spacing w:after="0" w:line="265" w:lineRule="auto"/>
        <w:rPr>
          <w:sz w:val="20"/>
          <w:szCs w:val="20"/>
          <w:color w:val="auto"/>
        </w:rPr>
      </w:pPr>
      <w:r>
        <w:rPr>
          <w:rFonts w:ascii="Arial" w:cs="Arial" w:eastAsia="Arial" w:hAnsi="Arial"/>
          <w:sz w:val="17"/>
          <w:szCs w:val="17"/>
          <w:color w:val="auto"/>
        </w:rPr>
        <w:t>All determinations made by any Reference Treasury Dealer, including the Quotation Agent, with respect to determining the Redemption Price will be final and binding absent manifest error.</w:t>
      </w:r>
    </w:p>
    <w:p>
      <w:pPr>
        <w:spacing w:after="0" w:line="67" w:lineRule="exact"/>
        <w:rPr>
          <w:sz w:val="20"/>
          <w:szCs w:val="20"/>
          <w:color w:val="auto"/>
        </w:rPr>
      </w:pPr>
    </w:p>
    <w:p>
      <w:pPr>
        <w:ind w:left="1320" w:right="360" w:firstLine="7"/>
        <w:spacing w:after="0" w:line="282" w:lineRule="auto"/>
        <w:tabs>
          <w:tab w:leader="none" w:pos="1565" w:val="left"/>
        </w:tabs>
        <w:numPr>
          <w:ilvl w:val="0"/>
          <w:numId w:val="6"/>
        </w:numPr>
        <w:rPr>
          <w:rFonts w:ascii="Arial" w:cs="Arial" w:eastAsia="Arial" w:hAnsi="Arial"/>
          <w:sz w:val="15"/>
          <w:szCs w:val="15"/>
          <w:color w:val="auto"/>
        </w:rPr>
      </w:pPr>
      <w:r>
        <w:rPr>
          <w:rFonts w:ascii="Arial" w:cs="Arial" w:eastAsia="Arial" w:hAnsi="Arial"/>
          <w:sz w:val="15"/>
          <w:szCs w:val="15"/>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thirty (30) nor more than sixty (60) days prior to the Redemption Date, at the Holder’s address appearing in the Security Register. All notices of redemption shall contain the information set forth in Section</w:t>
      </w:r>
    </w:p>
    <w:p>
      <w:pPr>
        <w:ind w:left="1320" w:right="140"/>
        <w:spacing w:after="0" w:line="247" w:lineRule="auto"/>
        <w:rPr>
          <w:rFonts w:ascii="Arial" w:cs="Arial" w:eastAsia="Arial" w:hAnsi="Arial"/>
          <w:sz w:val="15"/>
          <w:szCs w:val="15"/>
          <w:color w:val="auto"/>
        </w:rPr>
      </w:pPr>
      <w:r>
        <w:rPr>
          <w:rFonts w:ascii="Arial" w:cs="Arial" w:eastAsia="Arial" w:hAnsi="Arial"/>
          <w:sz w:val="17"/>
          <w:szCs w:val="17"/>
          <w:color w:val="auto"/>
        </w:rPr>
        <w:t>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82" w:lineRule="exact"/>
        <w:rPr>
          <w:rFonts w:ascii="Arial" w:cs="Arial" w:eastAsia="Arial" w:hAnsi="Arial"/>
          <w:sz w:val="15"/>
          <w:szCs w:val="15"/>
          <w:color w:val="auto"/>
        </w:rPr>
      </w:pPr>
    </w:p>
    <w:p>
      <w:pPr>
        <w:ind w:left="1320" w:right="240" w:firstLine="7"/>
        <w:spacing w:after="0" w:line="265" w:lineRule="auto"/>
        <w:tabs>
          <w:tab w:leader="none" w:pos="1611"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exercise of the Company’s option to redeem the Notes will be done in compliance with the Investment Company Act, to the extent applicable.</w:t>
      </w:r>
    </w:p>
    <w:p>
      <w:pPr>
        <w:spacing w:after="0" w:line="67" w:lineRule="exact"/>
        <w:rPr>
          <w:rFonts w:ascii="Arial" w:cs="Arial" w:eastAsia="Arial" w:hAnsi="Arial"/>
          <w:sz w:val="17"/>
          <w:szCs w:val="17"/>
          <w:color w:val="auto"/>
        </w:rPr>
      </w:pPr>
    </w:p>
    <w:p>
      <w:pPr>
        <w:ind w:left="1320" w:firstLine="7"/>
        <w:spacing w:after="0" w:line="305" w:lineRule="auto"/>
        <w:tabs>
          <w:tab w:leader="none" w:pos="1602"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If the Company elects to redeem only a portion of the Notes, the particular Notes to be redeemed will be selected by the Trustee in accordance with the applicable procedures of the Depositary and in accordance with the Investment Company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partial redemption shall reduce the portion of the principal amount of a Note not redeemed to less than $2,000.</w:t>
      </w:r>
    </w:p>
    <w:p>
      <w:pPr>
        <w:spacing w:after="0" w:line="41" w:lineRule="exact"/>
        <w:rPr>
          <w:rFonts w:ascii="Arial" w:cs="Arial" w:eastAsia="Arial" w:hAnsi="Arial"/>
          <w:sz w:val="15"/>
          <w:szCs w:val="15"/>
          <w:color w:val="auto"/>
        </w:rPr>
      </w:pPr>
    </w:p>
    <w:p>
      <w:pPr>
        <w:ind w:left="1320" w:right="440" w:firstLine="7"/>
        <w:spacing w:after="0" w:line="265" w:lineRule="auto"/>
        <w:tabs>
          <w:tab w:leader="none" w:pos="155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Unless the Company defaults in payment of the Redemption Price, on and after the Redemption Date, interest will cease to accrue on the Notes called for redemption hereunder.</w:t>
      </w:r>
    </w:p>
    <w:p>
      <w:pPr>
        <w:spacing w:after="0" w:line="67" w:lineRule="exact"/>
        <w:rPr>
          <w:sz w:val="20"/>
          <w:szCs w:val="20"/>
          <w:color w:val="auto"/>
        </w:rPr>
      </w:pPr>
    </w:p>
    <w:p>
      <w:pPr>
        <w:ind w:left="5060" w:right="2060" w:hanging="3733"/>
        <w:spacing w:after="0" w:line="434" w:lineRule="auto"/>
        <w:tabs>
          <w:tab w:leader="none" w:pos="153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Notes shall not be subject to any sinking fund pursuant to Section 12.01 of the Base Indenture. 4</w:t>
      </w:r>
    </w:p>
    <w:p>
      <w:pPr>
        <w:sectPr>
          <w:pgSz w:w="11900" w:h="16838" w:orient="portrait"/>
          <w:cols w:equalWidth="0" w:num="1">
            <w:col w:w="10180"/>
          </w:cols>
          <w:pgMar w:left="860" w:top="264" w:right="859" w:bottom="1440" w:gutter="0" w:footer="0" w:header="0"/>
        </w:sectPr>
      </w:pPr>
    </w:p>
    <w:bookmarkStart w:id="8" w:name="page9"/>
    <w:bookmarkEnd w:id="8"/>
    <w:p>
      <w:pPr>
        <w:ind w:left="1120" w:hanging="200"/>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The Notes shall be issuable in denominations of $2,000 and integral multiples of $1,000 in excess thereof.</w:t>
      </w:r>
    </w:p>
    <w:p>
      <w:pPr>
        <w:spacing w:after="0" w:line="103" w:lineRule="exact"/>
        <w:rPr>
          <w:rFonts w:ascii="Arial" w:cs="Arial" w:eastAsia="Arial" w:hAnsi="Arial"/>
          <w:sz w:val="17"/>
          <w:szCs w:val="17"/>
          <w:color w:val="auto"/>
        </w:rPr>
      </w:pPr>
    </w:p>
    <w:p>
      <w:pPr>
        <w:ind w:right="500" w:firstLine="920"/>
        <w:spacing w:after="0" w:line="265" w:lineRule="auto"/>
        <w:tabs>
          <w:tab w:leader="none" w:pos="1152" w:val="left"/>
        </w:tabs>
        <w:numPr>
          <w:ilvl w:val="0"/>
          <w:numId w:val="8"/>
        </w:numPr>
        <w:rPr>
          <w:rFonts w:ascii="Arial" w:cs="Arial" w:eastAsia="Arial" w:hAnsi="Arial"/>
          <w:sz w:val="17"/>
          <w:szCs w:val="17"/>
          <w:color w:val="auto"/>
        </w:rPr>
      </w:pPr>
      <w:r>
        <w:rPr>
          <w:rFonts w:ascii="Arial" w:cs="Arial" w:eastAsia="Arial" w:hAnsi="Arial"/>
          <w:sz w:val="17"/>
          <w:szCs w:val="17"/>
          <w:color w:val="auto"/>
        </w:rPr>
        <w:t>Holders of the Notes will not have the option to have the Notes repaid prior to the Stated Maturity other than in accordance with Article Thirteen of the Indenture.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DEFINITIONS AND OTHER PROVISIONS OF GENERAL APPLICATION</w:t>
      </w:r>
    </w:p>
    <w:p>
      <w:pPr>
        <w:spacing w:after="0" w:line="191" w:lineRule="exact"/>
        <w:rPr>
          <w:sz w:val="20"/>
          <w:szCs w:val="20"/>
          <w:color w:val="auto"/>
        </w:rPr>
      </w:pPr>
    </w:p>
    <w:p>
      <w:pPr>
        <w:jc w:val="both"/>
        <w:ind w:right="340" w:firstLine="407"/>
        <w:spacing w:after="0" w:line="278" w:lineRule="auto"/>
        <w:rPr>
          <w:sz w:val="20"/>
          <w:szCs w:val="20"/>
          <w:color w:val="auto"/>
        </w:rPr>
      </w:pPr>
      <w:r>
        <w:rPr>
          <w:rFonts w:ascii="Arial" w:cs="Arial" w:eastAsia="Arial" w:hAnsi="Arial"/>
          <w:sz w:val="16"/>
          <w:szCs w:val="16"/>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59" w:lineRule="exact"/>
        <w:rPr>
          <w:sz w:val="20"/>
          <w:szCs w:val="20"/>
          <w:color w:val="auto"/>
        </w:rPr>
      </w:pPr>
    </w:p>
    <w:p>
      <w:pPr>
        <w:ind w:firstLine="407"/>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Below Investment Grade Rating Event</w:t>
      </w:r>
      <w:r>
        <w:rPr>
          <w:rFonts w:ascii="Arial" w:cs="Arial" w:eastAsia="Arial" w:hAnsi="Arial"/>
          <w:sz w:val="15"/>
          <w:szCs w:val="15"/>
          <w:color w:val="auto"/>
        </w:rPr>
        <w: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w:t>
      </w:r>
    </w:p>
    <w:p>
      <w:pPr>
        <w:spacing w:after="0" w:line="104" w:lineRule="exact"/>
        <w:rPr>
          <w:sz w:val="20"/>
          <w:szCs w:val="20"/>
          <w:color w:val="auto"/>
        </w:rPr>
      </w:pPr>
    </w:p>
    <w:p>
      <w:pPr>
        <w:ind w:right="140" w:firstLine="411"/>
        <w:spacing w:after="0" w:line="250" w:lineRule="auto"/>
        <w:tabs>
          <w:tab w:leader="none" w:pos="643"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79" w:lineRule="exact"/>
        <w:rPr>
          <w:rFonts w:ascii="Arial" w:cs="Arial" w:eastAsia="Arial" w:hAnsi="Arial"/>
          <w:sz w:val="17"/>
          <w:szCs w:val="17"/>
          <w:color w:val="auto"/>
        </w:rPr>
      </w:pPr>
    </w:p>
    <w:p>
      <w:pPr>
        <w:ind w:left="640" w:hanging="229"/>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w:t>
      </w:r>
    </w:p>
    <w:p>
      <w:pPr>
        <w:spacing w:after="0" w:line="104" w:lineRule="exact"/>
        <w:rPr>
          <w:sz w:val="20"/>
          <w:szCs w:val="20"/>
          <w:color w:val="auto"/>
        </w:rPr>
      </w:pPr>
    </w:p>
    <w:p>
      <w:pPr>
        <w:jc w:val="both"/>
        <w:ind w:right="200" w:firstLine="407"/>
        <w:spacing w:after="0" w:line="278" w:lineRule="auto"/>
        <w:rPr>
          <w:sz w:val="20"/>
          <w:szCs w:val="20"/>
          <w:color w:val="auto"/>
        </w:rPr>
      </w:pPr>
      <w:r>
        <w:rPr>
          <w:rFonts w:ascii="Arial" w:cs="Arial" w:eastAsia="Arial" w:hAnsi="Arial"/>
          <w:sz w:val="16"/>
          <w:szCs w:val="16"/>
          <w:color w:val="auto"/>
        </w:rPr>
        <w:t>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 the approval by the Company’s stockholders of any plan or proposal relating to the liquidation or dissolution of the Company.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Repurchase Event</w:t>
      </w:r>
      <w:r>
        <w:rPr>
          <w:rFonts w:ascii="Arial" w:cs="Arial" w:eastAsia="Arial" w:hAnsi="Arial"/>
          <w:sz w:val="16"/>
          <w:szCs w:val="16"/>
          <w:color w:val="auto"/>
        </w:rPr>
        <w:t>” means the occurrence of a Change of Control and a Below Investment Grade Rating Event.</w:t>
      </w:r>
    </w:p>
    <w:p>
      <w:pPr>
        <w:spacing w:after="0" w:line="15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80"/>
          </w:cols>
          <w:pgMar w:left="860" w:top="264" w:right="859" w:bottom="1440" w:gutter="0" w:footer="0" w:header="0"/>
        </w:sectPr>
      </w:pPr>
    </w:p>
    <w:bookmarkStart w:id="9" w:name="page10"/>
    <w:bookmarkEnd w:id="9"/>
    <w:p>
      <w:pPr>
        <w:ind w:right="220" w:firstLine="40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98055" cy="36195"/>
                    </a:xfrm>
                    <a:prstGeom prst="rect">
                      <a:avLst/>
                    </a:prstGeom>
                    <a:noFill/>
                  </pic:spPr>
                </pic:pic>
              </a:graphicData>
            </a:graphic>
          </wp:anchor>
        </w:drawing>
        <w:t>“</w:t>
      </w:r>
      <w:r>
        <w:rPr>
          <w:rFonts w:ascii="Arial" w:cs="Arial" w:eastAsia="Arial" w:hAnsi="Arial"/>
          <w:sz w:val="17"/>
          <w:szCs w:val="17"/>
          <w:u w:val="single" w:color="auto"/>
          <w:color w:val="auto"/>
        </w:rPr>
        <w:t>Depositary</w:t>
      </w:r>
      <w:r>
        <w:rPr>
          <w:rFonts w:ascii="Arial" w:cs="Arial" w:eastAsia="Arial" w:hAnsi="Arial"/>
          <w:sz w:val="17"/>
          <w:szCs w:val="17"/>
          <w:color w:val="auto"/>
        </w:rPr>
        <w:t>” means, with respect to each Note in global form, The Depository Trust Company, until a successor shall have been appointed and becomes such person, and thereafter, Depositary shall mean or include such successor.</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Inc., also known as Fitch Ratings, or any successor thereto.</w:t>
      </w:r>
    </w:p>
    <w:p>
      <w:pPr>
        <w:spacing w:after="0" w:line="204" w:lineRule="exact"/>
        <w:rPr>
          <w:sz w:val="20"/>
          <w:szCs w:val="20"/>
          <w:color w:val="auto"/>
        </w:rPr>
      </w:pPr>
    </w:p>
    <w:p>
      <w:pPr>
        <w:ind w:right="20" w:firstLine="407"/>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 Grade</w:t>
      </w:r>
      <w:r>
        <w:rPr>
          <w:rFonts w:ascii="Arial" w:cs="Arial" w:eastAsia="Arial" w:hAnsi="Arial"/>
          <w:sz w:val="15"/>
          <w:szCs w:val="15"/>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 Service, or any successor thereto.</w:t>
      </w:r>
    </w:p>
    <w:p>
      <w:pPr>
        <w:spacing w:after="0" w:line="204" w:lineRule="exact"/>
        <w:rPr>
          <w:sz w:val="20"/>
          <w:szCs w:val="20"/>
          <w:color w:val="auto"/>
        </w:rPr>
      </w:pPr>
    </w:p>
    <w:p>
      <w:pPr>
        <w:ind w:right="440" w:firstLine="407"/>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Holders</w:t>
      </w:r>
      <w:r>
        <w:rPr>
          <w:rFonts w:ascii="Arial" w:cs="Arial" w:eastAsia="Arial" w:hAnsi="Arial"/>
          <w:sz w:val="17"/>
          <w:szCs w:val="17"/>
          <w:color w:val="auto"/>
        </w:rPr>
        <w:t>” means (i) the Company, (ii) one or more of the Company’s Controlled Subsidiaries and (iii) TSL Advisers, LLC or any Affiliate of TSL Advisers, LLC that is organized under the laws of a jurisdiction located in the United States of America and in the business of managing or advising clients.</w:t>
      </w:r>
    </w:p>
    <w:p>
      <w:pPr>
        <w:spacing w:after="0" w:line="175" w:lineRule="exact"/>
        <w:rPr>
          <w:sz w:val="20"/>
          <w:szCs w:val="20"/>
          <w:color w:val="auto"/>
        </w:rPr>
      </w:pPr>
    </w:p>
    <w:p>
      <w:pPr>
        <w:ind w:firstLine="407"/>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Rating Agency</w:t>
      </w:r>
      <w:r>
        <w:rPr>
          <w:rFonts w:ascii="Arial" w:cs="Arial" w:eastAsia="Arial" w:hAnsi="Arial"/>
          <w:sz w:val="15"/>
          <w:szCs w:val="15"/>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or any successor thereto.</w:t>
      </w:r>
    </w:p>
    <w:p>
      <w:pPr>
        <w:spacing w:after="0" w:line="204" w:lineRule="exact"/>
        <w:rPr>
          <w:sz w:val="20"/>
          <w:szCs w:val="20"/>
          <w:color w:val="auto"/>
        </w:rPr>
      </w:pPr>
    </w:p>
    <w:p>
      <w:pPr>
        <w:ind w:right="320" w:firstLine="407"/>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Stock</w:t>
      </w:r>
      <w:r>
        <w:rPr>
          <w:rFonts w:ascii="Arial" w:cs="Arial" w:eastAsia="Arial" w:hAnsi="Arial"/>
          <w:sz w:val="15"/>
          <w:szCs w:val="15"/>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III THE TRUSTEE</w:t>
      </w:r>
    </w:p>
    <w:p>
      <w:pPr>
        <w:spacing w:after="0" w:line="204" w:lineRule="exact"/>
        <w:rPr>
          <w:sz w:val="20"/>
          <w:szCs w:val="20"/>
          <w:color w:val="auto"/>
        </w:rPr>
      </w:pPr>
    </w:p>
    <w:p>
      <w:pPr>
        <w:ind w:right="60" w:firstLine="407"/>
        <w:spacing w:after="0" w:line="265" w:lineRule="auto"/>
        <w:rPr>
          <w:sz w:val="20"/>
          <w:szCs w:val="20"/>
          <w:color w:val="auto"/>
        </w:rPr>
      </w:pPr>
      <w:r>
        <w:rPr>
          <w:rFonts w:ascii="Arial" w:cs="Arial" w:eastAsia="Arial" w:hAnsi="Arial"/>
          <w:sz w:val="16"/>
          <w:szCs w:val="16"/>
          <w:color w:val="auto"/>
        </w:rPr>
        <w:t>Section 3.01. Neither the Trustee nor any Paying Agent shall be responsible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60"/>
          </w:cols>
          <w:pgMar w:left="860" w:top="264" w:right="879" w:bottom="1440" w:gutter="0" w:footer="0" w:header="0"/>
        </w:sectPr>
      </w:pPr>
    </w:p>
    <w:bookmarkStart w:id="10" w:name="page11"/>
    <w:bookmarkEnd w:id="10"/>
    <w:p>
      <w:pPr>
        <w:ind w:left="4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98055" cy="36195"/>
                    </a:xfrm>
                    <a:prstGeom prst="rect">
                      <a:avLst/>
                    </a:prstGeom>
                    <a:noFill/>
                  </pic:spPr>
                </pic:pic>
              </a:graphicData>
            </a:graphic>
          </wp:anchor>
        </w:drawing>
        <w:t>ARTICLE IV</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COVENANTS</w:t>
      </w:r>
    </w:p>
    <w:p>
      <w:pPr>
        <w:spacing w:after="0" w:line="191" w:lineRule="exact"/>
        <w:rPr>
          <w:sz w:val="20"/>
          <w:szCs w:val="20"/>
          <w:color w:val="auto"/>
        </w:rPr>
      </w:pPr>
    </w:p>
    <w:p>
      <w:pPr>
        <w:ind w:right="320" w:firstLine="407"/>
        <w:spacing w:after="0" w:line="255" w:lineRule="auto"/>
        <w:rPr>
          <w:sz w:val="20"/>
          <w:szCs w:val="20"/>
          <w:color w:val="auto"/>
        </w:rPr>
      </w:pPr>
      <w:r>
        <w:rPr>
          <w:rFonts w:ascii="Arial" w:cs="Arial" w:eastAsia="Arial" w:hAnsi="Arial"/>
          <w:sz w:val="17"/>
          <w:szCs w:val="17"/>
          <w:color w:val="auto"/>
        </w:rPr>
        <w:t>Section 4.01.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Section 18(a)(1)(A) of the Investment Company Act</w:t>
      </w:r>
      <w:r>
        <w:rPr>
          <w:rFonts w:ascii="Arial" w:cs="Arial" w:eastAsia="Arial" w:hAnsi="Arial"/>
          <w:sz w:val="17"/>
          <w:szCs w:val="17"/>
          <w:color w:val="auto"/>
        </w:rPr>
        <w:t>.</w:t>
      </w:r>
    </w:p>
    <w:p>
      <w:pPr>
        <w:spacing w:after="0" w:line="204" w:lineRule="exact"/>
        <w:rPr>
          <w:sz w:val="20"/>
          <w:szCs w:val="20"/>
          <w:color w:val="auto"/>
        </w:rPr>
      </w:pPr>
    </w:p>
    <w:p>
      <w:pPr>
        <w:jc w:val="both"/>
        <w:ind w:firstLine="407"/>
        <w:spacing w:after="0" w:line="278" w:lineRule="auto"/>
        <w:rPr>
          <w:sz w:val="20"/>
          <w:szCs w:val="20"/>
          <w:color w:val="auto"/>
        </w:rPr>
      </w:pPr>
      <w:r>
        <w:rPr>
          <w:rFonts w:ascii="Arial" w:cs="Arial" w:eastAsia="Arial" w:hAnsi="Arial"/>
          <w:sz w:val="16"/>
          <w:szCs w:val="16"/>
          <w:color w:val="auto"/>
        </w:rPr>
        <w:t>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OFFER TO REPURCHASE UPON A CHANGE OF CONTROL REPURCHASE EVENT</w:t>
      </w:r>
    </w:p>
    <w:p>
      <w:pPr>
        <w:spacing w:after="0" w:line="191" w:lineRule="exact"/>
        <w:rPr>
          <w:sz w:val="20"/>
          <w:szCs w:val="20"/>
          <w:color w:val="auto"/>
        </w:rPr>
      </w:pPr>
    </w:p>
    <w:p>
      <w:pPr>
        <w:ind w:right="40" w:firstLine="407"/>
        <w:spacing w:after="0" w:line="255" w:lineRule="auto"/>
        <w:rPr>
          <w:sz w:val="20"/>
          <w:szCs w:val="20"/>
          <w:color w:val="auto"/>
        </w:rPr>
      </w:pPr>
      <w:r>
        <w:rPr>
          <w:rFonts w:ascii="Arial" w:cs="Arial" w:eastAsia="Arial" w:hAnsi="Arial"/>
          <w:sz w:val="17"/>
          <w:szCs w:val="17"/>
          <w:color w:val="auto"/>
        </w:rPr>
        <w:t>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Change of Control</w:t>
      </w:r>
      <w:r>
        <w:rPr>
          <w:rFonts w:ascii="Arial" w:cs="Arial" w:eastAsia="Arial" w:hAnsi="Arial"/>
          <w:sz w:val="17"/>
          <w:szCs w:val="17"/>
          <w:color w:val="auto"/>
        </w:rPr>
        <w:t>.</w:t>
      </w:r>
    </w:p>
    <w:p>
      <w:pPr>
        <w:spacing w:after="0" w:line="204" w:lineRule="exact"/>
        <w:rPr>
          <w:sz w:val="20"/>
          <w:szCs w:val="20"/>
          <w:color w:val="auto"/>
        </w:rPr>
      </w:pPr>
    </w:p>
    <w:p>
      <w:pPr>
        <w:ind w:firstLine="407"/>
        <w:spacing w:after="0" w:line="284" w:lineRule="auto"/>
        <w:rPr>
          <w:sz w:val="20"/>
          <w:szCs w:val="20"/>
          <w:color w:val="auto"/>
        </w:rPr>
      </w:pPr>
      <w:r>
        <w:rPr>
          <w:rFonts w:ascii="Arial" w:cs="Arial" w:eastAsia="Arial" w:hAnsi="Arial"/>
          <w:sz w:val="15"/>
          <w:szCs w:val="15"/>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w:t>
      </w:r>
    </w:p>
    <w:p>
      <w:pPr>
        <w:spacing w:after="0" w:line="159" w:lineRule="exact"/>
        <w:rPr>
          <w:sz w:val="20"/>
          <w:szCs w:val="20"/>
          <w:color w:val="auto"/>
        </w:rPr>
      </w:pPr>
    </w:p>
    <w:p>
      <w:pPr>
        <w:ind w:right="40" w:firstLine="407"/>
        <w:spacing w:after="0" w:line="255" w:lineRule="auto"/>
        <w:rPr>
          <w:sz w:val="20"/>
          <w:szCs w:val="20"/>
          <w:color w:val="auto"/>
        </w:rPr>
      </w:pPr>
      <w:r>
        <w:rPr>
          <w:rFonts w:ascii="Arial" w:cs="Arial" w:eastAsia="Arial" w:hAnsi="Arial"/>
          <w:sz w:val="17"/>
          <w:szCs w:val="17"/>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7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To the extent that the provisions of any securities laws or regulations conflict with this Section 13.01, the Company shall comply with the</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applicable securities laws and regulations and shall not be deemed to have breached its obligations under this Section 13.01 by virtue of such conflict.</w:t>
      </w:r>
    </w:p>
    <w:p>
      <w:pPr>
        <w:spacing w:after="0" w:line="214" w:lineRule="exact"/>
        <w:rPr>
          <w:sz w:val="20"/>
          <w:szCs w:val="20"/>
          <w:color w:val="auto"/>
        </w:rPr>
      </w:pPr>
    </w:p>
    <w:p>
      <w:pPr>
        <w:ind w:right="380" w:firstLine="407"/>
        <w:spacing w:after="0" w:line="265" w:lineRule="auto"/>
        <w:rPr>
          <w:sz w:val="20"/>
          <w:szCs w:val="20"/>
          <w:color w:val="auto"/>
        </w:rPr>
      </w:pPr>
      <w:r>
        <w:rPr>
          <w:rFonts w:ascii="Arial" w:cs="Arial" w:eastAsia="Arial" w:hAnsi="Arial"/>
          <w:sz w:val="17"/>
          <w:szCs w:val="17"/>
          <w:color w:val="auto"/>
        </w:rPr>
        <w:t>On the Change of Control Repurchase Event payment date, subject to extension if necessary to comply with the provisions of the Investment Company Act, the Company shall, to the extent lawful:</w:t>
      </w:r>
    </w:p>
    <w:p>
      <w:pPr>
        <w:spacing w:after="0" w:line="67" w:lineRule="exact"/>
        <w:rPr>
          <w:sz w:val="20"/>
          <w:szCs w:val="20"/>
          <w:color w:val="auto"/>
        </w:rPr>
      </w:pPr>
    </w:p>
    <w:p>
      <w:pPr>
        <w:ind w:left="640" w:hanging="229"/>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accept for payment all Notes or portions of Notes properly tendered pursuant to its offer;</w:t>
      </w:r>
    </w:p>
    <w:p>
      <w:pPr>
        <w:spacing w:after="0" w:line="103" w:lineRule="exact"/>
        <w:rPr>
          <w:rFonts w:ascii="Arial" w:cs="Arial" w:eastAsia="Arial" w:hAnsi="Arial"/>
          <w:sz w:val="17"/>
          <w:szCs w:val="17"/>
          <w:color w:val="auto"/>
        </w:rPr>
      </w:pPr>
    </w:p>
    <w:p>
      <w:pPr>
        <w:ind w:left="420" w:right="100" w:hanging="9"/>
        <w:spacing w:after="0" w:line="265" w:lineRule="auto"/>
        <w:tabs>
          <w:tab w:leader="none" w:pos="6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aggregate purchase price in respect of all Notes or portions of Notes properly tendered; and</w:t>
      </w:r>
    </w:p>
    <w:p>
      <w:pPr>
        <w:spacing w:after="0" w:line="67" w:lineRule="exact"/>
        <w:rPr>
          <w:rFonts w:ascii="Arial" w:cs="Arial" w:eastAsia="Arial" w:hAnsi="Arial"/>
          <w:sz w:val="17"/>
          <w:szCs w:val="17"/>
          <w:color w:val="auto"/>
        </w:rPr>
      </w:pPr>
    </w:p>
    <w:p>
      <w:pPr>
        <w:ind w:left="420" w:hanging="9"/>
        <w:spacing w:after="0" w:line="265" w:lineRule="auto"/>
        <w:tabs>
          <w:tab w:leader="none" w:pos="6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being purchased by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60"/>
          </w:cols>
          <w:pgMar w:left="860" w:top="264" w:right="879" w:bottom="1440" w:gutter="0" w:footer="0" w:header="0"/>
        </w:sectPr>
      </w:pPr>
    </w:p>
    <w:bookmarkStart w:id="11" w:name="page12"/>
    <w:bookmarkEnd w:id="11"/>
    <w:p>
      <w:pPr>
        <w:ind w:firstLine="407"/>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98055" cy="36195"/>
                    </a:xfrm>
                    <a:prstGeom prst="rect">
                      <a:avLst/>
                    </a:prstGeom>
                    <a:noFill/>
                  </pic:spPr>
                </pic:pic>
              </a:graphicData>
            </a:graphic>
          </wp:anchor>
        </w:drawing>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each new Note will be in a minimum principal amount of $2,000 or an integral multiple of $1,000 in excess thereof.</w:t>
      </w:r>
    </w:p>
    <w:p>
      <w:pPr>
        <w:spacing w:after="0" w:line="141" w:lineRule="exact"/>
        <w:rPr>
          <w:sz w:val="20"/>
          <w:szCs w:val="20"/>
          <w:color w:val="auto"/>
        </w:rPr>
      </w:pPr>
    </w:p>
    <w:p>
      <w:pPr>
        <w:ind w:right="140" w:firstLine="407"/>
        <w:spacing w:after="0" w:line="297" w:lineRule="auto"/>
        <w:rPr>
          <w:sz w:val="20"/>
          <w:szCs w:val="20"/>
          <w:color w:val="auto"/>
        </w:rPr>
      </w:pPr>
      <w:r>
        <w:rPr>
          <w:rFonts w:ascii="Arial" w:cs="Arial" w:eastAsia="Arial" w:hAnsi="Arial"/>
          <w:sz w:val="16"/>
          <w:szCs w:val="16"/>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44" w:lineRule="exact"/>
        <w:rPr>
          <w:sz w:val="20"/>
          <w:szCs w:val="20"/>
          <w:color w:val="auto"/>
        </w:rPr>
      </w:pPr>
    </w:p>
    <w:p>
      <w:pPr>
        <w:ind w:firstLine="407"/>
        <w:spacing w:after="0" w:line="255" w:lineRule="auto"/>
        <w:rPr>
          <w:sz w:val="20"/>
          <w:szCs w:val="20"/>
          <w:color w:val="auto"/>
        </w:rPr>
      </w:pPr>
      <w:r>
        <w:rPr>
          <w:rFonts w:ascii="Arial" w:cs="Arial" w:eastAsia="Arial" w:hAnsi="Arial"/>
          <w:sz w:val="17"/>
          <w:szCs w:val="17"/>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VI</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MISCELLANEOUS</w:t>
      </w:r>
    </w:p>
    <w:p>
      <w:pPr>
        <w:spacing w:after="0" w:line="191" w:lineRule="exact"/>
        <w:rPr>
          <w:sz w:val="20"/>
          <w:szCs w:val="20"/>
          <w:color w:val="auto"/>
        </w:rPr>
      </w:pPr>
    </w:p>
    <w:p>
      <w:pPr>
        <w:ind w:right="100" w:firstLine="407"/>
        <w:spacing w:after="0" w:line="250" w:lineRule="auto"/>
        <w:rPr>
          <w:sz w:val="20"/>
          <w:szCs w:val="20"/>
          <w:color w:val="auto"/>
        </w:rPr>
      </w:pPr>
      <w:r>
        <w:rPr>
          <w:rFonts w:ascii="Arial" w:cs="Arial" w:eastAsia="Arial" w:hAnsi="Arial"/>
          <w:sz w:val="17"/>
          <w:szCs w:val="17"/>
          <w:color w:val="auto"/>
        </w:rPr>
        <w:t>Section 6.01. This Second Supplemental Indenture and the Notes shall be governed by and construed in accordance with the laws of the State of New York, without regard to principles of conflicts of laws that would cause the application of laws of another jurisdiction. This Second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0" w:lineRule="exact"/>
        <w:rPr>
          <w:sz w:val="20"/>
          <w:szCs w:val="20"/>
          <w:color w:val="auto"/>
        </w:rPr>
      </w:pPr>
    </w:p>
    <w:p>
      <w:pPr>
        <w:ind w:right="140" w:firstLine="407"/>
        <w:spacing w:after="0" w:line="297" w:lineRule="auto"/>
        <w:rPr>
          <w:sz w:val="20"/>
          <w:szCs w:val="20"/>
          <w:color w:val="auto"/>
        </w:rPr>
      </w:pPr>
      <w:r>
        <w:rPr>
          <w:rFonts w:ascii="Arial" w:cs="Arial" w:eastAsia="Arial" w:hAnsi="Arial"/>
          <w:sz w:val="16"/>
          <w:szCs w:val="16"/>
          <w:color w:val="auto"/>
        </w:rPr>
        <w:t>Section 6.02. In case any provision in this Second Supplemental Indenture or in the Notes shall be invalid, illegal or unenforceable, the validity, legality and enforceability of the remaining provisions shall not in any way be affected or impaired thereby.</w:t>
      </w:r>
    </w:p>
    <w:p>
      <w:pPr>
        <w:spacing w:after="0" w:line="144" w:lineRule="exact"/>
        <w:rPr>
          <w:sz w:val="20"/>
          <w:szCs w:val="20"/>
          <w:color w:val="auto"/>
        </w:rPr>
      </w:pPr>
    </w:p>
    <w:p>
      <w:pPr>
        <w:ind w:firstLine="407"/>
        <w:spacing w:after="0" w:line="269" w:lineRule="auto"/>
        <w:rPr>
          <w:sz w:val="20"/>
          <w:szCs w:val="20"/>
          <w:color w:val="auto"/>
        </w:rPr>
      </w:pPr>
      <w:r>
        <w:rPr>
          <w:rFonts w:ascii="Arial" w:cs="Arial" w:eastAsia="Arial" w:hAnsi="Arial"/>
          <w:sz w:val="16"/>
          <w:szCs w:val="16"/>
          <w:color w:val="auto"/>
        </w:rPr>
        <w:t>Section 6.03. This Second Supplemental Indenture may be executed in any number of counterparts, each of which will be an original, but such counterparts will together constitute but one and the same Second Supplemental Indenture. The exchange of copies of this Second Supplemental Indenture and of signature pages by facsimile, .pdf transmission, email or other electronic means shall constitute effective execution and delivery of this Second Supplemental Indenture for all purposes. Signatures of the parties hereto transmitted by facsimile, .pdf transmission, email or other electronic means shall be deemed to be their original signatures for all purposes.</w:t>
      </w:r>
    </w:p>
    <w:p>
      <w:pPr>
        <w:spacing w:after="0" w:line="167" w:lineRule="exact"/>
        <w:rPr>
          <w:sz w:val="20"/>
          <w:szCs w:val="20"/>
          <w:color w:val="auto"/>
        </w:rPr>
      </w:pPr>
    </w:p>
    <w:p>
      <w:pPr>
        <w:ind w:firstLine="407"/>
        <w:spacing w:after="0" w:line="286" w:lineRule="auto"/>
        <w:rPr>
          <w:sz w:val="20"/>
          <w:szCs w:val="20"/>
          <w:color w:val="auto"/>
        </w:rPr>
      </w:pPr>
      <w:r>
        <w:rPr>
          <w:rFonts w:ascii="Arial" w:cs="Arial" w:eastAsia="Arial" w:hAnsi="Arial"/>
          <w:sz w:val="15"/>
          <w:szCs w:val="15"/>
          <w:color w:val="auto"/>
        </w:rPr>
        <w:t>Section 6.04. The Base Indenture, as supplemented and amended by this Second Supplemental Indenture, is in all respects ratified and confirmed, and the Base Indenture and this Second Supplemental Indenture shall be read, taken and construed as one and the same instrument with respect to the Notes. All provisions included in this Second Supplemental Indenture supersede any conflicting provisions included in the Base Indenture with respect to the Notes, unless not permitted by law. The Trustee accepts the trusts created by the Indenture, as supplemented by this Second Supplemental Indenture, and agrees to perform the same upon the terms and conditions of the Indenture, as supplemented by this Second Supplemental Indenture. All of the provisions contained in the Base Indenture in respect of the rights, privileges, immunities, powers, and duties of the Trustee shall be applicable in respect of this Second Supplemental Indenture as fully and with like force and effect as though fully set forth in full herein.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6.05. The provisions of this Second Supplemental Indenture shall become effective as of the date hereof.</w:t>
      </w:r>
    </w:p>
    <w:p>
      <w:pPr>
        <w:spacing w:after="0" w:line="14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20"/>
          </w:cols>
          <w:pgMar w:left="860" w:top="264" w:right="919" w:bottom="1440" w:gutter="0" w:footer="0" w:header="0"/>
        </w:sectPr>
      </w:pPr>
    </w:p>
    <w:bookmarkStart w:id="12" w:name="page13"/>
    <w:bookmarkEnd w:id="12"/>
    <w:p>
      <w:pPr>
        <w:ind w:firstLine="407"/>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98055" cy="36195"/>
                    </a:xfrm>
                    <a:prstGeom prst="rect">
                      <a:avLst/>
                    </a:prstGeom>
                    <a:noFill/>
                  </pic:spPr>
                </pic:pic>
              </a:graphicData>
            </a:graphic>
          </wp:anchor>
        </w:drawing>
        <w:t>Section 6.06. Notwithstanding anything else to the contrary herein, the terms and provisions of this Second Supplemental Indenture shall apply only to the Notes and shall not apply to any other series of Securities under the Indenture and this Second Supplemental Indenture shall not and does not otherwise affect, modify, alter, supplement or change the terms and provisions of any other series of Securities under the Indenture, whether now or hereafter issued and Outstanding.</w:t>
      </w:r>
    </w:p>
    <w:p>
      <w:pPr>
        <w:spacing w:after="0" w:line="180" w:lineRule="exact"/>
        <w:rPr>
          <w:sz w:val="20"/>
          <w:szCs w:val="20"/>
          <w:color w:val="auto"/>
        </w:rPr>
      </w:pPr>
    </w:p>
    <w:p>
      <w:pPr>
        <w:ind w:right="40" w:firstLine="407"/>
        <w:spacing w:after="0" w:line="269" w:lineRule="auto"/>
        <w:rPr>
          <w:sz w:val="20"/>
          <w:szCs w:val="20"/>
          <w:color w:val="auto"/>
        </w:rPr>
      </w:pPr>
      <w:r>
        <w:rPr>
          <w:rFonts w:ascii="Arial" w:cs="Arial" w:eastAsia="Arial" w:hAnsi="Arial"/>
          <w:sz w:val="16"/>
          <w:szCs w:val="16"/>
          <w:color w:val="auto"/>
        </w:rPr>
        <w:t>Section 6.07. The recitals contained herein and in the Notes shall be taken as the statements of the Company, and the Trustee assumes no responsibility for their correctness. The Trustee makes no representations as to and shall not be responsible for the validity or sufficiency of this Second Supplemental Indenture, the Notes or any Additional Notes, except that the Trustee represents that it is duly authorized to execute and deliver this Second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40"/>
          </w:cols>
          <w:pgMar w:left="860" w:top="264" w:right="899" w:bottom="1440" w:gutter="0" w:footer="0" w:header="0"/>
        </w:sectPr>
      </w:pPr>
    </w:p>
    <w:bookmarkStart w:id="13" w:name="page14"/>
    <w:bookmarkEnd w:id="13"/>
    <w:p>
      <w:pPr>
        <w:ind w:right="340" w:firstLine="40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98055" cy="36195"/>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19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TPG SPECIALTY LENDING, INC.</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-12700</wp:posOffset>
            </wp:positionV>
            <wp:extent cx="15875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587500" cy="762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7"/>
          <w:szCs w:val="17"/>
          <w:color w:val="auto"/>
        </w:rPr>
        <w:t>Name: Ian T. Simmonds</w:t>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Title: Chief Financial Officer</w:t>
      </w:r>
    </w:p>
    <w:p>
      <w:pPr>
        <w:spacing w:after="0" w:line="21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WELLS FARGO BANK, NATIONAL ASSOCIATION, as</w:t>
      </w:r>
    </w:p>
    <w:p>
      <w:pPr>
        <w:spacing w:after="0" w:line="2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Trustee</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 /s/ Stefan Victory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-12700</wp:posOffset>
            </wp:positionV>
            <wp:extent cx="15811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7"/>
          <w:szCs w:val="17"/>
          <w:color w:val="auto"/>
        </w:rPr>
        <w:t>Name: Stefan Victory</w:t>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Title:  Vice President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to Second Supplemental Indenture]</w:t>
      </w:r>
    </w:p>
    <w:p>
      <w:pPr>
        <w:sectPr>
          <w:pgSz w:w="11900" w:h="16838" w:orient="portrait"/>
          <w:cols w:equalWidth="0" w:num="1">
            <w:col w:w="10060"/>
          </w:cols>
          <w:pgMar w:left="860" w:top="264" w:right="97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98055" cy="36195"/>
                    </a:xfrm>
                    <a:prstGeom prst="rect">
                      <a:avLst/>
                    </a:prstGeom>
                    <a:noFill/>
                  </pic:spPr>
                </pic:pic>
              </a:graphicData>
            </a:graphic>
          </wp:anchor>
        </w:drawing>
        <w:t>Exhibit A – Form of Global Note</w:t>
      </w:r>
    </w:p>
    <w:p>
      <w:pPr>
        <w:spacing w:after="0" w:line="108" w:lineRule="exact"/>
        <w:rPr>
          <w:sz w:val="20"/>
          <w:szCs w:val="20"/>
          <w:color w:val="auto"/>
        </w:rPr>
      </w:pPr>
    </w:p>
    <w:p>
      <w:pPr>
        <w:ind w:right="360" w:firstLine="407"/>
        <w:spacing w:after="0" w:line="269" w:lineRule="auto"/>
        <w:rPr>
          <w:sz w:val="20"/>
          <w:szCs w:val="20"/>
          <w:color w:val="auto"/>
        </w:rPr>
      </w:pPr>
      <w:r>
        <w:rPr>
          <w:rFonts w:ascii="Arial" w:cs="Arial" w:eastAsia="Arial" w:hAnsi="Arial"/>
          <w:sz w:val="16"/>
          <w:szCs w:val="16"/>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63" w:lineRule="exact"/>
        <w:rPr>
          <w:sz w:val="20"/>
          <w:szCs w:val="20"/>
          <w:color w:val="auto"/>
        </w:rPr>
      </w:pPr>
    </w:p>
    <w:p>
      <w:pPr>
        <w:ind w:firstLine="407"/>
        <w:spacing w:after="0" w:line="298" w:lineRule="auto"/>
        <w:rPr>
          <w:sz w:val="20"/>
          <w:szCs w:val="20"/>
          <w:color w:val="auto"/>
        </w:rPr>
      </w:pPr>
      <w:r>
        <w:rPr>
          <w:rFonts w:ascii="Arial" w:cs="Arial" w:eastAsia="Arial" w:hAnsi="Arial"/>
          <w:sz w:val="15"/>
          <w:szCs w:val="15"/>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3"/>
          </w:tcPr>
          <w:p>
            <w:pPr>
              <w:ind w:left="3500"/>
              <w:spacing w:after="0"/>
              <w:rPr>
                <w:sz w:val="20"/>
                <w:szCs w:val="20"/>
                <w:color w:val="auto"/>
              </w:rPr>
            </w:pPr>
            <w:r>
              <w:rPr>
                <w:rFonts w:ascii="Arial" w:cs="Arial" w:eastAsia="Arial" w:hAnsi="Arial"/>
                <w:sz w:val="17"/>
                <w:szCs w:val="17"/>
                <w:b w:val="1"/>
                <w:bCs w:val="1"/>
                <w:color w:val="auto"/>
              </w:rPr>
              <w:t>TPG Specialty Lending, Inc.</w:t>
            </w:r>
          </w:p>
        </w:tc>
      </w:tr>
      <w:tr>
        <w:trPr>
          <w:trHeight w:val="387"/>
        </w:trPr>
        <w:tc>
          <w:tcPr>
            <w:tcW w:w="580" w:type="dxa"/>
            <w:vAlign w:val="bottom"/>
            <w:gridSpan w:val="2"/>
          </w:tcPr>
          <w:p>
            <w:pPr>
              <w:spacing w:after="0"/>
              <w:rPr>
                <w:sz w:val="20"/>
                <w:szCs w:val="20"/>
                <w:color w:val="auto"/>
              </w:rPr>
            </w:pPr>
            <w:r>
              <w:rPr>
                <w:rFonts w:ascii="Arial" w:cs="Arial" w:eastAsia="Arial" w:hAnsi="Arial"/>
                <w:sz w:val="17"/>
                <w:szCs w:val="17"/>
                <w:color w:val="auto"/>
              </w:rPr>
              <w:t>No.</w:t>
            </w:r>
          </w:p>
        </w:tc>
        <w:tc>
          <w:tcPr>
            <w:tcW w:w="8120" w:type="dxa"/>
            <w:vAlign w:val="bottom"/>
            <w:gridSpan w:val="3"/>
          </w:tcPr>
          <w:p>
            <w:pPr>
              <w:ind w:left="6340"/>
              <w:spacing w:after="0"/>
              <w:rPr>
                <w:sz w:val="20"/>
                <w:szCs w:val="20"/>
                <w:color w:val="auto"/>
              </w:rPr>
            </w:pPr>
            <w:r>
              <w:rPr>
                <w:rFonts w:ascii="Arial" w:cs="Arial" w:eastAsia="Arial" w:hAnsi="Arial"/>
                <w:sz w:val="17"/>
                <w:szCs w:val="17"/>
                <w:color w:val="auto"/>
              </w:rPr>
              <w:t>Initially $</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20" w:type="dxa"/>
            <w:vAlign w:val="bottom"/>
            <w:gridSpan w:val="3"/>
          </w:tcPr>
          <w:p>
            <w:pPr>
              <w:ind w:left="6340"/>
              <w:spacing w:after="0"/>
              <w:rPr>
                <w:sz w:val="20"/>
                <w:szCs w:val="20"/>
                <w:color w:val="auto"/>
              </w:rPr>
            </w:pPr>
            <w:r>
              <w:rPr>
                <w:rFonts w:ascii="Arial" w:cs="Arial" w:eastAsia="Arial" w:hAnsi="Arial"/>
                <w:sz w:val="17"/>
                <w:szCs w:val="17"/>
                <w:color w:val="auto"/>
                <w:w w:val="96"/>
              </w:rPr>
              <w:t>CUSIP No. 87265K AF9</w:t>
            </w:r>
          </w:p>
        </w:tc>
      </w:tr>
      <w:tr>
        <w:trPr>
          <w:trHeight w:val="212"/>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3"/>
          </w:tcPr>
          <w:p>
            <w:pPr>
              <w:ind w:left="6340"/>
              <w:spacing w:after="0"/>
              <w:rPr>
                <w:sz w:val="20"/>
                <w:szCs w:val="20"/>
                <w:color w:val="auto"/>
              </w:rPr>
            </w:pPr>
            <w:r>
              <w:rPr>
                <w:rFonts w:ascii="Arial" w:cs="Arial" w:eastAsia="Arial" w:hAnsi="Arial"/>
                <w:sz w:val="17"/>
                <w:szCs w:val="17"/>
                <w:color w:val="auto"/>
                <w:w w:val="91"/>
              </w:rPr>
              <w:t>ISIN No. US87265KAF93</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3.875% Notes due 2024</w:t>
      </w:r>
    </w:p>
    <w:p>
      <w:pPr>
        <w:spacing w:after="0" w:line="204" w:lineRule="exact"/>
        <w:rPr>
          <w:sz w:val="20"/>
          <w:szCs w:val="20"/>
          <w:color w:val="auto"/>
        </w:rPr>
      </w:pPr>
    </w:p>
    <w:p>
      <w:pPr>
        <w:ind w:right="280" w:firstLine="407"/>
        <w:spacing w:after="0" w:line="286" w:lineRule="auto"/>
        <w:rPr>
          <w:sz w:val="20"/>
          <w:szCs w:val="20"/>
          <w:color w:val="auto"/>
        </w:rPr>
      </w:pPr>
      <w:r>
        <w:rPr>
          <w:rFonts w:ascii="Arial" w:cs="Arial" w:eastAsia="Arial" w:hAnsi="Arial"/>
          <w:sz w:val="15"/>
          <w:szCs w:val="15"/>
          <w:color w:val="auto"/>
        </w:rPr>
        <w:t>TPG Specialty Lending, Inc., a corporation duly organized and existing under the laws of Delaware (herein called the “Company”, which term includes any successor Person under the Indenture hereinafter referred to), for value received, hereby promises to pay to Cede &amp; Co., or registered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assigns, the principal sum of (U.S. $ ), or such other principal sum as shall be set forth in the Schedule of Increases or Decreases attached hereto, on November 1, 2024, and to pay interest thereon from November 1, 2019 or from the most recent Interest Payment Date to which interest has been paid or duly provided for, semi-annually on May 1 and November 1 of each year, commencing May 1, 2020, at the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-276225</wp:posOffset>
            </wp:positionV>
            <wp:extent cx="15957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595755" cy="7620"/>
                    </a:xfrm>
                    <a:prstGeom prst="rect">
                      <a:avLst/>
                    </a:prstGeom>
                    <a:noFill/>
                  </pic:spPr>
                </pic:pic>
              </a:graphicData>
            </a:graphic>
          </wp:anchor>
        </w:drawing>
      </w:r>
    </w:p>
    <w:p>
      <w:pPr>
        <w:ind w:right="60"/>
        <w:spacing w:after="0" w:line="282" w:lineRule="auto"/>
        <w:rPr>
          <w:sz w:val="20"/>
          <w:szCs w:val="20"/>
          <w:color w:val="auto"/>
        </w:rPr>
      </w:pPr>
      <w:r>
        <w:rPr>
          <w:rFonts w:ascii="Arial" w:cs="Arial" w:eastAsia="Arial" w:hAnsi="Arial"/>
          <w:sz w:val="15"/>
          <w:szCs w:val="15"/>
          <w:color w:val="auto"/>
        </w:rPr>
        <w:t>3.875%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April 15 and October 15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60" w:lineRule="exact"/>
        <w:rPr>
          <w:sz w:val="20"/>
          <w:szCs w:val="20"/>
          <w:color w:val="auto"/>
        </w:rPr>
      </w:pPr>
    </w:p>
    <w:p>
      <w:pPr>
        <w:ind w:firstLine="407"/>
        <w:spacing w:after="0" w:line="272" w:lineRule="auto"/>
        <w:rPr>
          <w:sz w:val="20"/>
          <w:szCs w:val="20"/>
          <w:color w:val="auto"/>
        </w:rPr>
      </w:pPr>
      <w:r>
        <w:rPr>
          <w:rFonts w:ascii="Arial" w:cs="Arial" w:eastAsia="Arial" w:hAnsi="Arial"/>
          <w:sz w:val="16"/>
          <w:szCs w:val="16"/>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payment of interest may be made by check mailed to the address of the Person entitled thereto as such address shall appear in the Security Register.</w:t>
      </w:r>
    </w:p>
    <w:p>
      <w:pPr>
        <w:sectPr>
          <w:pgSz w:w="11900" w:h="16838" w:orient="portrait"/>
          <w:cols w:equalWidth="0" w:num="1">
            <w:col w:w="10180"/>
          </w:cols>
          <w:pgMar w:left="860" w:top="260" w:right="859" w:bottom="1440" w:gutter="0" w:footer="0" w:header="0"/>
        </w:sectPr>
      </w:pPr>
    </w:p>
    <w:bookmarkStart w:id="15" w:name="page16"/>
    <w:bookmarkEnd w:id="15"/>
    <w:p>
      <w:pPr>
        <w:ind w:firstLine="40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98055" cy="36195"/>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67" w:lineRule="exact"/>
        <w:rPr>
          <w:sz w:val="20"/>
          <w:szCs w:val="20"/>
          <w:color w:val="auto"/>
        </w:rPr>
      </w:pPr>
    </w:p>
    <w:p>
      <w:pPr>
        <w:ind w:right="420" w:firstLine="407"/>
        <w:spacing w:after="0" w:line="265" w:lineRule="auto"/>
        <w:rPr>
          <w:sz w:val="20"/>
          <w:szCs w:val="20"/>
          <w:color w:val="auto"/>
        </w:rPr>
      </w:pPr>
      <w:r>
        <w:rPr>
          <w:rFonts w:ascii="Arial" w:cs="Arial" w:eastAsia="Arial" w:hAnsi="Arial"/>
          <w:sz w:val="17"/>
          <w:szCs w:val="17"/>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20"/>
          </w:cols>
          <w:pgMar w:left="860" w:top="264" w:right="1019" w:bottom="1440" w:gutter="0" w:footer="0" w:header="0"/>
        </w:sectPr>
      </w:pPr>
    </w:p>
    <w:bookmarkStart w:id="16" w:name="page17"/>
    <w:bookmarkEnd w:id="1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98055" cy="36195"/>
                    </a:xfrm>
                    <a:prstGeom prst="rect">
                      <a:avLst/>
                    </a:prstGeom>
                    <a:noFill/>
                  </pic:spPr>
                </pic:pic>
              </a:graphicData>
            </a:graphic>
          </wp:anchor>
        </w:drawing>
        <w:t>IN WITNESS WHEREOF, the Company has caused this instrument to be duly executed.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-12700</wp:posOffset>
            </wp:positionV>
            <wp:extent cx="12934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20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TPG SPECIALTY LENDING, INC.</w:t>
      </w:r>
    </w:p>
    <w:p>
      <w:pPr>
        <w:spacing w:after="0" w:line="215"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-12700</wp:posOffset>
            </wp:positionV>
            <wp:extent cx="17157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15770" cy="762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12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599"/>
          </w:cols>
          <w:pgMar w:left="860" w:top="264" w:right="1440" w:bottom="1440" w:gutter="0" w:footer="0" w:header="0"/>
        </w:sectPr>
      </w:pPr>
    </w:p>
    <w:bookmarkStart w:id="17" w:name="page18"/>
    <w:bookmarkEnd w:id="17"/>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This is one of the Securities of the series designated therein referred to in the within-mentioned Indenture.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-12700</wp:posOffset>
            </wp:positionV>
            <wp:extent cx="12934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20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WELLS FARGO BANK, NATIONAL ASSOCIATION,</w:t>
      </w:r>
    </w:p>
    <w:p>
      <w:pPr>
        <w:spacing w:after="0" w:line="2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as Trustee</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-12700</wp:posOffset>
            </wp:positionV>
            <wp:extent cx="17157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15770" cy="762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7"/>
          <w:szCs w:val="17"/>
          <w:color w:val="auto"/>
        </w:rPr>
        <w:t>Authorized Signatory</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80"/>
          </w:cols>
          <w:pgMar w:left="860" w:top="264" w:right="115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98055" cy="36195"/>
                    </a:xfrm>
                    <a:prstGeom prst="rect">
                      <a:avLst/>
                    </a:prstGeom>
                    <a:noFill/>
                  </pic:spPr>
                </pic:pic>
              </a:graphicData>
            </a:graphic>
          </wp:anchor>
        </w:drawing>
        <w:t>[BACK OF NOTE]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3.875% Notes due 2024</w:t>
      </w:r>
    </w:p>
    <w:p>
      <w:pPr>
        <w:spacing w:after="0" w:line="191" w:lineRule="exact"/>
        <w:rPr>
          <w:sz w:val="20"/>
          <w:szCs w:val="20"/>
          <w:color w:val="auto"/>
        </w:rPr>
      </w:pPr>
    </w:p>
    <w:p>
      <w:pPr>
        <w:ind w:right="20" w:firstLine="407"/>
        <w:spacing w:after="0" w:line="333" w:lineRule="auto"/>
        <w:rPr>
          <w:sz w:val="20"/>
          <w:szCs w:val="20"/>
          <w:color w:val="auto"/>
        </w:rPr>
      </w:pPr>
      <w:r>
        <w:rPr>
          <w:rFonts w:ascii="Arial" w:cs="Arial" w:eastAsia="Arial" w:hAnsi="Arial"/>
          <w:sz w:val="15"/>
          <w:szCs w:val="15"/>
          <w:color w:val="auto"/>
        </w:rPr>
        <w:t>This Security is one of a duly authorized issue of securities of the Company (herein called the “Securities”), issued and to be issued in one or more series under an Indenture, dated as of January 22, 2018 (herein called the “Base Indenture”, which term shall have the meaning assigned to it in such</w:t>
      </w:r>
    </w:p>
    <w:p>
      <w:pPr>
        <w:spacing w:after="0" w:line="120" w:lineRule="exact"/>
        <w:rPr>
          <w:sz w:val="20"/>
          <w:szCs w:val="20"/>
          <w:color w:val="auto"/>
        </w:rPr>
      </w:pPr>
    </w:p>
    <w:p>
      <w:pPr>
        <w:ind w:right="80" w:firstLine="407"/>
        <w:spacing w:after="0" w:line="266" w:lineRule="auto"/>
        <w:rPr>
          <w:sz w:val="20"/>
          <w:szCs w:val="20"/>
          <w:color w:val="auto"/>
        </w:rPr>
      </w:pPr>
      <w:r>
        <w:rPr>
          <w:rFonts w:ascii="Arial" w:cs="Arial" w:eastAsia="Arial" w:hAnsi="Arial"/>
          <w:sz w:val="16"/>
          <w:szCs w:val="16"/>
          <w:color w:val="auto"/>
        </w:rPr>
        <w:t>instrument), between the Company and Wells Fargo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Second Supplemental Indenture, relating to the Securities, dated as of November 1, 2019, by and between the Company and the Trustee (herein called the “Second Supplemental Indenture”; and together with the Base Indenture, the “Indenture”). In the event of any conflict between the Base Indenture and the Second Supplemental Indenture, the Second Supplemental Indenture shall govern and control.</w:t>
      </w:r>
    </w:p>
    <w:p>
      <w:pPr>
        <w:spacing w:after="0" w:line="170" w:lineRule="exact"/>
        <w:rPr>
          <w:sz w:val="20"/>
          <w:szCs w:val="20"/>
          <w:color w:val="auto"/>
        </w:rPr>
      </w:pPr>
    </w:p>
    <w:p>
      <w:pPr>
        <w:ind w:left="420"/>
        <w:spacing w:after="0"/>
        <w:tabs>
          <w:tab w:leader="none" w:pos="8820" w:val="left"/>
        </w:tabs>
        <w:rPr>
          <w:sz w:val="20"/>
          <w:szCs w:val="20"/>
          <w:color w:val="auto"/>
        </w:rPr>
      </w:pPr>
      <w:r>
        <w:rPr>
          <w:rFonts w:ascii="Arial" w:cs="Arial" w:eastAsia="Arial" w:hAnsi="Arial"/>
          <w:sz w:val="17"/>
          <w:szCs w:val="17"/>
          <w:color w:val="auto"/>
        </w:rPr>
        <w:t>This Security is one of the series designated on the face hereof, initially limited in aggregate principal amount to $</w:t>
      </w:r>
      <w:r>
        <w:rPr>
          <w:sz w:val="20"/>
          <w:szCs w:val="20"/>
          <w:color w:val="auto"/>
        </w:rPr>
        <w:tab/>
      </w:r>
      <w:r>
        <w:rPr>
          <w:rFonts w:ascii="Arial" w:cs="Arial" w:eastAsia="Arial" w:hAnsi="Arial"/>
          <w:sz w:val="15"/>
          <w:szCs w:val="15"/>
          <w:color w:val="auto"/>
        </w:rPr>
        <w:t>. Under a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-12700</wp:posOffset>
            </wp:positionV>
            <wp:extent cx="5276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27685" cy="762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6"/>
          <w:szCs w:val="16"/>
          <w:color w:val="auto"/>
        </w:rPr>
        <w:t xml:space="preserve">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Securities of this series are subject to redemption in whole or in part at any time or from time to time, at the option of the Company, at 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equal to the greater of the following amounts, plus, in each case, accrued and unpaid interest to the Redemption Date:</w:t>
      </w:r>
    </w:p>
    <w:p>
      <w:pPr>
        <w:spacing w:after="0" w:line="103" w:lineRule="exact"/>
        <w:rPr>
          <w:sz w:val="20"/>
          <w:szCs w:val="20"/>
          <w:color w:val="auto"/>
        </w:rPr>
      </w:pPr>
    </w:p>
    <w:p>
      <w:pPr>
        <w:ind w:left="640" w:hanging="229"/>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100% of the principal amount of the Securities to be redeemed, or</w:t>
      </w:r>
    </w:p>
    <w:p>
      <w:pPr>
        <w:spacing w:after="0" w:line="103" w:lineRule="exact"/>
        <w:rPr>
          <w:rFonts w:ascii="Arial" w:cs="Arial" w:eastAsia="Arial" w:hAnsi="Arial"/>
          <w:sz w:val="17"/>
          <w:szCs w:val="17"/>
          <w:color w:val="auto"/>
        </w:rPr>
      </w:pPr>
    </w:p>
    <w:p>
      <w:pPr>
        <w:ind w:left="420" w:right="260" w:hanging="9"/>
        <w:spacing w:after="0" w:line="278" w:lineRule="auto"/>
        <w:tabs>
          <w:tab w:leader="none" w:pos="6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40 basis points;</w:t>
      </w:r>
    </w:p>
    <w:p>
      <w:pPr>
        <w:spacing w:after="0" w:line="159" w:lineRule="exact"/>
        <w:rPr>
          <w:sz w:val="20"/>
          <w:szCs w:val="20"/>
          <w:color w:val="auto"/>
        </w:rPr>
      </w:pPr>
    </w:p>
    <w:p>
      <w:pPr>
        <w:ind w:right="320"/>
        <w:spacing w:after="0" w:line="333" w:lineRule="auto"/>
        <w:rPr>
          <w:sz w:val="20"/>
          <w:szCs w:val="20"/>
          <w:color w:val="auto"/>
        </w:rPr>
      </w:pPr>
      <w:r>
        <w:rPr>
          <w:rFonts w:ascii="Arial" w:cs="Arial" w:eastAsia="Arial" w:hAnsi="Arial"/>
          <w:sz w:val="15"/>
          <w:szCs w:val="15"/>
          <w:color w:val="auto"/>
        </w:rPr>
        <w:t>provided, however, that if the Company redeems any Securities on or after October 1, 2024, the Redemption Price for the Securities will be equal to 100% of the principal amount of the Securities to be redeemed, plus accrued and unpaid interest, if any, to, but excluding, the Redemption Date.</w:t>
      </w:r>
    </w:p>
    <w:p>
      <w:pPr>
        <w:spacing w:after="0" w:line="120" w:lineRule="exact"/>
        <w:rPr>
          <w:sz w:val="20"/>
          <w:szCs w:val="20"/>
          <w:color w:val="auto"/>
        </w:rPr>
      </w:pPr>
    </w:p>
    <w:p>
      <w:pPr>
        <w:ind w:right="320" w:firstLine="407"/>
        <w:spacing w:after="0" w:line="265" w:lineRule="auto"/>
        <w:rPr>
          <w:sz w:val="20"/>
          <w:szCs w:val="20"/>
          <w:color w:val="auto"/>
        </w:rPr>
      </w:pPr>
      <w:r>
        <w:rPr>
          <w:rFonts w:ascii="Arial" w:cs="Arial" w:eastAsia="Arial" w:hAnsi="Arial"/>
          <w:sz w:val="17"/>
          <w:szCs w:val="17"/>
          <w:color w:val="auto"/>
        </w:rPr>
        <w:t>For purposes of calculating the Redemption Price in connection with the redemption of the Securities, on any Redemption Date, the following terms have the meanings set forth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80"/>
          </w:cols>
          <w:pgMar w:left="860" w:top="260" w:right="859" w:bottom="1440" w:gutter="0" w:footer="0" w:header="0"/>
        </w:sectPr>
      </w:pPr>
    </w:p>
    <w:bookmarkStart w:id="19" w:name="page20"/>
    <w:bookmarkEnd w:id="19"/>
    <w:p>
      <w:pPr>
        <w:ind w:right="100" w:firstLine="407"/>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0" w:lineRule="exact"/>
        <w:rPr>
          <w:sz w:val="20"/>
          <w:szCs w:val="20"/>
          <w:color w:val="auto"/>
        </w:rPr>
      </w:pPr>
    </w:p>
    <w:p>
      <w:pPr>
        <w:ind w:right="280" w:firstLine="407"/>
        <w:spacing w:after="0" w:line="305" w:lineRule="auto"/>
        <w:rPr>
          <w:sz w:val="20"/>
          <w:szCs w:val="20"/>
          <w:color w:val="auto"/>
        </w:rPr>
      </w:pPr>
      <w:r>
        <w:rPr>
          <w:rFonts w:ascii="Arial" w:cs="Arial" w:eastAsia="Arial" w:hAnsi="Arial"/>
          <w:sz w:val="15"/>
          <w:szCs w:val="15"/>
          <w:color w:val="auto"/>
        </w:rPr>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41" w:lineRule="exact"/>
        <w:rPr>
          <w:sz w:val="20"/>
          <w:szCs w:val="20"/>
          <w:color w:val="auto"/>
        </w:rPr>
      </w:pPr>
    </w:p>
    <w:p>
      <w:pPr>
        <w:ind w:right="100" w:firstLine="407"/>
        <w:spacing w:after="0" w:line="255" w:lineRule="auto"/>
        <w:rPr>
          <w:sz w:val="20"/>
          <w:szCs w:val="20"/>
          <w:color w:val="auto"/>
        </w:rPr>
      </w:pPr>
      <w:r>
        <w:rPr>
          <w:rFonts w:ascii="Arial" w:cs="Arial" w:eastAsia="Arial" w:hAnsi="Arial"/>
          <w:sz w:val="17"/>
          <w:szCs w:val="17"/>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“Quotation Agent” means a Reference Treasury Dealer selected by the Company.</w:t>
      </w:r>
    </w:p>
    <w:p>
      <w:pPr>
        <w:spacing w:after="0" w:line="204" w:lineRule="exact"/>
        <w:rPr>
          <w:sz w:val="20"/>
          <w:szCs w:val="20"/>
          <w:color w:val="auto"/>
        </w:rPr>
      </w:pPr>
    </w:p>
    <w:p>
      <w:pPr>
        <w:ind w:right="60" w:firstLine="407"/>
        <w:spacing w:after="0" w:line="305" w:lineRule="auto"/>
        <w:rPr>
          <w:sz w:val="20"/>
          <w:szCs w:val="20"/>
          <w:color w:val="auto"/>
        </w:rPr>
      </w:pPr>
      <w:r>
        <w:rPr>
          <w:rFonts w:ascii="Arial" w:cs="Arial" w:eastAsia="Arial" w:hAnsi="Arial"/>
          <w:sz w:val="15"/>
          <w:szCs w:val="15"/>
          <w:color w:val="auto"/>
        </w:rPr>
        <w:t>“Reference Treasury Dealer” means (1) BofA Securities, Inc. or its affiliates which are primary U.S. government securities dealers in the United States (a “Primary Treasury Dealer”) and their respective successors; provided, however, that if the foregoing or its affiliates shall cease to be a Primary Treasury Dealer, the Company shall select another Primary Treasury Dealer, and (2) three other Primary Treasury Dealers selected by the Company.</w:t>
      </w:r>
    </w:p>
    <w:p>
      <w:pPr>
        <w:spacing w:after="0" w:line="141" w:lineRule="exact"/>
        <w:rPr>
          <w:sz w:val="20"/>
          <w:szCs w:val="20"/>
          <w:color w:val="auto"/>
        </w:rPr>
      </w:pPr>
    </w:p>
    <w:p>
      <w:pPr>
        <w:ind w:right="180" w:firstLine="407"/>
        <w:spacing w:after="0" w:line="251"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0" w:lineRule="exact"/>
        <w:rPr>
          <w:sz w:val="20"/>
          <w:szCs w:val="20"/>
          <w:color w:val="auto"/>
        </w:rPr>
      </w:pPr>
    </w:p>
    <w:p>
      <w:pPr>
        <w:ind w:firstLine="407"/>
        <w:spacing w:after="0" w:line="265" w:lineRule="auto"/>
        <w:rPr>
          <w:sz w:val="20"/>
          <w:szCs w:val="20"/>
          <w:color w:val="auto"/>
        </w:rPr>
      </w:pPr>
      <w:r>
        <w:rPr>
          <w:rFonts w:ascii="Arial" w:cs="Arial" w:eastAsia="Arial" w:hAnsi="Arial"/>
          <w:sz w:val="17"/>
          <w:szCs w:val="17"/>
          <w:color w:val="auto"/>
        </w:rPr>
        <w:t>All determinations made by any Reference Treasury Dealer, including the Quotation Agent, with respect to determining the Redemption Price will be final and binding absent manifest error.</w:t>
      </w:r>
    </w:p>
    <w:p>
      <w:pPr>
        <w:spacing w:after="0" w:line="167" w:lineRule="exact"/>
        <w:rPr>
          <w:sz w:val="20"/>
          <w:szCs w:val="20"/>
          <w:color w:val="auto"/>
        </w:rPr>
      </w:pPr>
    </w:p>
    <w:p>
      <w:pPr>
        <w:jc w:val="both"/>
        <w:ind w:right="120" w:firstLine="407"/>
        <w:spacing w:after="0" w:line="272" w:lineRule="auto"/>
        <w:rPr>
          <w:sz w:val="20"/>
          <w:szCs w:val="20"/>
          <w:color w:val="auto"/>
        </w:rPr>
      </w:pPr>
      <w:r>
        <w:rPr>
          <w:rFonts w:ascii="Arial" w:cs="Arial" w:eastAsia="Arial" w:hAnsi="Arial"/>
          <w:sz w:val="16"/>
          <w:szCs w:val="16"/>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64" w:lineRule="exact"/>
        <w:rPr>
          <w:sz w:val="20"/>
          <w:szCs w:val="20"/>
          <w:color w:val="auto"/>
        </w:rPr>
      </w:pPr>
    </w:p>
    <w:p>
      <w:pPr>
        <w:ind w:right="480" w:firstLine="407"/>
        <w:spacing w:after="0" w:line="265" w:lineRule="auto"/>
        <w:rPr>
          <w:sz w:val="20"/>
          <w:szCs w:val="20"/>
          <w:color w:val="auto"/>
        </w:rPr>
      </w:pPr>
      <w:r>
        <w:rPr>
          <w:rFonts w:ascii="Arial" w:cs="Arial" w:eastAsia="Arial" w:hAnsi="Arial"/>
          <w:sz w:val="17"/>
          <w:szCs w:val="17"/>
          <w:color w:val="auto"/>
        </w:rPr>
        <w:t>Any exercise of the Company’s option to redeem the Securities will be done in compliance with the Investment Company Act, to the extent applicable.</w:t>
      </w:r>
    </w:p>
    <w:p>
      <w:pPr>
        <w:spacing w:after="0" w:line="167" w:lineRule="exact"/>
        <w:rPr>
          <w:sz w:val="20"/>
          <w:szCs w:val="20"/>
          <w:color w:val="auto"/>
        </w:rPr>
      </w:pPr>
    </w:p>
    <w:p>
      <w:pPr>
        <w:ind w:right="260" w:firstLine="407"/>
        <w:spacing w:after="0" w:line="250" w:lineRule="auto"/>
        <w:rPr>
          <w:sz w:val="20"/>
          <w:szCs w:val="20"/>
          <w:color w:val="auto"/>
        </w:rPr>
      </w:pPr>
      <w:r>
        <w:rPr>
          <w:rFonts w:ascii="Arial" w:cs="Arial" w:eastAsia="Arial" w:hAnsi="Arial"/>
          <w:sz w:val="17"/>
          <w:szCs w:val="17"/>
          <w:color w:val="auto"/>
        </w:rPr>
        <w:t xml:space="preserve">If the Company elects to redeem only a portion of the Securities, the particular Securities to be redeemed will be selected by the Trustee in accordance with the applicable procedures of the Depositary and in accordance with the Investment Company Act. In the event of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Security not redeemed to less than $2,000.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60"/>
          </w:cols>
          <w:pgMar w:left="860" w:top="264" w:right="879" w:bottom="1440" w:gutter="0" w:footer="0" w:header="0"/>
        </w:sectPr>
      </w:pPr>
    </w:p>
    <w:bookmarkStart w:id="20" w:name="page21"/>
    <w:bookmarkEnd w:id="20"/>
    <w:p>
      <w:pPr>
        <w:ind w:right="660" w:firstLine="40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98055" cy="36195"/>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67" w:lineRule="exact"/>
        <w:rPr>
          <w:sz w:val="20"/>
          <w:szCs w:val="20"/>
          <w:color w:val="auto"/>
        </w:rPr>
      </w:pPr>
    </w:p>
    <w:p>
      <w:pPr>
        <w:ind w:firstLine="407"/>
        <w:spacing w:after="0" w:line="265" w:lineRule="auto"/>
        <w:rPr>
          <w:sz w:val="20"/>
          <w:szCs w:val="20"/>
          <w:color w:val="auto"/>
        </w:rPr>
      </w:pPr>
      <w:r>
        <w:rPr>
          <w:rFonts w:ascii="Arial" w:cs="Arial" w:eastAsia="Arial" w:hAnsi="Arial"/>
          <w:sz w:val="17"/>
          <w:szCs w:val="17"/>
          <w:color w:val="auto"/>
        </w:rPr>
        <w:t>Holders will have the right to require the Company to repurchase their Securities upon the occurrence of a Change of Control Repurchase Event as set forth in the Indenture.</w:t>
      </w:r>
    </w:p>
    <w:p>
      <w:pPr>
        <w:spacing w:after="0" w:line="167" w:lineRule="exact"/>
        <w:rPr>
          <w:sz w:val="20"/>
          <w:szCs w:val="20"/>
          <w:color w:val="auto"/>
        </w:rPr>
      </w:pPr>
    </w:p>
    <w:p>
      <w:pPr>
        <w:ind w:right="40" w:firstLine="407"/>
        <w:spacing w:after="0" w:line="297" w:lineRule="auto"/>
        <w:rPr>
          <w:sz w:val="20"/>
          <w:szCs w:val="20"/>
          <w:color w:val="auto"/>
        </w:rPr>
      </w:pPr>
      <w:r>
        <w:rPr>
          <w:rFonts w:ascii="Arial" w:cs="Arial" w:eastAsia="Arial" w:hAnsi="Arial"/>
          <w:sz w:val="16"/>
          <w:szCs w:val="16"/>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4" w:lineRule="exact"/>
        <w:rPr>
          <w:sz w:val="20"/>
          <w:szCs w:val="20"/>
          <w:color w:val="auto"/>
        </w:rPr>
      </w:pPr>
    </w:p>
    <w:p>
      <w:pPr>
        <w:ind w:firstLine="407"/>
        <w:spacing w:after="0" w:line="296" w:lineRule="auto"/>
        <w:rPr>
          <w:sz w:val="20"/>
          <w:szCs w:val="20"/>
          <w:color w:val="auto"/>
        </w:rPr>
      </w:pPr>
      <w:r>
        <w:rPr>
          <w:rFonts w:ascii="Arial" w:cs="Arial" w:eastAsia="Arial" w:hAnsi="Arial"/>
          <w:sz w:val="15"/>
          <w:szCs w:val="15"/>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47" w:lineRule="exact"/>
        <w:rPr>
          <w:sz w:val="20"/>
          <w:szCs w:val="20"/>
          <w:color w:val="auto"/>
        </w:rPr>
      </w:pPr>
    </w:p>
    <w:p>
      <w:pPr>
        <w:ind w:firstLine="407"/>
        <w:spacing w:after="0" w:line="285" w:lineRule="auto"/>
        <w:rPr>
          <w:sz w:val="20"/>
          <w:szCs w:val="20"/>
          <w:color w:val="auto"/>
        </w:rPr>
      </w:pPr>
      <w:r>
        <w:rPr>
          <w:rFonts w:ascii="Arial" w:cs="Arial" w:eastAsia="Arial" w:hAnsi="Arial"/>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8" w:lineRule="exact"/>
        <w:rPr>
          <w:sz w:val="20"/>
          <w:szCs w:val="20"/>
          <w:color w:val="auto"/>
        </w:rPr>
      </w:pPr>
    </w:p>
    <w:p>
      <w:pPr>
        <w:ind w:right="60" w:firstLine="407"/>
        <w:spacing w:after="0" w:line="284" w:lineRule="auto"/>
        <w:rPr>
          <w:sz w:val="20"/>
          <w:szCs w:val="20"/>
          <w:color w:val="auto"/>
        </w:rPr>
      </w:pPr>
      <w:r>
        <w:rPr>
          <w:rFonts w:ascii="Arial" w:cs="Arial" w:eastAsia="Arial" w:hAnsi="Arial"/>
          <w:sz w:val="15"/>
          <w:szCs w:val="15"/>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59" w:lineRule="exact"/>
        <w:rPr>
          <w:sz w:val="20"/>
          <w:szCs w:val="20"/>
          <w:color w:val="auto"/>
        </w:rPr>
      </w:pPr>
    </w:p>
    <w:p>
      <w:pPr>
        <w:ind w:right="60" w:firstLine="407"/>
        <w:spacing w:after="0" w:line="255" w:lineRule="auto"/>
        <w:rPr>
          <w:sz w:val="20"/>
          <w:szCs w:val="20"/>
          <w:color w:val="auto"/>
        </w:rPr>
      </w:pPr>
      <w:r>
        <w:rPr>
          <w:rFonts w:ascii="Arial" w:cs="Arial" w:eastAsia="Arial" w:hAnsi="Arial"/>
          <w:sz w:val="17"/>
          <w:szCs w:val="17"/>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5" w:lineRule="exact"/>
        <w:rPr>
          <w:sz w:val="20"/>
          <w:szCs w:val="20"/>
          <w:color w:val="auto"/>
        </w:rPr>
      </w:pPr>
    </w:p>
    <w:p>
      <w:pPr>
        <w:ind w:right="120" w:firstLine="407"/>
        <w:spacing w:after="0" w:line="265" w:lineRule="auto"/>
        <w:rPr>
          <w:sz w:val="20"/>
          <w:szCs w:val="20"/>
          <w:color w:val="auto"/>
        </w:rPr>
      </w:pPr>
      <w:r>
        <w:rPr>
          <w:rFonts w:ascii="Arial" w:cs="Arial" w:eastAsia="Arial" w:hAnsi="Arial"/>
          <w:sz w:val="17"/>
          <w:szCs w:val="17"/>
          <w:color w:val="auto"/>
        </w:rPr>
        <w:t>As provided in the Indenture and subject to certain limitations therein set forth, the transfer of this Security is registrable in the Security Register, upon surrender of this Security for registration of transfer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80"/>
          </w:cols>
          <w:pgMar w:left="860" w:top="264" w:right="85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98055" cy="36195"/>
                    </a:xfrm>
                    <a:prstGeom prst="rect">
                      <a:avLst/>
                    </a:prstGeom>
                    <a:noFill/>
                  </pic:spPr>
                </pic:pic>
              </a:graphicData>
            </a:graphic>
          </wp:anchor>
        </w:drawing>
        <w:t>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4" w:lineRule="exact"/>
        <w:rPr>
          <w:sz w:val="20"/>
          <w:szCs w:val="20"/>
          <w:color w:val="auto"/>
        </w:rPr>
      </w:pPr>
    </w:p>
    <w:p>
      <w:pPr>
        <w:ind w:right="40" w:firstLine="407"/>
        <w:spacing w:after="0" w:line="251"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320" w:firstLine="407"/>
        <w:spacing w:after="0" w:line="265" w:lineRule="auto"/>
        <w:rPr>
          <w:sz w:val="20"/>
          <w:szCs w:val="20"/>
          <w:color w:val="auto"/>
        </w:rPr>
      </w:pPr>
      <w:r>
        <w:rPr>
          <w:rFonts w:ascii="Arial" w:cs="Arial" w:eastAsia="Arial" w:hAnsi="Arial"/>
          <w:sz w:val="17"/>
          <w:szCs w:val="17"/>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7" w:lineRule="exact"/>
        <w:rPr>
          <w:sz w:val="20"/>
          <w:szCs w:val="20"/>
          <w:color w:val="auto"/>
        </w:rPr>
      </w:pPr>
    </w:p>
    <w:p>
      <w:pPr>
        <w:jc w:val="both"/>
        <w:ind w:right="120" w:firstLine="407"/>
        <w:spacing w:after="0" w:line="255" w:lineRule="auto"/>
        <w:rPr>
          <w:sz w:val="20"/>
          <w:szCs w:val="20"/>
          <w:color w:val="auto"/>
        </w:rPr>
      </w:pPr>
      <w:r>
        <w:rPr>
          <w:rFonts w:ascii="Arial" w:cs="Arial" w:eastAsia="Arial" w:hAnsi="Arial"/>
          <w:sz w:val="17"/>
          <w:szCs w:val="17"/>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terms used in this Security which are defined in the Indenture shall have the meanings assigned to them in the Indenture.</w:t>
      </w:r>
    </w:p>
    <w:p>
      <w:pPr>
        <w:spacing w:after="0" w:line="204" w:lineRule="exact"/>
        <w:rPr>
          <w:sz w:val="20"/>
          <w:szCs w:val="20"/>
          <w:color w:val="auto"/>
        </w:rPr>
      </w:pPr>
    </w:p>
    <w:p>
      <w:pPr>
        <w:ind w:right="20" w:firstLine="407"/>
        <w:spacing w:after="0" w:line="265" w:lineRule="auto"/>
        <w:rPr>
          <w:sz w:val="20"/>
          <w:szCs w:val="20"/>
          <w:color w:val="auto"/>
        </w:rPr>
      </w:pPr>
      <w:r>
        <w:rPr>
          <w:rFonts w:ascii="Arial" w:cs="Arial" w:eastAsia="Arial" w:hAnsi="Arial"/>
          <w:sz w:val="17"/>
          <w:szCs w:val="17"/>
          <w:color w:val="auto"/>
        </w:rPr>
        <w:t>To the extent any provision of this Security conflicts with the express provisions of the Indenture, the provisions of the Indenture shall govern and be controlling.</w:t>
      </w:r>
    </w:p>
    <w:p>
      <w:pPr>
        <w:spacing w:after="0" w:line="167" w:lineRule="exact"/>
        <w:rPr>
          <w:sz w:val="20"/>
          <w:szCs w:val="20"/>
          <w:color w:val="auto"/>
        </w:rPr>
      </w:pPr>
    </w:p>
    <w:p>
      <w:pPr>
        <w:ind w:right="420" w:firstLine="407"/>
        <w:spacing w:after="0" w:line="265" w:lineRule="auto"/>
        <w:rPr>
          <w:sz w:val="20"/>
          <w:szCs w:val="20"/>
          <w:color w:val="auto"/>
        </w:rPr>
      </w:pPr>
      <w:r>
        <w:rPr>
          <w:rFonts w:ascii="Arial" w:cs="Arial" w:eastAsia="Arial" w:hAnsi="Arial"/>
          <w:sz w:val="17"/>
          <w:szCs w:val="17"/>
          <w:color w:val="auto"/>
        </w:rPr>
        <w:t>The Indenture and this Security shall be governed by and construed in accordance with the laws of the State of New York, without regard to principles of conflicts of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40"/>
          </w:cols>
          <w:pgMar w:left="860" w:top="264" w:right="899" w:bottom="1440" w:gutter="0" w:footer="0" w:header="0"/>
        </w:sectPr>
      </w:pPr>
    </w:p>
    <w:bookmarkStart w:id="22" w:name="page23"/>
    <w:bookmarkEnd w:id="22"/>
    <w:p>
      <w:pPr>
        <w:ind w:left="4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98055" cy="36195"/>
                    </a:xfrm>
                    <a:prstGeom prst="rect">
                      <a:avLst/>
                    </a:prstGeom>
                    <a:noFill/>
                  </pic:spPr>
                </pic:pic>
              </a:graphicData>
            </a:graphic>
          </wp:anchor>
        </w:drawing>
        <w:t>A</w:t>
      </w:r>
      <w:r>
        <w:rPr>
          <w:rFonts w:ascii="Arial" w:cs="Arial" w:eastAsia="Arial" w:hAnsi="Arial"/>
          <w:sz w:val="13"/>
          <w:szCs w:val="13"/>
          <w:color w:val="auto"/>
        </w:rPr>
        <w:t>SSIGNMENT</w:t>
      </w:r>
      <w:r>
        <w:rPr>
          <w:rFonts w:ascii="Arial" w:cs="Arial" w:eastAsia="Arial" w:hAnsi="Arial"/>
          <w:sz w:val="17"/>
          <w:szCs w:val="17"/>
          <w:color w:val="auto"/>
        </w:rPr>
        <w:t xml:space="preserve"> F</w:t>
      </w:r>
      <w:r>
        <w:rPr>
          <w:rFonts w:ascii="Arial" w:cs="Arial" w:eastAsia="Arial" w:hAnsi="Arial"/>
          <w:sz w:val="13"/>
          <w:szCs w:val="13"/>
          <w:color w:val="auto"/>
        </w:rPr>
        <w:t>ORM</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assign this Note, fill in the form below: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-12700</wp:posOffset>
            </wp:positionV>
            <wp:extent cx="39071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907155" cy="762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3"/>
          <w:szCs w:val="13"/>
          <w:color w:val="auto"/>
        </w:rPr>
        <w:t>(I</w:t>
      </w:r>
      <w:r>
        <w:rPr>
          <w:rFonts w:ascii="Arial" w:cs="Arial" w:eastAsia="Arial" w:hAnsi="Arial"/>
          <w:sz w:val="11"/>
          <w:szCs w:val="11"/>
          <w:color w:val="auto"/>
        </w:rPr>
        <w:t>NSERT ASSIGNEE</w:t>
      </w:r>
      <w:r>
        <w:rPr>
          <w:rFonts w:ascii="Arial" w:cs="Arial" w:eastAsia="Arial" w:hAnsi="Arial"/>
          <w:sz w:val="13"/>
          <w:szCs w:val="13"/>
          <w:color w:val="auto"/>
        </w:rPr>
        <w:t>’</w:t>
      </w:r>
      <w:r>
        <w:rPr>
          <w:rFonts w:ascii="Arial" w:cs="Arial" w:eastAsia="Arial" w:hAnsi="Arial"/>
          <w:sz w:val="11"/>
          <w:szCs w:val="11"/>
          <w:color w:val="auto"/>
        </w:rPr>
        <w:t>S LEGAL NAME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233680</wp:posOffset>
            </wp:positionV>
            <wp:extent cx="57810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78104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240030</wp:posOffset>
            </wp:positionV>
            <wp:extent cx="57810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7810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501650</wp:posOffset>
            </wp:positionV>
            <wp:extent cx="57810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810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763270</wp:posOffset>
            </wp:positionV>
            <wp:extent cx="57810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7810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1024255</wp:posOffset>
            </wp:positionV>
            <wp:extent cx="57810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810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(Print or type assignee’s name, address and zip code)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-12700</wp:posOffset>
            </wp:positionV>
            <wp:extent cx="47250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72503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transfer this Note on the books of the Company. The agent may substitute another to act for him.</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-12700</wp:posOffset>
            </wp:positionV>
            <wp:extent cx="5276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27685" cy="7620"/>
                    </a:xfrm>
                    <a:prstGeom prst="rect">
                      <a:avLst/>
                    </a:prstGeom>
                    <a:noFill/>
                  </pic:spPr>
                </pic:pic>
              </a:graphicData>
            </a:graphic>
          </wp:anchor>
        </w:drawing>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-12700</wp:posOffset>
            </wp:positionV>
            <wp:extent cx="29565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956560" cy="7620"/>
                    </a:xfrm>
                    <a:prstGeom prst="rect">
                      <a:avLst/>
                    </a:prstGeom>
                    <a:noFill/>
                  </pic:spPr>
                </pic:pic>
              </a:graphicData>
            </a:graphic>
          </wp:anchor>
        </w:drawing>
      </w:r>
    </w:p>
    <w:p>
      <w:pPr>
        <w:jc w:val="right"/>
        <w:ind w:right="919"/>
        <w:spacing w:after="0"/>
        <w:rPr>
          <w:sz w:val="20"/>
          <w:szCs w:val="20"/>
          <w:color w:val="auto"/>
        </w:rPr>
      </w:pPr>
      <w:r>
        <w:rPr>
          <w:rFonts w:ascii="Arial" w:cs="Arial" w:eastAsia="Arial" w:hAnsi="Arial"/>
          <w:sz w:val="13"/>
          <w:szCs w:val="13"/>
          <w:color w:val="auto"/>
        </w:rPr>
        <w:t>(Sign exactly as your name appears on the face of this Note)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-12700</wp:posOffset>
            </wp:positionV>
            <wp:extent cx="13989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398905" cy="7620"/>
                    </a:xfrm>
                    <a:prstGeom prst="rect">
                      <a:avLst/>
                    </a:prstGeom>
                    <a:noFill/>
                  </pic:spPr>
                </pic:pic>
              </a:graphicData>
            </a:graphic>
          </wp:anchor>
        </w:drawing>
      </w:r>
    </w:p>
    <w:p>
      <w:pPr>
        <w:spacing w:after="0" w:line="209" w:lineRule="exact"/>
        <w:rPr>
          <w:sz w:val="20"/>
          <w:szCs w:val="20"/>
          <w:color w:val="auto"/>
        </w:rPr>
      </w:pPr>
    </w:p>
    <w:p>
      <w:pPr>
        <w:ind w:left="5060" w:right="1139" w:hanging="5056"/>
        <w:spacing w:after="0" w:line="434" w:lineRule="auto"/>
        <w:tabs>
          <w:tab w:leader="none" w:pos="2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Participant in a recognized Signature Guarantee Medallion Program (or other signature guarantor acceptable to the Trustee). 9</w:t>
      </w:r>
    </w:p>
    <w:p>
      <w:pPr>
        <w:sectPr>
          <w:pgSz w:w="11900" w:h="16838" w:orient="portrait"/>
          <w:cols w:equalWidth="0" w:num="1">
            <w:col w:w="9599"/>
          </w:cols>
          <w:pgMar w:left="860" w:top="264" w:right="1440" w:bottom="1440" w:gutter="0" w:footer="0" w:header="0"/>
        </w:sectPr>
      </w:pPr>
    </w:p>
    <w:bookmarkStart w:id="23" w:name="page24"/>
    <w:bookmarkEnd w:id="23"/>
    <w:p>
      <w:pPr>
        <w:jc w:val="center"/>
        <w:ind w:right="-1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98055" cy="36195"/>
                    </a:xfrm>
                    <a:prstGeom prst="rect">
                      <a:avLst/>
                    </a:prstGeom>
                    <a:noFill/>
                  </pic:spPr>
                </pic:pic>
              </a:graphicData>
            </a:graphic>
          </wp:anchor>
        </w:drawing>
        <w:t>OPTION OF HOLDER TO ELECT PURCHASE</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you want to elect to have this Note purchased by the Company pursuant to Section 13.01 of the Indenture, check the box below:</w:t>
      </w:r>
    </w:p>
    <w:p>
      <w:pPr>
        <w:spacing w:after="0" w:line="227" w:lineRule="exact"/>
        <w:rPr>
          <w:sz w:val="20"/>
          <w:szCs w:val="20"/>
          <w:color w:val="auto"/>
        </w:rPr>
      </w:pPr>
    </w:p>
    <w:p>
      <w:pPr>
        <w:ind w:left="1560" w:hanging="233"/>
        <w:spacing w:after="0"/>
        <w:tabs>
          <w:tab w:leader="none" w:pos="1560"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Section 13.01</w:t>
      </w:r>
    </w:p>
    <w:p>
      <w:pPr>
        <w:spacing w:after="0" w:line="204" w:lineRule="exact"/>
        <w:rPr>
          <w:sz w:val="20"/>
          <w:szCs w:val="20"/>
          <w:color w:val="auto"/>
        </w:rPr>
      </w:pPr>
    </w:p>
    <w:p>
      <w:pPr>
        <w:ind w:firstLine="916"/>
        <w:spacing w:after="0" w:line="265" w:lineRule="auto"/>
        <w:rPr>
          <w:sz w:val="20"/>
          <w:szCs w:val="20"/>
          <w:color w:val="auto"/>
        </w:rPr>
      </w:pPr>
      <w:r>
        <w:rPr>
          <w:rFonts w:ascii="Arial" w:cs="Arial" w:eastAsia="Arial" w:hAnsi="Arial"/>
          <w:sz w:val="17"/>
          <w:szCs w:val="17"/>
          <w:color w:val="auto"/>
        </w:rPr>
        <w:t>If you want to elect to have only part of the Note purchased by the Company pursuant to Section 13.01 of the Indenture, state the amount you elect to have purchased:</w:t>
      </w:r>
    </w:p>
    <w:p>
      <w:pPr>
        <w:spacing w:after="0" w:line="167"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-12700</wp:posOffset>
            </wp:positionV>
            <wp:extent cx="12934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-12700</wp:posOffset>
            </wp:positionV>
            <wp:extent cx="9505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spacing w:after="0" w:line="20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-12700</wp:posOffset>
            </wp:positionV>
            <wp:extent cx="84455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4455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113665</wp:posOffset>
            </wp:positionV>
            <wp:extent cx="17157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15770" cy="7620"/>
                    </a:xfrm>
                    <a:prstGeom prst="rect">
                      <a:avLst/>
                    </a:prstGeom>
                    <a:noFill/>
                  </pic:spPr>
                </pic:pic>
              </a:graphicData>
            </a:graphic>
          </wp:anchor>
        </w:drawing>
      </w:r>
    </w:p>
    <w:p>
      <w:pPr>
        <w:spacing w:after="0" w:line="178" w:lineRule="exact"/>
        <w:rPr>
          <w:sz w:val="20"/>
          <w:szCs w:val="20"/>
          <w:color w:val="auto"/>
        </w:rPr>
      </w:pPr>
    </w:p>
    <w:p>
      <w:pPr>
        <w:ind w:left="7180"/>
        <w:spacing w:after="0"/>
        <w:rPr>
          <w:sz w:val="20"/>
          <w:szCs w:val="20"/>
          <w:color w:val="auto"/>
        </w:rPr>
      </w:pPr>
      <w:r>
        <w:rPr>
          <w:rFonts w:ascii="Arial" w:cs="Arial" w:eastAsia="Arial" w:hAnsi="Arial"/>
          <w:sz w:val="13"/>
          <w:szCs w:val="13"/>
          <w:color w:val="auto"/>
        </w:rPr>
        <w:t>(Sign exactly</w:t>
      </w:r>
    </w:p>
    <w:p>
      <w:pPr>
        <w:ind w:left="6120"/>
        <w:spacing w:after="0"/>
        <w:rPr>
          <w:sz w:val="20"/>
          <w:szCs w:val="20"/>
          <w:color w:val="auto"/>
        </w:rPr>
      </w:pPr>
      <w:r>
        <w:rPr>
          <w:rFonts w:ascii="Arial" w:cs="Arial" w:eastAsia="Arial" w:hAnsi="Arial"/>
          <w:sz w:val="13"/>
          <w:szCs w:val="13"/>
          <w:color w:val="auto"/>
        </w:rPr>
        <w:t>as your name appears on the face of this Note)</w:t>
      </w:r>
    </w:p>
    <w:p>
      <w:pPr>
        <w:spacing w:after="0" w:line="18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-12700</wp:posOffset>
            </wp:positionV>
            <wp:extent cx="7658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6581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113665</wp:posOffset>
            </wp:positionV>
            <wp:extent cx="15049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04950" cy="76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-12700</wp:posOffset>
            </wp:positionV>
            <wp:extent cx="13989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398905" cy="7620"/>
                    </a:xfrm>
                    <a:prstGeom prst="rect">
                      <a:avLst/>
                    </a:prstGeom>
                    <a:noFill/>
                  </pic:spPr>
                </pic:pic>
              </a:graphicData>
            </a:graphic>
          </wp:anchor>
        </w:drawing>
      </w:r>
    </w:p>
    <w:p>
      <w:pPr>
        <w:spacing w:after="0" w:line="209" w:lineRule="exact"/>
        <w:rPr>
          <w:sz w:val="20"/>
          <w:szCs w:val="20"/>
          <w:color w:val="auto"/>
        </w:rPr>
      </w:pPr>
    </w:p>
    <w:p>
      <w:pPr>
        <w:ind w:left="5020" w:right="1580" w:hanging="5016"/>
        <w:spacing w:after="0" w:line="434" w:lineRule="auto"/>
        <w:tabs>
          <w:tab w:leader="none" w:pos="2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Participant in a recognized Signature Guarantee Medallion Program (or other signature guarantor acceptable to the Trustee). 10</w:t>
      </w:r>
    </w:p>
    <w:p>
      <w:pPr>
        <w:sectPr>
          <w:pgSz w:w="11900" w:h="16838" w:orient="portrait"/>
          <w:cols w:equalWidth="0" w:num="1">
            <w:col w:w="10040"/>
          </w:cols>
          <w:pgMar w:left="860" w:top="264" w:right="9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40" w:type="dxa"/>
            <w:vAlign w:val="bottom"/>
            <w:gridSpan w:val="9"/>
          </w:tcPr>
          <w:p>
            <w:pPr>
              <w:jc w:val="center"/>
              <w:ind w:right="400"/>
              <w:spacing w:after="0"/>
              <w:rPr>
                <w:sz w:val="20"/>
                <w:szCs w:val="20"/>
                <w:color w:val="auto"/>
              </w:rPr>
            </w:pPr>
            <w:r>
              <w:rPr>
                <w:rFonts w:ascii="Arial" w:cs="Arial" w:eastAsia="Arial" w:hAnsi="Arial"/>
                <w:sz w:val="17"/>
                <w:szCs w:val="17"/>
                <w:color w:val="auto"/>
                <w:w w:val="93"/>
              </w:rPr>
              <w:t>SCHEDULE OF INCREASES AND DECREASES OF GLOBAL NOTE</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62"/>
        </w:trPr>
        <w:tc>
          <w:tcPr>
            <w:tcW w:w="280" w:type="dxa"/>
            <w:vAlign w:val="bottom"/>
          </w:tcPr>
          <w:p>
            <w:pPr>
              <w:spacing w:after="0"/>
              <w:rPr>
                <w:sz w:val="24"/>
                <w:szCs w:val="24"/>
                <w:color w:val="auto"/>
              </w:rPr>
            </w:pPr>
          </w:p>
        </w:tc>
        <w:tc>
          <w:tcPr>
            <w:tcW w:w="3820" w:type="dxa"/>
            <w:vAlign w:val="bottom"/>
            <w:gridSpan w:val="6"/>
          </w:tcPr>
          <w:p>
            <w:pPr>
              <w:ind w:left="240"/>
              <w:spacing w:after="0"/>
              <w:rPr>
                <w:sz w:val="20"/>
                <w:szCs w:val="20"/>
                <w:color w:val="auto"/>
              </w:rPr>
            </w:pPr>
            <w:r>
              <w:rPr>
                <w:rFonts w:ascii="Arial" w:cs="Arial" w:eastAsia="Arial" w:hAnsi="Arial"/>
                <w:sz w:val="17"/>
                <w:szCs w:val="17"/>
                <w:color w:val="auto"/>
                <w:w w:val="93"/>
              </w:rPr>
              <w:t>The Initial principal amount of this Global Note is $</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60" w:type="dxa"/>
            <w:vAlign w:val="bottom"/>
            <w:gridSpan w:val="7"/>
          </w:tcPr>
          <w:p>
            <w:pPr>
              <w:ind w:left="60"/>
              <w:spacing w:after="0"/>
              <w:rPr>
                <w:sz w:val="20"/>
                <w:szCs w:val="20"/>
                <w:color w:val="auto"/>
              </w:rPr>
            </w:pPr>
            <w:r>
              <w:rPr>
                <w:rFonts w:ascii="Arial" w:cs="Arial" w:eastAsia="Arial" w:hAnsi="Arial"/>
                <w:sz w:val="17"/>
                <w:szCs w:val="17"/>
                <w:color w:val="auto"/>
                <w:w w:val="87"/>
              </w:rPr>
              <w:t>. The following increases and decreases to this Global Note have</w:t>
            </w:r>
          </w:p>
        </w:tc>
      </w:tr>
      <w:tr>
        <w:trPr>
          <w:trHeight w:val="217"/>
        </w:trPr>
        <w:tc>
          <w:tcPr>
            <w:tcW w:w="1460" w:type="dxa"/>
            <w:vAlign w:val="bottom"/>
            <w:gridSpan w:val="3"/>
          </w:tcPr>
          <w:p>
            <w:pPr>
              <w:jc w:val="center"/>
              <w:ind w:right="420"/>
              <w:spacing w:after="0"/>
              <w:rPr>
                <w:sz w:val="20"/>
                <w:szCs w:val="20"/>
                <w:color w:val="auto"/>
              </w:rPr>
            </w:pPr>
            <w:r>
              <w:rPr>
                <w:rFonts w:ascii="Arial" w:cs="Arial" w:eastAsia="Arial" w:hAnsi="Arial"/>
                <w:sz w:val="17"/>
                <w:szCs w:val="17"/>
                <w:color w:val="auto"/>
                <w:w w:val="84"/>
              </w:rPr>
              <w:t>been made:</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46"/>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3"/>
                <w:szCs w:val="13"/>
                <w:color w:val="auto"/>
                <w:w w:val="95"/>
              </w:rPr>
              <w:t>Principal Amount at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7"/>
        </w:trPr>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40" w:type="dxa"/>
            <w:vAlign w:val="bottom"/>
            <w:gridSpan w:val="4"/>
          </w:tcPr>
          <w:p>
            <w:pPr>
              <w:jc w:val="center"/>
              <w:ind w:right="520"/>
              <w:spacing w:after="0" w:line="138" w:lineRule="exact"/>
              <w:rPr>
                <w:sz w:val="20"/>
                <w:szCs w:val="20"/>
                <w:color w:val="auto"/>
              </w:rPr>
            </w:pPr>
            <w:r>
              <w:rPr>
                <w:rFonts w:ascii="Arial" w:cs="Arial" w:eastAsia="Arial" w:hAnsi="Arial"/>
                <w:sz w:val="13"/>
                <w:szCs w:val="13"/>
                <w:color w:val="auto"/>
                <w:w w:val="93"/>
              </w:rPr>
              <w:t>Amount of Decrease in</w:t>
            </w:r>
          </w:p>
        </w:tc>
        <w:tc>
          <w:tcPr>
            <w:tcW w:w="2340" w:type="dxa"/>
            <w:vAlign w:val="bottom"/>
            <w:gridSpan w:val="4"/>
          </w:tcPr>
          <w:p>
            <w:pPr>
              <w:jc w:val="center"/>
              <w:ind w:right="960"/>
              <w:spacing w:after="0" w:line="138" w:lineRule="exact"/>
              <w:rPr>
                <w:sz w:val="20"/>
                <w:szCs w:val="20"/>
                <w:color w:val="auto"/>
              </w:rPr>
            </w:pPr>
            <w:r>
              <w:rPr>
                <w:rFonts w:ascii="Arial" w:cs="Arial" w:eastAsia="Arial" w:hAnsi="Arial"/>
                <w:sz w:val="13"/>
                <w:szCs w:val="13"/>
                <w:color w:val="auto"/>
                <w:w w:val="93"/>
              </w:rPr>
              <w:t>Amount of Increase in</w:t>
            </w:r>
          </w:p>
        </w:tc>
        <w:tc>
          <w:tcPr>
            <w:tcW w:w="1600" w:type="dxa"/>
            <w:vAlign w:val="bottom"/>
            <w:gridSpan w:val="2"/>
          </w:tcPr>
          <w:p>
            <w:pPr>
              <w:jc w:val="center"/>
              <w:ind w:right="460"/>
              <w:spacing w:after="0" w:line="138" w:lineRule="exact"/>
              <w:rPr>
                <w:sz w:val="20"/>
                <w:szCs w:val="20"/>
                <w:color w:val="auto"/>
              </w:rPr>
            </w:pPr>
            <w:r>
              <w:rPr>
                <w:rFonts w:ascii="Arial" w:cs="Arial" w:eastAsia="Arial" w:hAnsi="Arial"/>
                <w:sz w:val="13"/>
                <w:szCs w:val="13"/>
                <w:color w:val="auto"/>
                <w:w w:val="99"/>
              </w:rPr>
              <w:t>Maturity</w:t>
            </w:r>
          </w:p>
        </w:tc>
        <w:tc>
          <w:tcPr>
            <w:tcW w:w="1620" w:type="dxa"/>
            <w:vAlign w:val="bottom"/>
            <w:gridSpan w:val="3"/>
          </w:tcPr>
          <w:p>
            <w:pPr>
              <w:jc w:val="center"/>
              <w:ind w:left="334"/>
              <w:spacing w:after="0" w:line="138" w:lineRule="exact"/>
              <w:rPr>
                <w:sz w:val="20"/>
                <w:szCs w:val="20"/>
                <w:color w:val="auto"/>
              </w:rPr>
            </w:pPr>
            <w:r>
              <w:rPr>
                <w:rFonts w:ascii="Arial" w:cs="Arial" w:eastAsia="Arial" w:hAnsi="Arial"/>
                <w:sz w:val="13"/>
                <w:szCs w:val="13"/>
                <w:color w:val="auto"/>
                <w:w w:val="94"/>
              </w:rPr>
              <w:t>Signature of</w:t>
            </w:r>
          </w:p>
        </w:tc>
      </w:tr>
      <w:tr>
        <w:trPr>
          <w:trHeight w:val="137"/>
        </w:trPr>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40" w:type="dxa"/>
            <w:vAlign w:val="bottom"/>
            <w:gridSpan w:val="4"/>
          </w:tcPr>
          <w:p>
            <w:pPr>
              <w:jc w:val="center"/>
              <w:ind w:right="520"/>
              <w:spacing w:after="0" w:line="138" w:lineRule="exact"/>
              <w:rPr>
                <w:sz w:val="20"/>
                <w:szCs w:val="20"/>
                <w:color w:val="auto"/>
              </w:rPr>
            </w:pPr>
            <w:r>
              <w:rPr>
                <w:rFonts w:ascii="Arial" w:cs="Arial" w:eastAsia="Arial" w:hAnsi="Arial"/>
                <w:sz w:val="13"/>
                <w:szCs w:val="13"/>
                <w:color w:val="auto"/>
                <w:w w:val="95"/>
              </w:rPr>
              <w:t>Principal Amount at</w:t>
            </w:r>
          </w:p>
        </w:tc>
        <w:tc>
          <w:tcPr>
            <w:tcW w:w="2340" w:type="dxa"/>
            <w:vAlign w:val="bottom"/>
            <w:gridSpan w:val="4"/>
          </w:tcPr>
          <w:p>
            <w:pPr>
              <w:jc w:val="center"/>
              <w:ind w:right="960"/>
              <w:spacing w:after="0" w:line="138" w:lineRule="exact"/>
              <w:rPr>
                <w:sz w:val="20"/>
                <w:szCs w:val="20"/>
                <w:color w:val="auto"/>
              </w:rPr>
            </w:pPr>
            <w:r>
              <w:rPr>
                <w:rFonts w:ascii="Arial" w:cs="Arial" w:eastAsia="Arial" w:hAnsi="Arial"/>
                <w:sz w:val="13"/>
                <w:szCs w:val="13"/>
                <w:color w:val="auto"/>
                <w:w w:val="94"/>
              </w:rPr>
              <w:t>Principal Amount at</w:t>
            </w:r>
          </w:p>
        </w:tc>
        <w:tc>
          <w:tcPr>
            <w:tcW w:w="1600" w:type="dxa"/>
            <w:vAlign w:val="bottom"/>
            <w:gridSpan w:val="2"/>
          </w:tcPr>
          <w:p>
            <w:pPr>
              <w:jc w:val="center"/>
              <w:ind w:right="460"/>
              <w:spacing w:after="0" w:line="138" w:lineRule="exact"/>
              <w:rPr>
                <w:sz w:val="20"/>
                <w:szCs w:val="20"/>
                <w:color w:val="auto"/>
              </w:rPr>
            </w:pPr>
            <w:r>
              <w:rPr>
                <w:rFonts w:ascii="Arial" w:cs="Arial" w:eastAsia="Arial" w:hAnsi="Arial"/>
                <w:sz w:val="13"/>
                <w:szCs w:val="13"/>
                <w:color w:val="auto"/>
                <w:w w:val="95"/>
              </w:rPr>
              <w:t>of this Global Note</w:t>
            </w:r>
          </w:p>
        </w:tc>
        <w:tc>
          <w:tcPr>
            <w:tcW w:w="1620" w:type="dxa"/>
            <w:vAlign w:val="bottom"/>
            <w:gridSpan w:val="3"/>
          </w:tcPr>
          <w:p>
            <w:pPr>
              <w:jc w:val="center"/>
              <w:ind w:left="314"/>
              <w:spacing w:after="0" w:line="138" w:lineRule="exact"/>
              <w:rPr>
                <w:sz w:val="20"/>
                <w:szCs w:val="20"/>
                <w:color w:val="auto"/>
              </w:rPr>
            </w:pPr>
            <w:r>
              <w:rPr>
                <w:rFonts w:ascii="Arial" w:cs="Arial" w:eastAsia="Arial" w:hAnsi="Arial"/>
                <w:sz w:val="13"/>
                <w:szCs w:val="13"/>
                <w:color w:val="auto"/>
                <w:w w:val="96"/>
              </w:rPr>
              <w:t>Authorized Signatory</w:t>
            </w:r>
          </w:p>
        </w:tc>
      </w:tr>
      <w:tr>
        <w:trPr>
          <w:trHeight w:val="141"/>
        </w:trPr>
        <w:tc>
          <w:tcPr>
            <w:tcW w:w="1460" w:type="dxa"/>
            <w:vAlign w:val="bottom"/>
            <w:gridSpan w:val="3"/>
          </w:tcPr>
          <w:p>
            <w:pPr>
              <w:jc w:val="center"/>
              <w:ind w:right="440"/>
              <w:spacing w:after="0" w:line="141" w:lineRule="exact"/>
              <w:rPr>
                <w:sz w:val="20"/>
                <w:szCs w:val="20"/>
                <w:color w:val="auto"/>
              </w:rPr>
            </w:pPr>
            <w:r>
              <w:rPr>
                <w:rFonts w:ascii="Arial" w:cs="Arial" w:eastAsia="Arial" w:hAnsi="Arial"/>
                <w:sz w:val="13"/>
                <w:szCs w:val="13"/>
                <w:color w:val="auto"/>
                <w:w w:val="92"/>
              </w:rPr>
              <w:t>Date of Increase or</w:t>
            </w:r>
          </w:p>
        </w:tc>
        <w:tc>
          <w:tcPr>
            <w:tcW w:w="540" w:type="dxa"/>
            <w:vAlign w:val="bottom"/>
          </w:tcPr>
          <w:p>
            <w:pPr>
              <w:spacing w:after="0"/>
              <w:rPr>
                <w:sz w:val="12"/>
                <w:szCs w:val="12"/>
                <w:color w:val="auto"/>
              </w:rPr>
            </w:pPr>
          </w:p>
        </w:tc>
        <w:tc>
          <w:tcPr>
            <w:tcW w:w="2100" w:type="dxa"/>
            <w:vAlign w:val="bottom"/>
            <w:gridSpan w:val="3"/>
          </w:tcPr>
          <w:p>
            <w:pPr>
              <w:jc w:val="center"/>
              <w:ind w:right="1060"/>
              <w:spacing w:after="0" w:line="141" w:lineRule="exact"/>
              <w:rPr>
                <w:sz w:val="20"/>
                <w:szCs w:val="20"/>
                <w:color w:val="auto"/>
              </w:rPr>
            </w:pPr>
            <w:r>
              <w:rPr>
                <w:rFonts w:ascii="Arial" w:cs="Arial" w:eastAsia="Arial" w:hAnsi="Arial"/>
                <w:sz w:val="13"/>
                <w:szCs w:val="13"/>
                <w:color w:val="auto"/>
              </w:rPr>
              <w:t>Maturity</w:t>
            </w:r>
          </w:p>
        </w:tc>
        <w:tc>
          <w:tcPr>
            <w:tcW w:w="180" w:type="dxa"/>
            <w:vAlign w:val="bottom"/>
          </w:tcPr>
          <w:p>
            <w:pPr>
              <w:spacing w:after="0"/>
              <w:rPr>
                <w:sz w:val="12"/>
                <w:szCs w:val="12"/>
                <w:color w:val="auto"/>
              </w:rPr>
            </w:pPr>
          </w:p>
        </w:tc>
        <w:tc>
          <w:tcPr>
            <w:tcW w:w="2160" w:type="dxa"/>
            <w:vAlign w:val="bottom"/>
            <w:gridSpan w:val="3"/>
          </w:tcPr>
          <w:p>
            <w:pPr>
              <w:jc w:val="center"/>
              <w:ind w:right="1140"/>
              <w:spacing w:after="0" w:line="141" w:lineRule="exact"/>
              <w:rPr>
                <w:sz w:val="20"/>
                <w:szCs w:val="20"/>
                <w:color w:val="auto"/>
              </w:rPr>
            </w:pPr>
            <w:r>
              <w:rPr>
                <w:rFonts w:ascii="Arial" w:cs="Arial" w:eastAsia="Arial" w:hAnsi="Arial"/>
                <w:sz w:val="13"/>
                <w:szCs w:val="13"/>
                <w:color w:val="auto"/>
                <w:w w:val="99"/>
              </w:rPr>
              <w:t>Maturity</w:t>
            </w:r>
          </w:p>
        </w:tc>
        <w:tc>
          <w:tcPr>
            <w:tcW w:w="1600" w:type="dxa"/>
            <w:vAlign w:val="bottom"/>
            <w:gridSpan w:val="2"/>
          </w:tcPr>
          <w:p>
            <w:pPr>
              <w:jc w:val="center"/>
              <w:ind w:right="460"/>
              <w:spacing w:after="0" w:line="141" w:lineRule="exact"/>
              <w:rPr>
                <w:sz w:val="20"/>
                <w:szCs w:val="20"/>
                <w:color w:val="auto"/>
              </w:rPr>
            </w:pPr>
            <w:r>
              <w:rPr>
                <w:rFonts w:ascii="Arial" w:cs="Arial" w:eastAsia="Arial" w:hAnsi="Arial"/>
                <w:sz w:val="13"/>
                <w:szCs w:val="13"/>
                <w:color w:val="auto"/>
                <w:w w:val="95"/>
              </w:rPr>
              <w:t>Following such</w:t>
            </w:r>
          </w:p>
        </w:tc>
        <w:tc>
          <w:tcPr>
            <w:tcW w:w="1620" w:type="dxa"/>
            <w:vAlign w:val="bottom"/>
            <w:gridSpan w:val="3"/>
          </w:tcPr>
          <w:p>
            <w:pPr>
              <w:jc w:val="center"/>
              <w:ind w:left="334"/>
              <w:spacing w:after="0" w:line="141" w:lineRule="exact"/>
              <w:rPr>
                <w:sz w:val="20"/>
                <w:szCs w:val="20"/>
                <w:color w:val="auto"/>
              </w:rPr>
            </w:pPr>
            <w:r>
              <w:rPr>
                <w:rFonts w:ascii="Arial" w:cs="Arial" w:eastAsia="Arial" w:hAnsi="Arial"/>
                <w:sz w:val="13"/>
                <w:szCs w:val="13"/>
                <w:color w:val="auto"/>
                <w:w w:val="94"/>
              </w:rPr>
              <w:t>of Trustee or DTC</w:t>
            </w:r>
          </w:p>
        </w:tc>
      </w:tr>
      <w:tr>
        <w:trPr>
          <w:trHeight w:val="157"/>
        </w:trPr>
        <w:tc>
          <w:tcPr>
            <w:tcW w:w="280" w:type="dxa"/>
            <w:vAlign w:val="bottom"/>
          </w:tcPr>
          <w:p>
            <w:pPr>
              <w:spacing w:after="0"/>
              <w:rPr>
                <w:sz w:val="13"/>
                <w:szCs w:val="13"/>
                <w:color w:val="auto"/>
              </w:rPr>
            </w:pPr>
          </w:p>
        </w:tc>
        <w:tc>
          <w:tcPr>
            <w:tcW w:w="1180" w:type="dxa"/>
            <w:vAlign w:val="bottom"/>
            <w:gridSpan w:val="2"/>
          </w:tcPr>
          <w:p>
            <w:pPr>
              <w:jc w:val="center"/>
              <w:ind w:right="700"/>
              <w:spacing w:after="0" w:line="118" w:lineRule="exact"/>
              <w:rPr>
                <w:sz w:val="20"/>
                <w:szCs w:val="20"/>
                <w:color w:val="auto"/>
              </w:rPr>
            </w:pPr>
            <w:r>
              <w:rPr>
                <w:rFonts w:ascii="Arial" w:cs="Arial" w:eastAsia="Arial" w:hAnsi="Arial"/>
                <w:sz w:val="13"/>
                <w:szCs w:val="13"/>
                <w:color w:val="auto"/>
                <w:w w:val="86"/>
              </w:rPr>
              <w:t>Decrease</w:t>
            </w:r>
          </w:p>
        </w:tc>
        <w:tc>
          <w:tcPr>
            <w:tcW w:w="540" w:type="dxa"/>
            <w:vAlign w:val="bottom"/>
          </w:tcPr>
          <w:p>
            <w:pPr>
              <w:spacing w:after="0"/>
              <w:rPr>
                <w:sz w:val="13"/>
                <w:szCs w:val="13"/>
                <w:color w:val="auto"/>
              </w:rPr>
            </w:pPr>
          </w:p>
        </w:tc>
        <w:tc>
          <w:tcPr>
            <w:tcW w:w="2100" w:type="dxa"/>
            <w:vAlign w:val="bottom"/>
            <w:gridSpan w:val="3"/>
          </w:tcPr>
          <w:p>
            <w:pPr>
              <w:jc w:val="center"/>
              <w:ind w:right="1080"/>
              <w:spacing w:after="0" w:line="118" w:lineRule="exact"/>
              <w:rPr>
                <w:sz w:val="20"/>
                <w:szCs w:val="20"/>
                <w:color w:val="auto"/>
              </w:rPr>
            </w:pPr>
            <w:r>
              <w:rPr>
                <w:rFonts w:ascii="Arial" w:cs="Arial" w:eastAsia="Arial" w:hAnsi="Arial"/>
                <w:sz w:val="13"/>
                <w:szCs w:val="13"/>
                <w:color w:val="auto"/>
                <w:w w:val="95"/>
              </w:rPr>
              <w:t>of this Global Note</w:t>
            </w:r>
          </w:p>
        </w:tc>
        <w:tc>
          <w:tcPr>
            <w:tcW w:w="180" w:type="dxa"/>
            <w:vAlign w:val="bottom"/>
          </w:tcPr>
          <w:p>
            <w:pPr>
              <w:spacing w:after="0"/>
              <w:rPr>
                <w:sz w:val="13"/>
                <w:szCs w:val="13"/>
                <w:color w:val="auto"/>
              </w:rPr>
            </w:pPr>
          </w:p>
        </w:tc>
        <w:tc>
          <w:tcPr>
            <w:tcW w:w="2160" w:type="dxa"/>
            <w:vAlign w:val="bottom"/>
            <w:gridSpan w:val="3"/>
          </w:tcPr>
          <w:p>
            <w:pPr>
              <w:jc w:val="center"/>
              <w:ind w:right="1140"/>
              <w:spacing w:after="0" w:line="118" w:lineRule="exact"/>
              <w:rPr>
                <w:sz w:val="20"/>
                <w:szCs w:val="20"/>
                <w:color w:val="auto"/>
              </w:rPr>
            </w:pPr>
            <w:r>
              <w:rPr>
                <w:rFonts w:ascii="Arial" w:cs="Arial" w:eastAsia="Arial" w:hAnsi="Arial"/>
                <w:sz w:val="13"/>
                <w:szCs w:val="13"/>
                <w:color w:val="auto"/>
                <w:w w:val="95"/>
              </w:rPr>
              <w:t>of this Global Note</w:t>
            </w:r>
          </w:p>
        </w:tc>
        <w:tc>
          <w:tcPr>
            <w:tcW w:w="1600" w:type="dxa"/>
            <w:vAlign w:val="bottom"/>
            <w:gridSpan w:val="2"/>
          </w:tcPr>
          <w:p>
            <w:pPr>
              <w:jc w:val="center"/>
              <w:ind w:right="440"/>
              <w:spacing w:after="0" w:line="118" w:lineRule="exact"/>
              <w:rPr>
                <w:sz w:val="20"/>
                <w:szCs w:val="20"/>
                <w:color w:val="auto"/>
              </w:rPr>
            </w:pPr>
            <w:r>
              <w:rPr>
                <w:rFonts w:ascii="Arial" w:cs="Arial" w:eastAsia="Arial" w:hAnsi="Arial"/>
                <w:sz w:val="13"/>
                <w:szCs w:val="13"/>
                <w:color w:val="auto"/>
                <w:w w:val="89"/>
              </w:rPr>
              <w:t>decrease (or increase)</w:t>
            </w:r>
          </w:p>
        </w:tc>
        <w:tc>
          <w:tcPr>
            <w:tcW w:w="1620" w:type="dxa"/>
            <w:vAlign w:val="bottom"/>
            <w:gridSpan w:val="3"/>
          </w:tcPr>
          <w:p>
            <w:pPr>
              <w:jc w:val="center"/>
              <w:ind w:left="334"/>
              <w:spacing w:after="0" w:line="118" w:lineRule="exact"/>
              <w:rPr>
                <w:sz w:val="20"/>
                <w:szCs w:val="20"/>
                <w:color w:val="auto"/>
              </w:rPr>
            </w:pPr>
            <w:r>
              <w:rPr>
                <w:rFonts w:ascii="Arial" w:cs="Arial" w:eastAsia="Arial" w:hAnsi="Arial"/>
                <w:sz w:val="13"/>
                <w:szCs w:val="13"/>
                <w:color w:val="auto"/>
                <w:w w:val="92"/>
              </w:rPr>
              <w:t>Custodian</w:t>
            </w:r>
          </w:p>
        </w:tc>
      </w:tr>
      <w:tr>
        <w:trPr>
          <w:trHeight w:val="322"/>
        </w:trPr>
        <w:tc>
          <w:tcPr>
            <w:tcW w:w="2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60"/>
          </w:cols>
          <w:pgMar w:left="1140" w:top="264" w:right="1099" w:bottom="1440" w:gutter="0" w:footer="0" w:header="0"/>
        </w:sect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98055" cy="36195"/>
                    </a:xfrm>
                    <a:prstGeom prst="rect">
                      <a:avLst/>
                    </a:prstGeom>
                    <a:noFill/>
                  </pic:spPr>
                </pic:pic>
              </a:graphicData>
            </a:graphic>
          </wp:anchor>
        </w:drawing>
      </w:r>
    </w:p>
    <w:bookmarkStart w:id="25" w:name="page26"/>
    <w:bookmarkEnd w:id="25"/>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6918960" cy="2947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18960" cy="294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November 1, 2019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301 Commerce Street, Suite 3300</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Fort Worth, TX 76102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have acted as counsel to TPG Specialty Lending,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the Company’s offering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pursuant to a registration statement on Form N-2 (No. 333-231271), as amended as of October 25, 2019 for purposes of Rule 430C(a) under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(as so amended, including the documents incorporated by reference therein, but excluding</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Exhibit (d)(3),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and the prospectus, dated May 7, 2019 (including the documents incorporated by reference therein, the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Prospectus</w:t>
      </w:r>
      <w:r>
        <w:rPr>
          <w:rFonts w:ascii="Arial" w:cs="Arial" w:eastAsia="Arial" w:hAnsi="Arial"/>
          <w:sz w:val="14"/>
          <w:szCs w:val="14"/>
          <w:color w:val="auto"/>
        </w:rPr>
        <w:t>”), as supplemented by the prospectus supplement, dated October 25, 2019 (including the documents incorporated by reference therein,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Prospectus Supplement</w:t>
      </w:r>
      <w:r>
        <w:rPr>
          <w:rFonts w:ascii="Arial" w:cs="Arial" w:eastAsia="Arial" w:hAnsi="Arial"/>
          <w:sz w:val="15"/>
          <w:szCs w:val="15"/>
          <w:color w:val="auto"/>
        </w:rPr>
        <w:t>” and, together with the Base Prospectus, the “</w:t>
      </w:r>
      <w:r>
        <w:rPr>
          <w:rFonts w:ascii="Arial" w:cs="Arial" w:eastAsia="Arial" w:hAnsi="Arial"/>
          <w:sz w:val="15"/>
          <w:szCs w:val="15"/>
          <w:u w:val="single" w:color="auto"/>
          <w:color w:val="auto"/>
        </w:rPr>
        <w:t>Prospectus</w:t>
      </w:r>
      <w:r>
        <w:rPr>
          <w:rFonts w:ascii="Arial" w:cs="Arial" w:eastAsia="Arial" w:hAnsi="Arial"/>
          <w:sz w:val="15"/>
          <w:szCs w:val="15"/>
          <w:color w:val="auto"/>
        </w:rPr>
        <w:t>”), of $300,000,000 aggregate principal amount of 3.875% Notes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due 2024 (the “</w:t>
      </w:r>
      <w:r>
        <w:rPr>
          <w:rFonts w:ascii="Arial" w:cs="Arial" w:eastAsia="Arial" w:hAnsi="Arial"/>
          <w:sz w:val="15"/>
          <w:szCs w:val="15"/>
          <w:u w:val="single" w:color="auto"/>
          <w:color w:val="auto"/>
        </w:rPr>
        <w:t>Securities</w:t>
      </w:r>
      <w:r>
        <w:rPr>
          <w:rFonts w:ascii="Arial" w:cs="Arial" w:eastAsia="Arial" w:hAnsi="Arial"/>
          <w:sz w:val="15"/>
          <w:szCs w:val="15"/>
          <w:color w:val="auto"/>
        </w:rPr>
        <w:t>”). The Securities were issued pursuant to an indenture dated as of January 22, 2018 (the “</w:t>
      </w:r>
      <w:r>
        <w:rPr>
          <w:rFonts w:ascii="Arial" w:cs="Arial" w:eastAsia="Arial" w:hAnsi="Arial"/>
          <w:sz w:val="15"/>
          <w:szCs w:val="15"/>
          <w:u w:val="single" w:color="auto"/>
          <w:color w:val="auto"/>
        </w:rPr>
        <w:t>Base Indenture</w:t>
      </w:r>
      <w:r>
        <w:rPr>
          <w:rFonts w:ascii="Arial" w:cs="Arial" w:eastAsia="Arial" w:hAnsi="Arial"/>
          <w:sz w:val="15"/>
          <w:szCs w:val="15"/>
          <w:color w:val="auto"/>
        </w:rPr>
        <w:t>”) between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Company and Wells Fargo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with respect to the Securities by the Second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Supplemental Indenture thereto dated as of November 1, 2019 (the “</w:t>
      </w:r>
      <w:r>
        <w:rPr>
          <w:rFonts w:ascii="Arial" w:cs="Arial" w:eastAsia="Arial" w:hAnsi="Arial"/>
          <w:sz w:val="15"/>
          <w:szCs w:val="15"/>
          <w:u w:val="single" w:color="auto"/>
          <w:color w:val="auto"/>
        </w:rPr>
        <w:t>Supplemental Indenture</w:t>
      </w:r>
      <w:r>
        <w:rPr>
          <w:rFonts w:ascii="Arial" w:cs="Arial" w:eastAsia="Arial" w:hAnsi="Arial"/>
          <w:sz w:val="15"/>
          <w:szCs w:val="15"/>
          <w:color w:val="auto"/>
        </w:rPr>
        <w:t>” and, together with the Base Indenture, the “</w:t>
      </w:r>
      <w:r>
        <w:rPr>
          <w:rFonts w:ascii="Arial" w:cs="Arial" w:eastAsia="Arial" w:hAnsi="Arial"/>
          <w:sz w:val="15"/>
          <w:szCs w:val="15"/>
          <w:u w:val="single" w:color="auto"/>
          <w:color w:val="auto"/>
        </w:rPr>
        <w:t>Indenture</w:t>
      </w:r>
      <w:r>
        <w:rPr>
          <w:rFonts w:ascii="Arial" w:cs="Arial" w:eastAsia="Arial" w:hAnsi="Arial"/>
          <w:sz w:val="15"/>
          <w:szCs w:val="15"/>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between the Company and the Trustee.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arriving at the opinion expressed below, we have reviewed the following documents:</w:t>
      </w:r>
    </w:p>
    <w:p>
      <w:pPr>
        <w:spacing w:after="0" w:line="116" w:lineRule="exact"/>
        <w:rPr>
          <w:sz w:val="20"/>
          <w:szCs w:val="20"/>
          <w:color w:val="auto"/>
        </w:rPr>
      </w:pPr>
    </w:p>
    <w:p>
      <w:pPr>
        <w:ind w:left="900" w:hanging="497"/>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Registration Statement;</w:t>
      </w:r>
    </w:p>
    <w:p>
      <w:pPr>
        <w:spacing w:after="0" w:line="116" w:lineRule="exact"/>
        <w:rPr>
          <w:rFonts w:ascii="Arial" w:cs="Arial" w:eastAsia="Arial" w:hAnsi="Arial"/>
          <w:sz w:val="17"/>
          <w:szCs w:val="17"/>
          <w:color w:val="auto"/>
        </w:rPr>
      </w:pPr>
    </w:p>
    <w:p>
      <w:pPr>
        <w:ind w:left="900" w:hanging="497"/>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Prospectus;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Cleary Gottlieb Steen &amp; Hamilton LLP or an affiliated entity has an office in each of the cities listed above.</w:t>
      </w:r>
    </w:p>
    <w:p>
      <w:pPr>
        <w:sectPr>
          <w:pgSz w:w="11900" w:h="16838" w:orient="portrait"/>
          <w:cols w:equalWidth="0" w:num="1">
            <w:col w:w="10180"/>
          </w:cols>
          <w:pgMar w:left="860" w:top="123" w:right="8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TPG Specialty Lending, Inc., p. 2</w:t>
      </w:r>
    </w:p>
    <w:p>
      <w:pPr>
        <w:spacing w:after="0" w:line="141" w:lineRule="exact"/>
        <w:rPr>
          <w:sz w:val="20"/>
          <w:szCs w:val="20"/>
          <w:color w:val="auto"/>
        </w:rPr>
      </w:pPr>
    </w:p>
    <w:p>
      <w:pPr>
        <w:ind w:left="900" w:right="440" w:hanging="497"/>
        <w:spacing w:after="0" w:line="265"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executed copy of the Underwriting Agreement, dated October 25, 2019, among the Company, TSL Advisers, LLC and the several underwriters named in Schedule 1 thereto;</w:t>
      </w:r>
    </w:p>
    <w:p>
      <w:pPr>
        <w:spacing w:after="0" w:line="79" w:lineRule="exact"/>
        <w:rPr>
          <w:rFonts w:ascii="Arial" w:cs="Arial" w:eastAsia="Arial" w:hAnsi="Arial"/>
          <w:sz w:val="17"/>
          <w:szCs w:val="17"/>
          <w:color w:val="auto"/>
        </w:rPr>
      </w:pPr>
    </w:p>
    <w:p>
      <w:pPr>
        <w:ind w:left="900" w:hanging="497"/>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copy of the Securities in global form as executed by the Company and authenticated by the Trustee;</w:t>
      </w:r>
    </w:p>
    <w:p>
      <w:pPr>
        <w:spacing w:after="0" w:line="116" w:lineRule="exact"/>
        <w:rPr>
          <w:rFonts w:ascii="Arial" w:cs="Arial" w:eastAsia="Arial" w:hAnsi="Arial"/>
          <w:sz w:val="17"/>
          <w:szCs w:val="17"/>
          <w:color w:val="auto"/>
        </w:rPr>
      </w:pPr>
    </w:p>
    <w:p>
      <w:pPr>
        <w:ind w:left="900" w:hanging="497"/>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executed copies of the Base Indenture and the Supplemental Indenture; and</w:t>
      </w:r>
    </w:p>
    <w:p>
      <w:pPr>
        <w:spacing w:after="0" w:line="116" w:lineRule="exact"/>
        <w:rPr>
          <w:rFonts w:ascii="Arial" w:cs="Arial" w:eastAsia="Arial" w:hAnsi="Arial"/>
          <w:sz w:val="17"/>
          <w:szCs w:val="17"/>
          <w:color w:val="auto"/>
        </w:rPr>
      </w:pPr>
    </w:p>
    <w:p>
      <w:pPr>
        <w:ind w:left="900" w:right="100" w:hanging="497"/>
        <w:spacing w:after="0" w:line="255"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copies of the Company’s Amended and Restated Certificate of Incorporation and Certificate of Amendment to the Amended and Restated Certificate of Incorporation, each certified by the Secretary of State of the State of Delaware, and the Company’s Amended and Restated Bylaws, certified by the Secretary of the Company.</w:t>
      </w:r>
    </w:p>
    <w:p>
      <w:pPr>
        <w:spacing w:after="0" w:line="175" w:lineRule="exact"/>
        <w:rPr>
          <w:sz w:val="20"/>
          <w:szCs w:val="20"/>
          <w:color w:val="auto"/>
        </w:rPr>
      </w:pPr>
    </w:p>
    <w:p>
      <w:pPr>
        <w:jc w:val="both"/>
        <w:ind w:right="240"/>
        <w:spacing w:after="0" w:line="373" w:lineRule="auto"/>
        <w:rPr>
          <w:sz w:val="20"/>
          <w:szCs w:val="20"/>
          <w:color w:val="auto"/>
        </w:rPr>
      </w:pPr>
      <w:r>
        <w:rPr>
          <w:rFonts w:ascii="Arial" w:cs="Arial" w:eastAsia="Arial" w:hAnsi="Arial"/>
          <w:sz w:val="14"/>
          <w:szCs w:val="14"/>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98" w:lineRule="exact"/>
        <w:rPr>
          <w:sz w:val="20"/>
          <w:szCs w:val="20"/>
          <w:color w:val="auto"/>
        </w:rPr>
      </w:pPr>
    </w:p>
    <w:p>
      <w:pPr>
        <w:jc w:val="both"/>
        <w:ind w:right="220" w:firstLine="407"/>
        <w:spacing w:after="0" w:line="255" w:lineRule="auto"/>
        <w:rPr>
          <w:sz w:val="20"/>
          <w:szCs w:val="20"/>
          <w:color w:val="auto"/>
        </w:rPr>
      </w:pPr>
      <w:r>
        <w:rPr>
          <w:rFonts w:ascii="Arial" w:cs="Arial" w:eastAsia="Arial" w:hAnsi="Arial"/>
          <w:sz w:val="17"/>
          <w:szCs w:val="17"/>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5" w:lineRule="exact"/>
        <w:rPr>
          <w:sz w:val="20"/>
          <w:szCs w:val="20"/>
          <w:color w:val="auto"/>
        </w:rPr>
      </w:pPr>
    </w:p>
    <w:p>
      <w:pPr>
        <w:ind w:right="80" w:firstLine="407"/>
        <w:spacing w:after="0" w:line="265" w:lineRule="auto"/>
        <w:rPr>
          <w:sz w:val="20"/>
          <w:szCs w:val="20"/>
          <w:color w:val="auto"/>
        </w:rPr>
      </w:pPr>
      <w:r>
        <w:rPr>
          <w:rFonts w:ascii="Arial" w:cs="Arial" w:eastAsia="Arial" w:hAnsi="Arial"/>
          <w:sz w:val="17"/>
          <w:szCs w:val="17"/>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67" w:lineRule="exact"/>
        <w:rPr>
          <w:sz w:val="20"/>
          <w:szCs w:val="20"/>
          <w:color w:val="auto"/>
        </w:rPr>
      </w:pPr>
    </w:p>
    <w:p>
      <w:pPr>
        <w:ind w:firstLine="407"/>
        <w:spacing w:after="0" w:line="265" w:lineRule="auto"/>
        <w:rPr>
          <w:sz w:val="20"/>
          <w:szCs w:val="20"/>
          <w:color w:val="auto"/>
        </w:rPr>
      </w:pPr>
      <w:r>
        <w:rPr>
          <w:rFonts w:ascii="Arial" w:cs="Arial" w:eastAsia="Arial" w:hAnsi="Arial"/>
          <w:sz w:val="16"/>
          <w:szCs w:val="16"/>
          <w:color w:val="auto"/>
        </w:rPr>
        <w:t>Insofar as the foregoing opinion relates to the valid existence and good standing of the Company or any subsidiary of the Company, it is based solely on confirmation from public officials. Insofar as the foregoing opinion relates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 is subject to applicable bankruptcy, insolvency and similar laws affecting creditors’ rights generally and to general principles of equity.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foregoing opinion is limited to the law of the State of New York and the General Corporation Law of the State of Delaware.</w:t>
      </w:r>
    </w:p>
    <w:p>
      <w:pPr>
        <w:spacing w:after="0" w:line="204" w:lineRule="exact"/>
        <w:rPr>
          <w:sz w:val="20"/>
          <w:szCs w:val="20"/>
          <w:color w:val="auto"/>
        </w:rPr>
      </w:pPr>
    </w:p>
    <w:p>
      <w:pPr>
        <w:ind w:right="60" w:firstLine="407"/>
        <w:spacing w:after="0" w:line="265" w:lineRule="auto"/>
        <w:rPr>
          <w:sz w:val="20"/>
          <w:szCs w:val="20"/>
          <w:color w:val="auto"/>
        </w:rPr>
      </w:pPr>
      <w:r>
        <w:rPr>
          <w:rFonts w:ascii="Arial" w:cs="Arial" w:eastAsia="Arial" w:hAnsi="Arial"/>
          <w:sz w:val="17"/>
          <w:szCs w:val="17"/>
          <w:color w:val="auto"/>
        </w:rPr>
        <w:t>We hereby consent to the use of our name in the Prospectus Supplement and the Prospectus under the headings “Legal Matters” as counsel for the Company that has passed on</w:t>
      </w:r>
    </w:p>
    <w:p>
      <w:pPr>
        <w:sectPr>
          <w:pgSz w:w="11900" w:h="16838" w:orient="portrait"/>
          <w:cols w:equalWidth="0" w:num="1">
            <w:col w:w="10180"/>
          </w:cols>
          <w:pgMar w:left="860" w:top="264" w:right="85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98055" cy="36195"/>
                    </a:xfrm>
                    <a:prstGeom prst="rect">
                      <a:avLst/>
                    </a:prstGeom>
                    <a:noFill/>
                  </pic:spPr>
                </pic:pic>
              </a:graphicData>
            </a:graphic>
          </wp:anchor>
        </w:drawing>
        <w:t>TPG Specialty Lending, Inc., p. 3</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validity of the Securities, and to the use of this opinion as Exhibit 5.1 to the Company’s Current Report on Form 8-K dated November 1, 2019. In giving this consent, we do not thereby admit that we are within the category of persons whose consent is required under Section 7 of the Securities Act or the rules and regulations of the Securities and Exchange Commission thereunder.</w:t>
      </w:r>
    </w:p>
    <w:p>
      <w:pPr>
        <w:spacing w:after="0" w:line="175" w:lineRule="exact"/>
        <w:rPr>
          <w:sz w:val="20"/>
          <w:szCs w:val="20"/>
          <w:color w:val="auto"/>
        </w:rPr>
      </w:pPr>
    </w:p>
    <w:p>
      <w:pPr>
        <w:ind w:firstLine="407"/>
        <w:spacing w:after="0" w:line="373" w:lineRule="auto"/>
        <w:rPr>
          <w:sz w:val="20"/>
          <w:szCs w:val="20"/>
          <w:color w:val="auto"/>
        </w:rPr>
      </w:pPr>
      <w:r>
        <w:rPr>
          <w:rFonts w:ascii="Arial" w:cs="Arial" w:eastAsia="Arial" w:hAnsi="Arial"/>
          <w:sz w:val="14"/>
          <w:szCs w:val="14"/>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2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Very truly yours,</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CLEARY GOTTLIEB STEEN &amp; HAMILTON LLP</w:t>
      </w:r>
    </w:p>
    <w:p>
      <w:pPr>
        <w:spacing w:after="0" w:line="200" w:lineRule="exact"/>
        <w:rPr>
          <w:sz w:val="20"/>
          <w:szCs w:val="20"/>
          <w:color w:val="auto"/>
        </w:rPr>
      </w:pPr>
    </w:p>
    <w:p>
      <w:pPr>
        <w:spacing w:after="0" w:line="203" w:lineRule="exact"/>
        <w:rPr>
          <w:sz w:val="20"/>
          <w:szCs w:val="20"/>
          <w:color w:val="auto"/>
        </w:rPr>
      </w:pPr>
    </w:p>
    <w:p>
      <w:pPr>
        <w:ind w:left="6120"/>
        <w:spacing w:after="0"/>
        <w:tabs>
          <w:tab w:leader="none" w:pos="6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-12700</wp:posOffset>
            </wp:positionV>
            <wp:extent cx="20294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29460" cy="7620"/>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7"/>
          <w:szCs w:val="17"/>
          <w:color w:val="auto"/>
        </w:rPr>
        <w:t>Adam E. Fleisher, a Partner</w:t>
      </w:r>
    </w:p>
    <w:sectPr>
      <w:pgSz w:w="11900" w:h="16838" w:orient="portrait"/>
      <w:cols w:equalWidth="0" w:num="1">
        <w:col w:w="10100"/>
      </w:cols>
      <w:pgMar w:left="860" w:top="26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5"/>
    </w:lvl>
    <w:lvl w:ilvl="1">
      <w:lvlJc w:val="left"/>
      <w:lvlText w:val="(%2)"/>
      <w:numFmt w:val="lowerLetter"/>
      <w:start w:val="9"/>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lowerLetter"/>
      <w:start w:val="10"/>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19" Type="http://schemas.openxmlformats.org/officeDocument/2006/relationships/hyperlink" Target="http://www.sec.gov/Archives/edgar/data/1508655/000119312518016134/d4280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2019-12-28T03:22:13Z</dcterms:created>
  <dcterms:modified xsi:type="dcterms:W3CDTF">2019-12-28T03:22:13Z</dcterms:modified>
</cp:coreProperties>
</file>