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920" w:hanging="439"/>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TPG Specialty Lending, Inc., together with the other participants named herein (collectively, “TSLX”), intends to file a preliminary proxy statement and an accompanying proxy card with the Securities and Exchange Commission (the “SEC”) to be used to solicit votes from the stockholders of TICC Capital Corp. (“TICC”) to: (a) elect TSLX’s director nominee at TICC’s 2016 annual meeting of stockholders and (b) approve a proposal to terminate the Investment Advisory Agreement, dated as of July 1, 2011, by and between TICC and TICC Management, LLC, as contemplated by Section 15(a) of the Investment Company Act of 1940, as amended.</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As part of the above-referenced solicitation, TSLX updated certain pages of its website, </w:t>
      </w:r>
      <w:r>
        <w:rPr>
          <w:rFonts w:ascii="Arial" w:cs="Arial" w:eastAsia="Arial" w:hAnsi="Arial"/>
          <w:sz w:val="18"/>
          <w:szCs w:val="18"/>
          <w:u w:val="single" w:color="auto"/>
          <w:color w:val="auto"/>
        </w:rPr>
        <w:t>http://www.changeticcnow.com/</w:t>
      </w:r>
      <w:r>
        <w:rPr>
          <w:rFonts w:ascii="Arial" w:cs="Arial" w:eastAsia="Arial" w:hAnsi="Arial"/>
          <w:sz w:val="18"/>
          <w:szCs w:val="18"/>
          <w:color w:val="auto"/>
        </w:rPr>
        <w:t>, a website established by TSLX that contains information regarding the solicitation. This Schedule 14A filing consists of the following screenshots, which reflect the content of pages not previously filed with the SEC.</w:t>
      </w:r>
    </w:p>
    <w:p>
      <w:pPr>
        <w:sectPr>
          <w:pgSz w:w="11900" w:h="16838" w:orient="portrait"/>
          <w:cols w:equalWidth="0" w:num="1">
            <w:col w:w="11340"/>
          </w:cols>
          <w:pgMar w:left="240" w:top="382" w:right="31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5625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1865" cy="5625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9"/>
          </w:tcPr>
          <w:p>
            <w:pPr>
              <w:spacing w:after="0"/>
              <w:rPr>
                <w:sz w:val="20"/>
                <w:szCs w:val="20"/>
                <w:color w:val="auto"/>
              </w:rPr>
            </w:pPr>
            <w:r>
              <w:rPr>
                <w:rFonts w:ascii="Arial" w:cs="Arial" w:eastAsia="Arial" w:hAnsi="Arial"/>
                <w:sz w:val="14"/>
                <w:szCs w:val="14"/>
                <w:color w:val="FFFFFF"/>
                <w:w w:val="90"/>
              </w:rPr>
              <w:t>DISCLAIMER Forward-Looking Statements Information set forth herein includes forward-looking statements. These forward-looking statements include, but are not limited to, statements regarding TSLX’s</w:t>
            </w:r>
          </w:p>
        </w:tc>
        <w:tc>
          <w:tcPr>
            <w:tcW w:w="0" w:type="dxa"/>
            <w:vAlign w:val="bottom"/>
          </w:tcPr>
          <w:p>
            <w:pPr>
              <w:spacing w:after="0"/>
              <w:rPr>
                <w:sz w:val="1"/>
                <w:szCs w:val="1"/>
                <w:color w:val="auto"/>
              </w:rPr>
            </w:pPr>
          </w:p>
        </w:tc>
      </w:tr>
      <w:tr>
        <w:trPr>
          <w:trHeight w:val="41"/>
        </w:trPr>
        <w:tc>
          <w:tcPr>
            <w:tcW w:w="5020" w:type="dxa"/>
            <w:vAlign w:val="bottom"/>
            <w:gridSpan w:val="5"/>
          </w:tcPr>
          <w:p>
            <w:pPr>
              <w:spacing w:after="0"/>
              <w:rPr>
                <w:sz w:val="20"/>
                <w:szCs w:val="20"/>
                <w:color w:val="auto"/>
              </w:rPr>
            </w:pPr>
            <w:r>
              <w:rPr>
                <w:rFonts w:ascii="Arial" w:cs="Arial" w:eastAsia="Arial" w:hAnsi="Arial"/>
                <w:sz w:val="3"/>
                <w:szCs w:val="3"/>
                <w:color w:val="FFFFFF"/>
              </w:rPr>
              <w:t>proposed business combination transaction with TICC Capital Corp. (“TICC”) (including</w:t>
            </w:r>
          </w:p>
        </w:tc>
        <w:tc>
          <w:tcPr>
            <w:tcW w:w="6380" w:type="dxa"/>
            <w:vAlign w:val="bottom"/>
            <w:gridSpan w:val="4"/>
          </w:tcPr>
          <w:p>
            <w:pPr>
              <w:jc w:val="right"/>
              <w:ind w:right="303"/>
              <w:spacing w:after="0"/>
              <w:rPr>
                <w:sz w:val="20"/>
                <w:szCs w:val="20"/>
                <w:color w:val="auto"/>
              </w:rPr>
            </w:pPr>
            <w:r>
              <w:rPr>
                <w:rFonts w:ascii="Arial" w:cs="Arial" w:eastAsia="Arial" w:hAnsi="Arial"/>
                <w:sz w:val="3"/>
                <w:szCs w:val="3"/>
                <w:color w:val="FFFFFF"/>
              </w:rPr>
              <w:t>financing required in connection with the proposed transaction and the benefits, results, effects and timing of a</w:t>
            </w:r>
          </w:p>
        </w:tc>
        <w:tc>
          <w:tcPr>
            <w:tcW w:w="0" w:type="dxa"/>
            <w:vAlign w:val="bottom"/>
          </w:tcPr>
          <w:p>
            <w:pPr>
              <w:spacing w:after="0"/>
              <w:rPr>
                <w:sz w:val="1"/>
                <w:szCs w:val="1"/>
                <w:color w:val="auto"/>
              </w:rPr>
            </w:pPr>
          </w:p>
        </w:tc>
      </w:tr>
      <w:tr>
        <w:trPr>
          <w:trHeight w:val="41"/>
        </w:trPr>
        <w:tc>
          <w:tcPr>
            <w:tcW w:w="3020" w:type="dxa"/>
            <w:vAlign w:val="bottom"/>
            <w:gridSpan w:val="3"/>
          </w:tcPr>
          <w:p>
            <w:pPr>
              <w:spacing w:after="0"/>
              <w:rPr>
                <w:sz w:val="20"/>
                <w:szCs w:val="20"/>
                <w:color w:val="auto"/>
              </w:rPr>
            </w:pPr>
            <w:r>
              <w:rPr>
                <w:rFonts w:ascii="Arial" w:cs="Arial" w:eastAsia="Arial" w:hAnsi="Arial"/>
                <w:sz w:val="3"/>
                <w:szCs w:val="3"/>
                <w:color w:val="FFFFFF"/>
              </w:rPr>
              <w:t>transaction), all statements regarding TPG Specialty</w:t>
            </w:r>
          </w:p>
        </w:tc>
        <w:tc>
          <w:tcPr>
            <w:tcW w:w="8380" w:type="dxa"/>
            <w:vAlign w:val="bottom"/>
            <w:gridSpan w:val="6"/>
          </w:tcPr>
          <w:p>
            <w:pPr>
              <w:jc w:val="right"/>
              <w:ind w:right="503"/>
              <w:spacing w:after="0"/>
              <w:rPr>
                <w:sz w:val="20"/>
                <w:szCs w:val="20"/>
                <w:color w:val="auto"/>
              </w:rPr>
            </w:pPr>
            <w:r>
              <w:rPr>
                <w:rFonts w:ascii="Arial" w:cs="Arial" w:eastAsia="Arial" w:hAnsi="Arial"/>
                <w:sz w:val="3"/>
                <w:szCs w:val="3"/>
                <w:color w:val="FFFFFF"/>
              </w:rPr>
              <w:t>Inc.’s (“TSLX” or the “Company”) (and TSLX and TICC’ combined) expected future financial position, results of operations, cash flows,</w:t>
            </w:r>
          </w:p>
        </w:tc>
        <w:tc>
          <w:tcPr>
            <w:tcW w:w="0" w:type="dxa"/>
            <w:vAlign w:val="bottom"/>
          </w:tcPr>
          <w:p>
            <w:pPr>
              <w:spacing w:after="0"/>
              <w:rPr>
                <w:sz w:val="1"/>
                <w:szCs w:val="1"/>
                <w:color w:val="auto"/>
              </w:rPr>
            </w:pPr>
          </w:p>
        </w:tc>
      </w:tr>
      <w:tr>
        <w:trPr>
          <w:trHeight w:val="41"/>
        </w:trPr>
        <w:tc>
          <w:tcPr>
            <w:tcW w:w="11400" w:type="dxa"/>
            <w:vAlign w:val="bottom"/>
            <w:gridSpan w:val="9"/>
          </w:tcPr>
          <w:p>
            <w:pPr>
              <w:spacing w:after="0"/>
              <w:rPr>
                <w:sz w:val="20"/>
                <w:szCs w:val="20"/>
                <w:color w:val="auto"/>
              </w:rPr>
            </w:pPr>
            <w:r>
              <w:rPr>
                <w:rFonts w:ascii="Arial" w:cs="Arial" w:eastAsia="Arial" w:hAnsi="Arial"/>
                <w:sz w:val="3"/>
                <w:szCs w:val="3"/>
                <w:color w:val="FFFFFF"/>
              </w:rPr>
              <w:t>dividends, portfolio, financing plans, business strategyLending,budgets, capital expenditures, competitive positions, growth opportunities, plans and objectives of management, and statements containing the words such</w:t>
            </w:r>
          </w:p>
        </w:tc>
        <w:tc>
          <w:tcPr>
            <w:tcW w:w="0" w:type="dxa"/>
            <w:vAlign w:val="bottom"/>
          </w:tcPr>
          <w:p>
            <w:pPr>
              <w:spacing w:after="0"/>
              <w:rPr>
                <w:sz w:val="1"/>
                <w:szCs w:val="1"/>
                <w:color w:val="auto"/>
              </w:rPr>
            </w:pPr>
          </w:p>
        </w:tc>
      </w:tr>
      <w:tr>
        <w:trPr>
          <w:trHeight w:val="41"/>
        </w:trPr>
        <w:tc>
          <w:tcPr>
            <w:tcW w:w="3020" w:type="dxa"/>
            <w:vAlign w:val="bottom"/>
            <w:gridSpan w:val="3"/>
          </w:tcPr>
          <w:p>
            <w:pPr>
              <w:spacing w:after="0"/>
              <w:rPr>
                <w:sz w:val="20"/>
                <w:szCs w:val="20"/>
                <w:color w:val="auto"/>
              </w:rPr>
            </w:pPr>
            <w:r>
              <w:rPr>
                <w:rFonts w:ascii="Arial" w:cs="Arial" w:eastAsia="Arial" w:hAnsi="Arial"/>
                <w:sz w:val="3"/>
                <w:szCs w:val="3"/>
                <w:color w:val="FFFFFF"/>
              </w:rPr>
              <w:t>as “anticipate,” “approximate,” “believe,” “plan,” “esti</w:t>
            </w:r>
          </w:p>
        </w:tc>
        <w:tc>
          <w:tcPr>
            <w:tcW w:w="2000" w:type="dxa"/>
            <w:vAlign w:val="bottom"/>
            <w:gridSpan w:val="2"/>
          </w:tcPr>
          <w:p>
            <w:pPr>
              <w:ind w:left="60"/>
              <w:spacing w:after="0"/>
              <w:rPr>
                <w:sz w:val="20"/>
                <w:szCs w:val="20"/>
                <w:color w:val="auto"/>
              </w:rPr>
            </w:pPr>
            <w:r>
              <w:rPr>
                <w:rFonts w:ascii="Arial" w:cs="Arial" w:eastAsia="Arial" w:hAnsi="Arial"/>
                <w:sz w:val="3"/>
                <w:szCs w:val="3"/>
                <w:color w:val="FFFFFF"/>
              </w:rPr>
              <w:t>ate,” “expect,” “project,” “could,”</w:t>
            </w:r>
          </w:p>
        </w:tc>
        <w:tc>
          <w:tcPr>
            <w:tcW w:w="6380" w:type="dxa"/>
            <w:vAlign w:val="bottom"/>
            <w:gridSpan w:val="4"/>
          </w:tcPr>
          <w:p>
            <w:pPr>
              <w:jc w:val="right"/>
              <w:ind w:right="103"/>
              <w:spacing w:after="0"/>
              <w:rPr>
                <w:sz w:val="20"/>
                <w:szCs w:val="20"/>
                <w:color w:val="auto"/>
              </w:rPr>
            </w:pPr>
            <w:r>
              <w:rPr>
                <w:rFonts w:ascii="Arial" w:cs="Arial" w:eastAsia="Arial" w:hAnsi="Arial"/>
                <w:sz w:val="3"/>
                <w:szCs w:val="3"/>
                <w:color w:val="FFFFFF"/>
              </w:rPr>
              <w:t>“should,” “will,” “intend,” “may,” “potential,” “upside,” and other similar expressions. Statements set forth</w:t>
            </w:r>
          </w:p>
        </w:tc>
        <w:tc>
          <w:tcPr>
            <w:tcW w:w="0" w:type="dxa"/>
            <w:vAlign w:val="bottom"/>
          </w:tcPr>
          <w:p>
            <w:pPr>
              <w:spacing w:after="0"/>
              <w:rPr>
                <w:sz w:val="1"/>
                <w:szCs w:val="1"/>
                <w:color w:val="auto"/>
              </w:rPr>
            </w:pPr>
          </w:p>
        </w:tc>
      </w:tr>
      <w:tr>
        <w:trPr>
          <w:trHeight w:val="41"/>
        </w:trPr>
        <w:tc>
          <w:tcPr>
            <w:tcW w:w="11400" w:type="dxa"/>
            <w:vAlign w:val="bottom"/>
            <w:gridSpan w:val="9"/>
          </w:tcPr>
          <w:p>
            <w:pPr>
              <w:spacing w:after="0"/>
              <w:rPr>
                <w:sz w:val="20"/>
                <w:szCs w:val="20"/>
                <w:color w:val="auto"/>
              </w:rPr>
            </w:pPr>
            <w:r>
              <w:rPr>
                <w:rFonts w:ascii="Arial" w:cs="Arial" w:eastAsia="Arial" w:hAnsi="Arial"/>
                <w:sz w:val="3"/>
                <w:szCs w:val="3"/>
                <w:color w:val="FFFFFF"/>
              </w:rPr>
              <w:t>herein concerning the business outlook or future economic performance, anticipated profitability“would,”revenues, expenses, dividends or other financial items, and product or services line growth of TSLX (and the</w:t>
            </w:r>
          </w:p>
        </w:tc>
        <w:tc>
          <w:tcPr>
            <w:tcW w:w="0" w:type="dxa"/>
            <w:vAlign w:val="bottom"/>
          </w:tcPr>
          <w:p>
            <w:pPr>
              <w:spacing w:after="0"/>
              <w:rPr>
                <w:sz w:val="1"/>
                <w:szCs w:val="1"/>
                <w:color w:val="auto"/>
              </w:rPr>
            </w:pPr>
          </w:p>
        </w:tc>
      </w:tr>
      <w:tr>
        <w:trPr>
          <w:trHeight w:val="41"/>
        </w:trPr>
        <w:tc>
          <w:tcPr>
            <w:tcW w:w="11400" w:type="dxa"/>
            <w:vAlign w:val="bottom"/>
            <w:gridSpan w:val="9"/>
          </w:tcPr>
          <w:p>
            <w:pPr>
              <w:spacing w:after="0"/>
              <w:rPr>
                <w:sz w:val="20"/>
                <w:szCs w:val="20"/>
                <w:color w:val="auto"/>
              </w:rPr>
            </w:pPr>
            <w:r>
              <w:rPr>
                <w:rFonts w:ascii="Arial" w:cs="Arial" w:eastAsia="Arial" w:hAnsi="Arial"/>
                <w:sz w:val="3"/>
                <w:szCs w:val="3"/>
                <w:color w:val="FFFFFF"/>
              </w:rPr>
              <w:t>combined businesses of TSLX and TICC), together with other statements that are not historical facts, are forward-looking statements that are es imates reflecting the best judgment of TSLX based upon currently</w:t>
            </w:r>
          </w:p>
        </w:tc>
        <w:tc>
          <w:tcPr>
            <w:tcW w:w="0" w:type="dxa"/>
            <w:vAlign w:val="bottom"/>
          </w:tcPr>
          <w:p>
            <w:pPr>
              <w:spacing w:after="0"/>
              <w:rPr>
                <w:sz w:val="1"/>
                <w:szCs w:val="1"/>
                <w:color w:val="auto"/>
              </w:rPr>
            </w:pPr>
          </w:p>
        </w:tc>
      </w:tr>
      <w:tr>
        <w:trPr>
          <w:trHeight w:val="41"/>
        </w:trPr>
        <w:tc>
          <w:tcPr>
            <w:tcW w:w="440" w:type="dxa"/>
            <w:vAlign w:val="bottom"/>
          </w:tcPr>
          <w:p>
            <w:pPr>
              <w:spacing w:after="0"/>
              <w:rPr>
                <w:sz w:val="3"/>
                <w:szCs w:val="3"/>
                <w:color w:val="auto"/>
              </w:rPr>
            </w:pPr>
          </w:p>
        </w:tc>
        <w:tc>
          <w:tcPr>
            <w:tcW w:w="10960" w:type="dxa"/>
            <w:vAlign w:val="bottom"/>
            <w:gridSpan w:val="8"/>
          </w:tcPr>
          <w:p>
            <w:pPr>
              <w:jc w:val="right"/>
              <w:ind w:right="23"/>
              <w:spacing w:after="0"/>
              <w:rPr>
                <w:sz w:val="20"/>
                <w:szCs w:val="20"/>
                <w:color w:val="auto"/>
              </w:rPr>
            </w:pPr>
            <w:r>
              <w:rPr>
                <w:rFonts w:ascii="Arial" w:cs="Arial" w:eastAsia="Arial" w:hAnsi="Arial"/>
                <w:sz w:val="3"/>
                <w:szCs w:val="3"/>
                <w:color w:val="FFFFFF"/>
              </w:rPr>
              <w:t>on. Such forward-looking statements are inherently uncertain, and stockholders and other potential investors must recognize that actual results may differ materially from TSLX’s expectations</w:t>
            </w:r>
          </w:p>
        </w:tc>
        <w:tc>
          <w:tcPr>
            <w:tcW w:w="0" w:type="dxa"/>
            <w:vAlign w:val="bottom"/>
          </w:tcPr>
          <w:p>
            <w:pPr>
              <w:spacing w:after="0"/>
              <w:rPr>
                <w:sz w:val="1"/>
                <w:szCs w:val="1"/>
                <w:color w:val="auto"/>
              </w:rPr>
            </w:pPr>
          </w:p>
        </w:tc>
      </w:tr>
      <w:tr>
        <w:trPr>
          <w:trHeight w:val="41"/>
        </w:trPr>
        <w:tc>
          <w:tcPr>
            <w:tcW w:w="11400" w:type="dxa"/>
            <w:vAlign w:val="bottom"/>
            <w:gridSpan w:val="9"/>
          </w:tcPr>
          <w:p>
            <w:pPr>
              <w:spacing w:after="0"/>
              <w:rPr>
                <w:sz w:val="20"/>
                <w:szCs w:val="20"/>
                <w:color w:val="auto"/>
              </w:rPr>
            </w:pPr>
            <w:r>
              <w:rPr>
                <w:rFonts w:ascii="Arial" w:cs="Arial" w:eastAsia="Arial" w:hAnsi="Arial"/>
                <w:sz w:val="3"/>
                <w:szCs w:val="3"/>
                <w:color w:val="FFFFFF"/>
              </w:rPr>
              <w:t>asvailableresultinformatofvariety of factors including, without limitation, those discussed below. Such forward-looking statements are based upon management’ current expectations and include known and unknown risks,</w:t>
            </w:r>
          </w:p>
        </w:tc>
        <w:tc>
          <w:tcPr>
            <w:tcW w:w="0" w:type="dxa"/>
            <w:vAlign w:val="bottom"/>
          </w:tcPr>
          <w:p>
            <w:pPr>
              <w:spacing w:after="0"/>
              <w:rPr>
                <w:sz w:val="1"/>
                <w:szCs w:val="1"/>
                <w:color w:val="auto"/>
              </w:rPr>
            </w:pPr>
          </w:p>
        </w:tc>
      </w:tr>
      <w:tr>
        <w:trPr>
          <w:trHeight w:val="41"/>
        </w:trPr>
        <w:tc>
          <w:tcPr>
            <w:tcW w:w="11400" w:type="dxa"/>
            <w:vAlign w:val="bottom"/>
            <w:gridSpan w:val="9"/>
          </w:tcPr>
          <w:p>
            <w:pPr>
              <w:spacing w:after="0"/>
              <w:rPr>
                <w:sz w:val="20"/>
                <w:szCs w:val="20"/>
                <w:color w:val="auto"/>
              </w:rPr>
            </w:pPr>
            <w:r>
              <w:rPr>
                <w:rFonts w:ascii="Arial" w:cs="Arial" w:eastAsia="Arial" w:hAnsi="Arial"/>
                <w:sz w:val="3"/>
                <w:szCs w:val="3"/>
                <w:color w:val="FFFFFF"/>
              </w:rPr>
              <w:t>uncertainties and other factors, many of which TSLX is unable to predict or control, that may cause TSLX’s plans with respect to TICC, actual results or performance to differ materially from any plans, future</w:t>
            </w:r>
          </w:p>
        </w:tc>
        <w:tc>
          <w:tcPr>
            <w:tcW w:w="0" w:type="dxa"/>
            <w:vAlign w:val="bottom"/>
          </w:tcPr>
          <w:p>
            <w:pPr>
              <w:spacing w:after="0"/>
              <w:rPr>
                <w:sz w:val="1"/>
                <w:szCs w:val="1"/>
                <w:color w:val="auto"/>
              </w:rPr>
            </w:pPr>
          </w:p>
        </w:tc>
      </w:tr>
      <w:tr>
        <w:trPr>
          <w:trHeight w:val="41"/>
        </w:trPr>
        <w:tc>
          <w:tcPr>
            <w:tcW w:w="11400" w:type="dxa"/>
            <w:vAlign w:val="bottom"/>
            <w:gridSpan w:val="9"/>
          </w:tcPr>
          <w:p>
            <w:pPr>
              <w:spacing w:after="0"/>
              <w:rPr>
                <w:sz w:val="20"/>
                <w:szCs w:val="20"/>
                <w:color w:val="auto"/>
              </w:rPr>
            </w:pPr>
            <w:r>
              <w:rPr>
                <w:rFonts w:ascii="Arial" w:cs="Arial" w:eastAsia="Arial" w:hAnsi="Arial"/>
                <w:sz w:val="3"/>
                <w:szCs w:val="3"/>
                <w:color w:val="FFFFFF"/>
              </w:rPr>
              <w:t>results or performance expressed or implied by such forward-looking statements. These statements involve risks, uncertainties and other factors discussed below and detailed from time to time in TSLX’s filings</w:t>
            </w:r>
          </w:p>
        </w:tc>
        <w:tc>
          <w:tcPr>
            <w:tcW w:w="0" w:type="dxa"/>
            <w:vAlign w:val="bottom"/>
          </w:tcPr>
          <w:p>
            <w:pPr>
              <w:spacing w:after="0"/>
              <w:rPr>
                <w:sz w:val="1"/>
                <w:szCs w:val="1"/>
                <w:color w:val="auto"/>
              </w:rPr>
            </w:pPr>
          </w:p>
        </w:tc>
      </w:tr>
      <w:tr>
        <w:trPr>
          <w:trHeight w:val="41"/>
        </w:trPr>
        <w:tc>
          <w:tcPr>
            <w:tcW w:w="11400" w:type="dxa"/>
            <w:vAlign w:val="bottom"/>
            <w:gridSpan w:val="9"/>
          </w:tcPr>
          <w:p>
            <w:pPr>
              <w:spacing w:after="0"/>
              <w:rPr>
                <w:sz w:val="20"/>
                <w:szCs w:val="20"/>
                <w:color w:val="auto"/>
              </w:rPr>
            </w:pPr>
            <w:r>
              <w:rPr>
                <w:rFonts w:ascii="Arial" w:cs="Arial" w:eastAsia="Arial" w:hAnsi="Arial"/>
                <w:sz w:val="3"/>
                <w:szCs w:val="3"/>
                <w:color w:val="FFFFFF"/>
              </w:rPr>
              <w:t>with the Securities and Exchange Commission (“SEC”). Risks and uncertainties related to the proposed transaction include, among others, uncertainty as to whether TSLX will further pursue, enter into or</w:t>
            </w:r>
          </w:p>
        </w:tc>
        <w:tc>
          <w:tcPr>
            <w:tcW w:w="0" w:type="dxa"/>
            <w:vAlign w:val="bottom"/>
          </w:tcPr>
          <w:p>
            <w:pPr>
              <w:spacing w:after="0"/>
              <w:rPr>
                <w:sz w:val="1"/>
                <w:szCs w:val="1"/>
                <w:color w:val="auto"/>
              </w:rPr>
            </w:pPr>
          </w:p>
        </w:tc>
      </w:tr>
      <w:tr>
        <w:trPr>
          <w:trHeight w:val="41"/>
        </w:trPr>
        <w:tc>
          <w:tcPr>
            <w:tcW w:w="11400" w:type="dxa"/>
            <w:vAlign w:val="bottom"/>
            <w:gridSpan w:val="9"/>
          </w:tcPr>
          <w:p>
            <w:pPr>
              <w:spacing w:after="0"/>
              <w:rPr>
                <w:sz w:val="20"/>
                <w:szCs w:val="20"/>
                <w:color w:val="auto"/>
              </w:rPr>
            </w:pPr>
            <w:r>
              <w:rPr>
                <w:rFonts w:ascii="Arial" w:cs="Arial" w:eastAsia="Arial" w:hAnsi="Arial"/>
                <w:sz w:val="3"/>
                <w:szCs w:val="3"/>
                <w:color w:val="FFFFFF"/>
              </w:rPr>
              <w:t>consummate the tr nsaction on the terms set forth in the proposal or on other terms, potential adverse reactions or changes to business relationships resulting from the announcement or completion of the</w:t>
            </w:r>
          </w:p>
        </w:tc>
        <w:tc>
          <w:tcPr>
            <w:tcW w:w="0" w:type="dxa"/>
            <w:vAlign w:val="bottom"/>
          </w:tcPr>
          <w:p>
            <w:pPr>
              <w:spacing w:after="0"/>
              <w:rPr>
                <w:sz w:val="1"/>
                <w:szCs w:val="1"/>
                <w:color w:val="auto"/>
              </w:rPr>
            </w:pPr>
          </w:p>
        </w:tc>
      </w:tr>
      <w:tr>
        <w:trPr>
          <w:trHeight w:val="41"/>
        </w:trPr>
        <w:tc>
          <w:tcPr>
            <w:tcW w:w="4180" w:type="dxa"/>
            <w:vAlign w:val="bottom"/>
            <w:gridSpan w:val="4"/>
          </w:tcPr>
          <w:p>
            <w:pPr>
              <w:spacing w:after="0"/>
              <w:rPr>
                <w:sz w:val="20"/>
                <w:szCs w:val="20"/>
                <w:color w:val="auto"/>
              </w:rPr>
            </w:pPr>
            <w:r>
              <w:rPr>
                <w:rFonts w:ascii="Arial" w:cs="Arial" w:eastAsia="Arial" w:hAnsi="Arial"/>
                <w:sz w:val="3"/>
                <w:szCs w:val="3"/>
                <w:color w:val="FFFFFF"/>
              </w:rPr>
              <w:t>transaction, uncertainties as to the timing of the transaction, adverse effects</w:t>
            </w:r>
          </w:p>
        </w:tc>
        <w:tc>
          <w:tcPr>
            <w:tcW w:w="7220" w:type="dxa"/>
            <w:vAlign w:val="bottom"/>
            <w:gridSpan w:val="5"/>
          </w:tcPr>
          <w:p>
            <w:pPr>
              <w:jc w:val="right"/>
              <w:ind w:right="3"/>
              <w:spacing w:after="0"/>
              <w:rPr>
                <w:sz w:val="20"/>
                <w:szCs w:val="20"/>
                <w:color w:val="auto"/>
              </w:rPr>
            </w:pPr>
            <w:r>
              <w:rPr>
                <w:rFonts w:ascii="Arial" w:cs="Arial" w:eastAsia="Arial" w:hAnsi="Arial"/>
                <w:sz w:val="3"/>
                <w:szCs w:val="3"/>
                <w:color w:val="FFFFFF"/>
              </w:rPr>
              <w:t>TSLX’ stock price resulting from the announcement or consummation of the transaction or any failure to complete the transaction,</w:t>
            </w:r>
          </w:p>
        </w:tc>
        <w:tc>
          <w:tcPr>
            <w:tcW w:w="0" w:type="dxa"/>
            <w:vAlign w:val="bottom"/>
          </w:tcPr>
          <w:p>
            <w:pPr>
              <w:spacing w:after="0"/>
              <w:rPr>
                <w:sz w:val="1"/>
                <w:szCs w:val="1"/>
                <w:color w:val="auto"/>
              </w:rPr>
            </w:pPr>
          </w:p>
        </w:tc>
      </w:tr>
      <w:tr>
        <w:trPr>
          <w:trHeight w:val="41"/>
        </w:trPr>
        <w:tc>
          <w:tcPr>
            <w:tcW w:w="9780" w:type="dxa"/>
            <w:vAlign w:val="bottom"/>
            <w:gridSpan w:val="8"/>
          </w:tcPr>
          <w:p>
            <w:pPr>
              <w:spacing w:after="0"/>
              <w:rPr>
                <w:sz w:val="20"/>
                <w:szCs w:val="20"/>
                <w:color w:val="auto"/>
              </w:rPr>
            </w:pPr>
            <w:r>
              <w:rPr>
                <w:rFonts w:ascii="Arial" w:cs="Arial" w:eastAsia="Arial" w:hAnsi="Arial"/>
                <w:sz w:val="3"/>
                <w:szCs w:val="3"/>
                <w:color w:val="FFFFFF"/>
              </w:rPr>
              <w:t>competitive responses to the announcement or consummation of the transaction, the risk that regulatory or other approvals and any financing required in connection with the</w:t>
            </w:r>
          </w:p>
        </w:tc>
        <w:tc>
          <w:tcPr>
            <w:tcW w:w="1620" w:type="dxa"/>
            <w:vAlign w:val="bottom"/>
          </w:tcPr>
          <w:p>
            <w:pPr>
              <w:jc w:val="right"/>
              <w:ind w:right="43"/>
              <w:spacing w:after="0"/>
              <w:rPr>
                <w:sz w:val="20"/>
                <w:szCs w:val="20"/>
                <w:color w:val="auto"/>
              </w:rPr>
            </w:pPr>
            <w:r>
              <w:rPr>
                <w:rFonts w:ascii="Arial" w:cs="Arial" w:eastAsia="Arial" w:hAnsi="Arial"/>
                <w:sz w:val="3"/>
                <w:szCs w:val="3"/>
                <w:color w:val="FFFFFF"/>
              </w:rPr>
              <w:t>of the transaction are</w:t>
            </w:r>
          </w:p>
        </w:tc>
        <w:tc>
          <w:tcPr>
            <w:tcW w:w="0" w:type="dxa"/>
            <w:vAlign w:val="bottom"/>
          </w:tcPr>
          <w:p>
            <w:pPr>
              <w:spacing w:after="0"/>
              <w:rPr>
                <w:sz w:val="1"/>
                <w:szCs w:val="1"/>
                <w:color w:val="auto"/>
              </w:rPr>
            </w:pPr>
          </w:p>
        </w:tc>
      </w:tr>
      <w:tr>
        <w:trPr>
          <w:trHeight w:val="41"/>
        </w:trPr>
        <w:tc>
          <w:tcPr>
            <w:tcW w:w="11400" w:type="dxa"/>
            <w:vAlign w:val="bottom"/>
            <w:gridSpan w:val="9"/>
          </w:tcPr>
          <w:p>
            <w:pPr>
              <w:spacing w:after="0"/>
              <w:rPr>
                <w:sz w:val="20"/>
                <w:szCs w:val="20"/>
                <w:color w:val="auto"/>
              </w:rPr>
            </w:pPr>
            <w:r>
              <w:rPr>
                <w:rFonts w:ascii="Arial" w:cs="Arial" w:eastAsia="Arial" w:hAnsi="Arial"/>
                <w:sz w:val="3"/>
                <w:szCs w:val="3"/>
                <w:color w:val="FFFFFF"/>
              </w:rPr>
              <w:t>not obtained or are obtained subject to terms and conditions that are not anticipated, costs and difficulties related to the integration of TICC’ businesses and operations with TSLX’consummationbusinesses and operations,</w:t>
            </w:r>
          </w:p>
        </w:tc>
        <w:tc>
          <w:tcPr>
            <w:tcW w:w="0" w:type="dxa"/>
            <w:vAlign w:val="bottom"/>
          </w:tcPr>
          <w:p>
            <w:pPr>
              <w:spacing w:after="0"/>
              <w:rPr>
                <w:sz w:val="1"/>
                <w:szCs w:val="1"/>
                <w:color w:val="auto"/>
              </w:rPr>
            </w:pPr>
          </w:p>
        </w:tc>
      </w:tr>
      <w:tr>
        <w:trPr>
          <w:trHeight w:val="41"/>
        </w:trPr>
        <w:tc>
          <w:tcPr>
            <w:tcW w:w="440" w:type="dxa"/>
            <w:vAlign w:val="bottom"/>
            <w:vMerge w:val="restart"/>
          </w:tcPr>
          <w:p>
            <w:pPr>
              <w:spacing w:after="0" w:line="81" w:lineRule="exact"/>
              <w:rPr>
                <w:sz w:val="20"/>
                <w:szCs w:val="20"/>
                <w:color w:val="auto"/>
              </w:rPr>
            </w:pPr>
            <w:r>
              <w:rPr>
                <w:rFonts w:ascii="Arial" w:cs="Arial" w:eastAsia="Arial" w:hAnsi="Arial"/>
                <w:sz w:val="9"/>
                <w:szCs w:val="9"/>
                <w:color w:val="FFFFFF"/>
              </w:rPr>
              <w:t>the</w:t>
            </w:r>
          </w:p>
        </w:tc>
        <w:tc>
          <w:tcPr>
            <w:tcW w:w="2580" w:type="dxa"/>
            <w:vAlign w:val="bottom"/>
            <w:gridSpan w:val="2"/>
          </w:tcPr>
          <w:p>
            <w:pPr>
              <w:ind w:left="380"/>
              <w:spacing w:after="0"/>
              <w:rPr>
                <w:sz w:val="20"/>
                <w:szCs w:val="20"/>
                <w:color w:val="auto"/>
              </w:rPr>
            </w:pPr>
            <w:r>
              <w:rPr>
                <w:rFonts w:ascii="Arial" w:cs="Arial" w:eastAsia="Arial" w:hAnsi="Arial"/>
                <w:sz w:val="3"/>
                <w:szCs w:val="3"/>
                <w:color w:val="FFFFFF"/>
              </w:rPr>
              <w:t>obtain, or delays in obtaining, cost</w:t>
            </w:r>
          </w:p>
        </w:tc>
        <w:tc>
          <w:tcPr>
            <w:tcW w:w="4120" w:type="dxa"/>
            <w:vAlign w:val="bottom"/>
            <w:gridSpan w:val="3"/>
          </w:tcPr>
          <w:p>
            <w:pPr>
              <w:ind w:left="140"/>
              <w:spacing w:after="0"/>
              <w:rPr>
                <w:sz w:val="20"/>
                <w:szCs w:val="20"/>
                <w:color w:val="auto"/>
              </w:rPr>
            </w:pPr>
            <w:r>
              <w:rPr>
                <w:rFonts w:ascii="Arial" w:cs="Arial" w:eastAsia="Arial" w:hAnsi="Arial"/>
                <w:sz w:val="3"/>
                <w:szCs w:val="3"/>
                <w:color w:val="FFFFFF"/>
              </w:rPr>
              <w:t>and synergies from the transaction, unexpected costs, liabilities, charges</w:t>
            </w:r>
          </w:p>
        </w:tc>
        <w:tc>
          <w:tcPr>
            <w:tcW w:w="4260" w:type="dxa"/>
            <w:vAlign w:val="bottom"/>
            <w:gridSpan w:val="3"/>
          </w:tcPr>
          <w:p>
            <w:pPr>
              <w:jc w:val="right"/>
              <w:ind w:right="23"/>
              <w:spacing w:after="0"/>
              <w:rPr>
                <w:sz w:val="20"/>
                <w:szCs w:val="20"/>
                <w:color w:val="auto"/>
              </w:rPr>
            </w:pPr>
            <w:r>
              <w:rPr>
                <w:rFonts w:ascii="Arial" w:cs="Arial" w:eastAsia="Arial" w:hAnsi="Arial"/>
                <w:sz w:val="3"/>
                <w:szCs w:val="3"/>
                <w:color w:val="FFFFFF"/>
              </w:rPr>
              <w:t>expenses resulting from the transaction, litigation relating to the transaction,</w:t>
            </w:r>
          </w:p>
        </w:tc>
        <w:tc>
          <w:tcPr>
            <w:tcW w:w="0" w:type="dxa"/>
            <w:vAlign w:val="bottom"/>
          </w:tcPr>
          <w:p>
            <w:pPr>
              <w:spacing w:after="0"/>
              <w:rPr>
                <w:sz w:val="1"/>
                <w:szCs w:val="1"/>
                <w:color w:val="auto"/>
              </w:rPr>
            </w:pPr>
          </w:p>
        </w:tc>
      </w:tr>
      <w:tr>
        <w:trPr>
          <w:trHeight w:val="41"/>
        </w:trPr>
        <w:tc>
          <w:tcPr>
            <w:tcW w:w="440" w:type="dxa"/>
            <w:vAlign w:val="bottom"/>
            <w:vMerge w:val="continue"/>
          </w:tcPr>
          <w:p>
            <w:pPr>
              <w:spacing w:after="0"/>
              <w:rPr>
                <w:sz w:val="3"/>
                <w:szCs w:val="3"/>
                <w:color w:val="auto"/>
              </w:rPr>
            </w:pPr>
          </w:p>
        </w:tc>
        <w:tc>
          <w:tcPr>
            <w:tcW w:w="1240" w:type="dxa"/>
            <w:vAlign w:val="bottom"/>
          </w:tcPr>
          <w:p>
            <w:pPr>
              <w:ind w:left="260"/>
              <w:spacing w:after="0"/>
              <w:rPr>
                <w:sz w:val="20"/>
                <w:szCs w:val="20"/>
                <w:color w:val="auto"/>
              </w:rPr>
            </w:pPr>
            <w:r>
              <w:rPr>
                <w:rFonts w:ascii="Arial" w:cs="Arial" w:eastAsia="Arial" w:hAnsi="Arial"/>
                <w:sz w:val="3"/>
                <w:szCs w:val="3"/>
                <w:color w:val="FFFFFF"/>
              </w:rPr>
              <w:t>to retain key</w:t>
            </w:r>
          </w:p>
        </w:tc>
        <w:tc>
          <w:tcPr>
            <w:tcW w:w="1340" w:type="dxa"/>
            <w:vAlign w:val="bottom"/>
          </w:tcPr>
          <w:p>
            <w:pPr>
              <w:ind w:left="320"/>
              <w:spacing w:after="0"/>
              <w:rPr>
                <w:sz w:val="20"/>
                <w:szCs w:val="20"/>
                <w:color w:val="auto"/>
              </w:rPr>
            </w:pPr>
            <w:r>
              <w:rPr>
                <w:rFonts w:ascii="Arial" w:cs="Arial" w:eastAsia="Arial" w:hAnsi="Arial"/>
                <w:sz w:val="3"/>
                <w:szCs w:val="3"/>
                <w:color w:val="FFFFFF"/>
              </w:rPr>
              <w:t>and any changes</w:t>
            </w:r>
          </w:p>
        </w:tc>
        <w:tc>
          <w:tcPr>
            <w:tcW w:w="4120" w:type="dxa"/>
            <w:vAlign w:val="bottom"/>
            <w:gridSpan w:val="3"/>
          </w:tcPr>
          <w:p>
            <w:pPr>
              <w:ind w:left="40"/>
              <w:spacing w:after="0"/>
              <w:rPr>
                <w:sz w:val="20"/>
                <w:szCs w:val="20"/>
                <w:color w:val="auto"/>
              </w:rPr>
            </w:pPr>
            <w:r>
              <w:rPr>
                <w:rFonts w:ascii="Arial" w:cs="Arial" w:eastAsia="Arial" w:hAnsi="Arial"/>
                <w:sz w:val="3"/>
                <w:szCs w:val="3"/>
                <w:color w:val="FFFFFF"/>
              </w:rPr>
              <w:t>general economic and/or industry specific conditions. In addition to these</w:t>
            </w:r>
          </w:p>
        </w:tc>
        <w:tc>
          <w:tcPr>
            <w:tcW w:w="4260" w:type="dxa"/>
            <w:vAlign w:val="bottom"/>
            <w:gridSpan w:val="3"/>
          </w:tcPr>
          <w:p>
            <w:pPr>
              <w:jc w:val="right"/>
              <w:ind w:right="23"/>
              <w:spacing w:after="0"/>
              <w:rPr>
                <w:sz w:val="20"/>
                <w:szCs w:val="20"/>
                <w:color w:val="auto"/>
              </w:rPr>
            </w:pPr>
            <w:r>
              <w:rPr>
                <w:rFonts w:ascii="Arial" w:cs="Arial" w:eastAsia="Arial" w:hAnsi="Arial"/>
                <w:sz w:val="3"/>
                <w:szCs w:val="3"/>
                <w:color w:val="FFFFFF"/>
              </w:rPr>
              <w:t>other factors that may affect TSLX’s plans, results or stock price are set</w:t>
            </w:r>
          </w:p>
        </w:tc>
        <w:tc>
          <w:tcPr>
            <w:tcW w:w="0" w:type="dxa"/>
            <w:vAlign w:val="bottom"/>
          </w:tcPr>
          <w:p>
            <w:pPr>
              <w:spacing w:after="0"/>
              <w:rPr>
                <w:sz w:val="1"/>
                <w:szCs w:val="1"/>
                <w:color w:val="auto"/>
              </w:rPr>
            </w:pPr>
          </w:p>
        </w:tc>
      </w:tr>
      <w:tr>
        <w:trPr>
          <w:trHeight w:val="0"/>
        </w:trPr>
        <w:tc>
          <w:tcPr>
            <w:tcW w:w="8700" w:type="dxa"/>
            <w:vAlign w:val="bottom"/>
            <w:gridSpan w:val="7"/>
          </w:tcPr>
          <w:p>
            <w:pPr>
              <w:spacing w:after="0" w:line="80" w:lineRule="exact"/>
              <w:rPr>
                <w:sz w:val="20"/>
                <w:szCs w:val="20"/>
                <w:color w:val="auto"/>
              </w:rPr>
            </w:pPr>
            <w:r>
              <w:rPr>
                <w:rFonts w:ascii="Arial" w:cs="Arial" w:eastAsia="Arial" w:hAnsi="Arial"/>
                <w:sz w:val="9"/>
                <w:szCs w:val="9"/>
                <w:color w:val="FFFFFF"/>
              </w:rPr>
              <w:t>forthinabilityTSLX’s Annual Reportpersonnel,Form 10-K andsavingsitsreports on Forms 10-Q and 8-K. Many of these factors are beyond TSLX’factors,control. TSLX cautions</w:t>
            </w:r>
          </w:p>
        </w:tc>
        <w:tc>
          <w:tcPr>
            <w:tcW w:w="2700" w:type="dxa"/>
            <w:vAlign w:val="bottom"/>
            <w:gridSpan w:val="2"/>
          </w:tcPr>
          <w:p>
            <w:pPr>
              <w:jc w:val="right"/>
              <w:ind w:right="123"/>
              <w:spacing w:after="0" w:line="80" w:lineRule="exact"/>
              <w:rPr>
                <w:sz w:val="20"/>
                <w:szCs w:val="20"/>
                <w:color w:val="auto"/>
              </w:rPr>
            </w:pPr>
            <w:r>
              <w:rPr>
                <w:rFonts w:ascii="Arial" w:cs="Arial" w:eastAsia="Arial" w:hAnsi="Arial"/>
                <w:sz w:val="9"/>
                <w:szCs w:val="9"/>
                <w:color w:val="FFFFFF"/>
              </w:rPr>
              <w:t>that any forward-looking statements made</w:t>
            </w:r>
          </w:p>
        </w:tc>
        <w:tc>
          <w:tcPr>
            <w:tcW w:w="0" w:type="dxa"/>
            <w:vAlign w:val="bottom"/>
          </w:tcPr>
          <w:p>
            <w:pPr>
              <w:spacing w:after="0" w:line="20" w:lineRule="exact"/>
              <w:rPr>
                <w:sz w:val="1"/>
                <w:szCs w:val="1"/>
                <w:color w:val="auto"/>
              </w:rPr>
            </w:pPr>
          </w:p>
        </w:tc>
      </w:tr>
    </w:tbl>
    <w:p>
      <w:pPr>
        <w:ind w:right="280"/>
        <w:spacing w:after="0"/>
        <w:rPr>
          <w:sz w:val="20"/>
          <w:szCs w:val="20"/>
          <w:color w:val="auto"/>
        </w:rPr>
      </w:pPr>
      <w:r>
        <w:rPr>
          <w:rFonts w:ascii="Arial" w:cs="Arial" w:eastAsia="Arial" w:hAnsi="Arial"/>
          <w:sz w:val="10"/>
          <w:szCs w:val="10"/>
          <w:color w:val="FFFFFF"/>
        </w:rPr>
        <w:t>by TSLX are not guarantees of future performance. TSLX disclaims any obligation to update any such factors or to announce publicly the results of any revisionsinvestorsany of the forward-looking statements to reflect future events or developments.</w:t>
      </w:r>
    </w:p>
    <w:p>
      <w:pPr>
        <w:sectPr>
          <w:pgSz w:w="11900" w:h="16838" w:orient="portrait"/>
          <w:cols w:equalWidth="0" w:num="1">
            <w:col w:w="11400"/>
          </w:cols>
          <w:pgMar w:left="240" w:top="1440" w:right="2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5591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1865" cy="5591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gridSpan w:val="2"/>
          </w:tcPr>
          <w:p>
            <w:pPr>
              <w:spacing w:after="0"/>
              <w:rPr>
                <w:sz w:val="20"/>
                <w:szCs w:val="20"/>
                <w:color w:val="auto"/>
              </w:rPr>
            </w:pPr>
            <w:r>
              <w:rPr>
                <w:rFonts w:ascii="Arial" w:cs="Arial" w:eastAsia="Arial" w:hAnsi="Arial"/>
                <w:sz w:val="14"/>
                <w:szCs w:val="14"/>
                <w:color w:val="FFFFFF"/>
                <w:w w:val="91"/>
              </w:rPr>
              <w:t>Third Party-Sourced Statements and Information</w:t>
            </w:r>
          </w:p>
        </w:tc>
        <w:tc>
          <w:tcPr>
            <w:tcW w:w="9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0900" w:type="dxa"/>
            <w:vAlign w:val="bottom"/>
            <w:gridSpan w:val="6"/>
          </w:tcPr>
          <w:p>
            <w:pPr>
              <w:spacing w:after="0"/>
              <w:rPr>
                <w:sz w:val="20"/>
                <w:szCs w:val="20"/>
                <w:color w:val="auto"/>
              </w:rPr>
            </w:pPr>
            <w:r>
              <w:rPr>
                <w:rFonts w:ascii="Arial" w:cs="Arial" w:eastAsia="Arial" w:hAnsi="Arial"/>
                <w:sz w:val="3"/>
                <w:szCs w:val="3"/>
                <w:color w:val="FFFFFF"/>
              </w:rPr>
              <w:t>Certain statements and information included her in have been sourced from third parties. TSLX does  ot make any representations regarding the accuracy, completeness or timeliness of such third party</w:t>
            </w: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7"/>
          </w:tcPr>
          <w:p>
            <w:pPr>
              <w:ind w:left="60"/>
              <w:spacing w:after="0"/>
              <w:rPr>
                <w:sz w:val="20"/>
                <w:szCs w:val="20"/>
                <w:color w:val="auto"/>
              </w:rPr>
            </w:pPr>
            <w:r>
              <w:rPr>
                <w:rFonts w:ascii="Arial" w:cs="Arial" w:eastAsia="Arial" w:hAnsi="Arial"/>
                <w:sz w:val="3"/>
                <w:szCs w:val="3"/>
                <w:color w:val="FFFFFF"/>
              </w:rPr>
              <w:t>tatements or information. Except as expressly set forth herein, permission to cite such statements or information has neither been sought nor obtained from such third parties. Any such statements or information</w:t>
            </w:r>
          </w:p>
        </w:tc>
        <w:tc>
          <w:tcPr>
            <w:tcW w:w="0" w:type="dxa"/>
            <w:vAlign w:val="bottom"/>
          </w:tcPr>
          <w:p>
            <w:pPr>
              <w:spacing w:after="0"/>
              <w:rPr>
                <w:sz w:val="1"/>
                <w:szCs w:val="1"/>
                <w:color w:val="auto"/>
              </w:rPr>
            </w:pPr>
          </w:p>
        </w:tc>
      </w:tr>
      <w:tr>
        <w:trPr>
          <w:trHeight w:val="41"/>
        </w:trPr>
        <w:tc>
          <w:tcPr>
            <w:tcW w:w="5900" w:type="dxa"/>
            <w:vAlign w:val="bottom"/>
            <w:gridSpan w:val="4"/>
          </w:tcPr>
          <w:p>
            <w:pPr>
              <w:spacing w:after="0"/>
              <w:rPr>
                <w:sz w:val="20"/>
                <w:szCs w:val="20"/>
                <w:color w:val="auto"/>
              </w:rPr>
            </w:pPr>
            <w:r>
              <w:rPr>
                <w:rFonts w:ascii="Arial" w:cs="Arial" w:eastAsia="Arial" w:hAnsi="Arial"/>
                <w:sz w:val="3"/>
                <w:szCs w:val="3"/>
                <w:color w:val="FFFFFF"/>
              </w:rPr>
              <w:t>should not be viewed as an indication of support from such third parties for the views expressed herein. All</w:t>
            </w:r>
          </w:p>
        </w:tc>
        <w:tc>
          <w:tcPr>
            <w:tcW w:w="5520" w:type="dxa"/>
            <w:vAlign w:val="bottom"/>
            <w:gridSpan w:val="3"/>
          </w:tcPr>
          <w:p>
            <w:pPr>
              <w:jc w:val="right"/>
              <w:ind w:right="55"/>
              <w:spacing w:after="0"/>
              <w:rPr>
                <w:sz w:val="20"/>
                <w:szCs w:val="20"/>
                <w:color w:val="auto"/>
              </w:rPr>
            </w:pPr>
            <w:r>
              <w:rPr>
                <w:rFonts w:ascii="Arial" w:cs="Arial" w:eastAsia="Arial" w:hAnsi="Arial"/>
                <w:sz w:val="3"/>
                <w:szCs w:val="3"/>
                <w:color w:val="FFFFFF"/>
              </w:rPr>
              <w:t>this communication regarding TICC, including its businesses, operations and financial</w:t>
            </w: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results, was obtained from public sources. While TSLX has no knowledge that any such information is inaccurateinformationincomplete, TSLX has not verified any of that information. TSLX reserves the right to change</w:t>
            </w:r>
          </w:p>
        </w:tc>
        <w:tc>
          <w:tcPr>
            <w:tcW w:w="0" w:type="dxa"/>
            <w:vAlign w:val="bottom"/>
          </w:tcPr>
          <w:p>
            <w:pPr>
              <w:spacing w:after="0"/>
              <w:rPr>
                <w:sz w:val="1"/>
                <w:szCs w:val="1"/>
                <w:color w:val="auto"/>
              </w:rPr>
            </w:pPr>
          </w:p>
        </w:tc>
      </w:tr>
      <w:tr>
        <w:trPr>
          <w:trHeight w:val="41"/>
        </w:trPr>
        <w:tc>
          <w:tcPr>
            <w:tcW w:w="10900" w:type="dxa"/>
            <w:vAlign w:val="bottom"/>
            <w:gridSpan w:val="6"/>
          </w:tcPr>
          <w:p>
            <w:pPr>
              <w:spacing w:after="0"/>
              <w:rPr>
                <w:sz w:val="20"/>
                <w:szCs w:val="20"/>
                <w:color w:val="auto"/>
              </w:rPr>
            </w:pPr>
            <w:r>
              <w:rPr>
                <w:rFonts w:ascii="Arial" w:cs="Arial" w:eastAsia="Arial" w:hAnsi="Arial"/>
                <w:sz w:val="3"/>
                <w:szCs w:val="3"/>
                <w:color w:val="FFFFFF"/>
              </w:rPr>
              <w:t>any of its opinions expressed herein at any time as it deems appropriate. TSLX disclaims any obligation to update the data, information or opinions contained herein.</w:t>
            </w: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40" w:type="dxa"/>
            <w:vAlign w:val="bottom"/>
          </w:tcPr>
          <w:p>
            <w:pPr>
              <w:spacing w:after="0"/>
              <w:rPr>
                <w:sz w:val="20"/>
                <w:szCs w:val="20"/>
                <w:color w:val="auto"/>
              </w:rPr>
            </w:pPr>
            <w:r>
              <w:rPr>
                <w:rFonts w:ascii="Arial" w:cs="Arial" w:eastAsia="Arial" w:hAnsi="Arial"/>
                <w:sz w:val="3"/>
                <w:szCs w:val="3"/>
                <w:color w:val="FFFFFF"/>
              </w:rPr>
              <w:t>Proxy Solicitation Information</w:t>
            </w:r>
          </w:p>
        </w:tc>
        <w:tc>
          <w:tcPr>
            <w:tcW w:w="840" w:type="dxa"/>
            <w:vAlign w:val="bottom"/>
          </w:tcPr>
          <w:p>
            <w:pPr>
              <w:spacing w:after="0"/>
              <w:rPr>
                <w:sz w:val="3"/>
                <w:szCs w:val="3"/>
                <w:color w:val="auto"/>
              </w:rPr>
            </w:pPr>
          </w:p>
        </w:tc>
        <w:tc>
          <w:tcPr>
            <w:tcW w:w="8640" w:type="dxa"/>
            <w:vAlign w:val="bottom"/>
            <w:gridSpan w:val="5"/>
            <w:vMerge w:val="restart"/>
          </w:tcPr>
          <w:p>
            <w:pPr>
              <w:jc w:val="right"/>
              <w:ind w:right="215"/>
              <w:spacing w:after="0" w:line="81" w:lineRule="exact"/>
              <w:rPr>
                <w:sz w:val="20"/>
                <w:szCs w:val="20"/>
                <w:color w:val="auto"/>
              </w:rPr>
            </w:pPr>
            <w:r>
              <w:rPr>
                <w:rFonts w:ascii="Arial" w:cs="Arial" w:eastAsia="Arial" w:hAnsi="Arial"/>
                <w:sz w:val="9"/>
                <w:szCs w:val="9"/>
                <w:color w:val="FFFFFF"/>
              </w:rPr>
              <w:t>purposes only and does not constitute an offer to purchase or the solicitation of an offer to sell any securities. TSLX intends to file a preliminary</w:t>
            </w:r>
          </w:p>
        </w:tc>
        <w:tc>
          <w:tcPr>
            <w:tcW w:w="0" w:type="dxa"/>
            <w:vAlign w:val="bottom"/>
          </w:tcPr>
          <w:p>
            <w:pPr>
              <w:spacing w:after="0"/>
              <w:rPr>
                <w:sz w:val="1"/>
                <w:szCs w:val="1"/>
                <w:color w:val="auto"/>
              </w:rPr>
            </w:pPr>
          </w:p>
        </w:tc>
      </w:tr>
      <w:tr>
        <w:trPr>
          <w:trHeight w:val="41"/>
        </w:trPr>
        <w:tc>
          <w:tcPr>
            <w:tcW w:w="2780" w:type="dxa"/>
            <w:vAlign w:val="bottom"/>
            <w:gridSpan w:val="2"/>
          </w:tcPr>
          <w:p>
            <w:pPr>
              <w:spacing w:after="0"/>
              <w:rPr>
                <w:sz w:val="20"/>
                <w:szCs w:val="20"/>
                <w:color w:val="auto"/>
              </w:rPr>
            </w:pPr>
            <w:r>
              <w:rPr>
                <w:rFonts w:ascii="Arial" w:cs="Arial" w:eastAsia="Arial" w:hAnsi="Arial"/>
                <w:sz w:val="3"/>
                <w:szCs w:val="3"/>
                <w:color w:val="FFFFFF"/>
              </w:rPr>
              <w:t>The information set forth herein is provided for</w:t>
            </w:r>
          </w:p>
        </w:tc>
        <w:tc>
          <w:tcPr>
            <w:tcW w:w="86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proxy statement wi h the SEC to be used to solicitinformationalvotesthe 2016 annual meeting of stockholders of TICC in favor of (a) the election of its nominee to serve as a director of TICC and (b) TSLX’s proposal to</w:t>
            </w: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terminate the Investment Advisory Agreement, dated as of July 1, 2011, by and between TICC and TICC Management, LLC, as contemplated by Section 15(a) of the Investment Company Act of 1940, as</w:t>
            </w:r>
          </w:p>
        </w:tc>
        <w:tc>
          <w:tcPr>
            <w:tcW w:w="0" w:type="dxa"/>
            <w:vAlign w:val="bottom"/>
          </w:tcPr>
          <w:p>
            <w:pPr>
              <w:spacing w:after="0"/>
              <w:rPr>
                <w:sz w:val="1"/>
                <w:szCs w:val="1"/>
                <w:color w:val="auto"/>
              </w:rPr>
            </w:pPr>
          </w:p>
        </w:tc>
      </w:tr>
      <w:tr>
        <w:trPr>
          <w:trHeight w:val="41"/>
        </w:trPr>
        <w:tc>
          <w:tcPr>
            <w:tcW w:w="1940" w:type="dxa"/>
            <w:vAlign w:val="bottom"/>
          </w:tcPr>
          <w:p>
            <w:pPr>
              <w:spacing w:after="0"/>
              <w:rPr>
                <w:sz w:val="20"/>
                <w:szCs w:val="20"/>
                <w:color w:val="auto"/>
              </w:rPr>
            </w:pPr>
            <w:r>
              <w:rPr>
                <w:rFonts w:ascii="Arial" w:cs="Arial" w:eastAsia="Arial" w:hAnsi="Arial"/>
                <w:sz w:val="3"/>
                <w:szCs w:val="3"/>
                <w:color w:val="FFFFFF"/>
              </w:rPr>
              <w:t>amended.</w:t>
            </w:r>
          </w:p>
        </w:tc>
        <w:tc>
          <w:tcPr>
            <w:tcW w:w="840" w:type="dxa"/>
            <w:vAlign w:val="bottom"/>
          </w:tcPr>
          <w:p>
            <w:pPr>
              <w:spacing w:after="0"/>
              <w:rPr>
                <w:sz w:val="3"/>
                <w:szCs w:val="3"/>
                <w:color w:val="auto"/>
              </w:rPr>
            </w:pPr>
          </w:p>
        </w:tc>
        <w:tc>
          <w:tcPr>
            <w:tcW w:w="900" w:type="dxa"/>
            <w:vAlign w:val="bottom"/>
          </w:tcPr>
          <w:p>
            <w:pPr>
              <w:spacing w:after="0"/>
              <w:rPr>
                <w:sz w:val="3"/>
                <w:szCs w:val="3"/>
                <w:color w:val="auto"/>
              </w:rPr>
            </w:pPr>
          </w:p>
        </w:tc>
        <w:tc>
          <w:tcPr>
            <w:tcW w:w="3360" w:type="dxa"/>
            <w:vAlign w:val="bottom"/>
            <w:gridSpan w:val="2"/>
            <w:vMerge w:val="restart"/>
          </w:tcPr>
          <w:p>
            <w:pPr>
              <w:ind w:left="60"/>
              <w:spacing w:after="0" w:line="81" w:lineRule="exact"/>
              <w:rPr>
                <w:sz w:val="20"/>
                <w:szCs w:val="20"/>
                <w:color w:val="auto"/>
              </w:rPr>
            </w:pPr>
            <w:r>
              <w:rPr>
                <w:rFonts w:ascii="Arial" w:cs="Arial" w:eastAsia="Arial" w:hAnsi="Arial"/>
                <w:sz w:val="9"/>
                <w:szCs w:val="9"/>
                <w:color w:val="FFFFFF"/>
              </w:rPr>
              <w:t>O READ THE TSLX PROXY STATEMENT AND ITS</w:t>
            </w:r>
          </w:p>
        </w:tc>
        <w:tc>
          <w:tcPr>
            <w:tcW w:w="4380" w:type="dxa"/>
            <w:vAlign w:val="bottom"/>
            <w:gridSpan w:val="2"/>
            <w:vMerge w:val="restart"/>
          </w:tcPr>
          <w:p>
            <w:pPr>
              <w:jc w:val="right"/>
              <w:ind w:right="215"/>
              <w:spacing w:after="0" w:line="81" w:lineRule="exact"/>
              <w:rPr>
                <w:sz w:val="20"/>
                <w:szCs w:val="20"/>
                <w:color w:val="auto"/>
              </w:rPr>
            </w:pPr>
            <w:r>
              <w:rPr>
                <w:rFonts w:ascii="Arial" w:cs="Arial" w:eastAsia="Arial" w:hAnsi="Arial"/>
                <w:sz w:val="9"/>
                <w:szCs w:val="9"/>
                <w:color w:val="FFFFFF"/>
              </w:rPr>
              <w:t>PROXY MATERIALS AS THEY BECOME AVAILABLE BECAUSE</w:t>
            </w:r>
          </w:p>
        </w:tc>
        <w:tc>
          <w:tcPr>
            <w:tcW w:w="0" w:type="dxa"/>
            <w:vAlign w:val="bottom"/>
          </w:tcPr>
          <w:p>
            <w:pPr>
              <w:spacing w:after="0"/>
              <w:rPr>
                <w:sz w:val="1"/>
                <w:szCs w:val="1"/>
                <w:color w:val="auto"/>
              </w:rPr>
            </w:pPr>
          </w:p>
        </w:tc>
      </w:tr>
      <w:tr>
        <w:trPr>
          <w:trHeight w:val="41"/>
        </w:trPr>
        <w:tc>
          <w:tcPr>
            <w:tcW w:w="3680" w:type="dxa"/>
            <w:vAlign w:val="bottom"/>
            <w:gridSpan w:val="3"/>
          </w:tcPr>
          <w:p>
            <w:pPr>
              <w:ind w:left="100"/>
              <w:spacing w:after="0"/>
              <w:rPr>
                <w:sz w:val="20"/>
                <w:szCs w:val="20"/>
                <w:color w:val="auto"/>
              </w:rPr>
            </w:pPr>
            <w:r>
              <w:rPr>
                <w:rFonts w:ascii="Arial" w:cs="Arial" w:eastAsia="Arial" w:hAnsi="Arial"/>
                <w:sz w:val="3"/>
                <w:szCs w:val="3"/>
                <w:color w:val="FFFFFF"/>
              </w:rPr>
              <w:t>SLX STRONGLY ADVISES ALL STOCKHOLDERS OF TICC</w:t>
            </w:r>
          </w:p>
        </w:tc>
        <w:tc>
          <w:tcPr>
            <w:tcW w:w="3360" w:type="dxa"/>
            <w:vAlign w:val="bottom"/>
            <w:gridSpan w:val="2"/>
            <w:vMerge w:val="continue"/>
          </w:tcPr>
          <w:p>
            <w:pPr>
              <w:spacing w:after="0"/>
              <w:rPr>
                <w:sz w:val="3"/>
                <w:szCs w:val="3"/>
                <w:color w:val="auto"/>
              </w:rPr>
            </w:pPr>
          </w:p>
        </w:tc>
        <w:tc>
          <w:tcPr>
            <w:tcW w:w="43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THEY WILL CONTAIN IMPORTANT INFORMATION. SUCH TSLX PROXY MATERIALS WILL BECOME AVAILABLEOTHERANO CHARGE ON THE SEC’S WEB SITE A  HTTP://WWW.SEC.GOV</w:t>
            </w:r>
          </w:p>
        </w:tc>
        <w:tc>
          <w:tcPr>
            <w:tcW w:w="0" w:type="dxa"/>
            <w:vAlign w:val="bottom"/>
          </w:tcPr>
          <w:p>
            <w:pPr>
              <w:spacing w:after="0"/>
              <w:rPr>
                <w:sz w:val="1"/>
                <w:szCs w:val="1"/>
                <w:color w:val="auto"/>
              </w:rPr>
            </w:pPr>
          </w:p>
        </w:tc>
      </w:tr>
      <w:tr>
        <w:trPr>
          <w:trHeight w:val="41"/>
        </w:trPr>
        <w:tc>
          <w:tcPr>
            <w:tcW w:w="3680" w:type="dxa"/>
            <w:vAlign w:val="bottom"/>
            <w:gridSpan w:val="3"/>
          </w:tcPr>
          <w:p>
            <w:pPr>
              <w:spacing w:after="0"/>
              <w:rPr>
                <w:sz w:val="20"/>
                <w:szCs w:val="20"/>
                <w:color w:val="auto"/>
              </w:rPr>
            </w:pPr>
            <w:r>
              <w:rPr>
                <w:rFonts w:ascii="Arial" w:cs="Arial" w:eastAsia="Arial" w:hAnsi="Arial"/>
                <w:sz w:val="3"/>
                <w:szCs w:val="3"/>
                <w:color w:val="FFFFFF"/>
              </w:rPr>
              <w:t>AND ON TSLX’S WEBSITE AT HTTP://WWW.TPGSPECIAL</w:t>
            </w:r>
          </w:p>
        </w:tc>
        <w:tc>
          <w:tcPr>
            <w:tcW w:w="2220" w:type="dxa"/>
            <w:vAlign w:val="bottom"/>
          </w:tcPr>
          <w:p>
            <w:pPr>
              <w:ind w:left="620"/>
              <w:spacing w:after="0"/>
              <w:rPr>
                <w:sz w:val="20"/>
                <w:szCs w:val="20"/>
                <w:color w:val="auto"/>
              </w:rPr>
            </w:pPr>
            <w:r>
              <w:rPr>
                <w:rFonts w:ascii="Arial" w:cs="Arial" w:eastAsia="Arial" w:hAnsi="Arial"/>
                <w:sz w:val="3"/>
                <w:szCs w:val="3"/>
                <w:color w:val="FFFFFF"/>
              </w:rPr>
              <w:t>.COM. IN ADDITION,</w:t>
            </w:r>
          </w:p>
        </w:tc>
        <w:tc>
          <w:tcPr>
            <w:tcW w:w="5000" w:type="dxa"/>
            <w:vAlign w:val="bottom"/>
            <w:gridSpan w:val="2"/>
          </w:tcPr>
          <w:p>
            <w:pPr>
              <w:ind w:left="80"/>
              <w:spacing w:after="0"/>
              <w:rPr>
                <w:sz w:val="20"/>
                <w:szCs w:val="20"/>
                <w:color w:val="auto"/>
              </w:rPr>
            </w:pPr>
            <w:r>
              <w:rPr>
                <w:rFonts w:ascii="Arial" w:cs="Arial" w:eastAsia="Arial" w:hAnsi="Arial"/>
                <w:sz w:val="3"/>
                <w:szCs w:val="3"/>
                <w:color w:val="FFFFFF"/>
              </w:rPr>
              <w:t>WILL PROVIDE COPIES OF THE PROXY STATEMENT WITHOUT CHARGE UPON</w:t>
            </w: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900" w:type="dxa"/>
            <w:vAlign w:val="bottom"/>
            <w:gridSpan w:val="6"/>
          </w:tcPr>
          <w:p>
            <w:pPr>
              <w:spacing w:after="0"/>
              <w:rPr>
                <w:sz w:val="20"/>
                <w:szCs w:val="20"/>
                <w:color w:val="auto"/>
              </w:rPr>
            </w:pPr>
            <w:r>
              <w:rPr>
                <w:rFonts w:ascii="Arial" w:cs="Arial" w:eastAsia="Arial" w:hAnsi="Arial"/>
                <w:sz w:val="3"/>
                <w:szCs w:val="3"/>
                <w:color w:val="FFFFFF"/>
              </w:rPr>
              <w:t>REQUEST. REQUESTS FOR COPIES SHOULD BE DIRECTEDTYLENDINGOTSLX’S PROXY SOLICITOR ATSLXTPG@MACKENZIEPARTNERS.COM.</w:t>
            </w: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The participants in the solicitation are TSLX and T. Kelley Millet, and certain of TSLX’s directors and executive officers may also be deemed to be participants in the solicitation. As of the date hereof, TSLX</w:t>
            </w:r>
          </w:p>
        </w:tc>
        <w:tc>
          <w:tcPr>
            <w:tcW w:w="0" w:type="dxa"/>
            <w:vAlign w:val="bottom"/>
          </w:tcPr>
          <w:p>
            <w:pPr>
              <w:spacing w:after="0"/>
              <w:rPr>
                <w:sz w:val="1"/>
                <w:szCs w:val="1"/>
                <w:color w:val="auto"/>
              </w:rPr>
            </w:pPr>
          </w:p>
        </w:tc>
      </w:tr>
      <w:tr>
        <w:trPr>
          <w:trHeight w:val="41"/>
        </w:trPr>
        <w:tc>
          <w:tcPr>
            <w:tcW w:w="7040" w:type="dxa"/>
            <w:vAlign w:val="bottom"/>
            <w:gridSpan w:val="5"/>
          </w:tcPr>
          <w:p>
            <w:pPr>
              <w:spacing w:after="0"/>
              <w:rPr>
                <w:sz w:val="20"/>
                <w:szCs w:val="20"/>
                <w:color w:val="auto"/>
              </w:rPr>
            </w:pPr>
            <w:r>
              <w:rPr>
                <w:rFonts w:ascii="Arial" w:cs="Arial" w:eastAsia="Arial" w:hAnsi="Arial"/>
                <w:sz w:val="3"/>
                <w:szCs w:val="3"/>
                <w:color w:val="FFFFFF"/>
              </w:rPr>
              <w:t>directly beneficially owned 1,633,660 shares of common stock of TICC. As of the date hereof, Mr. Millet did not directly or</w:t>
            </w:r>
          </w:p>
        </w:tc>
        <w:tc>
          <w:tcPr>
            <w:tcW w:w="3860" w:type="dxa"/>
            <w:vAlign w:val="bottom"/>
          </w:tcPr>
          <w:p>
            <w:pPr>
              <w:ind w:left="260"/>
              <w:spacing w:after="0"/>
              <w:rPr>
                <w:sz w:val="20"/>
                <w:szCs w:val="20"/>
                <w:color w:val="auto"/>
              </w:rPr>
            </w:pPr>
            <w:r>
              <w:rPr>
                <w:rFonts w:ascii="Arial" w:cs="Arial" w:eastAsia="Arial" w:hAnsi="Arial"/>
                <w:sz w:val="3"/>
                <w:szCs w:val="3"/>
                <w:color w:val="FFFFFF"/>
              </w:rPr>
              <w:t>beneficially own any shares of common stock of TICC.</w:t>
            </w:r>
          </w:p>
        </w:tc>
        <w:tc>
          <w:tcPr>
            <w:tcW w:w="520" w:type="dxa"/>
            <w:vAlign w:val="bottom"/>
            <w:vMerge w:val="restart"/>
          </w:tcPr>
          <w:p>
            <w:pPr>
              <w:jc w:val="right"/>
              <w:spacing w:after="0" w:line="81" w:lineRule="exact"/>
              <w:rPr>
                <w:sz w:val="20"/>
                <w:szCs w:val="20"/>
                <w:color w:val="auto"/>
              </w:rPr>
            </w:pPr>
            <w:r>
              <w:rPr>
                <w:rFonts w:ascii="Arial" w:cs="Arial" w:eastAsia="Arial" w:hAnsi="Arial"/>
                <w:sz w:val="9"/>
                <w:szCs w:val="9"/>
                <w:color w:val="FFFFFF"/>
              </w:rPr>
              <w:t>31, 2014,</w:t>
            </w:r>
          </w:p>
        </w:tc>
        <w:tc>
          <w:tcPr>
            <w:tcW w:w="0" w:type="dxa"/>
            <w:vAlign w:val="bottom"/>
          </w:tcPr>
          <w:p>
            <w:pPr>
              <w:spacing w:after="0"/>
              <w:rPr>
                <w:sz w:val="1"/>
                <w:szCs w:val="1"/>
                <w:color w:val="auto"/>
              </w:rPr>
            </w:pPr>
          </w:p>
        </w:tc>
      </w:tr>
      <w:tr>
        <w:trPr>
          <w:trHeight w:val="41"/>
        </w:trPr>
        <w:tc>
          <w:tcPr>
            <w:tcW w:w="1940" w:type="dxa"/>
            <w:vAlign w:val="bottom"/>
          </w:tcPr>
          <w:p>
            <w:pPr>
              <w:spacing w:after="0"/>
              <w:rPr>
                <w:sz w:val="20"/>
                <w:szCs w:val="20"/>
                <w:color w:val="auto"/>
              </w:rPr>
            </w:pPr>
            <w:r>
              <w:rPr>
                <w:rFonts w:ascii="Arial" w:cs="Arial" w:eastAsia="Arial" w:hAnsi="Arial"/>
                <w:sz w:val="3"/>
                <w:szCs w:val="3"/>
                <w:color w:val="FFFFFF"/>
              </w:rPr>
              <w:t>Security holders may obtain</w:t>
            </w:r>
          </w:p>
        </w:tc>
        <w:tc>
          <w:tcPr>
            <w:tcW w:w="8960" w:type="dxa"/>
            <w:vAlign w:val="bottom"/>
            <w:gridSpan w:val="5"/>
          </w:tcPr>
          <w:p>
            <w:pPr>
              <w:ind w:left="300"/>
              <w:spacing w:after="0"/>
              <w:rPr>
                <w:sz w:val="20"/>
                <w:szCs w:val="20"/>
                <w:color w:val="auto"/>
              </w:rPr>
            </w:pPr>
            <w:r>
              <w:rPr>
                <w:rFonts w:ascii="Arial" w:cs="Arial" w:eastAsia="Arial" w:hAnsi="Arial"/>
                <w:sz w:val="3"/>
                <w:szCs w:val="3"/>
                <w:color w:val="FFFFFF"/>
              </w:rPr>
              <w:t>regarding the names, affiliations and interests of TSLX’s directors and executive officersindirectlyTSLX’s Annual Report on Form 10-K for the year ended</w:t>
            </w:r>
          </w:p>
        </w:tc>
        <w:tc>
          <w:tcPr>
            <w:tcW w:w="5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which was filed with the SECinformationFebruary 24, 2015, its proxy statement for the 2015 Annual Meeting, which was filed with the SEC on April 10, 2015, and certain of its Current Reports on FoDecember8-K.These</w:t>
            </w:r>
          </w:p>
        </w:tc>
        <w:tc>
          <w:tcPr>
            <w:tcW w:w="0" w:type="dxa"/>
            <w:vAlign w:val="bottom"/>
          </w:tcPr>
          <w:p>
            <w:pPr>
              <w:spacing w:after="0"/>
              <w:rPr>
                <w:sz w:val="1"/>
                <w:szCs w:val="1"/>
                <w:color w:val="auto"/>
              </w:rPr>
            </w:pPr>
          </w:p>
        </w:tc>
      </w:tr>
      <w:tr>
        <w:trPr>
          <w:trHeight w:val="41"/>
        </w:trPr>
        <w:tc>
          <w:tcPr>
            <w:tcW w:w="2780" w:type="dxa"/>
            <w:vAlign w:val="bottom"/>
            <w:gridSpan w:val="2"/>
          </w:tcPr>
          <w:p>
            <w:pPr>
              <w:spacing w:after="0"/>
              <w:rPr>
                <w:sz w:val="20"/>
                <w:szCs w:val="20"/>
                <w:color w:val="auto"/>
              </w:rPr>
            </w:pPr>
            <w:r>
              <w:rPr>
                <w:rFonts w:ascii="Arial" w:cs="Arial" w:eastAsia="Arial" w:hAnsi="Arial"/>
                <w:sz w:val="3"/>
                <w:szCs w:val="3"/>
                <w:color w:val="FFFFFF"/>
              </w:rPr>
              <w:t>documents can be obtained free of charge from</w:t>
            </w:r>
          </w:p>
        </w:tc>
        <w:tc>
          <w:tcPr>
            <w:tcW w:w="8640" w:type="dxa"/>
            <w:vAlign w:val="bottom"/>
            <w:gridSpan w:val="5"/>
          </w:tcPr>
          <w:p>
            <w:pPr>
              <w:jc w:val="right"/>
              <w:ind w:right="355"/>
              <w:spacing w:after="0"/>
              <w:rPr>
                <w:sz w:val="20"/>
                <w:szCs w:val="20"/>
                <w:color w:val="auto"/>
              </w:rPr>
            </w:pPr>
            <w:r>
              <w:rPr>
                <w:rFonts w:ascii="Arial" w:cs="Arial" w:eastAsia="Arial" w:hAnsi="Arial"/>
                <w:sz w:val="3"/>
                <w:szCs w:val="3"/>
                <w:color w:val="FFFFFF"/>
              </w:rPr>
              <w:t>sources indicated above. Additional information regarding the interests of these participants in the proxy solicitation and  description of their direct and</w:t>
            </w:r>
          </w:p>
        </w:tc>
        <w:tc>
          <w:tcPr>
            <w:tcW w:w="0" w:type="dxa"/>
            <w:vAlign w:val="bottom"/>
          </w:tcPr>
          <w:p>
            <w:pPr>
              <w:spacing w:after="0"/>
              <w:rPr>
                <w:sz w:val="1"/>
                <w:szCs w:val="1"/>
                <w:color w:val="auto"/>
              </w:rPr>
            </w:pPr>
          </w:p>
        </w:tc>
      </w:tr>
      <w:tr>
        <w:trPr>
          <w:trHeight w:val="41"/>
        </w:trPr>
        <w:tc>
          <w:tcPr>
            <w:tcW w:w="10900" w:type="dxa"/>
            <w:vAlign w:val="bottom"/>
            <w:gridSpan w:val="6"/>
          </w:tcPr>
          <w:p>
            <w:pPr>
              <w:spacing w:after="0"/>
              <w:rPr>
                <w:sz w:val="20"/>
                <w:szCs w:val="20"/>
                <w:color w:val="auto"/>
              </w:rPr>
            </w:pPr>
            <w:r>
              <w:rPr>
                <w:rFonts w:ascii="Arial" w:cs="Arial" w:eastAsia="Arial" w:hAnsi="Arial"/>
                <w:sz w:val="3"/>
                <w:szCs w:val="3"/>
                <w:color w:val="FFFFFF"/>
              </w:rPr>
              <w:t>indirect interests, by security holdings or otherwise, will also be included in any proxy statement and other relevant materials to be filed with the SEC when they become available.</w:t>
            </w: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80" w:type="dxa"/>
            <w:vAlign w:val="bottom"/>
            <w:gridSpan w:val="2"/>
          </w:tcPr>
          <w:p>
            <w:pPr>
              <w:spacing w:after="0"/>
              <w:rPr>
                <w:sz w:val="20"/>
                <w:szCs w:val="20"/>
                <w:color w:val="auto"/>
              </w:rPr>
            </w:pPr>
            <w:r>
              <w:rPr>
                <w:rFonts w:ascii="Arial" w:cs="Arial" w:eastAsia="Arial" w:hAnsi="Arial"/>
                <w:sz w:val="3"/>
                <w:szCs w:val="3"/>
                <w:color w:val="FFFFFF"/>
              </w:rPr>
              <w:t>I confirm that I have read the terms of this website.</w:t>
            </w:r>
          </w:p>
        </w:tc>
        <w:tc>
          <w:tcPr>
            <w:tcW w:w="9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940" w:type="dxa"/>
            <w:vAlign w:val="bottom"/>
          </w:tcPr>
          <w:p>
            <w:pPr>
              <w:spacing w:after="0"/>
              <w:rPr>
                <w:sz w:val="20"/>
                <w:szCs w:val="20"/>
                <w:color w:val="auto"/>
              </w:rPr>
            </w:pPr>
            <w:r>
              <w:rPr>
                <w:rFonts w:ascii="Arial" w:cs="Arial" w:eastAsia="Arial" w:hAnsi="Arial"/>
                <w:sz w:val="14"/>
                <w:szCs w:val="14"/>
                <w:color w:val="FFFFFF"/>
              </w:rPr>
              <w:t>Enter Site »</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4202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1865" cy="4202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gridSpan w:val="2"/>
          </w:tcPr>
          <w:p>
            <w:pPr>
              <w:spacing w:after="0"/>
              <w:rPr>
                <w:sz w:val="20"/>
                <w:szCs w:val="20"/>
                <w:color w:val="auto"/>
              </w:rPr>
            </w:pPr>
            <w:r>
              <w:rPr>
                <w:rFonts w:ascii="Arial" w:cs="Arial" w:eastAsia="Arial" w:hAnsi="Arial"/>
                <w:sz w:val="14"/>
                <w:szCs w:val="14"/>
                <w:color w:val="FFFFFF"/>
                <w:w w:val="96"/>
              </w:rPr>
              <w:t>TPG Specialty Lending</w:t>
            </w:r>
          </w:p>
        </w:tc>
        <w:tc>
          <w:tcPr>
            <w:tcW w:w="29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120" w:type="dxa"/>
            <w:vAlign w:val="bottom"/>
          </w:tcPr>
          <w:p>
            <w:pPr>
              <w:spacing w:after="0"/>
              <w:rPr>
                <w:sz w:val="20"/>
                <w:szCs w:val="20"/>
                <w:color w:val="auto"/>
              </w:rPr>
            </w:pPr>
            <w:r>
              <w:rPr>
                <w:rFonts w:ascii="Arial" w:cs="Arial" w:eastAsia="Arial" w:hAnsi="Arial"/>
                <w:sz w:val="3"/>
                <w:szCs w:val="3"/>
                <w:color w:val="FFFFFF"/>
              </w:rPr>
              <w:t>News &amp; Filings</w:t>
            </w:r>
          </w:p>
        </w:tc>
        <w:tc>
          <w:tcPr>
            <w:tcW w:w="280" w:type="dxa"/>
            <w:vAlign w:val="bottom"/>
          </w:tcPr>
          <w:p>
            <w:pPr>
              <w:spacing w:after="0"/>
              <w:rPr>
                <w:sz w:val="3"/>
                <w:szCs w:val="3"/>
                <w:color w:val="auto"/>
              </w:rPr>
            </w:pPr>
          </w:p>
        </w:tc>
        <w:tc>
          <w:tcPr>
            <w:tcW w:w="2920" w:type="dxa"/>
            <w:vAlign w:val="bottom"/>
          </w:tcPr>
          <w:p>
            <w:pPr>
              <w:spacing w:after="0"/>
              <w:rPr>
                <w:sz w:val="3"/>
                <w:szCs w:val="3"/>
                <w:color w:val="auto"/>
              </w:rPr>
            </w:pPr>
          </w:p>
        </w:tc>
        <w:tc>
          <w:tcPr>
            <w:tcW w:w="6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0" w:type="dxa"/>
            <w:vAlign w:val="bottom"/>
          </w:tcPr>
          <w:p>
            <w:pPr>
              <w:spacing w:after="0"/>
              <w:rPr>
                <w:sz w:val="20"/>
                <w:szCs w:val="20"/>
                <w:color w:val="auto"/>
              </w:rPr>
            </w:pPr>
            <w:r>
              <w:rPr>
                <w:rFonts w:ascii="Arial" w:cs="Arial" w:eastAsia="Arial" w:hAnsi="Arial"/>
                <w:sz w:val="3"/>
                <w:szCs w:val="3"/>
                <w:color w:val="FFFFFF"/>
              </w:rPr>
              <w:t>Presentations</w:t>
            </w:r>
          </w:p>
        </w:tc>
        <w:tc>
          <w:tcPr>
            <w:tcW w:w="280" w:type="dxa"/>
            <w:vAlign w:val="bottom"/>
          </w:tcPr>
          <w:p>
            <w:pPr>
              <w:spacing w:after="0"/>
              <w:rPr>
                <w:sz w:val="3"/>
                <w:szCs w:val="3"/>
                <w:color w:val="auto"/>
              </w:rPr>
            </w:pPr>
          </w:p>
        </w:tc>
        <w:tc>
          <w:tcPr>
            <w:tcW w:w="2920" w:type="dxa"/>
            <w:vAlign w:val="bottom"/>
          </w:tcPr>
          <w:p>
            <w:pPr>
              <w:spacing w:after="0"/>
              <w:rPr>
                <w:sz w:val="3"/>
                <w:szCs w:val="3"/>
                <w:color w:val="auto"/>
              </w:rPr>
            </w:pPr>
          </w:p>
        </w:tc>
        <w:tc>
          <w:tcPr>
            <w:tcW w:w="6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0" w:type="dxa"/>
            <w:vAlign w:val="bottom"/>
          </w:tcPr>
          <w:p>
            <w:pPr>
              <w:spacing w:after="0"/>
              <w:rPr>
                <w:sz w:val="20"/>
                <w:szCs w:val="20"/>
                <w:color w:val="auto"/>
              </w:rPr>
            </w:pPr>
            <w:r>
              <w:rPr>
                <w:rFonts w:ascii="Arial" w:cs="Arial" w:eastAsia="Arial" w:hAnsi="Arial"/>
                <w:sz w:val="3"/>
                <w:szCs w:val="3"/>
                <w:color w:val="FFFFFF"/>
              </w:rPr>
              <w:t>N minee</w:t>
            </w:r>
          </w:p>
        </w:tc>
        <w:tc>
          <w:tcPr>
            <w:tcW w:w="280" w:type="dxa"/>
            <w:vAlign w:val="bottom"/>
          </w:tcPr>
          <w:p>
            <w:pPr>
              <w:spacing w:after="0"/>
              <w:rPr>
                <w:sz w:val="3"/>
                <w:szCs w:val="3"/>
                <w:color w:val="auto"/>
              </w:rPr>
            </w:pPr>
          </w:p>
        </w:tc>
        <w:tc>
          <w:tcPr>
            <w:tcW w:w="2920" w:type="dxa"/>
            <w:vAlign w:val="bottom"/>
          </w:tcPr>
          <w:p>
            <w:pPr>
              <w:spacing w:after="0"/>
              <w:rPr>
                <w:sz w:val="3"/>
                <w:szCs w:val="3"/>
                <w:color w:val="auto"/>
              </w:rPr>
            </w:pPr>
          </w:p>
        </w:tc>
        <w:tc>
          <w:tcPr>
            <w:tcW w:w="6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0" w:type="dxa"/>
            <w:vAlign w:val="bottom"/>
          </w:tcPr>
          <w:p>
            <w:pPr>
              <w:spacing w:after="0"/>
              <w:rPr>
                <w:sz w:val="20"/>
                <w:szCs w:val="20"/>
                <w:color w:val="auto"/>
              </w:rPr>
            </w:pPr>
            <w:r>
              <w:rPr>
                <w:rFonts w:ascii="Arial" w:cs="Arial" w:eastAsia="Arial" w:hAnsi="Arial"/>
                <w:sz w:val="3"/>
                <w:szCs w:val="3"/>
                <w:color w:val="FFFFFF"/>
              </w:rPr>
              <w:t>How to Vote</w:t>
            </w:r>
          </w:p>
        </w:tc>
        <w:tc>
          <w:tcPr>
            <w:tcW w:w="280" w:type="dxa"/>
            <w:vAlign w:val="bottom"/>
          </w:tcPr>
          <w:p>
            <w:pPr>
              <w:spacing w:after="0"/>
              <w:rPr>
                <w:sz w:val="3"/>
                <w:szCs w:val="3"/>
                <w:color w:val="auto"/>
              </w:rPr>
            </w:pPr>
          </w:p>
        </w:tc>
        <w:tc>
          <w:tcPr>
            <w:tcW w:w="2920" w:type="dxa"/>
            <w:vAlign w:val="bottom"/>
          </w:tcPr>
          <w:p>
            <w:pPr>
              <w:spacing w:after="0"/>
              <w:rPr>
                <w:sz w:val="3"/>
                <w:szCs w:val="3"/>
                <w:color w:val="auto"/>
              </w:rPr>
            </w:pPr>
          </w:p>
        </w:tc>
        <w:tc>
          <w:tcPr>
            <w:tcW w:w="6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320" w:type="dxa"/>
            <w:vAlign w:val="bottom"/>
            <w:gridSpan w:val="3"/>
          </w:tcPr>
          <w:p>
            <w:pPr>
              <w:spacing w:after="0"/>
              <w:rPr>
                <w:sz w:val="20"/>
                <w:szCs w:val="20"/>
                <w:color w:val="auto"/>
              </w:rPr>
            </w:pPr>
            <w:r>
              <w:rPr>
                <w:rFonts w:ascii="Arial" w:cs="Arial" w:eastAsia="Arial" w:hAnsi="Arial"/>
                <w:sz w:val="3"/>
                <w:szCs w:val="3"/>
                <w:color w:val="FFFFFF"/>
              </w:rPr>
              <w:t>About TPG Specialty Lending</w:t>
            </w:r>
          </w:p>
        </w:tc>
        <w:tc>
          <w:tcPr>
            <w:tcW w:w="6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0" w:type="dxa"/>
            <w:vAlign w:val="bottom"/>
          </w:tcPr>
          <w:p>
            <w:pPr>
              <w:spacing w:after="0"/>
              <w:rPr>
                <w:sz w:val="20"/>
                <w:szCs w:val="20"/>
                <w:color w:val="auto"/>
              </w:rPr>
            </w:pPr>
            <w:r>
              <w:rPr>
                <w:rFonts w:ascii="Arial" w:cs="Arial" w:eastAsia="Arial" w:hAnsi="Arial"/>
                <w:sz w:val="3"/>
                <w:szCs w:val="3"/>
                <w:color w:val="FFFFFF"/>
              </w:rPr>
              <w:t>Contact</w:t>
            </w:r>
          </w:p>
        </w:tc>
        <w:tc>
          <w:tcPr>
            <w:tcW w:w="280" w:type="dxa"/>
            <w:vAlign w:val="bottom"/>
          </w:tcPr>
          <w:p>
            <w:pPr>
              <w:spacing w:after="0"/>
              <w:rPr>
                <w:sz w:val="3"/>
                <w:szCs w:val="3"/>
                <w:color w:val="auto"/>
              </w:rPr>
            </w:pPr>
          </w:p>
        </w:tc>
        <w:tc>
          <w:tcPr>
            <w:tcW w:w="9880" w:type="dxa"/>
            <w:vAlign w:val="bottom"/>
            <w:gridSpan w:val="2"/>
            <w:vMerge w:val="restart"/>
          </w:tcPr>
          <w:p>
            <w:pPr>
              <w:ind w:left="120"/>
              <w:spacing w:after="0" w:line="81" w:lineRule="exact"/>
              <w:rPr>
                <w:sz w:val="20"/>
                <w:szCs w:val="20"/>
                <w:color w:val="auto"/>
              </w:rPr>
            </w:pPr>
            <w:r>
              <w:rPr>
                <w:rFonts w:ascii="Arial" w:cs="Arial" w:eastAsia="Arial" w:hAnsi="Arial"/>
                <w:sz w:val="9"/>
                <w:szCs w:val="9"/>
                <w:color w:val="FFFFFF"/>
              </w:rPr>
              <w:t>change and TPG Specialty Lending, Inc. is committed to delivering meaningful change and real value to stockholders</w:t>
            </w:r>
          </w:p>
        </w:tc>
        <w:tc>
          <w:tcPr>
            <w:tcW w:w="0" w:type="dxa"/>
            <w:vAlign w:val="bottom"/>
          </w:tcPr>
          <w:p>
            <w:pPr>
              <w:spacing w:after="0"/>
              <w:rPr>
                <w:sz w:val="1"/>
                <w:szCs w:val="1"/>
                <w:color w:val="auto"/>
              </w:rPr>
            </w:pPr>
          </w:p>
        </w:tc>
      </w:tr>
      <w:tr>
        <w:trPr>
          <w:trHeight w:val="41"/>
        </w:trPr>
        <w:tc>
          <w:tcPr>
            <w:tcW w:w="1120" w:type="dxa"/>
            <w:vAlign w:val="bottom"/>
          </w:tcPr>
          <w:p>
            <w:pPr>
              <w:ind w:left="340"/>
              <w:spacing w:after="0"/>
              <w:rPr>
                <w:sz w:val="20"/>
                <w:szCs w:val="20"/>
                <w:color w:val="auto"/>
              </w:rPr>
            </w:pPr>
            <w:r>
              <w:rPr>
                <w:rFonts w:ascii="Arial" w:cs="Arial" w:eastAsia="Arial" w:hAnsi="Arial"/>
                <w:sz w:val="3"/>
                <w:szCs w:val="3"/>
                <w:color w:val="FFFFFF"/>
              </w:rPr>
              <w:t>stockholders</w:t>
            </w:r>
          </w:p>
        </w:tc>
        <w:tc>
          <w:tcPr>
            <w:tcW w:w="280" w:type="dxa"/>
            <w:vAlign w:val="bottom"/>
          </w:tcPr>
          <w:p>
            <w:pPr>
              <w:spacing w:after="0"/>
              <w:rPr>
                <w:sz w:val="3"/>
                <w:szCs w:val="3"/>
                <w:color w:val="auto"/>
              </w:rPr>
            </w:pPr>
          </w:p>
        </w:tc>
        <w:tc>
          <w:tcPr>
            <w:tcW w:w="98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TICC Capital Corp.’deserve(“TICC”) failure to deliver value to stockholders and to act in their best interest has gone on too long. By nearly every measure, TICC and its external manager, TICC Management, LLC,</w:t>
            </w: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have consistently failed stockhold rs. Since TICC’ IPO in 2003, the company has delivered total returns of just 27.0% versus 188.8% for the BDC Composite.*</w:t>
            </w:r>
          </w:p>
        </w:tc>
        <w:tc>
          <w:tcPr>
            <w:tcW w:w="0" w:type="dxa"/>
            <w:vAlign w:val="bottom"/>
          </w:tcPr>
          <w:p>
            <w:pPr>
              <w:spacing w:after="0"/>
              <w:rPr>
                <w:sz w:val="1"/>
                <w:szCs w:val="1"/>
                <w:color w:val="auto"/>
              </w:rPr>
            </w:pPr>
          </w:p>
        </w:tc>
      </w:tr>
      <w:tr>
        <w:trPr>
          <w:trHeight w:val="41"/>
        </w:trPr>
        <w:tc>
          <w:tcPr>
            <w:tcW w:w="1400" w:type="dxa"/>
            <w:vAlign w:val="bottom"/>
            <w:gridSpan w:val="2"/>
          </w:tcPr>
          <w:p>
            <w:pPr>
              <w:spacing w:after="0"/>
              <w:rPr>
                <w:sz w:val="20"/>
                <w:szCs w:val="20"/>
                <w:color w:val="auto"/>
              </w:rPr>
            </w:pPr>
            <w:r>
              <w:rPr>
                <w:rFonts w:ascii="Arial" w:cs="Arial" w:eastAsia="Arial" w:hAnsi="Arial"/>
                <w:sz w:val="3"/>
                <w:szCs w:val="3"/>
                <w:color w:val="FFFFFF"/>
              </w:rPr>
              <w:t>As we approach TICC’s</w:t>
            </w:r>
          </w:p>
        </w:tc>
        <w:tc>
          <w:tcPr>
            <w:tcW w:w="9880" w:type="dxa"/>
            <w:vAlign w:val="bottom"/>
            <w:gridSpan w:val="2"/>
          </w:tcPr>
          <w:p>
            <w:pPr>
              <w:ind w:left="80"/>
              <w:spacing w:after="0"/>
              <w:rPr>
                <w:sz w:val="20"/>
                <w:szCs w:val="20"/>
                <w:color w:val="auto"/>
              </w:rPr>
            </w:pPr>
            <w:r>
              <w:rPr>
                <w:rFonts w:ascii="Arial" w:cs="Arial" w:eastAsia="Arial" w:hAnsi="Arial"/>
                <w:sz w:val="3"/>
                <w:szCs w:val="3"/>
                <w:color w:val="FFFFFF"/>
              </w:rPr>
              <w:t>nual meeting, TICC’s silence has made it clear to us that once again it does not intend to take any meaningful actions to deliver stockholder value. That is why we have delivered a</w:t>
            </w:r>
          </w:p>
        </w:tc>
        <w:tc>
          <w:tcPr>
            <w:tcW w:w="0" w:type="dxa"/>
            <w:vAlign w:val="bottom"/>
          </w:tcPr>
          <w:p>
            <w:pPr>
              <w:spacing w:after="0"/>
              <w:rPr>
                <w:sz w:val="1"/>
                <w:szCs w:val="1"/>
                <w:color w:val="auto"/>
              </w:rPr>
            </w:pPr>
          </w:p>
        </w:tc>
      </w:tr>
      <w:tr>
        <w:trPr>
          <w:trHeight w:val="41"/>
        </w:trPr>
        <w:tc>
          <w:tcPr>
            <w:tcW w:w="4320" w:type="dxa"/>
            <w:vAlign w:val="bottom"/>
            <w:gridSpan w:val="3"/>
          </w:tcPr>
          <w:p>
            <w:pPr>
              <w:spacing w:after="0"/>
              <w:rPr>
                <w:sz w:val="20"/>
                <w:szCs w:val="20"/>
                <w:color w:val="auto"/>
              </w:rPr>
            </w:pPr>
            <w:r>
              <w:rPr>
                <w:rFonts w:ascii="Arial" w:cs="Arial" w:eastAsia="Arial" w:hAnsi="Arial"/>
                <w:sz w:val="3"/>
                <w:szCs w:val="3"/>
                <w:color w:val="FFFFFF"/>
              </w:rPr>
              <w:t>formal notice of our nomination of a highly qualifi d and independent</w:t>
            </w:r>
          </w:p>
        </w:tc>
        <w:tc>
          <w:tcPr>
            <w:tcW w:w="6960" w:type="dxa"/>
            <w:vAlign w:val="bottom"/>
          </w:tcPr>
          <w:p>
            <w:pPr>
              <w:ind w:left="20"/>
              <w:spacing w:after="0"/>
              <w:rPr>
                <w:sz w:val="20"/>
                <w:szCs w:val="20"/>
                <w:color w:val="auto"/>
              </w:rPr>
            </w:pPr>
            <w:r>
              <w:rPr>
                <w:rFonts w:ascii="Arial" w:cs="Arial" w:eastAsia="Arial" w:hAnsi="Arial"/>
                <w:sz w:val="3"/>
                <w:szCs w:val="3"/>
                <w:color w:val="FFFFFF"/>
              </w:rPr>
              <w:t>— Mr. T. Kelley Millet—for election to the TICC Board at the 2016 Annual Meeting of Stockholders. We have also submitted a</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20"/>
                <w:szCs w:val="20"/>
                <w:color w:val="auto"/>
              </w:rPr>
            </w:pPr>
            <w:r>
              <w:rPr>
                <w:rFonts w:ascii="Arial" w:cs="Arial" w:eastAsia="Arial" w:hAnsi="Arial"/>
                <w:sz w:val="3"/>
                <w:szCs w:val="3"/>
                <w:color w:val="FFFFFF"/>
              </w:rPr>
              <w:t>proposal to</w:t>
            </w:r>
          </w:p>
        </w:tc>
        <w:tc>
          <w:tcPr>
            <w:tcW w:w="10160" w:type="dxa"/>
            <w:vAlign w:val="bottom"/>
            <w:gridSpan w:val="3"/>
          </w:tcPr>
          <w:p>
            <w:pPr>
              <w:ind w:left="60"/>
              <w:spacing w:after="0"/>
              <w:rPr>
                <w:sz w:val="20"/>
                <w:szCs w:val="20"/>
                <w:color w:val="auto"/>
              </w:rPr>
            </w:pPr>
            <w:r>
              <w:rPr>
                <w:rFonts w:ascii="Arial" w:cs="Arial" w:eastAsia="Arial" w:hAnsi="Arial"/>
                <w:sz w:val="3"/>
                <w:szCs w:val="3"/>
                <w:color w:val="FFFFFF"/>
              </w:rPr>
              <w:t>the investment advisory agreement between TICCcandidatethe external manager. Under the Investment Company Act of 1940, as amended, stockholders have the power to terminate the</w:t>
            </w:r>
          </w:p>
        </w:tc>
        <w:tc>
          <w:tcPr>
            <w:tcW w:w="0" w:type="dxa"/>
            <w:vAlign w:val="bottom"/>
          </w:tcPr>
          <w:p>
            <w:pPr>
              <w:spacing w:after="0"/>
              <w:rPr>
                <w:sz w:val="1"/>
                <w:szCs w:val="1"/>
                <w:color w:val="auto"/>
              </w:rPr>
            </w:pPr>
          </w:p>
        </w:tc>
      </w:tr>
      <w:tr>
        <w:trPr>
          <w:trHeight w:val="41"/>
        </w:trPr>
        <w:tc>
          <w:tcPr>
            <w:tcW w:w="4320" w:type="dxa"/>
            <w:vAlign w:val="bottom"/>
            <w:gridSpan w:val="3"/>
          </w:tcPr>
          <w:p>
            <w:pPr>
              <w:ind w:left="480"/>
              <w:spacing w:after="0"/>
              <w:rPr>
                <w:sz w:val="20"/>
                <w:szCs w:val="20"/>
                <w:color w:val="auto"/>
              </w:rPr>
            </w:pPr>
            <w:r>
              <w:rPr>
                <w:rFonts w:ascii="Arial" w:cs="Arial" w:eastAsia="Arial" w:hAnsi="Arial"/>
                <w:sz w:val="3"/>
                <w:szCs w:val="3"/>
                <w:color w:val="FFFFFF"/>
              </w:rPr>
              <w:t>managerterminateno cost to stockholders.</w:t>
            </w:r>
          </w:p>
        </w:tc>
        <w:tc>
          <w:tcPr>
            <w:tcW w:w="6960" w:type="dxa"/>
            <w:vAlign w:val="bottom"/>
            <w:vMerge w:val="restart"/>
          </w:tcPr>
          <w:p>
            <w:pPr>
              <w:ind w:left="600"/>
              <w:spacing w:after="0"/>
              <w:rPr>
                <w:sz w:val="20"/>
                <w:szCs w:val="20"/>
                <w:color w:val="auto"/>
              </w:rPr>
            </w:pPr>
            <w:r>
              <w:rPr>
                <w:rFonts w:ascii="Arial" w:cs="Arial" w:eastAsia="Arial" w:hAnsi="Arial"/>
                <w:sz w:val="3"/>
                <w:szCs w:val="3"/>
                <w:color w:val="FFFFFF"/>
              </w:rPr>
              <w:t>and the external manager’ actions will continue to destroy stockholder value. The need for an independent, highly</w:t>
            </w:r>
          </w:p>
        </w:tc>
        <w:tc>
          <w:tcPr>
            <w:tcW w:w="0" w:type="dxa"/>
            <w:vAlign w:val="bottom"/>
          </w:tcPr>
          <w:p>
            <w:pPr>
              <w:spacing w:after="0"/>
              <w:rPr>
                <w:sz w:val="1"/>
                <w:szCs w:val="1"/>
                <w:color w:val="auto"/>
              </w:rPr>
            </w:pPr>
          </w:p>
        </w:tc>
      </w:tr>
      <w:tr>
        <w:trPr>
          <w:trHeight w:val="0"/>
        </w:trPr>
        <w:tc>
          <w:tcPr>
            <w:tcW w:w="4320" w:type="dxa"/>
            <w:vAlign w:val="bottom"/>
            <w:gridSpan w:val="3"/>
          </w:tcPr>
          <w:p>
            <w:pPr>
              <w:spacing w:after="0" w:line="80" w:lineRule="exact"/>
              <w:rPr>
                <w:sz w:val="20"/>
                <w:szCs w:val="20"/>
                <w:color w:val="auto"/>
              </w:rPr>
            </w:pPr>
            <w:r>
              <w:rPr>
                <w:rFonts w:ascii="Arial" w:cs="Arial" w:eastAsia="Arial" w:hAnsi="Arial"/>
                <w:sz w:val="9"/>
                <w:szCs w:val="9"/>
                <w:color w:val="FFFFFF"/>
              </w:rPr>
              <w:t>externalWhave taken these actions because we are gravely concer ed that the Board’s</w:t>
            </w:r>
          </w:p>
        </w:tc>
        <w:tc>
          <w:tcPr>
            <w:tcW w:w="69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auto"/>
        <w:rPr>
          <w:sz w:val="20"/>
          <w:szCs w:val="20"/>
          <w:color w:val="auto"/>
        </w:rPr>
      </w:pPr>
      <w:r>
        <w:rPr>
          <w:rFonts w:ascii="Arial" w:cs="Arial" w:eastAsia="Arial" w:hAnsi="Arial"/>
          <w:sz w:val="14"/>
          <w:szCs w:val="14"/>
          <w:color w:val="FFFFFF"/>
        </w:rPr>
        <w:t>qualified voice in the boardroom is overwhelmingly clear and the external manager’leadershipdecade of failed returns demands an immediate change.</w:t>
      </w:r>
    </w:p>
    <w:p>
      <w:pPr>
        <w:sectPr>
          <w:pgSz w:w="11900" w:h="16838" w:orient="portrait"/>
          <w:cols w:equalWidth="0" w:num="1">
            <w:col w:w="11280"/>
          </w:cols>
          <w:pgMar w:left="240" w:top="1440" w:right="37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4991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1865" cy="4991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5"/>
          </w:tcPr>
          <w:p>
            <w:pPr>
              <w:spacing w:after="0"/>
              <w:rPr>
                <w:sz w:val="20"/>
                <w:szCs w:val="20"/>
                <w:color w:val="auto"/>
              </w:rPr>
            </w:pPr>
            <w:r>
              <w:rPr>
                <w:rFonts w:ascii="Arial" w:cs="Arial" w:eastAsia="Arial" w:hAnsi="Arial"/>
                <w:sz w:val="14"/>
                <w:szCs w:val="14"/>
                <w:color w:val="FFFFFF"/>
              </w:rPr>
              <w:t>These changes would positively impact TICC stockholders by:</w:t>
            </w:r>
          </w:p>
        </w:tc>
      </w:tr>
      <w:tr>
        <w:trPr>
          <w:trHeight w:val="41"/>
        </w:trPr>
        <w:tc>
          <w:tcPr>
            <w:tcW w:w="2540" w:type="dxa"/>
            <w:vAlign w:val="bottom"/>
            <w:gridSpan w:val="4"/>
          </w:tcPr>
          <w:p>
            <w:pPr>
              <w:spacing w:after="0"/>
              <w:rPr>
                <w:sz w:val="20"/>
                <w:szCs w:val="20"/>
                <w:color w:val="auto"/>
              </w:rPr>
            </w:pPr>
            <w:r>
              <w:rPr>
                <w:rFonts w:ascii="Arial" w:cs="Arial" w:eastAsia="Arial" w:hAnsi="Arial"/>
                <w:sz w:val="3"/>
                <w:szCs w:val="3"/>
                <w:color w:val="FFFFFF"/>
              </w:rPr>
              <w:t>1.Bringing in a new, independent perspective</w:t>
            </w:r>
          </w:p>
        </w:tc>
        <w:tc>
          <w:tcPr>
            <w:tcW w:w="8860" w:type="dxa"/>
            <w:vAlign w:val="bottom"/>
          </w:tcPr>
          <w:p>
            <w:pPr>
              <w:ind w:left="80"/>
              <w:spacing w:after="0"/>
              <w:rPr>
                <w:sz w:val="20"/>
                <w:szCs w:val="20"/>
                <w:color w:val="auto"/>
              </w:rPr>
            </w:pPr>
            <w:r>
              <w:rPr>
                <w:rFonts w:ascii="Arial" w:cs="Arial" w:eastAsia="Arial" w:hAnsi="Arial"/>
                <w:sz w:val="3"/>
                <w:szCs w:val="3"/>
                <w:color w:val="FFFFFF"/>
              </w:rPr>
              <w:t>the boardroom by adding Mr. Millet to the Board. His more than 30 years of proven industry expertise across the financial sector and particularly in credit markets</w:t>
            </w:r>
          </w:p>
        </w:tc>
      </w:tr>
      <w:tr>
        <w:trPr>
          <w:trHeight w:val="41"/>
        </w:trPr>
        <w:tc>
          <w:tcPr>
            <w:tcW w:w="2100" w:type="dxa"/>
            <w:vAlign w:val="bottom"/>
            <w:gridSpan w:val="3"/>
          </w:tcPr>
          <w:p>
            <w:pPr>
              <w:spacing w:after="0"/>
              <w:rPr>
                <w:sz w:val="20"/>
                <w:szCs w:val="20"/>
                <w:color w:val="auto"/>
              </w:rPr>
            </w:pPr>
            <w:r>
              <w:rPr>
                <w:rFonts w:ascii="Arial" w:cs="Arial" w:eastAsia="Arial" w:hAnsi="Arial"/>
                <w:sz w:val="3"/>
                <w:szCs w:val="3"/>
                <w:color w:val="FFFFFF"/>
              </w:rPr>
              <w:t>coupled with his proven leadership as</w:t>
            </w:r>
          </w:p>
        </w:tc>
        <w:tc>
          <w:tcPr>
            <w:tcW w:w="9300" w:type="dxa"/>
            <w:vAlign w:val="bottom"/>
            <w:gridSpan w:val="2"/>
          </w:tcPr>
          <w:p>
            <w:pPr>
              <w:ind w:left="80"/>
              <w:spacing w:after="0"/>
              <w:rPr>
                <w:sz w:val="20"/>
                <w:szCs w:val="20"/>
                <w:color w:val="auto"/>
              </w:rPr>
            </w:pPr>
            <w:r>
              <w:rPr>
                <w:rFonts w:ascii="Arial" w:cs="Arial" w:eastAsia="Arial" w:hAnsi="Arial"/>
                <w:sz w:val="3"/>
                <w:szCs w:val="3"/>
                <w:color w:val="FFFFFF"/>
              </w:rPr>
              <w:t>director make him the ideal candidate to effect change at TICC. Of note, Mr. Millet, currently CEO of Banca IMI Securities, has guided companies in Chief Executive</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Officer and senior executive roles across the financial sector including roles with Pierpont Securities (2012-2013), Cortview Capital (2011-2012), MarketAxess Holdings (2006-2011), Bear Stearns (2001-2006),</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and J.P. Morgan (1982-2001). He also brings board experience that spans public financial technology companies to private equity-backed financial services companies to equity trading firms. He has a track</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record of success in reinvigorating companies, driving growth, prioritizing stockholders’ interests and protecting their investments.</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2.Once and for all severing ties to  failed external manager that has not only delivered shockingly terrible stockholder returns but pursued a strategy that has impaired TICC’s financial future and served to</w:t>
            </w:r>
          </w:p>
        </w:tc>
      </w:tr>
      <w:tr>
        <w:trPr>
          <w:trHeight w:val="41"/>
        </w:trPr>
        <w:tc>
          <w:tcPr>
            <w:tcW w:w="340" w:type="dxa"/>
            <w:vAlign w:val="bottom"/>
            <w:gridSpan w:val="2"/>
          </w:tcPr>
          <w:p>
            <w:pPr>
              <w:spacing w:after="0"/>
              <w:rPr>
                <w:sz w:val="20"/>
                <w:szCs w:val="20"/>
                <w:color w:val="auto"/>
              </w:rPr>
            </w:pPr>
            <w:r>
              <w:rPr>
                <w:rFonts w:ascii="Arial" w:cs="Arial" w:eastAsia="Arial" w:hAnsi="Arial"/>
                <w:sz w:val="3"/>
                <w:szCs w:val="3"/>
                <w:color w:val="FFFFFF"/>
              </w:rPr>
              <w:t>enrich</w:t>
            </w:r>
          </w:p>
        </w:tc>
        <w:tc>
          <w:tcPr>
            <w:tcW w:w="11060" w:type="dxa"/>
            <w:vAlign w:val="bottom"/>
            <w:gridSpan w:val="3"/>
          </w:tcPr>
          <w:p>
            <w:pPr>
              <w:ind w:left="140"/>
              <w:spacing w:after="0"/>
              <w:rPr>
                <w:sz w:val="20"/>
                <w:szCs w:val="20"/>
                <w:color w:val="auto"/>
              </w:rPr>
            </w:pPr>
            <w:r>
              <w:rPr>
                <w:rFonts w:ascii="Arial" w:cs="Arial" w:eastAsia="Arial" w:hAnsi="Arial"/>
                <w:sz w:val="3"/>
                <w:szCs w:val="3"/>
                <w:color w:val="FFFFFF"/>
              </w:rPr>
              <w:t>few   the expense of the company’s stockholders.</w:t>
            </w:r>
          </w:p>
        </w:tc>
      </w:tr>
      <w:tr>
        <w:trPr>
          <w:trHeight w:val="41"/>
        </w:trPr>
        <w:tc>
          <w:tcPr>
            <w:tcW w:w="160" w:type="dxa"/>
            <w:vAlign w:val="bottom"/>
          </w:tcPr>
          <w:p>
            <w:pPr>
              <w:spacing w:after="0"/>
              <w:rPr>
                <w:sz w:val="20"/>
                <w:szCs w:val="20"/>
                <w:color w:val="auto"/>
              </w:rPr>
            </w:pPr>
            <w:r>
              <w:rPr>
                <w:rFonts w:ascii="Arial" w:cs="Arial" w:eastAsia="Arial" w:hAnsi="Arial"/>
                <w:sz w:val="3"/>
                <w:szCs w:val="3"/>
                <w:color w:val="FFFFFF"/>
              </w:rPr>
              <w:t>3.</w:t>
            </w:r>
          </w:p>
        </w:tc>
        <w:tc>
          <w:tcPr>
            <w:tcW w:w="180" w:type="dxa"/>
            <w:vAlign w:val="bottom"/>
          </w:tcPr>
          <w:p>
            <w:pPr>
              <w:spacing w:after="0"/>
              <w:rPr>
                <w:sz w:val="3"/>
                <w:szCs w:val="3"/>
                <w:color w:val="auto"/>
              </w:rPr>
            </w:pPr>
          </w:p>
        </w:tc>
        <w:tc>
          <w:tcPr>
            <w:tcW w:w="11060" w:type="dxa"/>
            <w:vAlign w:val="bottom"/>
            <w:gridSpan w:val="3"/>
          </w:tcPr>
          <w:p>
            <w:pPr>
              <w:ind w:left="260"/>
              <w:spacing w:after="0"/>
              <w:rPr>
                <w:sz w:val="20"/>
                <w:szCs w:val="20"/>
                <w:color w:val="auto"/>
              </w:rPr>
            </w:pPr>
            <w:r>
              <w:rPr>
                <w:rFonts w:ascii="Arial" w:cs="Arial" w:eastAsia="Arial" w:hAnsi="Arial"/>
                <w:sz w:val="3"/>
                <w:szCs w:val="3"/>
                <w:color w:val="FFFFFF"/>
              </w:rPr>
              <w:t>a path for TICC to fully and thoroughly explore strategic alternatives with a view to maximizing value for all TICC stockholders.</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WCreatingfeelstrongly that change is needed at TICC for the following reasons:</w:t>
            </w:r>
          </w:p>
        </w:tc>
      </w:tr>
      <w:tr>
        <w:trPr>
          <w:trHeight w:val="41"/>
        </w:trPr>
        <w:tc>
          <w:tcPr>
            <w:tcW w:w="160" w:type="dxa"/>
            <w:vAlign w:val="bottom"/>
          </w:tcPr>
          <w:p>
            <w:pPr>
              <w:spacing w:after="0"/>
              <w:rPr>
                <w:sz w:val="20"/>
                <w:szCs w:val="20"/>
                <w:color w:val="auto"/>
              </w:rPr>
            </w:pPr>
            <w:r>
              <w:rPr>
                <w:rFonts w:ascii="Arial" w:cs="Arial" w:eastAsia="Arial" w:hAnsi="Arial"/>
                <w:sz w:val="3"/>
                <w:szCs w:val="3"/>
                <w:color w:val="FFFFFF"/>
              </w:rPr>
              <w:t>1</w:t>
            </w:r>
          </w:p>
        </w:tc>
        <w:tc>
          <w:tcPr>
            <w:tcW w:w="180" w:type="dxa"/>
            <w:vAlign w:val="bottom"/>
          </w:tcPr>
          <w:p>
            <w:pPr>
              <w:spacing w:after="0"/>
              <w:rPr>
                <w:sz w:val="3"/>
                <w:szCs w:val="3"/>
                <w:color w:val="auto"/>
              </w:rPr>
            </w:pPr>
          </w:p>
        </w:tc>
        <w:tc>
          <w:tcPr>
            <w:tcW w:w="11060" w:type="dxa"/>
            <w:vAlign w:val="bottom"/>
            <w:gridSpan w:val="3"/>
          </w:tcPr>
          <w:p>
            <w:pPr>
              <w:ind w:left="20"/>
              <w:spacing w:after="0"/>
              <w:rPr>
                <w:sz w:val="20"/>
                <w:szCs w:val="20"/>
                <w:color w:val="auto"/>
              </w:rPr>
            </w:pPr>
            <w:r>
              <w:rPr>
                <w:rFonts w:ascii="Arial" w:cs="Arial" w:eastAsia="Arial" w:hAnsi="Arial"/>
                <w:sz w:val="3"/>
                <w:szCs w:val="3"/>
                <w:color w:val="FFFFFF"/>
              </w:rPr>
              <w:t>company’ past performance – delivered by the current external manager and overseen by the current Board – is appalling;</w:t>
            </w:r>
          </w:p>
        </w:tc>
      </w:tr>
      <w:tr>
        <w:trPr>
          <w:trHeight w:val="41"/>
        </w:trPr>
        <w:tc>
          <w:tcPr>
            <w:tcW w:w="160" w:type="dxa"/>
            <w:vAlign w:val="bottom"/>
          </w:tcPr>
          <w:p>
            <w:pPr>
              <w:spacing w:after="0"/>
              <w:rPr>
                <w:sz w:val="20"/>
                <w:szCs w:val="20"/>
                <w:color w:val="auto"/>
              </w:rPr>
            </w:pPr>
            <w:r>
              <w:rPr>
                <w:rFonts w:ascii="Arial" w:cs="Arial" w:eastAsia="Arial" w:hAnsi="Arial"/>
                <w:sz w:val="3"/>
                <w:szCs w:val="3"/>
                <w:color w:val="FFFFFF"/>
              </w:rPr>
              <w:t>2</w:t>
            </w:r>
          </w:p>
        </w:tc>
        <w:tc>
          <w:tcPr>
            <w:tcW w:w="11240" w:type="dxa"/>
            <w:vAlign w:val="bottom"/>
            <w:gridSpan w:val="4"/>
          </w:tcPr>
          <w:p>
            <w:pPr>
              <w:ind w:left="40"/>
              <w:spacing w:after="0"/>
              <w:rPr>
                <w:sz w:val="20"/>
                <w:szCs w:val="20"/>
                <w:color w:val="auto"/>
              </w:rPr>
            </w:pPr>
            <w:r>
              <w:rPr>
                <w:rFonts w:ascii="Arial" w:cs="Arial" w:eastAsia="Arial" w:hAnsi="Arial"/>
                <w:sz w:val="3"/>
                <w:szCs w:val="3"/>
                <w:color w:val="FFFFFF"/>
              </w:rPr>
              <w:t>ICC’s value destructive capital allocation strategy has continually eroded NAV and diluted stockholders;</w:t>
            </w:r>
          </w:p>
        </w:tc>
      </w:tr>
      <w:tr>
        <w:trPr>
          <w:trHeight w:val="41"/>
        </w:trPr>
        <w:tc>
          <w:tcPr>
            <w:tcW w:w="340" w:type="dxa"/>
            <w:vAlign w:val="bottom"/>
            <w:gridSpan w:val="2"/>
          </w:tcPr>
          <w:p>
            <w:pPr>
              <w:spacing w:after="0"/>
              <w:rPr>
                <w:sz w:val="20"/>
                <w:szCs w:val="20"/>
                <w:color w:val="auto"/>
              </w:rPr>
            </w:pPr>
            <w:r>
              <w:rPr>
                <w:rFonts w:ascii="Arial" w:cs="Arial" w:eastAsia="Arial" w:hAnsi="Arial"/>
                <w:sz w:val="3"/>
                <w:szCs w:val="3"/>
                <w:color w:val="FFFFFF"/>
              </w:rPr>
              <w:t>3.The</w:t>
            </w:r>
          </w:p>
        </w:tc>
        <w:tc>
          <w:tcPr>
            <w:tcW w:w="11060" w:type="dxa"/>
            <w:vAlign w:val="bottom"/>
            <w:gridSpan w:val="3"/>
          </w:tcPr>
          <w:p>
            <w:pPr>
              <w:ind w:left="20"/>
              <w:spacing w:after="0"/>
              <w:rPr>
                <w:sz w:val="20"/>
                <w:szCs w:val="20"/>
                <w:color w:val="auto"/>
              </w:rPr>
            </w:pPr>
            <w:r>
              <w:rPr>
                <w:rFonts w:ascii="Arial" w:cs="Arial" w:eastAsia="Arial" w:hAnsi="Arial"/>
                <w:sz w:val="3"/>
                <w:szCs w:val="3"/>
                <w:color w:val="FFFFFF"/>
              </w:rPr>
              <w:t>TICC Board has ignored highly concerning conflicts of interest and seems to have prioritized wealth creation for the underperforming external manager, which provide little confidence that the Board, or</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the manager, is capable of focusing on driving value for stockholders; and</w:t>
            </w:r>
          </w:p>
        </w:tc>
      </w:tr>
      <w:tr>
        <w:trPr>
          <w:trHeight w:val="41"/>
        </w:trPr>
        <w:tc>
          <w:tcPr>
            <w:tcW w:w="2540" w:type="dxa"/>
            <w:vAlign w:val="bottom"/>
            <w:gridSpan w:val="4"/>
          </w:tcPr>
          <w:p>
            <w:pPr>
              <w:spacing w:after="0"/>
              <w:rPr>
                <w:sz w:val="20"/>
                <w:szCs w:val="20"/>
                <w:color w:val="auto"/>
              </w:rPr>
            </w:pPr>
            <w:r>
              <w:rPr>
                <w:rFonts w:ascii="Arial" w:cs="Arial" w:eastAsia="Arial" w:hAnsi="Arial"/>
                <w:sz w:val="3"/>
                <w:szCs w:val="3"/>
                <w:color w:val="FFFFFF"/>
              </w:rPr>
              <w:t>4.TICC’s poor and costly investment strategy</w:t>
            </w:r>
          </w:p>
        </w:tc>
        <w:tc>
          <w:tcPr>
            <w:tcW w:w="8860" w:type="dxa"/>
            <w:vAlign w:val="bottom"/>
          </w:tcPr>
          <w:p>
            <w:pPr>
              <w:ind w:left="920"/>
              <w:spacing w:after="0"/>
              <w:rPr>
                <w:sz w:val="20"/>
                <w:szCs w:val="20"/>
                <w:color w:val="auto"/>
              </w:rPr>
            </w:pPr>
            <w:r>
              <w:rPr>
                <w:rFonts w:ascii="Arial" w:cs="Arial" w:eastAsia="Arial" w:hAnsi="Arial"/>
                <w:sz w:val="3"/>
                <w:szCs w:val="3"/>
                <w:color w:val="FFFFFF"/>
              </w:rPr>
              <w:t>rewards its failed external manager at the expense of stockholders.</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We remain undeterred and feel strongly that changedisproportionallyneededat TICC now.</w:t>
            </w:r>
          </w:p>
        </w:tc>
      </w:tr>
      <w:tr>
        <w:trPr>
          <w:trHeight w:val="41"/>
        </w:trPr>
        <w:tc>
          <w:tcPr>
            <w:tcW w:w="2100" w:type="dxa"/>
            <w:vAlign w:val="bottom"/>
            <w:gridSpan w:val="3"/>
          </w:tcPr>
          <w:p>
            <w:pPr>
              <w:spacing w:after="0"/>
              <w:rPr>
                <w:sz w:val="20"/>
                <w:szCs w:val="20"/>
                <w:color w:val="auto"/>
              </w:rPr>
            </w:pPr>
            <w:r>
              <w:rPr>
                <w:rFonts w:ascii="Arial" w:cs="Arial" w:eastAsia="Arial" w:hAnsi="Arial"/>
                <w:sz w:val="3"/>
                <w:szCs w:val="3"/>
                <w:color w:val="FFFFFF"/>
              </w:rPr>
              <w:t>PRESS RELEASES</w:t>
            </w:r>
          </w:p>
        </w:tc>
        <w:tc>
          <w:tcPr>
            <w:tcW w:w="440" w:type="dxa"/>
            <w:vAlign w:val="bottom"/>
          </w:tcPr>
          <w:p>
            <w:pPr>
              <w:spacing w:after="0"/>
              <w:rPr>
                <w:sz w:val="3"/>
                <w:szCs w:val="3"/>
                <w:color w:val="auto"/>
              </w:rPr>
            </w:pPr>
          </w:p>
        </w:tc>
        <w:tc>
          <w:tcPr>
            <w:tcW w:w="8860" w:type="dxa"/>
            <w:vAlign w:val="bottom"/>
          </w:tcPr>
          <w:p>
            <w:pPr>
              <w:spacing w:after="0"/>
              <w:rPr>
                <w:sz w:val="3"/>
                <w:szCs w:val="3"/>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TPG Specialty Lending, Inc. Seeks to Elect New Independent Candidate to Board and Terminate Investment Advisory Agreement at TICC Capital Corp.</w:t>
            </w:r>
          </w:p>
        </w:tc>
      </w:tr>
      <w:tr>
        <w:trPr>
          <w:trHeight w:val="41"/>
        </w:trPr>
        <w:tc>
          <w:tcPr>
            <w:tcW w:w="2100" w:type="dxa"/>
            <w:vAlign w:val="bottom"/>
            <w:gridSpan w:val="3"/>
          </w:tcPr>
          <w:p>
            <w:pPr>
              <w:spacing w:after="0"/>
              <w:rPr>
                <w:sz w:val="20"/>
                <w:szCs w:val="20"/>
                <w:color w:val="auto"/>
              </w:rPr>
            </w:pPr>
            <w:r>
              <w:rPr>
                <w:rFonts w:ascii="Arial" w:cs="Arial" w:eastAsia="Arial" w:hAnsi="Arial"/>
                <w:sz w:val="3"/>
                <w:szCs w:val="3"/>
                <w:color w:val="FFFFFF"/>
              </w:rPr>
              <w:t>2/4/2016</w:t>
            </w:r>
          </w:p>
        </w:tc>
        <w:tc>
          <w:tcPr>
            <w:tcW w:w="440" w:type="dxa"/>
            <w:vAlign w:val="bottom"/>
          </w:tcPr>
          <w:p>
            <w:pPr>
              <w:spacing w:after="0"/>
              <w:rPr>
                <w:sz w:val="3"/>
                <w:szCs w:val="3"/>
                <w:color w:val="auto"/>
              </w:rPr>
            </w:pPr>
          </w:p>
        </w:tc>
        <w:tc>
          <w:tcPr>
            <w:tcW w:w="8860" w:type="dxa"/>
            <w:vAlign w:val="bottom"/>
          </w:tcPr>
          <w:p>
            <w:pPr>
              <w:spacing w:after="0"/>
              <w:rPr>
                <w:sz w:val="3"/>
                <w:szCs w:val="3"/>
                <w:color w:val="auto"/>
              </w:rPr>
            </w:pPr>
          </w:p>
        </w:tc>
      </w:tr>
      <w:tr>
        <w:trPr>
          <w:trHeight w:val="41"/>
        </w:trPr>
        <w:tc>
          <w:tcPr>
            <w:tcW w:w="2100" w:type="dxa"/>
            <w:vAlign w:val="bottom"/>
            <w:gridSpan w:val="3"/>
          </w:tcPr>
          <w:p>
            <w:pPr>
              <w:spacing w:after="0"/>
              <w:rPr>
                <w:sz w:val="20"/>
                <w:szCs w:val="20"/>
                <w:color w:val="auto"/>
              </w:rPr>
            </w:pPr>
            <w:r>
              <w:rPr>
                <w:rFonts w:ascii="Arial" w:cs="Arial" w:eastAsia="Arial" w:hAnsi="Arial"/>
                <w:sz w:val="3"/>
                <w:szCs w:val="3"/>
                <w:color w:val="FFFFFF"/>
              </w:rPr>
              <w:t>WHAT PEOPLE ARE SAYING…</w:t>
            </w:r>
          </w:p>
        </w:tc>
        <w:tc>
          <w:tcPr>
            <w:tcW w:w="440" w:type="dxa"/>
            <w:vAlign w:val="bottom"/>
          </w:tcPr>
          <w:p>
            <w:pPr>
              <w:spacing w:after="0"/>
              <w:rPr>
                <w:sz w:val="3"/>
                <w:szCs w:val="3"/>
                <w:color w:val="auto"/>
              </w:rPr>
            </w:pPr>
          </w:p>
        </w:tc>
        <w:tc>
          <w:tcPr>
            <w:tcW w:w="8860" w:type="dxa"/>
            <w:vAlign w:val="bottom"/>
          </w:tcPr>
          <w:p>
            <w:pPr>
              <w:spacing w:after="0"/>
              <w:rPr>
                <w:sz w:val="3"/>
                <w:szCs w:val="3"/>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“Now, we want to ensure that the TICC Board is acting in accordance with its fiduciary obligations… W find ourselves at a critical juncture in TICC’s history where the Board’ decisions and actions over the</w:t>
            </w:r>
          </w:p>
        </w:tc>
      </w:tr>
      <w:tr>
        <w:trPr>
          <w:trHeight w:val="0"/>
        </w:trPr>
        <w:tc>
          <w:tcPr>
            <w:tcW w:w="2100" w:type="dxa"/>
            <w:vAlign w:val="bottom"/>
            <w:gridSpan w:val="3"/>
          </w:tcPr>
          <w:p>
            <w:pPr>
              <w:spacing w:after="0"/>
              <w:rPr>
                <w:sz w:val="20"/>
                <w:szCs w:val="20"/>
                <w:color w:val="auto"/>
              </w:rPr>
            </w:pPr>
            <w:r>
              <w:rPr>
                <w:rFonts w:ascii="Arial" w:cs="Arial" w:eastAsia="Arial" w:hAnsi="Arial"/>
                <w:sz w:val="14"/>
                <w:szCs w:val="14"/>
                <w:color w:val="FFFFFF"/>
                <w:w w:val="94"/>
              </w:rPr>
              <w:t>next few weeks will have significant</w:t>
            </w:r>
          </w:p>
        </w:tc>
        <w:tc>
          <w:tcPr>
            <w:tcW w:w="440" w:type="dxa"/>
            <w:vAlign w:val="bottom"/>
          </w:tcPr>
          <w:p>
            <w:pPr>
              <w:spacing w:after="0" w:line="20" w:lineRule="exact"/>
              <w:rPr>
                <w:sz w:val="1"/>
                <w:szCs w:val="1"/>
                <w:color w:val="auto"/>
              </w:rPr>
            </w:pPr>
          </w:p>
        </w:tc>
        <w:tc>
          <w:tcPr>
            <w:tcW w:w="8860" w:type="dxa"/>
            <w:vAlign w:val="bottom"/>
          </w:tcPr>
          <w:p>
            <w:pPr>
              <w:ind w:left="220"/>
              <w:spacing w:after="0"/>
              <w:rPr>
                <w:sz w:val="20"/>
                <w:szCs w:val="20"/>
                <w:color w:val="auto"/>
              </w:rPr>
            </w:pPr>
            <w:r>
              <w:rPr>
                <w:rFonts w:ascii="Arial" w:cs="Arial" w:eastAsia="Arial" w:hAnsi="Arial"/>
                <w:sz w:val="14"/>
                <w:szCs w:val="14"/>
                <w:color w:val="FFFFFF"/>
                <w:w w:val="94"/>
              </w:rPr>
              <w:t>to stockholders.” – One of the largest TICC sto kholders, Raging Capital Management, LLC letter to TICC Board of Directors – September 21, 2015</w:t>
            </w:r>
          </w:p>
        </w:tc>
      </w:tr>
    </w:tbl>
    <w:p>
      <w:pPr>
        <w:spacing w:after="0" w:line="180" w:lineRule="auto"/>
        <w:rPr>
          <w:sz w:val="20"/>
          <w:szCs w:val="20"/>
          <w:color w:val="auto"/>
        </w:rPr>
      </w:pPr>
      <w:r>
        <w:rPr>
          <w:rFonts w:ascii="Arial" w:cs="Arial" w:eastAsia="Arial" w:hAnsi="Arial"/>
          <w:sz w:val="14"/>
          <w:szCs w:val="14"/>
          <w:color w:val="FFFFFF"/>
        </w:rPr>
        <w:t>TPG Specialty Lending, Inc. CommentsramificationsTICCCapital Corp. Stockholders’ Rejection of Conflicted Sale of Advisory Agreement</w:t>
      </w:r>
    </w:p>
    <w:p>
      <w:pPr>
        <w:sectPr>
          <w:pgSz w:w="11900" w:h="16838" w:orient="portrait"/>
          <w:cols w:equalWidth="0" w:num="1">
            <w:col w:w="11400"/>
          </w:cols>
          <w:pgMar w:left="240" w:top="1440" w:right="2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4879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1865" cy="487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FFFFFF"/>
        </w:rPr>
        <w:t>VIEW ALL</w:t>
      </w:r>
    </w:p>
    <w:p>
      <w:pPr>
        <w:ind w:right="359"/>
        <w:spacing w:after="0" w:line="187" w:lineRule="auto"/>
        <w:rPr>
          <w:sz w:val="20"/>
          <w:szCs w:val="20"/>
          <w:color w:val="auto"/>
        </w:rPr>
      </w:pPr>
      <w:r>
        <w:rPr>
          <w:rFonts w:ascii="Arial" w:cs="Arial" w:eastAsia="Arial" w:hAnsi="Arial"/>
          <w:sz w:val="9"/>
          <w:szCs w:val="9"/>
          <w:color w:val="FFFFFF"/>
        </w:rPr>
        <w:t>TPG Specialty Lending, Inc. Urges Stockholders to Vote the GOLD Proxy Card AGAINST the Benefit Street Partners Transaction at the Special Meeting Scheduled for December 22 12/21/2015</w:t>
      </w:r>
    </w:p>
    <w:p>
      <w:pPr>
        <w:ind w:right="4319"/>
        <w:spacing w:after="0" w:line="187" w:lineRule="auto"/>
        <w:rPr>
          <w:sz w:val="20"/>
          <w:szCs w:val="20"/>
          <w:color w:val="auto"/>
        </w:rPr>
      </w:pPr>
      <w:r>
        <w:rPr>
          <w:rFonts w:ascii="Arial" w:cs="Arial" w:eastAsia="Arial" w:hAnsi="Arial"/>
          <w:sz w:val="9"/>
          <w:szCs w:val="9"/>
          <w:color w:val="FFFFFF"/>
        </w:rPr>
        <w:t>TPG Specialty Lending, Inc. Affirms Commitment to Hold TICC Capital Corp. Accountable to Stockholders 12/14/2015</w:t>
      </w:r>
    </w:p>
    <w:p>
      <w:pPr>
        <w:ind w:right="2279"/>
        <w:spacing w:after="0" w:line="187" w:lineRule="auto"/>
        <w:rPr>
          <w:sz w:val="20"/>
          <w:szCs w:val="20"/>
          <w:color w:val="auto"/>
        </w:rPr>
      </w:pPr>
      <w:r>
        <w:rPr>
          <w:rFonts w:ascii="Arial" w:cs="Arial" w:eastAsia="Arial" w:hAnsi="Arial"/>
          <w:sz w:val="9"/>
          <w:szCs w:val="9"/>
          <w:color w:val="FFFFFF"/>
        </w:rPr>
        <w:t>TPG Specialty Lending, Inc. Sends Letter to TICC Board of Directors Calling on TICC to Deliver Clarity and Meaningful Change to Stockholders 11/29/2015</w:t>
      </w:r>
    </w:p>
    <w:p>
      <w:pPr>
        <w:ind w:right="1059"/>
        <w:spacing w:after="0" w:line="230" w:lineRule="auto"/>
        <w:rPr>
          <w:sz w:val="20"/>
          <w:szCs w:val="20"/>
          <w:color w:val="auto"/>
        </w:rPr>
      </w:pPr>
      <w:r>
        <w:rPr>
          <w:rFonts w:ascii="Arial" w:cs="Arial" w:eastAsia="Arial" w:hAnsi="Arial"/>
          <w:sz w:val="11"/>
          <w:szCs w:val="11"/>
          <w:color w:val="FFFFFF"/>
        </w:rPr>
        <w:t>TPG Specialty Lending, Inc. Comments on TICC Capital Corp.’s Third Quarter 2015 Financial Results and Reiterates Compelling Value of its Proposal to Acquire TICC 11/6/2015</w:t>
      </w:r>
    </w:p>
    <w:p>
      <w:pPr>
        <w:spacing w:after="0"/>
        <w:rPr>
          <w:sz w:val="20"/>
          <w:szCs w:val="20"/>
          <w:color w:val="auto"/>
        </w:rPr>
      </w:pPr>
      <w:r>
        <w:rPr>
          <w:rFonts w:ascii="Arial" w:cs="Arial" w:eastAsia="Arial" w:hAnsi="Arial"/>
          <w:sz w:val="14"/>
          <w:szCs w:val="14"/>
          <w:color w:val="FFFFFF"/>
        </w:rPr>
        <w:t>11/2/2015TPGSpecialty Lending, Inc. Increases Proposal to Acquire TICC Capital Corp.</w:t>
      </w:r>
    </w:p>
    <w:p>
      <w:pPr>
        <w:sectPr>
          <w:pgSz w:w="11900" w:h="16838" w:orient="portrait"/>
          <w:cols w:equalWidth="0" w:num="1">
            <w:col w:w="10219"/>
          </w:cols>
          <w:pgMar w:left="2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47593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1865" cy="475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3679"/>
        <w:spacing w:after="0" w:line="194" w:lineRule="auto"/>
        <w:rPr>
          <w:sz w:val="20"/>
          <w:szCs w:val="20"/>
          <w:color w:val="auto"/>
        </w:rPr>
      </w:pPr>
      <w:r>
        <w:rPr>
          <w:rFonts w:ascii="Arial" w:cs="Arial" w:eastAsia="Arial" w:hAnsi="Arial"/>
          <w:sz w:val="10"/>
          <w:szCs w:val="10"/>
          <w:color w:val="FFFFFF"/>
        </w:rPr>
        <w:t>TPG Specialty Lending, Inc. Addresses TICC’s Desperate Attempts to Protect a Misplaced Payment to a Failed Manager 10/28/2015</w:t>
      </w:r>
    </w:p>
    <w:p>
      <w:pPr>
        <w:ind w:right="3039"/>
        <w:spacing w:after="0" w:line="187" w:lineRule="auto"/>
        <w:rPr>
          <w:sz w:val="20"/>
          <w:szCs w:val="20"/>
          <w:color w:val="auto"/>
        </w:rPr>
      </w:pPr>
      <w:r>
        <w:rPr>
          <w:rFonts w:ascii="Arial" w:cs="Arial" w:eastAsia="Arial" w:hAnsi="Arial"/>
          <w:sz w:val="9"/>
          <w:szCs w:val="9"/>
          <w:color w:val="FFFFFF"/>
        </w:rPr>
        <w:t>TPG Specialty Lending, Inc. Sets the Record Straight on TICC Capital Corp.’s Efforts to Mislead Investors in Letter to Stockholders 10/26/2015</w:t>
      </w:r>
    </w:p>
    <w:p>
      <w:pPr>
        <w:ind w:right="79"/>
        <w:spacing w:after="0" w:line="187" w:lineRule="auto"/>
        <w:rPr>
          <w:sz w:val="20"/>
          <w:szCs w:val="20"/>
          <w:color w:val="auto"/>
        </w:rPr>
      </w:pPr>
      <w:r>
        <w:rPr>
          <w:rFonts w:ascii="Arial" w:cs="Arial" w:eastAsia="Arial" w:hAnsi="Arial"/>
          <w:sz w:val="9"/>
          <w:szCs w:val="9"/>
          <w:color w:val="FFFFFF"/>
        </w:rPr>
        <w:t>TPG Specialty Lending, Inc. Issues Presentation Detailing Why TICC Capital Corp. Stockholders Should Vote AGAINST All Proposals at Upcoming TICC Capital Corp. Special Meeting 10/21/2015</w:t>
      </w:r>
    </w:p>
    <w:p>
      <w:pPr>
        <w:ind w:right="979"/>
        <w:spacing w:after="0" w:line="187" w:lineRule="auto"/>
        <w:rPr>
          <w:sz w:val="20"/>
          <w:szCs w:val="20"/>
          <w:color w:val="auto"/>
        </w:rPr>
      </w:pPr>
      <w:r>
        <w:rPr>
          <w:rFonts w:ascii="Arial" w:cs="Arial" w:eastAsia="Arial" w:hAnsi="Arial"/>
          <w:sz w:val="9"/>
          <w:szCs w:val="9"/>
          <w:color w:val="FFFFFF"/>
        </w:rPr>
        <w:t>TPG Specialty Lending, Inc. Reiterates Importance of Protecting Stockholder Value by Voting AGAINST All Proposals at Upcoming TICC Capital Corp. Special Meeting 10/19/2015</w:t>
      </w:r>
    </w:p>
    <w:p>
      <w:pPr>
        <w:ind w:right="2819"/>
        <w:spacing w:after="0"/>
        <w:rPr>
          <w:sz w:val="20"/>
          <w:szCs w:val="20"/>
          <w:color w:val="auto"/>
        </w:rPr>
      </w:pPr>
      <w:r>
        <w:rPr>
          <w:rFonts w:ascii="Arial" w:cs="Arial" w:eastAsia="Arial" w:hAnsi="Arial"/>
          <w:sz w:val="11"/>
          <w:szCs w:val="11"/>
          <w:color w:val="FFFFFF"/>
        </w:rPr>
        <w:t>ISS, Glass Lewis and Egan-Jones Recommend TICC Capital Corp. Stockholders Vote AGAINST the Benefit Street Partners Transaction 10/16/2015</w:t>
      </w:r>
    </w:p>
    <w:p>
      <w:pPr>
        <w:sectPr>
          <w:pgSz w:w="11900" w:h="16838" w:orient="portrait"/>
          <w:cols w:equalWidth="0" w:num="1">
            <w:col w:w="10219"/>
          </w:cols>
          <w:pgMar w:left="2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4982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1865" cy="498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400"/>
        <w:spacing w:after="0"/>
        <w:rPr>
          <w:sz w:val="20"/>
          <w:szCs w:val="20"/>
          <w:color w:val="auto"/>
        </w:rPr>
      </w:pPr>
      <w:r>
        <w:rPr>
          <w:rFonts w:ascii="Arial" w:cs="Arial" w:eastAsia="Arial" w:hAnsi="Arial"/>
          <w:sz w:val="11"/>
          <w:szCs w:val="11"/>
          <w:color w:val="FFFFFF"/>
        </w:rPr>
        <w:t>TPG Specialty Lending, Inc. Welcomes TICC Capital Corp.’s Admission of Failed Leadership and Highlights Four Simple Truths 10/16/2015</w:t>
      </w:r>
    </w:p>
    <w:p>
      <w:pPr>
        <w:spacing w:after="0" w:line="198" w:lineRule="auto"/>
        <w:rPr>
          <w:sz w:val="20"/>
          <w:szCs w:val="20"/>
          <w:color w:val="auto"/>
        </w:rPr>
      </w:pPr>
      <w:r>
        <w:rPr>
          <w:rFonts w:ascii="Arial" w:cs="Arial" w:eastAsia="Arial" w:hAnsi="Arial"/>
          <w:sz w:val="5"/>
          <w:szCs w:val="5"/>
          <w:color w:val="FFFFFF"/>
        </w:rPr>
        <w:t>10/15/2015TPGSpecialty Lending, Inc. Sets the Record Straight on Management Fees</w:t>
      </w:r>
    </w:p>
    <w:p>
      <w:pPr>
        <w:ind w:right="4280"/>
        <w:spacing w:after="0" w:line="230" w:lineRule="auto"/>
        <w:rPr>
          <w:sz w:val="20"/>
          <w:szCs w:val="20"/>
          <w:color w:val="auto"/>
        </w:rPr>
      </w:pPr>
      <w:r>
        <w:rPr>
          <w:rFonts w:ascii="Arial" w:cs="Arial" w:eastAsia="Arial" w:hAnsi="Arial"/>
          <w:sz w:val="11"/>
          <w:szCs w:val="11"/>
          <w:color w:val="FFFFFF"/>
        </w:rPr>
        <w:t>TPG Specialty Lending, Inc. Highlights Four Key Facts for TICC Stockholders to Consider about Their Dividend 10/13/2015</w:t>
      </w:r>
    </w:p>
    <w:p>
      <w:pPr>
        <w:spacing w:after="0"/>
        <w:rPr>
          <w:sz w:val="20"/>
          <w:szCs w:val="20"/>
          <w:color w:val="auto"/>
        </w:rPr>
      </w:pPr>
      <w:r>
        <w:rPr>
          <w:rFonts w:ascii="Arial" w:cs="Arial" w:eastAsia="Arial" w:hAnsi="Arial"/>
          <w:sz w:val="3"/>
          <w:szCs w:val="3"/>
          <w:color w:val="FFFFFF"/>
        </w:rPr>
        <w:t>10/12/2015TPGSpecialty Lending, Inc. Questions Payment to Failed Leadership in Letter to TICC Capital Corp. Stockholders.</w:t>
      </w:r>
    </w:p>
    <w:p>
      <w:pPr>
        <w:spacing w:after="0" w:line="194" w:lineRule="auto"/>
        <w:rPr>
          <w:sz w:val="20"/>
          <w:szCs w:val="20"/>
          <w:color w:val="auto"/>
        </w:rPr>
      </w:pPr>
      <w:r>
        <w:rPr>
          <w:rFonts w:ascii="Arial" w:cs="Arial" w:eastAsia="Arial" w:hAnsi="Arial"/>
          <w:sz w:val="5"/>
          <w:szCs w:val="5"/>
          <w:color w:val="FFFFFF"/>
          <w:vertAlign w:val="subscript"/>
        </w:rPr>
        <w:t>TPG Specialty Lending, Inc.</w:t>
      </w:r>
      <w:r>
        <w:rPr>
          <w:rFonts w:ascii="Arial" w:cs="Arial" w:eastAsia="Arial" w:hAnsi="Arial"/>
          <w:sz w:val="3"/>
          <w:szCs w:val="3"/>
          <w:color w:val="FFFFFF"/>
        </w:rPr>
        <w:t xml:space="preserve"> Corrects Misleading Statements from TICC Capital Corp. 10/8/2015</w:t>
      </w:r>
    </w:p>
    <w:p>
      <w:pPr>
        <w:jc w:val="right"/>
        <w:spacing w:after="0"/>
        <w:rPr>
          <w:sz w:val="20"/>
          <w:szCs w:val="20"/>
          <w:color w:val="auto"/>
        </w:rPr>
      </w:pPr>
      <w:r>
        <w:rPr>
          <w:rFonts w:ascii="Arial" w:cs="Arial" w:eastAsia="Arial" w:hAnsi="Arial"/>
          <w:sz w:val="14"/>
          <w:szCs w:val="14"/>
          <w:color w:val="FFFFFF"/>
        </w:rPr>
        <w:t>Files Definitive Proxy Materials with SEC to Solicit TICC Capital Corp. Stockholders to Vote AGAINST the Inferior Benefit Street Partners Transaction 10/5/2015</w:t>
      </w:r>
    </w:p>
    <w:p>
      <w:pPr>
        <w:sectPr>
          <w:pgSz w:w="11900" w:h="16838" w:orient="portrait"/>
          <w:cols w:equalWidth="0" w:num="1">
            <w:col w:w="10440"/>
          </w:cols>
          <w:pgMar w:left="240" w:top="1440" w:right="121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49225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1865" cy="4922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80"/>
        <w:spacing w:after="0"/>
        <w:rPr>
          <w:sz w:val="20"/>
          <w:szCs w:val="20"/>
          <w:color w:val="auto"/>
        </w:rPr>
      </w:pPr>
      <w:r>
        <w:rPr>
          <w:rFonts w:ascii="Arial" w:cs="Arial" w:eastAsia="Arial" w:hAnsi="Arial"/>
          <w:sz w:val="12"/>
          <w:szCs w:val="12"/>
          <w:color w:val="FFFFFF"/>
        </w:rPr>
        <w:t>, Inc. CorrectsDemonstratesMisleadingSuperiorStatementsValueof fromItsProposalTICCCapitalinLetterCorp.toTICC9/30/2015Capital Corp. Stockholders 9/28/2015</w:t>
      </w:r>
    </w:p>
    <w:p>
      <w:pPr>
        <w:spacing w:after="0" w:line="211" w:lineRule="auto"/>
        <w:rPr>
          <w:sz w:val="20"/>
          <w:szCs w:val="20"/>
          <w:color w:val="auto"/>
        </w:rPr>
      </w:pPr>
      <w:r>
        <w:rPr>
          <w:rFonts w:ascii="Arial" w:cs="Arial" w:eastAsia="Arial" w:hAnsi="Arial"/>
          <w:sz w:val="12"/>
          <w:szCs w:val="12"/>
          <w:color w:val="FFFFFF"/>
        </w:rPr>
        <w:t>TPGVIEWSpecialtyALL Lending ProposesSendsto LetterAcquireto TICCTICC CapitalCapital Corp.Corp. Stockholdersfor$7.50per ShareOutlining9/16/2015Merits of Proposal 9/21/2015</w:t>
      </w:r>
    </w:p>
    <w:p>
      <w:pPr>
        <w:spacing w:after="0"/>
        <w:rPr>
          <w:sz w:val="20"/>
          <w:szCs w:val="20"/>
          <w:color w:val="auto"/>
        </w:rPr>
      </w:pPr>
      <w:r>
        <w:rPr>
          <w:rFonts w:ascii="Arial" w:cs="Arial" w:eastAsia="Arial" w:hAnsi="Arial"/>
          <w:sz w:val="7"/>
          <w:szCs w:val="7"/>
          <w:color w:val="FFFFFF"/>
        </w:rPr>
        <w:t>BKCC,*TICC FSC,andbenchmarkGBDC,HTGC,returnsMAIN,indexedMCC,toNovemberNMFC,PNNT,21,2003.PSEC,TotalSLRC,returnTCAP,calculationandTCRD,includesandshareare pricecalculatedappreciationthroughandFebruarycumulative1,2016.dividends paid. BDC Composite comprised of ACAS, AINV, ARCC,</w:t>
      </w:r>
    </w:p>
    <w:p>
      <w:pPr>
        <w:sectPr>
          <w:pgSz w:w="11900" w:h="16838" w:orient="portrait"/>
          <w:cols w:equalWidth="0" w:num="1">
            <w:col w:w="11160"/>
          </w:cols>
          <w:pgMar w:left="240" w:top="1440" w:right="49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49568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1865" cy="4956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FFFFFF"/>
        </w:rPr>
        <w:t>TPG Specialty Lending</w:t>
      </w:r>
    </w:p>
    <w:p>
      <w:pPr>
        <w:spacing w:after="0"/>
        <w:rPr>
          <w:sz w:val="20"/>
          <w:szCs w:val="20"/>
          <w:color w:val="auto"/>
        </w:rPr>
      </w:pPr>
      <w:r>
        <w:rPr>
          <w:rFonts w:ascii="Arial" w:cs="Arial" w:eastAsia="Arial" w:hAnsi="Arial"/>
          <w:sz w:val="3"/>
          <w:szCs w:val="3"/>
          <w:color w:val="FFFFFF"/>
        </w:rPr>
        <w:t>News &amp; Filings</w:t>
      </w:r>
    </w:p>
    <w:p>
      <w:pPr>
        <w:spacing w:after="0" w:line="194" w:lineRule="auto"/>
        <w:rPr>
          <w:sz w:val="20"/>
          <w:szCs w:val="20"/>
          <w:color w:val="auto"/>
        </w:rPr>
      </w:pPr>
      <w:r>
        <w:rPr>
          <w:rFonts w:ascii="Arial" w:cs="Arial" w:eastAsia="Arial" w:hAnsi="Arial"/>
          <w:sz w:val="5"/>
          <w:szCs w:val="5"/>
          <w:color w:val="FFFFFF"/>
        </w:rPr>
        <w:t>Press Releases</w:t>
      </w:r>
    </w:p>
    <w:p>
      <w:pPr>
        <w:spacing w:after="0" w:line="188" w:lineRule="auto"/>
        <w:rPr>
          <w:sz w:val="20"/>
          <w:szCs w:val="20"/>
          <w:color w:val="auto"/>
        </w:rPr>
      </w:pPr>
      <w:r>
        <w:rPr>
          <w:rFonts w:ascii="Arial" w:cs="Arial" w:eastAsia="Arial" w:hAnsi="Arial"/>
          <w:sz w:val="9"/>
          <w:szCs w:val="9"/>
          <w:color w:val="FFFFFF"/>
        </w:rPr>
        <w:t>SEC Filings</w:t>
      </w:r>
    </w:p>
    <w:p>
      <w:pPr>
        <w:spacing w:after="0" w:line="187" w:lineRule="auto"/>
        <w:rPr>
          <w:sz w:val="20"/>
          <w:szCs w:val="20"/>
          <w:color w:val="auto"/>
        </w:rPr>
      </w:pPr>
      <w:r>
        <w:rPr>
          <w:rFonts w:ascii="Arial" w:cs="Arial" w:eastAsia="Arial" w:hAnsi="Arial"/>
          <w:sz w:val="9"/>
          <w:szCs w:val="9"/>
          <w:color w:val="FFFFFF"/>
        </w:rPr>
        <w:t>PresentationsIndependentvoices against TICC</w:t>
      </w:r>
    </w:p>
    <w:p>
      <w:pPr>
        <w:spacing w:after="0" w:line="188" w:lineRule="auto"/>
        <w:rPr>
          <w:sz w:val="20"/>
          <w:szCs w:val="20"/>
          <w:color w:val="auto"/>
        </w:rPr>
      </w:pPr>
      <w:r>
        <w:rPr>
          <w:rFonts w:ascii="Arial" w:cs="Arial" w:eastAsia="Arial" w:hAnsi="Arial"/>
          <w:sz w:val="7"/>
          <w:szCs w:val="7"/>
          <w:color w:val="FFFFFF"/>
        </w:rPr>
        <w:t>N</w:t>
      </w:r>
      <w:r>
        <w:rPr>
          <w:rFonts w:ascii="Arial" w:cs="Arial" w:eastAsia="Arial" w:hAnsi="Arial"/>
          <w:sz w:val="9"/>
          <w:szCs w:val="9"/>
          <w:color w:val="FFFFFF"/>
          <w:vertAlign w:val="subscript"/>
        </w:rPr>
        <w:t>How</w:t>
      </w:r>
      <w:r>
        <w:rPr>
          <w:rFonts w:ascii="Arial" w:cs="Arial" w:eastAsia="Arial" w:hAnsi="Arial"/>
          <w:sz w:val="7"/>
          <w:szCs w:val="7"/>
          <w:color w:val="FFFFFF"/>
        </w:rPr>
        <w:t>mineetoVote</w:t>
      </w:r>
    </w:p>
    <w:p>
      <w:pPr>
        <w:spacing w:after="0"/>
        <w:rPr>
          <w:sz w:val="20"/>
          <w:szCs w:val="20"/>
          <w:color w:val="auto"/>
        </w:rPr>
      </w:pPr>
      <w:r>
        <w:rPr>
          <w:rFonts w:ascii="Arial" w:cs="Arial" w:eastAsia="Arial" w:hAnsi="Arial"/>
          <w:sz w:val="3"/>
          <w:szCs w:val="3"/>
          <w:color w:val="FFFFFF"/>
        </w:rPr>
        <w:t>ContactAboutTPG Specialty Lending</w:t>
      </w:r>
    </w:p>
    <w:p>
      <w:pPr>
        <w:spacing w:after="0" w:line="194" w:lineRule="auto"/>
        <w:rPr>
          <w:sz w:val="20"/>
          <w:szCs w:val="20"/>
          <w:color w:val="auto"/>
        </w:rPr>
      </w:pPr>
      <w:r>
        <w:rPr>
          <w:rFonts w:ascii="Arial" w:cs="Arial" w:eastAsia="Arial" w:hAnsi="Arial"/>
          <w:sz w:val="5"/>
          <w:szCs w:val="5"/>
          <w:color w:val="FFFFFF"/>
        </w:rPr>
        <w:t>PRESS RELEASES</w:t>
      </w:r>
    </w:p>
    <w:p>
      <w:pPr>
        <w:ind w:right="1939"/>
        <w:spacing w:after="0" w:line="187" w:lineRule="auto"/>
        <w:rPr>
          <w:sz w:val="20"/>
          <w:szCs w:val="20"/>
          <w:color w:val="auto"/>
        </w:rPr>
      </w:pPr>
      <w:r>
        <w:rPr>
          <w:rFonts w:ascii="Arial" w:cs="Arial" w:eastAsia="Arial" w:hAnsi="Arial"/>
          <w:sz w:val="9"/>
          <w:szCs w:val="9"/>
          <w:color w:val="FFFFFF"/>
        </w:rPr>
        <w:t>TPG Specialty Lending, Inc. Seeks to Elect New Independent Candidate to Board and Terminate Investment Advisory Agreement at TICC Capital Corp. 2/4/2016</w:t>
      </w:r>
    </w:p>
    <w:p>
      <w:pPr>
        <w:ind w:right="3099"/>
        <w:spacing w:after="0" w:line="187" w:lineRule="auto"/>
        <w:rPr>
          <w:sz w:val="20"/>
          <w:szCs w:val="20"/>
          <w:color w:val="auto"/>
        </w:rPr>
      </w:pPr>
      <w:r>
        <w:rPr>
          <w:rFonts w:ascii="Arial" w:cs="Arial" w:eastAsia="Arial" w:hAnsi="Arial"/>
          <w:sz w:val="9"/>
          <w:szCs w:val="9"/>
          <w:color w:val="FFFFFF"/>
        </w:rPr>
        <w:t>TPG Specialty Lending, Inc. Comments on TICC Capital Corp. Stockholders’ Rejection of Conflicted Sale of Advisory Agreement 12/22/2015</w:t>
      </w:r>
    </w:p>
    <w:p>
      <w:pPr>
        <w:ind w:right="359"/>
        <w:spacing w:after="0" w:line="187" w:lineRule="auto"/>
        <w:rPr>
          <w:sz w:val="20"/>
          <w:szCs w:val="20"/>
          <w:color w:val="auto"/>
        </w:rPr>
      </w:pPr>
      <w:r>
        <w:rPr>
          <w:rFonts w:ascii="Arial" w:cs="Arial" w:eastAsia="Arial" w:hAnsi="Arial"/>
          <w:sz w:val="9"/>
          <w:szCs w:val="9"/>
          <w:color w:val="FFFFFF"/>
        </w:rPr>
        <w:t>TPG Specialty Lending, Inc. Urges Stockholders to Vote the GOLD Proxy Card AGAINST the Benefit Street Partners Transaction at the Special Meeting Scheduled for December 22 12/21/2015</w:t>
      </w:r>
    </w:p>
    <w:p>
      <w:pPr>
        <w:ind w:right="4319"/>
        <w:spacing w:after="0"/>
        <w:rPr>
          <w:sz w:val="20"/>
          <w:szCs w:val="20"/>
          <w:color w:val="auto"/>
        </w:rPr>
      </w:pPr>
      <w:r>
        <w:rPr>
          <w:rFonts w:ascii="Arial" w:cs="Arial" w:eastAsia="Arial" w:hAnsi="Arial"/>
          <w:sz w:val="11"/>
          <w:szCs w:val="11"/>
          <w:color w:val="FFFFFF"/>
        </w:rPr>
        <w:t>TPG Specialty Lending, Inc. Affirms Commitment to Hold TICC Capital Corp. Accountable to Stockholders 12/14/2015</w:t>
      </w:r>
    </w:p>
    <w:p>
      <w:pPr>
        <w:sectPr>
          <w:pgSz w:w="11900" w:h="16838" w:orient="portrait"/>
          <w:cols w:equalWidth="0" w:num="1">
            <w:col w:w="10219"/>
          </w:cols>
          <w:pgMar w:left="240" w:top="1440"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4862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1865" cy="486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279"/>
        <w:spacing w:after="0" w:line="194" w:lineRule="auto"/>
        <w:rPr>
          <w:sz w:val="20"/>
          <w:szCs w:val="20"/>
          <w:color w:val="auto"/>
        </w:rPr>
      </w:pPr>
      <w:r>
        <w:rPr>
          <w:rFonts w:ascii="Arial" w:cs="Arial" w:eastAsia="Arial" w:hAnsi="Arial"/>
          <w:sz w:val="10"/>
          <w:szCs w:val="10"/>
          <w:color w:val="FFFFFF"/>
        </w:rPr>
        <w:t>TPG Specialty Lending, Inc. Sends Letter to TICC Board of Directors Calling on TICC to Deliver Clarity and Meaningful Change to Stockholders 11/29/2015</w:t>
      </w:r>
    </w:p>
    <w:p>
      <w:pPr>
        <w:ind w:right="1059"/>
        <w:spacing w:after="0" w:line="230" w:lineRule="auto"/>
        <w:rPr>
          <w:sz w:val="20"/>
          <w:szCs w:val="20"/>
          <w:color w:val="auto"/>
        </w:rPr>
      </w:pPr>
      <w:r>
        <w:rPr>
          <w:rFonts w:ascii="Arial" w:cs="Arial" w:eastAsia="Arial" w:hAnsi="Arial"/>
          <w:sz w:val="11"/>
          <w:szCs w:val="11"/>
          <w:color w:val="FFFFFF"/>
        </w:rPr>
        <w:t>TPG Specialty Lending, Inc. Comments on TICC Capital Corp.’s Third Quarter 2015 Financial Results and Reiterates Compelling Value of its Proposal to Acquire TICC 11/6/2015</w:t>
      </w:r>
    </w:p>
    <w:p>
      <w:pPr>
        <w:spacing w:after="0"/>
        <w:rPr>
          <w:sz w:val="20"/>
          <w:szCs w:val="20"/>
          <w:color w:val="auto"/>
        </w:rPr>
      </w:pPr>
      <w:r>
        <w:rPr>
          <w:rFonts w:ascii="Arial" w:cs="Arial" w:eastAsia="Arial" w:hAnsi="Arial"/>
          <w:sz w:val="3"/>
          <w:szCs w:val="3"/>
          <w:color w:val="FFFFFF"/>
        </w:rPr>
        <w:t>11/2/2015TPGSpecialty Lending, Inc. Increases Proposal to Acquire TICC Capital Corp.</w:t>
      </w:r>
    </w:p>
    <w:p>
      <w:pPr>
        <w:spacing w:after="0" w:line="6" w:lineRule="exact"/>
        <w:rPr>
          <w:sz w:val="20"/>
          <w:szCs w:val="20"/>
          <w:color w:val="auto"/>
        </w:rPr>
      </w:pPr>
    </w:p>
    <w:p>
      <w:pPr>
        <w:ind w:right="3679"/>
        <w:spacing w:after="0" w:line="187" w:lineRule="auto"/>
        <w:rPr>
          <w:sz w:val="20"/>
          <w:szCs w:val="20"/>
          <w:color w:val="auto"/>
        </w:rPr>
      </w:pPr>
      <w:r>
        <w:rPr>
          <w:rFonts w:ascii="Arial" w:cs="Arial" w:eastAsia="Arial" w:hAnsi="Arial"/>
          <w:sz w:val="9"/>
          <w:szCs w:val="9"/>
          <w:color w:val="FFFFFF"/>
        </w:rPr>
        <w:t>TPG Specialty Lending, Inc. Addresses TICC’s Desperate Attempts to Protect a Misplaced Payment to a Failed Manager 10/28/2015</w:t>
      </w:r>
    </w:p>
    <w:p>
      <w:pPr>
        <w:ind w:right="3039"/>
        <w:spacing w:after="0" w:line="187" w:lineRule="auto"/>
        <w:rPr>
          <w:sz w:val="20"/>
          <w:szCs w:val="20"/>
          <w:color w:val="auto"/>
        </w:rPr>
      </w:pPr>
      <w:r>
        <w:rPr>
          <w:rFonts w:ascii="Arial" w:cs="Arial" w:eastAsia="Arial" w:hAnsi="Arial"/>
          <w:sz w:val="9"/>
          <w:szCs w:val="9"/>
          <w:color w:val="FFFFFF"/>
        </w:rPr>
        <w:t>TPG Specialty Lending, Inc. Sets the Record Straight on TICC Capital Corp.’s Efforts to Mislead Investors in Letter to Stockholders 10/26/2015</w:t>
      </w:r>
    </w:p>
    <w:p>
      <w:pPr>
        <w:ind w:right="79"/>
        <w:spacing w:after="0"/>
        <w:rPr>
          <w:sz w:val="20"/>
          <w:szCs w:val="20"/>
          <w:color w:val="auto"/>
        </w:rPr>
      </w:pPr>
      <w:r>
        <w:rPr>
          <w:rFonts w:ascii="Arial" w:cs="Arial" w:eastAsia="Arial" w:hAnsi="Arial"/>
          <w:sz w:val="11"/>
          <w:szCs w:val="11"/>
          <w:color w:val="FFFFFF"/>
        </w:rPr>
        <w:t>TPG Specialty Lending, Inc. Issues Presentation Detailing Why TICC Capital Corp. Stockholders Should Vote AGAINST All Proposals at Upcoming TICC Capital Corp. Special Meeting 10/21/2015</w:t>
      </w:r>
    </w:p>
    <w:p>
      <w:pPr>
        <w:sectPr>
          <w:pgSz w:w="11900" w:h="16838" w:orient="portrait"/>
          <w:cols w:equalWidth="0" w:num="1">
            <w:col w:w="10219"/>
          </w:cols>
          <w:pgMar w:left="240" w:top="1440" w:right="1440"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47682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1865" cy="4768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979"/>
        <w:spacing w:after="0" w:line="194" w:lineRule="auto"/>
        <w:rPr>
          <w:sz w:val="20"/>
          <w:szCs w:val="20"/>
          <w:color w:val="auto"/>
        </w:rPr>
      </w:pPr>
      <w:r>
        <w:rPr>
          <w:rFonts w:ascii="Arial" w:cs="Arial" w:eastAsia="Arial" w:hAnsi="Arial"/>
          <w:sz w:val="10"/>
          <w:szCs w:val="10"/>
          <w:color w:val="FFFFFF"/>
        </w:rPr>
        <w:t>TPG Specialty Lending, Inc. Reiterates Importance of Protecting Stockholder Value by Voting AGAINST All Proposals at Upcoming TICC Capital Corp. Special Meeting 10/19/2015</w:t>
      </w:r>
    </w:p>
    <w:p>
      <w:pPr>
        <w:ind w:right="2819"/>
        <w:spacing w:after="0" w:line="187" w:lineRule="auto"/>
        <w:rPr>
          <w:sz w:val="20"/>
          <w:szCs w:val="20"/>
          <w:color w:val="auto"/>
        </w:rPr>
      </w:pPr>
      <w:r>
        <w:rPr>
          <w:rFonts w:ascii="Arial" w:cs="Arial" w:eastAsia="Arial" w:hAnsi="Arial"/>
          <w:sz w:val="9"/>
          <w:szCs w:val="9"/>
          <w:color w:val="FFFFFF"/>
        </w:rPr>
        <w:t>ISS, Glass Lewis and Egan-Jones Recommend TICC Capital Corp. Stockholders Vote AGAINST the Benefit Street Partners Transaction 10/16/2015</w:t>
      </w:r>
    </w:p>
    <w:p>
      <w:pPr>
        <w:ind w:right="3179"/>
        <w:spacing w:after="0" w:line="230" w:lineRule="auto"/>
        <w:rPr>
          <w:sz w:val="20"/>
          <w:szCs w:val="20"/>
          <w:color w:val="auto"/>
        </w:rPr>
      </w:pPr>
      <w:r>
        <w:rPr>
          <w:rFonts w:ascii="Arial" w:cs="Arial" w:eastAsia="Arial" w:hAnsi="Arial"/>
          <w:sz w:val="11"/>
          <w:szCs w:val="11"/>
          <w:color w:val="FFFFFF"/>
        </w:rPr>
        <w:t>TPG Specialty Lending, Inc. Welcomes TICC Capital Corp.’s Admission of Failed Leadership and Highlights Four Simple Truths 10/16/2015</w:t>
      </w:r>
    </w:p>
    <w:p>
      <w:pPr>
        <w:spacing w:after="0"/>
        <w:rPr>
          <w:sz w:val="20"/>
          <w:szCs w:val="20"/>
          <w:color w:val="auto"/>
        </w:rPr>
      </w:pPr>
      <w:r>
        <w:rPr>
          <w:rFonts w:ascii="Arial" w:cs="Arial" w:eastAsia="Arial" w:hAnsi="Arial"/>
          <w:sz w:val="3"/>
          <w:szCs w:val="3"/>
          <w:color w:val="FFFFFF"/>
        </w:rPr>
        <w:t>10/15/2015TPGSpecialty Lending, Inc. Sets the Record Straight on Management Fees</w:t>
      </w:r>
    </w:p>
    <w:p>
      <w:pPr>
        <w:spacing w:after="0" w:line="6" w:lineRule="exact"/>
        <w:rPr>
          <w:sz w:val="20"/>
          <w:szCs w:val="20"/>
          <w:color w:val="auto"/>
        </w:rPr>
      </w:pPr>
    </w:p>
    <w:p>
      <w:pPr>
        <w:ind w:right="4059"/>
        <w:spacing w:after="0" w:line="230" w:lineRule="auto"/>
        <w:rPr>
          <w:sz w:val="20"/>
          <w:szCs w:val="20"/>
          <w:color w:val="auto"/>
        </w:rPr>
      </w:pPr>
      <w:r>
        <w:rPr>
          <w:rFonts w:ascii="Arial" w:cs="Arial" w:eastAsia="Arial" w:hAnsi="Arial"/>
          <w:sz w:val="11"/>
          <w:szCs w:val="11"/>
          <w:color w:val="FFFFFF"/>
        </w:rPr>
        <w:t>TPG Specialty Lending, Inc. Highlights Four Key Facts for TICC Stockholders to Consider about Their Dividend 10/13/2015</w:t>
      </w:r>
    </w:p>
    <w:p>
      <w:pPr>
        <w:spacing w:after="0"/>
        <w:rPr>
          <w:sz w:val="20"/>
          <w:szCs w:val="20"/>
          <w:color w:val="auto"/>
        </w:rPr>
      </w:pPr>
      <w:r>
        <w:rPr>
          <w:rFonts w:ascii="Arial" w:cs="Arial" w:eastAsia="Arial" w:hAnsi="Arial"/>
          <w:sz w:val="14"/>
          <w:szCs w:val="14"/>
          <w:color w:val="FFFFFF"/>
        </w:rPr>
        <w:t>10/12/2015TPGSpecialty Lending, Inc. Questions Payment to Failed Leadership in Letter to TICC Capital Corp. Stockholders.</w:t>
      </w:r>
    </w:p>
    <w:p>
      <w:pPr>
        <w:sectPr>
          <w:pgSz w:w="11900" w:h="16838" w:orient="portrait"/>
          <w:cols w:equalWidth="0" w:num="1">
            <w:col w:w="10219"/>
          </w:cols>
          <w:pgMar w:left="240" w:top="1440" w:right="144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4879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1865" cy="487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00"/>
        <w:spacing w:after="0"/>
        <w:rPr>
          <w:sz w:val="20"/>
          <w:szCs w:val="20"/>
          <w:color w:val="auto"/>
        </w:rPr>
      </w:pPr>
      <w:r>
        <w:rPr>
          <w:rFonts w:ascii="Arial" w:cs="Arial" w:eastAsia="Arial" w:hAnsi="Arial"/>
          <w:sz w:val="9"/>
          <w:szCs w:val="9"/>
          <w:color w:val="FFFFFF"/>
        </w:rPr>
        <w:t>CorrectsFilesDefinitiveMisleadingProxyStatementsMaterials fromwith SECTICCtoCapitalSolicitCorp.TICC10/8/2015CapitalCorp. Stockholders to Vote AGAINST the Inferior Benefit Street Partners Transaction 10/5/2015</w:t>
      </w:r>
    </w:p>
    <w:p>
      <w:pPr>
        <w:spacing w:after="0" w:line="30" w:lineRule="exact"/>
        <w:rPr>
          <w:sz w:val="20"/>
          <w:szCs w:val="20"/>
          <w:color w:val="auto"/>
        </w:rPr>
      </w:pPr>
    </w:p>
    <w:p>
      <w:pPr>
        <w:ind w:right="3380" w:firstLine="1275"/>
        <w:spacing w:after="0" w:line="181" w:lineRule="auto"/>
        <w:rPr>
          <w:sz w:val="20"/>
          <w:szCs w:val="20"/>
          <w:color w:val="auto"/>
        </w:rPr>
      </w:pPr>
      <w:r>
        <w:rPr>
          <w:rFonts w:ascii="Arial" w:cs="Arial" w:eastAsia="Arial" w:hAnsi="Arial"/>
          <w:sz w:val="7"/>
          <w:szCs w:val="7"/>
          <w:color w:val="FFFFFF"/>
        </w:rPr>
        <w:t>, Inc. DemonstratesCorrectsMisleadingSuperiorStatementsValueof fromItsProposalTICCCapitalinLetterCorp.toTICC9/30/2015Capital Corp. Stockholders 9/28/2015 TPG Specialty Lending Sends Letter to TICC Capital Corp. Stockholders Outlining Merits of Proposal 9/21/2015</w:t>
      </w:r>
    </w:p>
    <w:p>
      <w:pPr>
        <w:spacing w:after="0" w:line="208" w:lineRule="auto"/>
        <w:tabs>
          <w:tab w:leader="none" w:pos="1300" w:val="left"/>
        </w:tabs>
        <w:rPr>
          <w:sz w:val="20"/>
          <w:szCs w:val="20"/>
          <w:color w:val="auto"/>
        </w:rPr>
      </w:pPr>
      <w:r>
        <w:rPr>
          <w:rFonts w:ascii="Arial" w:cs="Arial" w:eastAsia="Arial" w:hAnsi="Arial"/>
          <w:sz w:val="14"/>
          <w:szCs w:val="14"/>
          <w:color w:val="FFFFFF"/>
        </w:rPr>
        <w:t>Copyright 2016.</w:t>
      </w:r>
      <w:r>
        <w:rPr>
          <w:sz w:val="20"/>
          <w:szCs w:val="20"/>
          <w:color w:val="auto"/>
        </w:rPr>
        <w:tab/>
      </w:r>
      <w:r>
        <w:rPr>
          <w:rFonts w:ascii="Arial" w:cs="Arial" w:eastAsia="Arial" w:hAnsi="Arial"/>
          <w:sz w:val="12"/>
          <w:szCs w:val="12"/>
          <w:color w:val="FFFFFF"/>
        </w:rPr>
        <w:t>Proposes to Acquire TICC Capital Corp. for $7.50 per Share 9/16/2015</w:t>
      </w:r>
    </w:p>
    <w:p>
      <w:pPr>
        <w:sectPr>
          <w:pgSz w:w="11900" w:h="16838" w:orient="portrait"/>
          <w:cols w:equalWidth="0" w:num="1">
            <w:col w:w="10440"/>
          </w:cols>
          <w:pgMar w:left="240" w:top="1440" w:right="121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4853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1865" cy="4853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FFFFFF"/>
        </w:rPr>
        <w:t>SEC Filings</w:t>
      </w:r>
    </w:p>
    <w:p>
      <w:pPr>
        <w:spacing w:after="0" w:line="187" w:lineRule="auto"/>
        <w:rPr>
          <w:sz w:val="20"/>
          <w:szCs w:val="20"/>
          <w:color w:val="auto"/>
        </w:rPr>
      </w:pPr>
      <w:r>
        <w:rPr>
          <w:rFonts w:ascii="Arial" w:cs="Arial" w:eastAsia="Arial" w:hAnsi="Arial"/>
          <w:sz w:val="9"/>
          <w:szCs w:val="9"/>
          <w:color w:val="FFFFFF"/>
        </w:rPr>
        <w:t>TopReceiveofFormE-mail Alerts [GRAPHIC APPEARS HERE]</w:t>
      </w:r>
    </w:p>
    <w:p>
      <w:pPr>
        <w:spacing w:after="0" w:line="188" w:lineRule="auto"/>
        <w:rPr>
          <w:sz w:val="20"/>
          <w:szCs w:val="20"/>
          <w:color w:val="auto"/>
        </w:rPr>
      </w:pPr>
      <w:r>
        <w:rPr>
          <w:rFonts w:ascii="Arial" w:cs="Arial" w:eastAsia="Arial" w:hAnsi="Arial"/>
          <w:sz w:val="9"/>
          <w:szCs w:val="9"/>
          <w:color w:val="FFFFFF"/>
        </w:rPr>
        <w:t>YearSEC FilingFilter Keyword earch (View search tips)</w:t>
      </w:r>
    </w:p>
    <w:p>
      <w:pPr>
        <w:spacing w:after="0" w:line="188" w:lineRule="auto"/>
        <w:rPr>
          <w:sz w:val="20"/>
          <w:szCs w:val="20"/>
          <w:color w:val="auto"/>
        </w:rPr>
      </w:pPr>
      <w:r>
        <w:rPr>
          <w:rFonts w:ascii="Arial" w:cs="Arial" w:eastAsia="Arial" w:hAnsi="Arial"/>
          <w:sz w:val="9"/>
          <w:szCs w:val="9"/>
          <w:color w:val="FFFFFF"/>
        </w:rPr>
        <w:t>ViewGroupingsSectionFilter16 Filings(ViewSEC(3,4,5)Groupings descriptions)</w:t>
      </w:r>
    </w:p>
    <w:p>
      <w:pPr>
        <w:spacing w:after="0" w:line="188" w:lineRule="auto"/>
        <w:rPr>
          <w:sz w:val="20"/>
          <w:szCs w:val="20"/>
          <w:color w:val="auto"/>
        </w:rPr>
      </w:pPr>
      <w:r>
        <w:rPr>
          <w:rFonts w:ascii="Arial" w:cs="Arial" w:eastAsia="Arial" w:hAnsi="Arial"/>
          <w:sz w:val="9"/>
          <w:szCs w:val="9"/>
          <w:color w:val="FFFFFF"/>
          <w:vertAlign w:val="superscript"/>
        </w:rPr>
        <w:t>Form</w:t>
      </w:r>
      <w:r>
        <w:rPr>
          <w:rFonts w:ascii="Arial" w:cs="Arial" w:eastAsia="Arial" w:hAnsi="Arial"/>
          <w:sz w:val="7"/>
          <w:szCs w:val="7"/>
          <w:color w:val="FFFFFF"/>
        </w:rPr>
        <w:t>&lt;&lt;ilingFirstDate|Previous | Next | Last &gt;&gt;</w:t>
      </w:r>
    </w:p>
    <w:p>
      <w:pPr>
        <w:spacing w:after="0"/>
        <w:rPr>
          <w:sz w:val="20"/>
          <w:szCs w:val="20"/>
          <w:color w:val="auto"/>
        </w:rPr>
      </w:pPr>
      <w:r>
        <w:rPr>
          <w:rFonts w:ascii="Arial" w:cs="Arial" w:eastAsia="Arial" w:hAnsi="Arial"/>
          <w:sz w:val="3"/>
          <w:szCs w:val="3"/>
          <w:color w:val="FFFFFF"/>
        </w:rPr>
        <w:t>Description</w:t>
      </w:r>
    </w:p>
    <w:p>
      <w:pPr>
        <w:spacing w:after="0" w:line="194" w:lineRule="auto"/>
        <w:rPr>
          <w:sz w:val="20"/>
          <w:szCs w:val="20"/>
          <w:color w:val="auto"/>
        </w:rPr>
      </w:pPr>
      <w:r>
        <w:rPr>
          <w:rFonts w:ascii="Arial" w:cs="Arial" w:eastAsia="Arial" w:hAnsi="Arial"/>
          <w:sz w:val="5"/>
          <w:szCs w:val="5"/>
          <w:color w:val="FFFFFF"/>
        </w:rPr>
        <w:t>Filing Group</w:t>
      </w:r>
    </w:p>
    <w:p>
      <w:pPr>
        <w:spacing w:after="0" w:line="188" w:lineRule="auto"/>
        <w:rPr>
          <w:sz w:val="20"/>
          <w:szCs w:val="20"/>
          <w:color w:val="auto"/>
        </w:rPr>
      </w:pPr>
      <w:r>
        <w:rPr>
          <w:rFonts w:ascii="Arial" w:cs="Arial" w:eastAsia="Arial" w:hAnsi="Arial"/>
          <w:sz w:val="9"/>
          <w:szCs w:val="9"/>
          <w:color w:val="FFFFFF"/>
        </w:rPr>
        <w:t>Downloads</w:t>
      </w:r>
    </w:p>
    <w:p>
      <w:pPr>
        <w:spacing w:after="0" w:line="187" w:lineRule="auto"/>
        <w:rPr>
          <w:sz w:val="20"/>
          <w:szCs w:val="20"/>
          <w:color w:val="auto"/>
        </w:rPr>
      </w:pPr>
      <w:r>
        <w:rPr>
          <w:rFonts w:ascii="Arial" w:cs="Arial" w:eastAsia="Arial" w:hAnsi="Arial"/>
          <w:sz w:val="9"/>
          <w:szCs w:val="9"/>
          <w:color w:val="FFFFFF"/>
        </w:rPr>
        <w:t>DFAN14A12/21/15</w:t>
      </w:r>
    </w:p>
    <w:p>
      <w:pPr>
        <w:spacing w:after="0"/>
        <w:rPr>
          <w:sz w:val="20"/>
          <w:szCs w:val="20"/>
          <w:color w:val="auto"/>
        </w:rPr>
      </w:pPr>
      <w:r>
        <w:rPr>
          <w:rFonts w:ascii="Arial" w:cs="Arial" w:eastAsia="Arial" w:hAnsi="Arial"/>
          <w:sz w:val="3"/>
          <w:szCs w:val="3"/>
          <w:color w:val="FFFFFF"/>
        </w:rPr>
        <w:t>ProxyAdditionalFilingsproxy soliciting materials filed by non-management</w:t>
      </w:r>
    </w:p>
    <w:p>
      <w:pPr>
        <w:spacing w:after="0" w:line="194" w:lineRule="auto"/>
        <w:rPr>
          <w:sz w:val="20"/>
          <w:szCs w:val="20"/>
          <w:color w:val="auto"/>
        </w:rPr>
      </w:pPr>
      <w:r>
        <w:rPr>
          <w:rFonts w:ascii="Arial" w:cs="Arial" w:eastAsia="Arial" w:hAnsi="Arial"/>
          <w:sz w:val="5"/>
          <w:szCs w:val="5"/>
          <w:color w:val="FFFFFF"/>
        </w:rPr>
        <w:t>12/14/15</w:t>
      </w:r>
    </w:p>
    <w:p>
      <w:pPr>
        <w:spacing w:after="0" w:line="188" w:lineRule="auto"/>
        <w:rPr>
          <w:sz w:val="20"/>
          <w:szCs w:val="20"/>
          <w:color w:val="auto"/>
        </w:rPr>
      </w:pPr>
      <w:r>
        <w:rPr>
          <w:rFonts w:ascii="Arial" w:cs="Arial" w:eastAsia="Arial" w:hAnsi="Arial"/>
          <w:sz w:val="9"/>
          <w:szCs w:val="9"/>
          <w:color w:val="FFFFFF"/>
        </w:rPr>
        <w:t>DFAN14A</w:t>
      </w:r>
    </w:p>
    <w:p>
      <w:pPr>
        <w:spacing w:after="0"/>
        <w:rPr>
          <w:sz w:val="20"/>
          <w:szCs w:val="20"/>
          <w:color w:val="auto"/>
        </w:rPr>
      </w:pPr>
      <w:r>
        <w:rPr>
          <w:rFonts w:ascii="Arial" w:cs="Arial" w:eastAsia="Arial" w:hAnsi="Arial"/>
          <w:sz w:val="3"/>
          <w:szCs w:val="3"/>
          <w:color w:val="FFFFFF"/>
        </w:rPr>
        <w:t>ProxyAdditionalFilingsproxy soliciting materials filed by non-management</w:t>
      </w:r>
    </w:p>
    <w:p>
      <w:pPr>
        <w:spacing w:after="0" w:line="194" w:lineRule="auto"/>
        <w:rPr>
          <w:sz w:val="20"/>
          <w:szCs w:val="20"/>
          <w:color w:val="auto"/>
        </w:rPr>
      </w:pPr>
      <w:r>
        <w:rPr>
          <w:rFonts w:ascii="Arial" w:cs="Arial" w:eastAsia="Arial" w:hAnsi="Arial"/>
          <w:sz w:val="5"/>
          <w:szCs w:val="5"/>
          <w:color w:val="FFFFFF"/>
        </w:rPr>
        <w:t>12/04/15</w:t>
      </w:r>
    </w:p>
    <w:p>
      <w:pPr>
        <w:spacing w:after="0"/>
        <w:rPr>
          <w:sz w:val="20"/>
          <w:szCs w:val="20"/>
          <w:color w:val="auto"/>
        </w:rPr>
      </w:pPr>
      <w:r>
        <w:rPr>
          <w:rFonts w:ascii="Arial" w:cs="Arial" w:eastAsia="Arial" w:hAnsi="Arial"/>
          <w:sz w:val="3"/>
          <w:szCs w:val="3"/>
          <w:color w:val="FFFFFF"/>
        </w:rPr>
        <w:t>3</w:t>
      </w:r>
    </w:p>
    <w:p>
      <w:pPr>
        <w:spacing w:after="0" w:line="181" w:lineRule="auto"/>
        <w:rPr>
          <w:sz w:val="20"/>
          <w:szCs w:val="20"/>
          <w:color w:val="auto"/>
        </w:rPr>
      </w:pPr>
      <w:r>
        <w:rPr>
          <w:rFonts w:ascii="Arial" w:cs="Arial" w:eastAsia="Arial" w:hAnsi="Arial"/>
          <w:sz w:val="10"/>
          <w:szCs w:val="10"/>
          <w:color w:val="FFFFFF"/>
        </w:rPr>
        <w:t>Initial filing by director officer or owner of more than ten percent.</w:t>
      </w:r>
    </w:p>
    <w:p>
      <w:pPr>
        <w:spacing w:after="0"/>
        <w:rPr>
          <w:sz w:val="20"/>
          <w:szCs w:val="20"/>
          <w:color w:val="auto"/>
        </w:rPr>
      </w:pPr>
      <w:r>
        <w:rPr>
          <w:rFonts w:ascii="Arial" w:cs="Arial" w:eastAsia="Arial" w:hAnsi="Arial"/>
          <w:sz w:val="3"/>
          <w:szCs w:val="3"/>
          <w:color w:val="FFFFFF"/>
        </w:rPr>
        <w:t>11/30/153,4,5</w:t>
      </w:r>
    </w:p>
    <w:p>
      <w:pPr>
        <w:spacing w:after="0" w:line="181" w:lineRule="auto"/>
        <w:rPr>
          <w:sz w:val="20"/>
          <w:szCs w:val="20"/>
          <w:color w:val="auto"/>
        </w:rPr>
      </w:pPr>
      <w:r>
        <w:rPr>
          <w:rFonts w:ascii="Arial" w:cs="Arial" w:eastAsia="Arial" w:hAnsi="Arial"/>
          <w:sz w:val="10"/>
          <w:szCs w:val="10"/>
          <w:color w:val="FFFFFF"/>
        </w:rPr>
        <w:t>DFAN14A</w:t>
      </w:r>
    </w:p>
    <w:p>
      <w:pPr>
        <w:spacing w:after="0"/>
        <w:rPr>
          <w:sz w:val="20"/>
          <w:szCs w:val="20"/>
          <w:color w:val="auto"/>
        </w:rPr>
      </w:pPr>
      <w:r>
        <w:rPr>
          <w:rFonts w:ascii="Arial" w:cs="Arial" w:eastAsia="Arial" w:hAnsi="Arial"/>
          <w:sz w:val="3"/>
          <w:szCs w:val="3"/>
          <w:color w:val="FFFFFF"/>
        </w:rPr>
        <w:t>ProxyAdditionalFilingsproxy soliciting materials filed by non-management</w:t>
      </w:r>
    </w:p>
    <w:p>
      <w:pPr>
        <w:spacing w:after="0" w:line="194" w:lineRule="auto"/>
        <w:rPr>
          <w:sz w:val="20"/>
          <w:szCs w:val="20"/>
          <w:color w:val="auto"/>
        </w:rPr>
      </w:pPr>
      <w:r>
        <w:rPr>
          <w:rFonts w:ascii="Arial" w:cs="Arial" w:eastAsia="Arial" w:hAnsi="Arial"/>
          <w:sz w:val="5"/>
          <w:szCs w:val="5"/>
          <w:color w:val="FFFFFF"/>
        </w:rPr>
        <w:t>11/30/15</w:t>
      </w:r>
    </w:p>
    <w:p>
      <w:pPr>
        <w:spacing w:after="0"/>
        <w:rPr>
          <w:sz w:val="20"/>
          <w:szCs w:val="20"/>
          <w:color w:val="auto"/>
        </w:rPr>
      </w:pPr>
      <w:r>
        <w:rPr>
          <w:rFonts w:ascii="Arial" w:cs="Arial" w:eastAsia="Arial" w:hAnsi="Arial"/>
          <w:sz w:val="3"/>
          <w:szCs w:val="3"/>
          <w:color w:val="FFFFFF"/>
        </w:rPr>
        <w:t>4</w:t>
      </w:r>
    </w:p>
    <w:p>
      <w:pPr>
        <w:spacing w:after="0" w:line="221" w:lineRule="auto"/>
        <w:rPr>
          <w:sz w:val="20"/>
          <w:szCs w:val="20"/>
          <w:color w:val="auto"/>
        </w:rPr>
      </w:pPr>
      <w:r>
        <w:rPr>
          <w:rFonts w:ascii="Arial" w:cs="Arial" w:eastAsia="Arial" w:hAnsi="Arial"/>
          <w:sz w:val="12"/>
          <w:szCs w:val="12"/>
          <w:color w:val="FFFFFF"/>
        </w:rPr>
        <w:t>Statement3,4,5 of changes in beneficial ownership of securities</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411/20/15</w:t>
      </w:r>
    </w:p>
    <w:p>
      <w:pPr>
        <w:spacing w:after="0" w:line="221" w:lineRule="auto"/>
        <w:rPr>
          <w:sz w:val="20"/>
          <w:szCs w:val="20"/>
          <w:color w:val="auto"/>
        </w:rPr>
      </w:pPr>
      <w:r>
        <w:rPr>
          <w:rFonts w:ascii="Arial" w:cs="Arial" w:eastAsia="Arial" w:hAnsi="Arial"/>
          <w:sz w:val="12"/>
          <w:szCs w:val="12"/>
          <w:color w:val="FFFFFF"/>
        </w:rPr>
        <w:t>Statement3,4,5 of changes in beneficial ownership of securities</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411/17/15</w:t>
      </w:r>
    </w:p>
    <w:p>
      <w:pPr>
        <w:spacing w:after="0" w:line="221" w:lineRule="auto"/>
        <w:rPr>
          <w:sz w:val="20"/>
          <w:szCs w:val="20"/>
          <w:color w:val="auto"/>
        </w:rPr>
      </w:pPr>
      <w:r>
        <w:rPr>
          <w:rFonts w:ascii="Arial" w:cs="Arial" w:eastAsia="Arial" w:hAnsi="Arial"/>
          <w:sz w:val="12"/>
          <w:szCs w:val="12"/>
          <w:color w:val="FFFFFF"/>
        </w:rPr>
        <w:t>Statement3,4,5 of changes in beneficial ownership of securities</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411/12/15</w:t>
      </w:r>
    </w:p>
    <w:p>
      <w:pPr>
        <w:spacing w:after="0" w:line="181" w:lineRule="auto"/>
        <w:rPr>
          <w:sz w:val="20"/>
          <w:szCs w:val="20"/>
          <w:color w:val="auto"/>
        </w:rPr>
      </w:pPr>
      <w:r>
        <w:rPr>
          <w:rFonts w:ascii="Arial" w:cs="Arial" w:eastAsia="Arial" w:hAnsi="Arial"/>
          <w:sz w:val="10"/>
          <w:szCs w:val="10"/>
          <w:color w:val="FFFFFF"/>
        </w:rPr>
        <w:t>Statement of changes in beneficial ownership of securities</w:t>
      </w:r>
    </w:p>
    <w:p>
      <w:pPr>
        <w:spacing w:after="0"/>
        <w:rPr>
          <w:sz w:val="20"/>
          <w:szCs w:val="20"/>
          <w:color w:val="auto"/>
        </w:rPr>
      </w:pPr>
      <w:r>
        <w:rPr>
          <w:rFonts w:ascii="Arial" w:cs="Arial" w:eastAsia="Arial" w:hAnsi="Arial"/>
          <w:sz w:val="3"/>
          <w:szCs w:val="3"/>
          <w:color w:val="FFFFFF"/>
        </w:rPr>
        <w:t>11/09/153,4,5</w:t>
      </w:r>
    </w:p>
    <w:p>
      <w:pPr>
        <w:spacing w:after="0" w:line="181" w:lineRule="auto"/>
        <w:rPr>
          <w:sz w:val="20"/>
          <w:szCs w:val="20"/>
          <w:color w:val="auto"/>
        </w:rPr>
      </w:pPr>
      <w:r>
        <w:rPr>
          <w:rFonts w:ascii="Arial" w:cs="Arial" w:eastAsia="Arial" w:hAnsi="Arial"/>
          <w:sz w:val="10"/>
          <w:szCs w:val="10"/>
          <w:color w:val="FFFFFF"/>
        </w:rPr>
        <w:t>DFAN14A</w:t>
      </w:r>
    </w:p>
    <w:p>
      <w:pPr>
        <w:spacing w:after="0"/>
        <w:rPr>
          <w:sz w:val="20"/>
          <w:szCs w:val="20"/>
          <w:color w:val="auto"/>
        </w:rPr>
      </w:pPr>
      <w:r>
        <w:rPr>
          <w:rFonts w:ascii="Arial" w:cs="Arial" w:eastAsia="Arial" w:hAnsi="Arial"/>
          <w:sz w:val="3"/>
          <w:szCs w:val="3"/>
          <w:color w:val="FFFFFF"/>
        </w:rPr>
        <w:t>ProxyAdditionalFilingsproxy soliciting materials filed by non-management</w:t>
      </w:r>
    </w:p>
    <w:p>
      <w:pPr>
        <w:spacing w:after="0" w:line="194" w:lineRule="auto"/>
        <w:rPr>
          <w:sz w:val="20"/>
          <w:szCs w:val="20"/>
          <w:color w:val="auto"/>
        </w:rPr>
      </w:pPr>
      <w:r>
        <w:rPr>
          <w:rFonts w:ascii="Arial" w:cs="Arial" w:eastAsia="Arial" w:hAnsi="Arial"/>
          <w:sz w:val="5"/>
          <w:szCs w:val="5"/>
          <w:color w:val="FFFFFF"/>
        </w:rPr>
        <w:t>11/05/15</w:t>
      </w:r>
    </w:p>
    <w:p>
      <w:pPr>
        <w:spacing w:after="0" w:line="188" w:lineRule="auto"/>
        <w:rPr>
          <w:sz w:val="20"/>
          <w:szCs w:val="20"/>
          <w:color w:val="auto"/>
        </w:rPr>
      </w:pPr>
      <w:r>
        <w:rPr>
          <w:rFonts w:ascii="Arial" w:cs="Arial" w:eastAsia="Arial" w:hAnsi="Arial"/>
          <w:sz w:val="9"/>
          <w:szCs w:val="9"/>
          <w:color w:val="FFFFFF"/>
        </w:rPr>
        <w:t>DFAN14A</w:t>
      </w:r>
    </w:p>
    <w:p>
      <w:pPr>
        <w:spacing w:after="0" w:line="187" w:lineRule="auto"/>
        <w:rPr>
          <w:sz w:val="20"/>
          <w:szCs w:val="20"/>
          <w:color w:val="auto"/>
        </w:rPr>
      </w:pPr>
      <w:r>
        <w:rPr>
          <w:rFonts w:ascii="Arial" w:cs="Arial" w:eastAsia="Arial" w:hAnsi="Arial"/>
          <w:sz w:val="9"/>
          <w:szCs w:val="9"/>
          <w:color w:val="FFFFFF"/>
        </w:rPr>
        <w:t>ProxyAdditionalFilingsproxy soliciting materials filed by non-management</w:t>
      </w:r>
    </w:p>
    <w:p>
      <w:pPr>
        <w:spacing w:after="0"/>
        <w:rPr>
          <w:sz w:val="20"/>
          <w:szCs w:val="20"/>
          <w:color w:val="auto"/>
        </w:rPr>
      </w:pPr>
      <w:r>
        <w:rPr>
          <w:rFonts w:ascii="Arial" w:cs="Arial" w:eastAsia="Arial" w:hAnsi="Arial"/>
          <w:sz w:val="14"/>
          <w:szCs w:val="14"/>
          <w:color w:val="FFFFFF"/>
        </w:rPr>
        <w:t>Bottom&lt;&lt;First of|PreviousForm | Next | Last &gt;&gt;</w:t>
      </w:r>
    </w:p>
    <w:p>
      <w:pPr>
        <w:sectPr>
          <w:pgSz w:w="11900" w:h="16838" w:orient="portrait"/>
          <w:cols w:equalWidth="0" w:num="1">
            <w:col w:w="10219"/>
          </w:cols>
          <w:pgMar w:left="240" w:top="1440"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50425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1865" cy="5042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20"/>
                <w:szCs w:val="20"/>
                <w:color w:val="auto"/>
              </w:rPr>
            </w:pPr>
            <w:r>
              <w:rPr>
                <w:rFonts w:ascii="Arial" w:cs="Arial" w:eastAsia="Arial" w:hAnsi="Arial"/>
                <w:sz w:val="14"/>
                <w:szCs w:val="14"/>
                <w:color w:val="FFFFFF"/>
                <w:w w:val="97"/>
              </w:rPr>
              <w:t>TPG Specialty Lending</w:t>
            </w:r>
          </w:p>
        </w:tc>
        <w:tc>
          <w:tcPr>
            <w:tcW w:w="20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News &amp; Filings</w:t>
            </w:r>
          </w:p>
        </w:tc>
        <w:tc>
          <w:tcPr>
            <w:tcW w:w="20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Presentations</w:t>
            </w:r>
          </w:p>
        </w:tc>
        <w:tc>
          <w:tcPr>
            <w:tcW w:w="20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N minee</w:t>
            </w:r>
          </w:p>
        </w:tc>
        <w:tc>
          <w:tcPr>
            <w:tcW w:w="20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How to Vote</w:t>
            </w:r>
          </w:p>
        </w:tc>
        <w:tc>
          <w:tcPr>
            <w:tcW w:w="20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20" w:type="dxa"/>
            <w:vAlign w:val="bottom"/>
            <w:gridSpan w:val="2"/>
          </w:tcPr>
          <w:p>
            <w:pPr>
              <w:spacing w:after="0"/>
              <w:rPr>
                <w:sz w:val="20"/>
                <w:szCs w:val="20"/>
                <w:color w:val="auto"/>
              </w:rPr>
            </w:pPr>
            <w:r>
              <w:rPr>
                <w:rFonts w:ascii="Arial" w:cs="Arial" w:eastAsia="Arial" w:hAnsi="Arial"/>
                <w:sz w:val="3"/>
                <w:szCs w:val="3"/>
                <w:color w:val="FFFFFF"/>
              </w:rPr>
              <w:t>About TPG Specialty Lending</w:t>
            </w:r>
          </w:p>
        </w:tc>
        <w:tc>
          <w:tcPr>
            <w:tcW w:w="56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Contact</w:t>
            </w:r>
          </w:p>
        </w:tc>
        <w:tc>
          <w:tcPr>
            <w:tcW w:w="20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20" w:type="dxa"/>
            <w:vAlign w:val="bottom"/>
            <w:gridSpan w:val="2"/>
          </w:tcPr>
          <w:p>
            <w:pPr>
              <w:spacing w:after="0"/>
              <w:rPr>
                <w:sz w:val="20"/>
                <w:szCs w:val="20"/>
                <w:color w:val="auto"/>
              </w:rPr>
            </w:pPr>
            <w:r>
              <w:rPr>
                <w:rFonts w:ascii="Arial" w:cs="Arial" w:eastAsia="Arial" w:hAnsi="Arial"/>
                <w:sz w:val="3"/>
                <w:szCs w:val="3"/>
                <w:color w:val="FFFFFF"/>
              </w:rPr>
              <w:t>WHAT PEOPLE ARE SAYING</w:t>
            </w:r>
          </w:p>
        </w:tc>
        <w:tc>
          <w:tcPr>
            <w:tcW w:w="56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20" w:type="dxa"/>
            <w:vAlign w:val="bottom"/>
            <w:gridSpan w:val="2"/>
          </w:tcPr>
          <w:p>
            <w:pPr>
              <w:spacing w:after="0"/>
              <w:rPr>
                <w:sz w:val="20"/>
                <w:szCs w:val="20"/>
                <w:color w:val="auto"/>
              </w:rPr>
            </w:pPr>
            <w:r>
              <w:rPr>
                <w:rFonts w:ascii="Arial" w:cs="Arial" w:eastAsia="Arial" w:hAnsi="Arial"/>
                <w:sz w:val="3"/>
                <w:szCs w:val="3"/>
                <w:color w:val="FFFFFF"/>
              </w:rPr>
              <w:t>Institutional Shareholder Services Inc. – October 16, 2015</w:t>
            </w:r>
          </w:p>
        </w:tc>
        <w:tc>
          <w:tcPr>
            <w:tcW w:w="56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“[T]he prudent strategy may be to send the [TICC] board back to the drawing board, and ask it to run the process it does not appear to have run when first presented with the opportunity. A vote AGAINST [the</w:t>
            </w:r>
          </w:p>
        </w:tc>
        <w:tc>
          <w:tcPr>
            <w:tcW w:w="0" w:type="dxa"/>
            <w:vAlign w:val="bottom"/>
          </w:tcPr>
          <w:p>
            <w:pPr>
              <w:spacing w:after="0"/>
              <w:rPr>
                <w:sz w:val="1"/>
                <w:szCs w:val="1"/>
                <w:color w:val="auto"/>
              </w:rPr>
            </w:pP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BSP transaction],</w:t>
            </w:r>
          </w:p>
        </w:tc>
        <w:tc>
          <w:tcPr>
            <w:tcW w:w="2000" w:type="dxa"/>
            <w:vAlign w:val="bottom"/>
          </w:tcPr>
          <w:p>
            <w:pPr>
              <w:ind w:left="120"/>
              <w:spacing w:after="0"/>
              <w:rPr>
                <w:sz w:val="20"/>
                <w:szCs w:val="20"/>
                <w:color w:val="auto"/>
              </w:rPr>
            </w:pPr>
            <w:r>
              <w:rPr>
                <w:rFonts w:ascii="Arial" w:cs="Arial" w:eastAsia="Arial" w:hAnsi="Arial"/>
                <w:sz w:val="3"/>
                <w:szCs w:val="3"/>
                <w:color w:val="FFFFFF"/>
              </w:rPr>
              <w:t>is warranted at this point.”</w:t>
            </w:r>
          </w:p>
        </w:tc>
        <w:tc>
          <w:tcPr>
            <w:tcW w:w="56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20" w:type="dxa"/>
            <w:vAlign w:val="bottom"/>
            <w:gridSpan w:val="2"/>
          </w:tcPr>
          <w:p>
            <w:pPr>
              <w:spacing w:after="0"/>
              <w:rPr>
                <w:sz w:val="20"/>
                <w:szCs w:val="20"/>
                <w:color w:val="auto"/>
              </w:rPr>
            </w:pPr>
            <w:r>
              <w:rPr>
                <w:rFonts w:ascii="Arial" w:cs="Arial" w:eastAsia="Arial" w:hAnsi="Arial"/>
                <w:sz w:val="3"/>
                <w:szCs w:val="3"/>
                <w:color w:val="FFFFFF"/>
              </w:rPr>
              <w:t>Glass, Lewis &amp; Co.therefore,LLC– October 14, 2015</w:t>
            </w:r>
          </w:p>
        </w:tc>
        <w:tc>
          <w:tcPr>
            <w:tcW w:w="5640" w:type="dxa"/>
            <w:vAlign w:val="bottom"/>
            <w:vMerge w:val="restart"/>
          </w:tcPr>
          <w:p>
            <w:pPr>
              <w:ind w:left="280"/>
              <w:spacing w:after="0"/>
              <w:rPr>
                <w:sz w:val="20"/>
                <w:szCs w:val="20"/>
                <w:color w:val="auto"/>
              </w:rPr>
            </w:pPr>
            <w:r>
              <w:rPr>
                <w:rFonts w:ascii="Arial" w:cs="Arial" w:eastAsia="Arial" w:hAnsi="Arial"/>
                <w:sz w:val="3"/>
                <w:szCs w:val="3"/>
                <w:color w:val="FFFFFF"/>
              </w:rPr>
              <w:t>with BSP is likely to represent the most attractive alternative available to [TICC’s] unaffiliated</w:t>
            </w:r>
          </w:p>
        </w:tc>
        <w:tc>
          <w:tcPr>
            <w:tcW w:w="2240" w:type="dxa"/>
            <w:vAlign w:val="bottom"/>
            <w:vMerge w:val="restart"/>
          </w:tcPr>
          <w:p>
            <w:pPr>
              <w:ind w:left="260"/>
              <w:spacing w:after="0"/>
              <w:rPr>
                <w:sz w:val="20"/>
                <w:szCs w:val="20"/>
                <w:color w:val="auto"/>
              </w:rPr>
            </w:pPr>
            <w:r>
              <w:rPr>
                <w:rFonts w:ascii="Arial" w:cs="Arial" w:eastAsia="Arial" w:hAnsi="Arial"/>
                <w:sz w:val="3"/>
                <w:szCs w:val="3"/>
                <w:color w:val="FFFFFF"/>
              </w:rPr>
              <w:t>base at this time. … [T]he</w:t>
            </w:r>
          </w:p>
        </w:tc>
        <w:tc>
          <w:tcPr>
            <w:tcW w:w="0" w:type="dxa"/>
            <w:vAlign w:val="bottom"/>
          </w:tcPr>
          <w:p>
            <w:pPr>
              <w:spacing w:after="0"/>
              <w:rPr>
                <w:sz w:val="1"/>
                <w:szCs w:val="1"/>
                <w:color w:val="auto"/>
              </w:rPr>
            </w:pPr>
          </w:p>
        </w:tc>
      </w:tr>
      <w:tr>
        <w:trPr>
          <w:trHeight w:val="0"/>
        </w:trPr>
        <w:tc>
          <w:tcPr>
            <w:tcW w:w="3420" w:type="dxa"/>
            <w:vAlign w:val="bottom"/>
            <w:gridSpan w:val="2"/>
          </w:tcPr>
          <w:p>
            <w:pPr>
              <w:spacing w:after="0" w:line="80" w:lineRule="exact"/>
              <w:rPr>
                <w:sz w:val="20"/>
                <w:szCs w:val="20"/>
                <w:color w:val="auto"/>
              </w:rPr>
            </w:pPr>
            <w:r>
              <w:rPr>
                <w:rFonts w:ascii="Arial" w:cs="Arial" w:eastAsia="Arial" w:hAnsi="Arial"/>
                <w:sz w:val="9"/>
                <w:szCs w:val="9"/>
                <w:color w:val="FFFFFF"/>
              </w:rPr>
              <w:t>“[T]here are very few definitive reasons to suggest the</w:t>
            </w:r>
          </w:p>
        </w:tc>
        <w:tc>
          <w:tcPr>
            <w:tcW w:w="5640" w:type="dxa"/>
            <w:vAlign w:val="bottom"/>
            <w:vMerge w:val="continue"/>
          </w:tcPr>
          <w:p>
            <w:pPr>
              <w:spacing w:after="0" w:line="20" w:lineRule="exact"/>
              <w:rPr>
                <w:sz w:val="1"/>
                <w:szCs w:val="1"/>
                <w:color w:val="auto"/>
              </w:rPr>
            </w:pPr>
          </w:p>
        </w:tc>
        <w:tc>
          <w:tcPr>
            <w:tcW w:w="2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300"/>
        <w:spacing w:after="0"/>
        <w:rPr>
          <w:sz w:val="20"/>
          <w:szCs w:val="20"/>
          <w:color w:val="auto"/>
        </w:rPr>
      </w:pPr>
      <w:r>
        <w:rPr>
          <w:rFonts w:ascii="Arial" w:cs="Arial" w:eastAsia="Arial" w:hAnsi="Arial"/>
          <w:sz w:val="3"/>
          <w:szCs w:val="3"/>
          <w:color w:val="FFFFFF"/>
        </w:rPr>
        <w:t>expeditiously negotiated management arrangement createsarrangementundisclosed wealth transfer in favor of TICC’s underperforming adviser and shifts management of [TICC]investor an entity that has been unable or unwilling to fully match seemingly superior arrangements available through alternative transaction partners.”</w:t>
      </w:r>
    </w:p>
    <w:p>
      <w:pPr>
        <w:spacing w:after="0" w:line="199" w:lineRule="auto"/>
        <w:rPr>
          <w:sz w:val="20"/>
          <w:szCs w:val="20"/>
          <w:color w:val="auto"/>
        </w:rPr>
      </w:pPr>
      <w:r>
        <w:rPr>
          <w:rFonts w:ascii="Arial" w:cs="Arial" w:eastAsia="Arial" w:hAnsi="Arial"/>
          <w:sz w:val="5"/>
          <w:szCs w:val="5"/>
          <w:color w:val="FFFFFF"/>
        </w:rPr>
        <w:t>Egan-Jones Ratings Company – October 13, 2015</w:t>
      </w:r>
    </w:p>
    <w:p>
      <w:pPr>
        <w:spacing w:after="0" w:line="211" w:lineRule="auto"/>
        <w:rPr>
          <w:sz w:val="20"/>
          <w:szCs w:val="20"/>
          <w:color w:val="auto"/>
        </w:rPr>
      </w:pPr>
      <w:r>
        <w:rPr>
          <w:rFonts w:ascii="Arial" w:cs="Arial" w:eastAsia="Arial" w:hAnsi="Arial"/>
          <w:sz w:val="2"/>
          <w:szCs w:val="2"/>
          <w:color w:val="FFFFFF"/>
        </w:rPr>
        <w:t xml:space="preserve">“We are concerned that the current Board of TICC may not be operating </w:t>
      </w:r>
      <w:r>
        <w:rPr>
          <w:rFonts w:ascii="Arial" w:cs="Arial" w:eastAsia="Arial" w:hAnsi="Arial"/>
          <w:sz w:val="4"/>
          <w:szCs w:val="4"/>
          <w:color w:val="FFFFFF"/>
          <w:vertAlign w:val="subscript"/>
        </w:rPr>
        <w:t>independent</w:t>
      </w:r>
      <w:r>
        <w:rPr>
          <w:rFonts w:ascii="Arial" w:cs="Arial" w:eastAsia="Arial" w:hAnsi="Arial"/>
          <w:sz w:val="2"/>
          <w:szCs w:val="2"/>
          <w:color w:val="FFFFFF"/>
        </w:rPr>
        <w:t>amanner that is in the best long term interest of shareholders. We are also concerned that at least some of the independent members of</w:t>
      </w:r>
    </w:p>
    <w:p>
      <w:pPr>
        <w:spacing w:after="0"/>
        <w:tabs>
          <w:tab w:leader="none" w:pos="4580" w:val="left"/>
        </w:tabs>
        <w:rPr>
          <w:sz w:val="20"/>
          <w:szCs w:val="20"/>
          <w:color w:val="auto"/>
        </w:rPr>
      </w:pPr>
      <w:r>
        <w:rPr>
          <w:rFonts w:ascii="Arial" w:cs="Arial" w:eastAsia="Arial" w:hAnsi="Arial"/>
          <w:sz w:val="14"/>
          <w:szCs w:val="14"/>
          <w:color w:val="FFFFFF"/>
        </w:rPr>
        <w:t>that board may have for a variety of reasons, lost their ability to be truly</w:t>
      </w:r>
      <w:r>
        <w:rPr>
          <w:sz w:val="20"/>
          <w:szCs w:val="20"/>
          <w:color w:val="auto"/>
        </w:rPr>
        <w:tab/>
      </w:r>
      <w:r>
        <w:rPr>
          <w:rFonts w:ascii="Arial" w:cs="Arial" w:eastAsia="Arial" w:hAnsi="Arial"/>
          <w:sz w:val="12"/>
          <w:szCs w:val="12"/>
          <w:color w:val="FFFFFF"/>
        </w:rPr>
        <w:t>.”</w:t>
      </w:r>
    </w:p>
    <w:p>
      <w:pPr>
        <w:sectPr>
          <w:pgSz w:w="11900" w:h="16838" w:orient="portrait"/>
          <w:cols w:equalWidth="0" w:num="1">
            <w:col w:w="11340"/>
          </w:cols>
          <w:pgMar w:left="240" w:top="1440" w:right="31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50514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1865" cy="505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0"/>
          <w:szCs w:val="10"/>
          <w:color w:val="FFFFFF"/>
        </w:rPr>
        <w:t>Wells“AVoteFargofor TICC–Octoberdoes 9,not2015‘Protect’ The Distribution. TICC outlines thatoperatingvotein favor of the BSP transaction will ‘protect’ thise distribution, but we believe this statement only gives false hope to investors. We</w:t>
      </w:r>
    </w:p>
    <w:p>
      <w:pPr>
        <w:spacing w:after="0" w:line="205" w:lineRule="auto"/>
        <w:tabs>
          <w:tab w:leader="none" w:pos="4380" w:val="left"/>
          <w:tab w:leader="none" w:pos="7020" w:val="left"/>
        </w:tabs>
        <w:rPr>
          <w:sz w:val="20"/>
          <w:szCs w:val="20"/>
          <w:color w:val="auto"/>
        </w:rPr>
      </w:pPr>
      <w:r>
        <w:rPr>
          <w:rFonts w:ascii="Arial" w:cs="Arial" w:eastAsia="Arial" w:hAnsi="Arial"/>
          <w:sz w:val="6"/>
          <w:szCs w:val="6"/>
          <w:color w:val="FFFFFF"/>
        </w:rPr>
        <w:t>believe this dividend will get cut regardless as TICC does not have the</w:t>
      </w:r>
      <w:r>
        <w:rPr>
          <w:sz w:val="20"/>
          <w:szCs w:val="20"/>
          <w:color w:val="auto"/>
        </w:rPr>
        <w:tab/>
      </w:r>
      <w:r>
        <w:rPr>
          <w:rFonts w:ascii="Arial" w:cs="Arial" w:eastAsia="Arial" w:hAnsi="Arial"/>
          <w:sz w:val="6"/>
          <w:szCs w:val="6"/>
          <w:color w:val="FFFFFF"/>
        </w:rPr>
        <w:t>earnings to support the dividend at all—and</w:t>
      </w:r>
      <w:r>
        <w:rPr>
          <w:sz w:val="20"/>
          <w:szCs w:val="20"/>
          <w:color w:val="auto"/>
        </w:rPr>
        <w:tab/>
      </w:r>
      <w:r>
        <w:rPr>
          <w:rFonts w:ascii="Arial" w:cs="Arial" w:eastAsia="Arial" w:hAnsi="Arial"/>
          <w:sz w:val="6"/>
          <w:szCs w:val="6"/>
          <w:color w:val="FFFFFF"/>
        </w:rPr>
        <w:t>will not change under BSP.”</w:t>
      </w:r>
    </w:p>
    <w:p>
      <w:pPr>
        <w:spacing w:after="0" w:line="188" w:lineRule="auto"/>
        <w:rPr>
          <w:sz w:val="20"/>
          <w:szCs w:val="20"/>
          <w:color w:val="auto"/>
        </w:rPr>
      </w:pPr>
      <w:r>
        <w:rPr>
          <w:rFonts w:ascii="Arial" w:cs="Arial" w:eastAsia="Arial" w:hAnsi="Arial"/>
          <w:sz w:val="9"/>
          <w:szCs w:val="9"/>
          <w:color w:val="FFFFFF"/>
        </w:rPr>
        <w:t>“[S]hareholdersChrisDeMuth,Jr.,couldRangeleychooseCapitaltoaccept–Octoberanimmediate7,2015event to close the gap between the share price and NAV, in which case TSLX’s offer or potentially liquidating the company is superior to BSP’s offer.”</w:t>
      </w:r>
    </w:p>
    <w:p>
      <w:pPr>
        <w:spacing w:after="0" w:line="181" w:lineRule="auto"/>
        <w:rPr>
          <w:sz w:val="20"/>
          <w:szCs w:val="20"/>
          <w:color w:val="auto"/>
        </w:rPr>
      </w:pPr>
      <w:r>
        <w:rPr>
          <w:rFonts w:ascii="Arial" w:cs="Arial" w:eastAsia="Arial" w:hAnsi="Arial"/>
          <w:sz w:val="7"/>
          <w:szCs w:val="7"/>
          <w:color w:val="FFFFFF"/>
        </w:rPr>
        <w:t>“TICC’sWellsFargoPresentation–Octoberof7,the2015‘Simple Facts’ just makes us sad for the industry. . . . The ‘Independent’ Special Committee is not as ‘independent’ as it appears—an independent board member derives over $280k a year from Royce Funds (note the founder of Royce Funds is an owner of the BDC external manager…and is slated to receive $60MM on the external manager sale).”</w:t>
      </w:r>
    </w:p>
    <w:p>
      <w:pPr>
        <w:ind w:right="440"/>
        <w:spacing w:after="0"/>
        <w:rPr>
          <w:sz w:val="20"/>
          <w:szCs w:val="20"/>
          <w:color w:val="auto"/>
        </w:rPr>
      </w:pPr>
      <w:r>
        <w:rPr>
          <w:rFonts w:ascii="Arial" w:cs="Arial" w:eastAsia="Arial" w:hAnsi="Arial"/>
          <w:sz w:val="3"/>
          <w:szCs w:val="3"/>
          <w:color w:val="FFFFFF"/>
        </w:rPr>
        <w:t>“[W]eBarclaysbelieve–OctoberTSLX’6,access2015offer represents the best value out of the three and can potentially deliver to current TICC shareholders a combination of upfront return on shares, participation in future upside of a combined BDC, and a broader platform and quality management.”</w:t>
      </w:r>
    </w:p>
    <w:p>
      <w:pPr>
        <w:spacing w:after="0" w:line="181" w:lineRule="auto"/>
        <w:rPr>
          <w:sz w:val="20"/>
          <w:szCs w:val="20"/>
          <w:color w:val="auto"/>
        </w:rPr>
      </w:pPr>
      <w:r>
        <w:rPr>
          <w:rFonts w:ascii="Arial" w:cs="Arial" w:eastAsia="Arial" w:hAnsi="Arial"/>
          <w:sz w:val="10"/>
          <w:szCs w:val="10"/>
          <w:color w:val="FFFFFF"/>
        </w:rPr>
        <w:t>Antoine Gara, Forbes – October 2, 2015</w:t>
      </w:r>
    </w:p>
    <w:p>
      <w:pPr>
        <w:spacing w:after="0" w:line="213" w:lineRule="auto"/>
        <w:rPr>
          <w:sz w:val="20"/>
          <w:szCs w:val="20"/>
          <w:color w:val="auto"/>
        </w:rPr>
      </w:pPr>
      <w:r>
        <w:rPr>
          <w:rFonts w:ascii="Arial" w:cs="Arial" w:eastAsia="Arial" w:hAnsi="Arial"/>
          <w:sz w:val="2"/>
          <w:szCs w:val="2"/>
          <w:color w:val="FFFFFF"/>
        </w:rPr>
        <w:t>“Who wins the battle for TICC Capital or what</w:t>
      </w:r>
      <w:r>
        <w:rPr>
          <w:rFonts w:ascii="Arial" w:cs="Arial" w:eastAsia="Arial" w:hAnsi="Arial"/>
          <w:sz w:val="4"/>
          <w:szCs w:val="4"/>
          <w:color w:val="FFFFFF"/>
          <w:vertAlign w:val="superscript"/>
        </w:rPr>
        <w:t>make</w:t>
      </w:r>
      <w:r>
        <w:rPr>
          <w:rFonts w:ascii="Arial" w:cs="Arial" w:eastAsia="Arial" w:hAnsi="Arial"/>
          <w:sz w:val="2"/>
          <w:szCs w:val="2"/>
          <w:color w:val="FFFFFF"/>
        </w:rPr>
        <w:t xml:space="preserve"> fair price for the BDC is remains in question. One thing is clear; investors lured by the promise of high yields should tread carefully. It turns out some companies</w:t>
      </w:r>
    </w:p>
    <w:p>
      <w:pPr>
        <w:spacing w:after="0"/>
        <w:tabs>
          <w:tab w:leader="none" w:pos="2680" w:val="left"/>
        </w:tabs>
        <w:rPr>
          <w:sz w:val="20"/>
          <w:szCs w:val="20"/>
          <w:color w:val="auto"/>
        </w:rPr>
      </w:pPr>
      <w:r>
        <w:rPr>
          <w:rFonts w:ascii="Arial" w:cs="Arial" w:eastAsia="Arial" w:hAnsi="Arial"/>
          <w:sz w:val="14"/>
          <w:szCs w:val="14"/>
          <w:color w:val="FFFFFF"/>
        </w:rPr>
        <w:t>are reaching into investors’ own pockets to</w:t>
      </w:r>
      <w:r>
        <w:rPr>
          <w:sz w:val="20"/>
          <w:szCs w:val="20"/>
          <w:color w:val="auto"/>
        </w:rPr>
        <w:tab/>
      </w:r>
      <w:r>
        <w:rPr>
          <w:rFonts w:ascii="Arial" w:cs="Arial" w:eastAsia="Arial" w:hAnsi="Arial"/>
          <w:sz w:val="12"/>
          <w:szCs w:val="12"/>
          <w:color w:val="FFFFFF"/>
        </w:rPr>
        <w:t>fat dividend payments.”</w:t>
      </w:r>
    </w:p>
    <w:p>
      <w:pPr>
        <w:sectPr>
          <w:pgSz w:w="11900" w:h="16838" w:orient="portrait"/>
          <w:cols w:equalWidth="0" w:num="1">
            <w:col w:w="11400"/>
          </w:cols>
          <w:pgMar w:left="240" w:top="1440" w:right="25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50939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1865" cy="509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gridSpan w:val="3"/>
          </w:tcPr>
          <w:p>
            <w:pPr>
              <w:spacing w:after="0"/>
              <w:rPr>
                <w:sz w:val="20"/>
                <w:szCs w:val="20"/>
                <w:color w:val="auto"/>
              </w:rPr>
            </w:pPr>
            <w:r>
              <w:rPr>
                <w:rFonts w:ascii="Arial" w:cs="Arial" w:eastAsia="Arial" w:hAnsi="Arial"/>
                <w:sz w:val="14"/>
                <w:szCs w:val="14"/>
                <w:color w:val="FFFFFF"/>
                <w:w w:val="97"/>
              </w:rPr>
              <w:t>Top 5 TICC stockholder Muzinich &amp; Co. letter to TICC Board of Directors – September 25, 2015</w:t>
            </w:r>
          </w:p>
        </w:tc>
        <w:tc>
          <w:tcPr>
            <w:tcW w:w="22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640" w:type="dxa"/>
            <w:vAlign w:val="bottom"/>
            <w:gridSpan w:val="2"/>
          </w:tcPr>
          <w:p>
            <w:pPr>
              <w:spacing w:after="0"/>
              <w:rPr>
                <w:sz w:val="20"/>
                <w:szCs w:val="20"/>
                <w:color w:val="auto"/>
              </w:rPr>
            </w:pPr>
            <w:r>
              <w:rPr>
                <w:rFonts w:ascii="Arial" w:cs="Arial" w:eastAsia="Arial" w:hAnsi="Arial"/>
                <w:sz w:val="3"/>
                <w:szCs w:val="3"/>
                <w:color w:val="FFFFFF"/>
              </w:rPr>
              <w:t>“W were surprised when the [TICC] Special</w:t>
            </w:r>
          </w:p>
        </w:tc>
        <w:tc>
          <w:tcPr>
            <w:tcW w:w="8760" w:type="dxa"/>
            <w:vAlign w:val="bottom"/>
            <w:gridSpan w:val="3"/>
          </w:tcPr>
          <w:p>
            <w:pPr>
              <w:ind w:left="480"/>
              <w:spacing w:after="0"/>
              <w:rPr>
                <w:sz w:val="20"/>
                <w:szCs w:val="20"/>
                <w:color w:val="auto"/>
              </w:rPr>
            </w:pPr>
            <w:r>
              <w:rPr>
                <w:rFonts w:ascii="Arial" w:cs="Arial" w:eastAsia="Arial" w:hAnsi="Arial"/>
                <w:sz w:val="3"/>
                <w:szCs w:val="3"/>
                <w:color w:val="FFFFFF"/>
              </w:rPr>
              <w:t>released a statement on September 21, 2015 reaffirming its initial position and, we believe, premature decision to pursue the Benefit Street Partners’</w:t>
            </w:r>
          </w:p>
        </w:tc>
        <w:tc>
          <w:tcPr>
            <w:tcW w:w="0" w:type="dxa"/>
            <w:vAlign w:val="bottom"/>
          </w:tcPr>
          <w:p>
            <w:pPr>
              <w:spacing w:after="0"/>
              <w:rPr>
                <w:sz w:val="1"/>
                <w:szCs w:val="1"/>
                <w:color w:val="auto"/>
              </w:rPr>
            </w:pP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(“Benefit Street”) offer</w:t>
            </w:r>
          </w:p>
        </w:tc>
        <w:tc>
          <w:tcPr>
            <w:tcW w:w="6600" w:type="dxa"/>
            <w:vAlign w:val="bottom"/>
            <w:gridSpan w:val="3"/>
          </w:tcPr>
          <w:p>
            <w:pPr>
              <w:ind w:left="140"/>
              <w:spacing w:after="0"/>
              <w:rPr>
                <w:sz w:val="20"/>
                <w:szCs w:val="20"/>
                <w:color w:val="auto"/>
              </w:rPr>
            </w:pPr>
            <w:r>
              <w:rPr>
                <w:rFonts w:ascii="Arial" w:cs="Arial" w:eastAsia="Arial" w:hAnsi="Arial"/>
                <w:sz w:val="3"/>
                <w:szCs w:val="3"/>
                <w:color w:val="FFFFFF"/>
              </w:rPr>
              <w:t>competing offers.CommitteeWbelieve, based on public disclosure, this decision was made without the benefit of appropriate</w:t>
            </w:r>
          </w:p>
        </w:tc>
        <w:tc>
          <w:tcPr>
            <w:tcW w:w="3380" w:type="dxa"/>
            <w:vAlign w:val="bottom"/>
          </w:tcPr>
          <w:p>
            <w:pPr>
              <w:ind w:left="200"/>
              <w:spacing w:after="0"/>
              <w:rPr>
                <w:sz w:val="20"/>
                <w:szCs w:val="20"/>
                <w:color w:val="auto"/>
              </w:rPr>
            </w:pPr>
            <w:r>
              <w:rPr>
                <w:rFonts w:ascii="Arial" w:cs="Arial" w:eastAsia="Arial" w:hAnsi="Arial"/>
                <w:sz w:val="3"/>
                <w:szCs w:val="3"/>
                <w:color w:val="FFFFFF"/>
              </w:rPr>
              <w:t>and necessary deliberation, especially as the Benefit Street</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offer does not expire. Woverwere further disappointed by the letter from the Special Committee to stockholders of September 24, 2015, again rejectingadvicecompeting offer without due consideration or process.”</w:t>
            </w:r>
          </w:p>
        </w:tc>
        <w:tc>
          <w:tcPr>
            <w:tcW w:w="0" w:type="dxa"/>
            <w:vAlign w:val="bottom"/>
          </w:tcPr>
          <w:p>
            <w:pPr>
              <w:spacing w:after="0"/>
              <w:rPr>
                <w:sz w:val="1"/>
                <w:szCs w:val="1"/>
                <w:color w:val="auto"/>
              </w:rPr>
            </w:pPr>
          </w:p>
        </w:tc>
      </w:tr>
      <w:tr>
        <w:trPr>
          <w:trHeight w:val="41"/>
        </w:trPr>
        <w:tc>
          <w:tcPr>
            <w:tcW w:w="5800" w:type="dxa"/>
            <w:vAlign w:val="bottom"/>
            <w:gridSpan w:val="3"/>
          </w:tcPr>
          <w:p>
            <w:pPr>
              <w:spacing w:after="0"/>
              <w:rPr>
                <w:sz w:val="20"/>
                <w:szCs w:val="20"/>
                <w:color w:val="auto"/>
              </w:rPr>
            </w:pPr>
            <w:r>
              <w:rPr>
                <w:rFonts w:ascii="Arial" w:cs="Arial" w:eastAsia="Arial" w:hAnsi="Arial"/>
                <w:sz w:val="3"/>
                <w:szCs w:val="3"/>
                <w:color w:val="FFFFFF"/>
              </w:rPr>
              <w:t>Wells Fargo Securities Research report – September 22, 2015</w:t>
            </w:r>
          </w:p>
        </w:tc>
        <w:tc>
          <w:tcPr>
            <w:tcW w:w="2220" w:type="dxa"/>
            <w:vAlign w:val="bottom"/>
          </w:tcPr>
          <w:p>
            <w:pPr>
              <w:spacing w:after="0"/>
              <w:rPr>
                <w:sz w:val="3"/>
                <w:szCs w:val="3"/>
                <w:color w:val="auto"/>
              </w:rPr>
            </w:pPr>
          </w:p>
        </w:tc>
        <w:tc>
          <w:tcPr>
            <w:tcW w:w="3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“Unfortunately for TICC shareholders, as we examine TICC’s collateral (which is nearly void of real proprietary transactions), we find that investors have been paying nearly 6x the normal fee that should be</w:t>
            </w:r>
          </w:p>
        </w:tc>
        <w:tc>
          <w:tcPr>
            <w:tcW w:w="0" w:type="dxa"/>
            <w:vAlign w:val="bottom"/>
          </w:tcPr>
          <w:p>
            <w:pPr>
              <w:spacing w:after="0"/>
              <w:rPr>
                <w:sz w:val="1"/>
                <w:szCs w:val="1"/>
                <w:color w:val="auto"/>
              </w:rPr>
            </w:pPr>
          </w:p>
        </w:tc>
      </w:tr>
      <w:tr>
        <w:trPr>
          <w:trHeight w:val="41"/>
        </w:trPr>
        <w:tc>
          <w:tcPr>
            <w:tcW w:w="5800" w:type="dxa"/>
            <w:vAlign w:val="bottom"/>
            <w:gridSpan w:val="3"/>
          </w:tcPr>
          <w:p>
            <w:pPr>
              <w:spacing w:after="0"/>
              <w:rPr>
                <w:sz w:val="20"/>
                <w:szCs w:val="20"/>
                <w:color w:val="auto"/>
              </w:rPr>
            </w:pPr>
            <w:r>
              <w:rPr>
                <w:rFonts w:ascii="Arial" w:cs="Arial" w:eastAsia="Arial" w:hAnsi="Arial"/>
                <w:sz w:val="3"/>
                <w:szCs w:val="3"/>
                <w:color w:val="FFFFFF"/>
              </w:rPr>
              <w:t>charged on these large/liquid/BSL (broadly syndicated loan) type assets.”</w:t>
            </w:r>
          </w:p>
        </w:tc>
        <w:tc>
          <w:tcPr>
            <w:tcW w:w="2220" w:type="dxa"/>
            <w:vAlign w:val="bottom"/>
            <w:vMerge w:val="restart"/>
          </w:tcPr>
          <w:p>
            <w:pPr>
              <w:ind w:left="40"/>
              <w:spacing w:after="0" w:line="81" w:lineRule="exact"/>
              <w:rPr>
                <w:sz w:val="20"/>
                <w:szCs w:val="20"/>
                <w:color w:val="auto"/>
              </w:rPr>
            </w:pPr>
            <w:r>
              <w:rPr>
                <w:rFonts w:ascii="Arial" w:cs="Arial" w:eastAsia="Arial" w:hAnsi="Arial"/>
                <w:sz w:val="9"/>
                <w:szCs w:val="9"/>
                <w:color w:val="FFFFFF"/>
              </w:rPr>
              <w:t>– September 21, 2015</w:t>
            </w:r>
          </w:p>
        </w:tc>
        <w:tc>
          <w:tcPr>
            <w:tcW w:w="3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800" w:type="dxa"/>
            <w:vAlign w:val="bottom"/>
            <w:gridSpan w:val="3"/>
          </w:tcPr>
          <w:p>
            <w:pPr>
              <w:spacing w:after="0"/>
              <w:rPr>
                <w:sz w:val="20"/>
                <w:szCs w:val="20"/>
                <w:color w:val="auto"/>
              </w:rPr>
            </w:pPr>
            <w:r>
              <w:rPr>
                <w:rFonts w:ascii="Arial" w:cs="Arial" w:eastAsia="Arial" w:hAnsi="Arial"/>
                <w:sz w:val="3"/>
                <w:szCs w:val="3"/>
                <w:color w:val="FFFFFF"/>
              </w:rPr>
              <w:t>One of the largest TICC stockholders, Raging Capital Management, LLC letter to TICC Board of</w:t>
            </w:r>
          </w:p>
        </w:tc>
        <w:tc>
          <w:tcPr>
            <w:tcW w:w="2220" w:type="dxa"/>
            <w:vAlign w:val="bottom"/>
            <w:vMerge w:val="continue"/>
          </w:tcPr>
          <w:p>
            <w:pPr>
              <w:spacing w:after="0"/>
              <w:rPr>
                <w:sz w:val="3"/>
                <w:szCs w:val="3"/>
                <w:color w:val="auto"/>
              </w:rPr>
            </w:pPr>
          </w:p>
        </w:tc>
        <w:tc>
          <w:tcPr>
            <w:tcW w:w="3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“Now, we want to ensure that the TICC Board is acting in accordance with its fiduciary obligations…DirectorsWfind ourselves at a critical juncture in TICC’s history where the Board’s decisions and actions over the</w:t>
            </w:r>
          </w:p>
        </w:tc>
        <w:tc>
          <w:tcPr>
            <w:tcW w:w="0" w:type="dxa"/>
            <w:vAlign w:val="bottom"/>
          </w:tcPr>
          <w:p>
            <w:pPr>
              <w:spacing w:after="0"/>
              <w:rPr>
                <w:sz w:val="1"/>
                <w:szCs w:val="1"/>
                <w:color w:val="auto"/>
              </w:rPr>
            </w:pPr>
          </w:p>
        </w:tc>
      </w:tr>
      <w:tr>
        <w:trPr>
          <w:trHeight w:val="41"/>
        </w:trPr>
        <w:tc>
          <w:tcPr>
            <w:tcW w:w="5800" w:type="dxa"/>
            <w:vAlign w:val="bottom"/>
            <w:gridSpan w:val="3"/>
          </w:tcPr>
          <w:p>
            <w:pPr>
              <w:spacing w:after="0"/>
              <w:rPr>
                <w:sz w:val="20"/>
                <w:szCs w:val="20"/>
                <w:color w:val="auto"/>
              </w:rPr>
            </w:pPr>
            <w:r>
              <w:rPr>
                <w:rFonts w:ascii="Arial" w:cs="Arial" w:eastAsia="Arial" w:hAnsi="Arial"/>
                <w:sz w:val="3"/>
                <w:szCs w:val="3"/>
                <w:color w:val="FFFFFF"/>
              </w:rPr>
              <w:t>next few weeks will have significant ramifications to stockholders.”</w:t>
            </w:r>
          </w:p>
        </w:tc>
        <w:tc>
          <w:tcPr>
            <w:tcW w:w="2220" w:type="dxa"/>
            <w:vAlign w:val="bottom"/>
          </w:tcPr>
          <w:p>
            <w:pPr>
              <w:spacing w:after="0"/>
              <w:rPr>
                <w:sz w:val="3"/>
                <w:szCs w:val="3"/>
                <w:color w:val="auto"/>
              </w:rPr>
            </w:pPr>
          </w:p>
        </w:tc>
        <w:tc>
          <w:tcPr>
            <w:tcW w:w="3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800" w:type="dxa"/>
            <w:vAlign w:val="bottom"/>
            <w:gridSpan w:val="3"/>
          </w:tcPr>
          <w:p>
            <w:pPr>
              <w:spacing w:after="0"/>
              <w:rPr>
                <w:sz w:val="20"/>
                <w:szCs w:val="20"/>
                <w:color w:val="auto"/>
              </w:rPr>
            </w:pPr>
            <w:r>
              <w:rPr>
                <w:rFonts w:ascii="Arial" w:cs="Arial" w:eastAsia="Arial" w:hAnsi="Arial"/>
                <w:sz w:val="3"/>
                <w:szCs w:val="3"/>
                <w:color w:val="FFFFFF"/>
              </w:rPr>
              <w:t>JMP Securities Research report – September 17, 2015</w:t>
            </w:r>
          </w:p>
        </w:tc>
        <w:tc>
          <w:tcPr>
            <w:tcW w:w="2220" w:type="dxa"/>
            <w:vAlign w:val="bottom"/>
          </w:tcPr>
          <w:p>
            <w:pPr>
              <w:spacing w:after="0"/>
              <w:rPr>
                <w:sz w:val="3"/>
                <w:szCs w:val="3"/>
                <w:color w:val="auto"/>
              </w:rPr>
            </w:pPr>
          </w:p>
        </w:tc>
        <w:tc>
          <w:tcPr>
            <w:tcW w:w="3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“[W]e believe the action taken by [TSLX] management highlights our favorable perception of the company’s leading governance practices and focus on creating shareholder value.”</w:t>
            </w:r>
          </w:p>
        </w:tc>
        <w:tc>
          <w:tcPr>
            <w:tcW w:w="0" w:type="dxa"/>
            <w:vAlign w:val="bottom"/>
          </w:tcPr>
          <w:p>
            <w:pPr>
              <w:spacing w:after="0"/>
              <w:rPr>
                <w:sz w:val="1"/>
                <w:szCs w:val="1"/>
                <w:color w:val="auto"/>
              </w:rPr>
            </w:pPr>
          </w:p>
        </w:tc>
      </w:tr>
      <w:tr>
        <w:trPr>
          <w:trHeight w:val="41"/>
        </w:trPr>
        <w:tc>
          <w:tcPr>
            <w:tcW w:w="5800" w:type="dxa"/>
            <w:vAlign w:val="bottom"/>
            <w:gridSpan w:val="3"/>
          </w:tcPr>
          <w:p>
            <w:pPr>
              <w:spacing w:after="0"/>
              <w:rPr>
                <w:sz w:val="20"/>
                <w:szCs w:val="20"/>
                <w:color w:val="auto"/>
              </w:rPr>
            </w:pPr>
            <w:r>
              <w:rPr>
                <w:rFonts w:ascii="Arial" w:cs="Arial" w:eastAsia="Arial" w:hAnsi="Arial"/>
                <w:sz w:val="3"/>
                <w:szCs w:val="3"/>
                <w:color w:val="FFFFFF"/>
              </w:rPr>
              <w:t>Keefe, Bruyette &amp; Woods Securities Research report – September 16, 2015</w:t>
            </w:r>
          </w:p>
        </w:tc>
        <w:tc>
          <w:tcPr>
            <w:tcW w:w="5600" w:type="dxa"/>
            <w:vAlign w:val="bottom"/>
            <w:gridSpan w:val="2"/>
            <w:vMerge w:val="restart"/>
          </w:tcPr>
          <w:p>
            <w:pPr>
              <w:ind w:left="40"/>
              <w:spacing w:after="0"/>
              <w:rPr>
                <w:sz w:val="20"/>
                <w:szCs w:val="20"/>
                <w:color w:val="auto"/>
              </w:rPr>
            </w:pPr>
            <w:r>
              <w:rPr>
                <w:rFonts w:ascii="Arial" w:cs="Arial" w:eastAsia="Arial" w:hAnsi="Arial"/>
                <w:sz w:val="3"/>
                <w:szCs w:val="3"/>
                <w:color w:val="FFFFFF"/>
              </w:rPr>
              <w:t>have been talking about a dividend cut for over a year now…Now TSLX provides an interesting offer</w:t>
            </w:r>
          </w:p>
        </w:tc>
        <w:tc>
          <w:tcPr>
            <w:tcW w:w="0" w:type="dxa"/>
            <w:vAlign w:val="bottom"/>
          </w:tcPr>
          <w:p>
            <w:pPr>
              <w:spacing w:after="0"/>
              <w:rPr>
                <w:sz w:val="1"/>
                <w:szCs w:val="1"/>
                <w:color w:val="auto"/>
              </w:rPr>
            </w:pPr>
          </w:p>
        </w:tc>
      </w:tr>
      <w:tr>
        <w:trPr>
          <w:trHeight w:val="0"/>
        </w:trPr>
        <w:tc>
          <w:tcPr>
            <w:tcW w:w="2640" w:type="dxa"/>
            <w:vAlign w:val="bottom"/>
            <w:gridSpan w:val="2"/>
          </w:tcPr>
          <w:p>
            <w:pPr>
              <w:spacing w:after="0" w:line="80" w:lineRule="exact"/>
              <w:rPr>
                <w:sz w:val="20"/>
                <w:szCs w:val="20"/>
                <w:color w:val="auto"/>
              </w:rPr>
            </w:pPr>
            <w:r>
              <w:rPr>
                <w:rFonts w:ascii="Arial" w:cs="Arial" w:eastAsia="Arial" w:hAnsi="Arial"/>
                <w:sz w:val="9"/>
                <w:szCs w:val="9"/>
                <w:color w:val="FFFFFF"/>
              </w:rPr>
              <w:t>“The $0.29 [TICC] dividend is not sustainable,</w:t>
            </w:r>
          </w:p>
        </w:tc>
        <w:tc>
          <w:tcPr>
            <w:tcW w:w="3160" w:type="dxa"/>
            <w:vAlign w:val="bottom"/>
          </w:tcPr>
          <w:p>
            <w:pPr>
              <w:ind w:left="80"/>
              <w:spacing w:after="0" w:line="80" w:lineRule="exact"/>
              <w:rPr>
                <w:sz w:val="20"/>
                <w:szCs w:val="20"/>
                <w:color w:val="auto"/>
              </w:rPr>
            </w:pPr>
            <w:r>
              <w:rPr>
                <w:rFonts w:ascii="Arial" w:cs="Arial" w:eastAsia="Arial" w:hAnsi="Arial"/>
                <w:sz w:val="9"/>
                <w:szCs w:val="9"/>
                <w:color w:val="FFFFFF"/>
              </w:rPr>
              <w:t>d  e expect it will be cut regardless of what happens. W</w:t>
            </w:r>
          </w:p>
        </w:tc>
        <w:tc>
          <w:tcPr>
            <w:tcW w:w="5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and the [TICC] Board rejects it without negotiating with TSLX. As the title of our note implies, we are questioning whether the [TICC] Board is really doing all they can to maximize shareholder value.”</w:t>
      </w:r>
    </w:p>
    <w:p>
      <w:pPr>
        <w:sectPr>
          <w:pgSz w:w="11900" w:h="16838" w:orient="portrait"/>
          <w:cols w:equalWidth="0" w:num="1">
            <w:col w:w="11400"/>
          </w:cols>
          <w:pgMar w:left="240" w:top="1440" w:right="25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3944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1865" cy="394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FFFFFF"/>
        </w:rPr>
        <w:t>Ladenburg Thalmann Securities Research report – September 16, 2015</w:t>
      </w:r>
    </w:p>
    <w:p>
      <w:pPr>
        <w:ind w:right="260"/>
        <w:spacing w:after="0" w:line="187" w:lineRule="auto"/>
        <w:rPr>
          <w:sz w:val="20"/>
          <w:szCs w:val="20"/>
          <w:color w:val="auto"/>
        </w:rPr>
      </w:pPr>
      <w:r>
        <w:rPr>
          <w:rFonts w:ascii="Arial" w:cs="Arial" w:eastAsia="Arial" w:hAnsi="Arial"/>
          <w:sz w:val="9"/>
          <w:szCs w:val="9"/>
          <w:color w:val="FFFFFF"/>
        </w:rPr>
        <w:t>“As part of TPG, TICC shareholders would benefit from access to its broad platform including a direct origination team. Over the last year TSLX has outperformed our BDC index by about 12% and [outperformed] TICC by about 24% on a total return basis.”</w:t>
      </w:r>
    </w:p>
    <w:p>
      <w:pPr>
        <w:spacing w:after="0"/>
        <w:rPr>
          <w:sz w:val="20"/>
          <w:szCs w:val="20"/>
          <w:color w:val="auto"/>
        </w:rPr>
      </w:pPr>
      <w:r>
        <w:rPr>
          <w:rFonts w:ascii="Arial" w:cs="Arial" w:eastAsia="Arial" w:hAnsi="Arial"/>
          <w:sz w:val="3"/>
          <w:szCs w:val="3"/>
          <w:color w:val="FFFFFF"/>
        </w:rPr>
        <w:t>Cantor Fitzgerald – September 16, 2015</w:t>
      </w:r>
    </w:p>
    <w:p>
      <w:pPr>
        <w:spacing w:after="0" w:line="194" w:lineRule="auto"/>
        <w:rPr>
          <w:sz w:val="20"/>
          <w:szCs w:val="20"/>
          <w:color w:val="auto"/>
        </w:rPr>
      </w:pPr>
      <w:r>
        <w:rPr>
          <w:rFonts w:ascii="Arial" w:cs="Arial" w:eastAsia="Arial" w:hAnsi="Arial"/>
          <w:sz w:val="3"/>
          <w:szCs w:val="3"/>
          <w:color w:val="FFFFFF"/>
        </w:rPr>
        <w:t>“TSLX trumped [BSP’s] offer, in our view, by presenting TICC’s board with a proposal that would provide</w:t>
      </w:r>
      <w:r>
        <w:rPr>
          <w:rFonts w:ascii="Arial" w:cs="Arial" w:eastAsia="Arial" w:hAnsi="Arial"/>
          <w:sz w:val="5"/>
          <w:szCs w:val="5"/>
          <w:color w:val="FFFFFF"/>
          <w:vertAlign w:val="subscript"/>
        </w:rPr>
        <w:t>narrower</w:t>
      </w:r>
      <w:r>
        <w:rPr>
          <w:rFonts w:ascii="Arial" w:cs="Arial" w:eastAsia="Arial" w:hAnsi="Arial"/>
          <w:sz w:val="3"/>
          <w:szCs w:val="3"/>
          <w:color w:val="FFFFFF"/>
        </w:rPr>
        <w:t>20% premium to TICC shareholders.”1</w:t>
      </w:r>
    </w:p>
    <w:p>
      <w:pPr>
        <w:ind w:right="1020"/>
        <w:spacing w:after="0" w:line="187" w:lineRule="auto"/>
        <w:rPr>
          <w:sz w:val="20"/>
          <w:szCs w:val="20"/>
          <w:color w:val="auto"/>
        </w:rPr>
      </w:pPr>
      <w:r>
        <w:rPr>
          <w:rFonts w:ascii="Arial" w:cs="Arial" w:eastAsia="Arial" w:hAnsi="Arial"/>
          <w:sz w:val="7"/>
          <w:szCs w:val="7"/>
          <w:color w:val="FFFFFF"/>
        </w:rPr>
        <w:t xml:space="preserve">1 For reference, the TSLX Proposal represents a 12.8% discount to TICC’s NAV as of June 30, 2015, a discount than the price at which the shares have traded since June 30th. </w:t>
      </w:r>
      <w:r>
        <w:rPr>
          <w:rFonts w:ascii="Arial" w:cs="Arial" w:eastAsia="Arial" w:hAnsi="Arial"/>
          <w:sz w:val="9"/>
          <w:szCs w:val="9"/>
          <w:color w:val="FFFFFF"/>
          <w:vertAlign w:val="subscript"/>
        </w:rPr>
        <w:t>Keefe,</w:t>
      </w:r>
      <w:r>
        <w:rPr>
          <w:rFonts w:ascii="Arial" w:cs="Arial" w:eastAsia="Arial" w:hAnsi="Arial"/>
          <w:sz w:val="7"/>
          <w:szCs w:val="7"/>
          <w:color w:val="FFFFFF"/>
        </w:rPr>
        <w:t xml:space="preserve"> Bruyette &amp; Woods – August 31, 2015</w:t>
      </w:r>
    </w:p>
    <w:p>
      <w:pPr>
        <w:spacing w:after="0" w:line="188" w:lineRule="auto"/>
        <w:rPr>
          <w:sz w:val="20"/>
          <w:szCs w:val="20"/>
          <w:color w:val="auto"/>
        </w:rPr>
      </w:pPr>
      <w:r>
        <w:rPr>
          <w:rFonts w:ascii="Arial" w:cs="Arial" w:eastAsia="Arial" w:hAnsi="Arial"/>
          <w:sz w:val="7"/>
          <w:szCs w:val="7"/>
          <w:color w:val="FFFFFF"/>
        </w:rPr>
        <w:t>“W fail to see how the</w:t>
      </w:r>
      <w:r>
        <w:rPr>
          <w:rFonts w:ascii="Arial" w:cs="Arial" w:eastAsia="Arial" w:hAnsi="Arial"/>
          <w:sz w:val="9"/>
          <w:szCs w:val="9"/>
          <w:color w:val="FFFFFF"/>
          <w:vertAlign w:val="subscript"/>
        </w:rPr>
        <w:t>sector</w:t>
      </w:r>
      <w:r>
        <w:rPr>
          <w:rFonts w:ascii="Arial" w:cs="Arial" w:eastAsia="Arial" w:hAnsi="Arial"/>
          <w:sz w:val="7"/>
          <w:szCs w:val="7"/>
          <w:color w:val="FFFFFF"/>
        </w:rPr>
        <w:t>board of directors at TICC can fulfill their legal fiduciary responsibility to TICC shareholders and not [meaningfully] explore the potential for a transaction with an existing quality</w:t>
      </w:r>
    </w:p>
    <w:p>
      <w:pPr>
        <w:spacing w:after="0" w:line="209" w:lineRule="auto"/>
        <w:tabs>
          <w:tab w:leader="none" w:pos="1460" w:val="left"/>
        </w:tabs>
        <w:rPr>
          <w:sz w:val="20"/>
          <w:szCs w:val="20"/>
          <w:color w:val="auto"/>
        </w:rPr>
      </w:pPr>
      <w:r>
        <w:rPr>
          <w:rFonts w:ascii="Arial" w:cs="Arial" w:eastAsia="Arial" w:hAnsi="Arial"/>
          <w:sz w:val="10"/>
          <w:szCs w:val="10"/>
          <w:color w:val="FFFFFF"/>
        </w:rPr>
        <w:t>Copyrightmanagerin2016.theBDC</w:t>
      </w:r>
      <w:r>
        <w:rPr>
          <w:sz w:val="20"/>
          <w:szCs w:val="20"/>
          <w:color w:val="auto"/>
        </w:rPr>
        <w:tab/>
      </w:r>
      <w:r>
        <w:rPr>
          <w:rFonts w:ascii="Arial" w:cs="Arial" w:eastAsia="Arial" w:hAnsi="Arial"/>
          <w:sz w:val="12"/>
          <w:szCs w:val="12"/>
          <w:color w:val="FFFFFF"/>
        </w:rPr>
        <w:t>.”</w:t>
      </w:r>
    </w:p>
    <w:p>
      <w:pPr>
        <w:sectPr>
          <w:pgSz w:w="11900" w:h="16838" w:orient="portrait"/>
          <w:cols w:equalWidth="0" w:num="1">
            <w:col w:w="11000"/>
          </w:cols>
          <w:pgMar w:left="240" w:top="1440" w:right="65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5008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1865" cy="5008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FFFFFF"/>
        </w:rPr>
        <w:t>TPGNewsSpecialty&amp;FilingsLending</w:t>
      </w:r>
    </w:p>
    <w:p>
      <w:pPr>
        <w:spacing w:after="0" w:line="211" w:lineRule="auto"/>
        <w:rPr>
          <w:sz w:val="20"/>
          <w:szCs w:val="20"/>
          <w:color w:val="auto"/>
        </w:rPr>
      </w:pPr>
      <w:r>
        <w:rPr>
          <w:rFonts w:ascii="Arial" w:cs="Arial" w:eastAsia="Arial" w:hAnsi="Arial"/>
          <w:sz w:val="2"/>
          <w:szCs w:val="2"/>
          <w:color w:val="FFFFFF"/>
        </w:rPr>
        <w:t>N</w:t>
      </w:r>
      <w:r>
        <w:rPr>
          <w:rFonts w:ascii="Arial" w:cs="Arial" w:eastAsia="Arial" w:hAnsi="Arial"/>
          <w:sz w:val="4"/>
          <w:szCs w:val="4"/>
          <w:color w:val="FFFFFF"/>
          <w:vertAlign w:val="subscript"/>
        </w:rPr>
        <w:t>How</w:t>
      </w:r>
      <w:r>
        <w:rPr>
          <w:rFonts w:ascii="Arial" w:cs="Arial" w:eastAsia="Arial" w:hAnsi="Arial"/>
          <w:sz w:val="2"/>
          <w:szCs w:val="2"/>
          <w:color w:val="FFFFFF"/>
        </w:rPr>
        <w:t>Presentationsminee</w:t>
      </w:r>
    </w:p>
    <w:p>
      <w:pPr>
        <w:ind w:left="300"/>
        <w:spacing w:after="0" w:line="188" w:lineRule="auto"/>
        <w:rPr>
          <w:sz w:val="20"/>
          <w:szCs w:val="20"/>
          <w:color w:val="auto"/>
        </w:rPr>
      </w:pPr>
      <w:r>
        <w:rPr>
          <w:rFonts w:ascii="Arial" w:cs="Arial" w:eastAsia="Arial" w:hAnsi="Arial"/>
          <w:sz w:val="9"/>
          <w:szCs w:val="9"/>
          <w:color w:val="FFFFFF"/>
        </w:rPr>
        <w:t>to Vote</w:t>
      </w:r>
    </w:p>
    <w:p>
      <w:pPr>
        <w:spacing w:after="0"/>
        <w:rPr>
          <w:sz w:val="20"/>
          <w:szCs w:val="20"/>
          <w:color w:val="auto"/>
        </w:rPr>
      </w:pPr>
      <w:r>
        <w:rPr>
          <w:rFonts w:ascii="Arial" w:cs="Arial" w:eastAsia="Arial" w:hAnsi="Arial"/>
          <w:sz w:val="3"/>
          <w:szCs w:val="3"/>
          <w:color w:val="FFFFFF"/>
        </w:rPr>
        <w:t>ContactAboutTPG Specialty Lending</w:t>
      </w:r>
    </w:p>
    <w:p>
      <w:pPr>
        <w:spacing w:after="0" w:line="181" w:lineRule="auto"/>
        <w:rPr>
          <w:sz w:val="20"/>
          <w:szCs w:val="20"/>
          <w:color w:val="auto"/>
        </w:rPr>
      </w:pPr>
      <w:r>
        <w:rPr>
          <w:rFonts w:ascii="Arial" w:cs="Arial" w:eastAsia="Arial" w:hAnsi="Arial"/>
          <w:sz w:val="10"/>
          <w:szCs w:val="10"/>
          <w:color w:val="FFFFFF"/>
        </w:rPr>
        <w:t>PRESENTATIONS</w:t>
      </w:r>
    </w:p>
    <w:p>
      <w:pPr>
        <w:spacing w:after="0"/>
        <w:rPr>
          <w:sz w:val="20"/>
          <w:szCs w:val="20"/>
          <w:color w:val="auto"/>
        </w:rPr>
      </w:pPr>
      <w:r>
        <w:rPr>
          <w:rFonts w:ascii="Arial" w:cs="Arial" w:eastAsia="Arial" w:hAnsi="Arial"/>
          <w:sz w:val="3"/>
          <w:szCs w:val="3"/>
          <w:color w:val="FFFFFF"/>
        </w:rPr>
        <w:t>FebruaryCommitted2016toEffecting Change and Maximizing Value for TICC Stockholders</w:t>
      </w:r>
    </w:p>
    <w:p>
      <w:pPr>
        <w:spacing w:after="0" w:line="6" w:lineRule="exact"/>
        <w:rPr>
          <w:sz w:val="20"/>
          <w:szCs w:val="20"/>
          <w:color w:val="auto"/>
        </w:rPr>
      </w:pPr>
    </w:p>
    <w:p>
      <w:pPr>
        <w:ind w:right="4859"/>
        <w:spacing w:after="0" w:line="187" w:lineRule="auto"/>
        <w:rPr>
          <w:sz w:val="20"/>
          <w:szCs w:val="20"/>
          <w:color w:val="auto"/>
        </w:rPr>
      </w:pPr>
      <w:r>
        <w:rPr>
          <w:rFonts w:ascii="Arial" w:cs="Arial" w:eastAsia="Arial" w:hAnsi="Arial"/>
          <w:sz w:val="9"/>
          <w:szCs w:val="9"/>
          <w:color w:val="FFFFFF"/>
        </w:rPr>
        <w:t>TPG Specialty Lending Proposal: The Right and Value Maximizing Choice for TICC Stockholders October 2015</w:t>
      </w:r>
    </w:p>
    <w:p>
      <w:pPr>
        <w:spacing w:after="0"/>
        <w:rPr>
          <w:sz w:val="20"/>
          <w:szCs w:val="20"/>
          <w:color w:val="auto"/>
        </w:rPr>
      </w:pPr>
      <w:r>
        <w:rPr>
          <w:rFonts w:ascii="Arial" w:cs="Arial" w:eastAsia="Arial" w:hAnsi="Arial"/>
          <w:sz w:val="14"/>
          <w:szCs w:val="14"/>
          <w:color w:val="FFFFFF"/>
        </w:rPr>
        <w:t>Copyright 2016.</w:t>
      </w:r>
    </w:p>
    <w:p>
      <w:pPr>
        <w:sectPr>
          <w:pgSz w:w="11900" w:h="16838" w:orient="portrait"/>
          <w:cols w:equalWidth="0" w:num="1">
            <w:col w:w="10219"/>
          </w:cols>
          <w:pgMar w:left="240" w:top="1440" w:right="1440"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51028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1865" cy="510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FFFFFF"/>
        </w:rPr>
        <w:t>Toggle navigation TPG Specialty Lending</w:t>
      </w:r>
    </w:p>
    <w:p>
      <w:pPr>
        <w:spacing w:after="0"/>
        <w:rPr>
          <w:sz w:val="20"/>
          <w:szCs w:val="20"/>
          <w:color w:val="auto"/>
        </w:rPr>
      </w:pPr>
      <w:r>
        <w:rPr>
          <w:rFonts w:ascii="Arial" w:cs="Arial" w:eastAsia="Arial" w:hAnsi="Arial"/>
          <w:sz w:val="3"/>
          <w:szCs w:val="3"/>
          <w:color w:val="FFFFFF"/>
        </w:rPr>
        <w:t>News &amp; Filings</w:t>
      </w:r>
    </w:p>
    <w:p>
      <w:pPr>
        <w:spacing w:after="0" w:line="181" w:lineRule="auto"/>
        <w:rPr>
          <w:sz w:val="20"/>
          <w:szCs w:val="20"/>
          <w:color w:val="auto"/>
        </w:rPr>
      </w:pPr>
      <w:r>
        <w:rPr>
          <w:rFonts w:ascii="Arial" w:cs="Arial" w:eastAsia="Arial" w:hAnsi="Arial"/>
          <w:sz w:val="10"/>
          <w:szCs w:val="10"/>
          <w:color w:val="FFFFFF"/>
        </w:rPr>
        <w:t>HowNPresentationsminee</w:t>
      </w:r>
    </w:p>
    <w:p>
      <w:pPr>
        <w:ind w:left="300"/>
        <w:spacing w:after="0"/>
        <w:rPr>
          <w:sz w:val="20"/>
          <w:szCs w:val="20"/>
          <w:color w:val="auto"/>
        </w:rPr>
      </w:pPr>
      <w:r>
        <w:rPr>
          <w:rFonts w:ascii="Arial" w:cs="Arial" w:eastAsia="Arial" w:hAnsi="Arial"/>
          <w:sz w:val="3"/>
          <w:szCs w:val="3"/>
          <w:color w:val="FFFFFF"/>
        </w:rPr>
        <w:t>to Vote</w:t>
      </w:r>
    </w:p>
    <w:p>
      <w:pPr>
        <w:spacing w:after="0" w:line="181" w:lineRule="auto"/>
        <w:rPr>
          <w:sz w:val="20"/>
          <w:szCs w:val="20"/>
          <w:color w:val="auto"/>
        </w:rPr>
      </w:pPr>
      <w:r>
        <w:rPr>
          <w:rFonts w:ascii="Arial" w:cs="Arial" w:eastAsia="Arial" w:hAnsi="Arial"/>
          <w:sz w:val="10"/>
          <w:szCs w:val="10"/>
          <w:color w:val="FFFFFF"/>
        </w:rPr>
        <w:t>ContactAboutTPG Specialty Lending</w:t>
      </w:r>
    </w:p>
    <w:p>
      <w:pPr>
        <w:spacing w:after="0"/>
        <w:rPr>
          <w:sz w:val="20"/>
          <w:szCs w:val="20"/>
          <w:color w:val="auto"/>
        </w:rPr>
      </w:pPr>
      <w:r>
        <w:rPr>
          <w:rFonts w:ascii="Arial" w:cs="Arial" w:eastAsia="Arial" w:hAnsi="Arial"/>
          <w:sz w:val="3"/>
          <w:szCs w:val="3"/>
          <w:color w:val="FFFFFF"/>
        </w:rPr>
        <w:t>NOMINEE</w:t>
      </w:r>
    </w:p>
    <w:p>
      <w:pPr>
        <w:spacing w:after="0" w:line="181" w:lineRule="auto"/>
        <w:rPr>
          <w:sz w:val="20"/>
          <w:szCs w:val="20"/>
          <w:color w:val="auto"/>
        </w:rPr>
      </w:pPr>
      <w:r>
        <w:rPr>
          <w:rFonts w:ascii="Arial" w:cs="Arial" w:eastAsia="Arial" w:hAnsi="Arial"/>
          <w:sz w:val="10"/>
          <w:szCs w:val="10"/>
          <w:color w:val="FFFFFF"/>
        </w:rPr>
        <w:t>T.PGKelleySpecialtyMilletLending’s Highly-Qualified Director Nominee</w:t>
      </w:r>
    </w:p>
    <w:p>
      <w:pPr>
        <w:spacing w:after="0" w:line="181" w:lineRule="auto"/>
        <w:rPr>
          <w:sz w:val="20"/>
          <w:szCs w:val="20"/>
          <w:color w:val="auto"/>
        </w:rPr>
      </w:pPr>
      <w:r>
        <w:rPr>
          <w:rFonts w:ascii="Arial" w:cs="Arial" w:eastAsia="Arial" w:hAnsi="Arial"/>
          <w:sz w:val="7"/>
          <w:szCs w:val="7"/>
          <w:color w:val="FFFFFF"/>
        </w:rPr>
        <w:t>currentlyMr.Millet,servesage56,on isthetheboardCEO,ofVicedirectorsChairman,ofInvestmentTreasurerTechnologyandmemberGroup,oftheInc.,boardwhereofBancaheis alsoIMI Securitiesamember Corp.,ofthe audit,providercapitalof andbankingtechnologyandbrokeragecommittees.servicesFromto 2012institutionaluntil2016,investors.Mr.MilletInaddition,served onMr.theMilletboard of The Mutual Fund Store, provider of personalized financial planning and money management services. From 2013 to 2014, Mr. Millet served as a consultant to Investment Technology Group, Inc.’s CEO and</w:t>
      </w:r>
    </w:p>
    <w:p>
      <w:pPr>
        <w:spacing w:after="0"/>
        <w:rPr>
          <w:sz w:val="20"/>
          <w:szCs w:val="20"/>
          <w:color w:val="auto"/>
        </w:rPr>
      </w:pPr>
      <w:r>
        <w:rPr>
          <w:rFonts w:ascii="Arial" w:cs="Arial" w:eastAsia="Arial" w:hAnsi="Arial"/>
          <w:sz w:val="3"/>
          <w:szCs w:val="3"/>
          <w:color w:val="FFFFFF"/>
        </w:rPr>
        <w:t>2011boarduntilofdirectors.2012,Mr.Previously,Milletwas(a)CEOfromand2012amemberuntil2013,oftheMr.boardMilletof serveddirectorsas Coofthe-President,broker-dealer,PartnerCortviewandamemberCapitalofHoldingstheboardInc.ofdirectorsand(c)fromofPierpont2006untilSecurities2011,Mr.LLC,MilletafixedservedincomeasPresidentbroker-dealer,andGlobalas(b)memberfrom of the board of directors of MarketAxess Holdings Inc. (“MarketAxess”), a publicly-traded company that operates an electronic fixed income trading platform. Prior to Mr. Millet was Head of</w:t>
      </w:r>
    </w:p>
    <w:p>
      <w:pPr>
        <w:spacing w:after="0" w:line="6" w:lineRule="exact"/>
        <w:rPr>
          <w:sz w:val="20"/>
          <w:szCs w:val="20"/>
          <w:color w:val="auto"/>
        </w:rPr>
      </w:pPr>
    </w:p>
    <w:p>
      <w:pPr>
        <w:ind w:right="160"/>
        <w:spacing w:after="0" w:line="196" w:lineRule="auto"/>
        <w:rPr>
          <w:sz w:val="20"/>
          <w:szCs w:val="20"/>
          <w:color w:val="auto"/>
        </w:rPr>
      </w:pPr>
      <w:r>
        <w:rPr>
          <w:rFonts w:ascii="Arial" w:cs="Arial" w:eastAsia="Arial" w:hAnsi="Arial"/>
          <w:sz w:val="10"/>
          <w:szCs w:val="10"/>
          <w:color w:val="FFFFFF"/>
        </w:rPr>
        <w:t>Capital Markets and Credit Trading at Bear Stearns &amp; Co. Inc. from 2001 through 2006. From 1982 to 2001, Mr. Millet held a variety of positions at JPMorgan ChaseMarketAxess,&amp;Co.which culminated in his appointment as Managing Director, Head of Global Syndicate and Capital Markets. Mr. Millet received a B.A. from Amherst College. Mr. Millet’s significant experience as senior executive coupled with his extensive financial expertise and public company board experience well qualifies him for service on the board of directors of the Company.</w:t>
      </w:r>
    </w:p>
    <w:p>
      <w:pPr>
        <w:sectPr>
          <w:pgSz w:w="11900" w:h="16838" w:orient="portrait"/>
          <w:cols w:equalWidth="0" w:num="1">
            <w:col w:w="11400"/>
          </w:cols>
          <w:pgMar w:left="240" w:top="1440" w:right="25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50685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1865" cy="506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color w:val="FFFFFF"/>
        </w:rPr>
        <w:t>TPGNewsSpecialty&amp;FilingsLending</w:t>
      </w:r>
    </w:p>
    <w:p>
      <w:pPr>
        <w:spacing w:after="0" w:line="211" w:lineRule="auto"/>
        <w:rPr>
          <w:sz w:val="20"/>
          <w:szCs w:val="20"/>
          <w:color w:val="auto"/>
        </w:rPr>
      </w:pPr>
      <w:r>
        <w:rPr>
          <w:rFonts w:ascii="Arial" w:cs="Arial" w:eastAsia="Arial" w:hAnsi="Arial"/>
          <w:sz w:val="2"/>
          <w:szCs w:val="2"/>
          <w:color w:val="FFFFFF"/>
        </w:rPr>
        <w:t>N</w:t>
      </w:r>
      <w:r>
        <w:rPr>
          <w:rFonts w:ascii="Arial" w:cs="Arial" w:eastAsia="Arial" w:hAnsi="Arial"/>
          <w:sz w:val="4"/>
          <w:szCs w:val="4"/>
          <w:color w:val="FFFFFF"/>
          <w:vertAlign w:val="subscript"/>
        </w:rPr>
        <w:t>How</w:t>
      </w:r>
      <w:r>
        <w:rPr>
          <w:rFonts w:ascii="Arial" w:cs="Arial" w:eastAsia="Arial" w:hAnsi="Arial"/>
          <w:sz w:val="2"/>
          <w:szCs w:val="2"/>
          <w:color w:val="FFFFFF"/>
        </w:rPr>
        <w:t>Presentationsminee</w:t>
      </w:r>
    </w:p>
    <w:p>
      <w:pPr>
        <w:ind w:left="300"/>
        <w:spacing w:after="0" w:line="188" w:lineRule="auto"/>
        <w:rPr>
          <w:sz w:val="20"/>
          <w:szCs w:val="20"/>
          <w:color w:val="auto"/>
        </w:rPr>
      </w:pPr>
      <w:r>
        <w:rPr>
          <w:rFonts w:ascii="Arial" w:cs="Arial" w:eastAsia="Arial" w:hAnsi="Arial"/>
          <w:sz w:val="9"/>
          <w:szCs w:val="9"/>
          <w:color w:val="FFFFFF"/>
        </w:rPr>
        <w:t>to Vote</w:t>
      </w:r>
    </w:p>
    <w:p>
      <w:pPr>
        <w:spacing w:after="0"/>
        <w:rPr>
          <w:sz w:val="20"/>
          <w:szCs w:val="20"/>
          <w:color w:val="auto"/>
        </w:rPr>
      </w:pPr>
      <w:r>
        <w:rPr>
          <w:rFonts w:ascii="Arial" w:cs="Arial" w:eastAsia="Arial" w:hAnsi="Arial"/>
          <w:sz w:val="3"/>
          <w:szCs w:val="3"/>
          <w:color w:val="FFFFFF"/>
        </w:rPr>
        <w:t>ContactAboutTPG Specialty Lending</w:t>
      </w:r>
    </w:p>
    <w:p>
      <w:pPr>
        <w:spacing w:after="0" w:line="194" w:lineRule="auto"/>
        <w:rPr>
          <w:sz w:val="20"/>
          <w:szCs w:val="20"/>
          <w:color w:val="auto"/>
        </w:rPr>
      </w:pPr>
      <w:r>
        <w:rPr>
          <w:rFonts w:ascii="Arial" w:cs="Arial" w:eastAsia="Arial" w:hAnsi="Arial"/>
          <w:sz w:val="5"/>
          <w:szCs w:val="5"/>
          <w:color w:val="FFFFFF"/>
        </w:rPr>
        <w:t>HOW TO VOTE</w:t>
      </w:r>
    </w:p>
    <w:p>
      <w:pPr>
        <w:spacing w:after="0"/>
        <w:rPr>
          <w:sz w:val="20"/>
          <w:szCs w:val="20"/>
          <w:color w:val="auto"/>
        </w:rPr>
      </w:pPr>
      <w:r>
        <w:rPr>
          <w:rFonts w:ascii="Arial" w:cs="Arial" w:eastAsia="Arial" w:hAnsi="Arial"/>
          <w:sz w:val="12"/>
          <w:szCs w:val="12"/>
          <w:color w:val="FFFFFF"/>
        </w:rPr>
        <w:t>Information on how to vote will be forthcoming.</w:t>
      </w:r>
    </w:p>
    <w:p>
      <w:pPr>
        <w:sectPr>
          <w:pgSz w:w="11900" w:h="16838" w:orient="portrait"/>
          <w:cols w:equalWidth="0" w:num="1">
            <w:col w:w="10219"/>
          </w:cols>
          <w:pgMar w:left="240" w:top="1440" w:right="1440"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46907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1865" cy="469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FFFFFF"/>
        </w:rPr>
        <w:t>TPG</w:t>
      </w:r>
    </w:p>
    <w:p>
      <w:pPr>
        <w:spacing w:after="0" w:line="187" w:lineRule="auto"/>
        <w:rPr>
          <w:sz w:val="20"/>
          <w:szCs w:val="20"/>
          <w:color w:val="auto"/>
        </w:rPr>
      </w:pPr>
      <w:r>
        <w:rPr>
          <w:rFonts w:ascii="Arial" w:cs="Arial" w:eastAsia="Arial" w:hAnsi="Arial"/>
          <w:sz w:val="9"/>
          <w:szCs w:val="9"/>
          <w:color w:val="FFFFFF"/>
        </w:rPr>
        <w:t>News &amp; Filings</w:t>
      </w:r>
    </w:p>
    <w:p>
      <w:pPr>
        <w:spacing w:after="0" w:line="213" w:lineRule="auto"/>
        <w:rPr>
          <w:sz w:val="20"/>
          <w:szCs w:val="20"/>
          <w:color w:val="auto"/>
        </w:rPr>
      </w:pPr>
      <w:r>
        <w:rPr>
          <w:rFonts w:ascii="Arial" w:cs="Arial" w:eastAsia="Arial" w:hAnsi="Arial"/>
          <w:sz w:val="2"/>
          <w:szCs w:val="2"/>
          <w:color w:val="FFFFFF"/>
        </w:rPr>
        <w:t>N</w:t>
      </w:r>
      <w:r>
        <w:rPr>
          <w:rFonts w:ascii="Arial" w:cs="Arial" w:eastAsia="Arial" w:hAnsi="Arial"/>
          <w:sz w:val="4"/>
          <w:szCs w:val="4"/>
          <w:color w:val="FFFFFF"/>
          <w:vertAlign w:val="subscript"/>
        </w:rPr>
        <w:t>How</w:t>
      </w:r>
      <w:r>
        <w:rPr>
          <w:rFonts w:ascii="Arial" w:cs="Arial" w:eastAsia="Arial" w:hAnsi="Arial"/>
          <w:sz w:val="2"/>
          <w:szCs w:val="2"/>
          <w:color w:val="FFFFFF"/>
        </w:rPr>
        <w:t>Presentationsminee</w:t>
      </w:r>
    </w:p>
    <w:p>
      <w:pPr>
        <w:ind w:left="300"/>
        <w:spacing w:after="0" w:line="188" w:lineRule="auto"/>
        <w:rPr>
          <w:sz w:val="20"/>
          <w:szCs w:val="20"/>
          <w:color w:val="auto"/>
        </w:rPr>
      </w:pPr>
      <w:r>
        <w:rPr>
          <w:rFonts w:ascii="Arial" w:cs="Arial" w:eastAsia="Arial" w:hAnsi="Arial"/>
          <w:sz w:val="9"/>
          <w:szCs w:val="9"/>
          <w:color w:val="FFFFFF"/>
        </w:rPr>
        <w:t>to Vote</w:t>
      </w:r>
    </w:p>
    <w:p>
      <w:pPr>
        <w:spacing w:after="0"/>
        <w:rPr>
          <w:sz w:val="20"/>
          <w:szCs w:val="20"/>
          <w:color w:val="auto"/>
        </w:rPr>
      </w:pPr>
      <w:r>
        <w:rPr>
          <w:rFonts w:ascii="Arial" w:cs="Arial" w:eastAsia="Arial" w:hAnsi="Arial"/>
          <w:sz w:val="3"/>
          <w:szCs w:val="3"/>
          <w:color w:val="FFFFFF"/>
        </w:rPr>
        <w:t>ContactAboutTPG Specialty Lending</w:t>
      </w:r>
    </w:p>
    <w:p>
      <w:pPr>
        <w:spacing w:after="0" w:line="194" w:lineRule="auto"/>
        <w:rPr>
          <w:sz w:val="20"/>
          <w:szCs w:val="20"/>
          <w:color w:val="auto"/>
        </w:rPr>
      </w:pPr>
      <w:r>
        <w:rPr>
          <w:rFonts w:ascii="Arial" w:cs="Arial" w:eastAsia="Arial" w:hAnsi="Arial"/>
          <w:sz w:val="5"/>
          <w:szCs w:val="5"/>
          <w:color w:val="FFFFFF"/>
        </w:rPr>
        <w:t>ABOUT TPG SPECIALTY LENDING</w:t>
      </w:r>
    </w:p>
    <w:p>
      <w:pPr>
        <w:spacing w:after="0" w:line="211" w:lineRule="auto"/>
        <w:rPr>
          <w:sz w:val="20"/>
          <w:szCs w:val="20"/>
          <w:color w:val="auto"/>
        </w:rPr>
      </w:pPr>
      <w:r>
        <w:rPr>
          <w:rFonts w:ascii="Arial" w:cs="Arial" w:eastAsia="Arial" w:hAnsi="Arial"/>
          <w:sz w:val="2"/>
          <w:szCs w:val="2"/>
          <w:color w:val="FFFFFF"/>
        </w:rPr>
        <w:t>TPG Specialty Lending, Inc. (“TSLX”) (NYSE: TSLX) is a specialty finance company focused on lending</w:t>
      </w:r>
      <w:r>
        <w:rPr>
          <w:rFonts w:ascii="Arial" w:cs="Arial" w:eastAsia="Arial" w:hAnsi="Arial"/>
          <w:sz w:val="4"/>
          <w:szCs w:val="4"/>
          <w:color w:val="FFFFFF"/>
          <w:vertAlign w:val="subscript"/>
        </w:rPr>
        <w:t>management,</w:t>
      </w:r>
      <w:r>
        <w:rPr>
          <w:rFonts w:ascii="Arial" w:cs="Arial" w:eastAsia="Arial" w:hAnsi="Arial"/>
          <w:sz w:val="2"/>
          <w:szCs w:val="2"/>
          <w:color w:val="FFFFFF"/>
        </w:rPr>
        <w:t>tomiddle-market companies, primarily in the U.S. TSLX leverages the deep investment, sector, and</w:t>
      </w:r>
    </w:p>
    <w:p>
      <w:pPr>
        <w:ind w:right="100"/>
        <w:spacing w:after="0" w:line="187" w:lineRule="auto"/>
        <w:rPr>
          <w:sz w:val="20"/>
          <w:szCs w:val="20"/>
          <w:color w:val="auto"/>
        </w:rPr>
      </w:pPr>
      <w:r>
        <w:rPr>
          <w:rFonts w:ascii="Arial" w:cs="Arial" w:eastAsia="Arial" w:hAnsi="Arial"/>
          <w:sz w:val="9"/>
          <w:szCs w:val="9"/>
          <w:color w:val="FFFFFF"/>
        </w:rPr>
        <w:t>operating resources of TPG Special Situations Partners, which with over $12 billion of assets under is the dedicated special situations and credit platform of TPG, a global private investment firm with over $74 billion of assets under management.</w:t>
      </w:r>
    </w:p>
    <w:p>
      <w:pPr>
        <w:spacing w:after="0"/>
        <w:rPr>
          <w:sz w:val="20"/>
          <w:szCs w:val="20"/>
          <w:color w:val="auto"/>
        </w:rPr>
      </w:pPr>
      <w:r>
        <w:rPr>
          <w:rFonts w:ascii="Arial" w:cs="Arial" w:eastAsia="Arial" w:hAnsi="Arial"/>
          <w:sz w:val="3"/>
          <w:szCs w:val="3"/>
          <w:color w:val="FFFFFF"/>
        </w:rPr>
        <w:t>Stockholder-first Approach</w:t>
      </w:r>
    </w:p>
    <w:p>
      <w:pPr>
        <w:spacing w:after="0" w:line="194" w:lineRule="auto"/>
        <w:rPr>
          <w:sz w:val="20"/>
          <w:szCs w:val="20"/>
          <w:color w:val="auto"/>
        </w:rPr>
      </w:pPr>
      <w:r>
        <w:rPr>
          <w:rFonts w:ascii="Arial" w:cs="Arial" w:eastAsia="Arial" w:hAnsi="Arial"/>
          <w:sz w:val="3"/>
          <w:szCs w:val="3"/>
          <w:color w:val="FFFFFF"/>
        </w:rPr>
        <w:t>TSLX has achieved its suc</w:t>
      </w:r>
      <w:r>
        <w:rPr>
          <w:rFonts w:ascii="Arial" w:cs="Arial" w:eastAsia="Arial" w:hAnsi="Arial"/>
          <w:sz w:val="5"/>
          <w:szCs w:val="5"/>
          <w:color w:val="FFFFFF"/>
          <w:vertAlign w:val="subscript"/>
        </w:rPr>
        <w:t>stock</w:t>
      </w:r>
      <w:r>
        <w:rPr>
          <w:rFonts w:ascii="Arial" w:cs="Arial" w:eastAsia="Arial" w:hAnsi="Arial"/>
          <w:sz w:val="3"/>
          <w:szCs w:val="3"/>
          <w:color w:val="FFFFFF"/>
        </w:rPr>
        <w:t>ess by abiding by its core belief of putting stockholder value first. This is reflected in TSLX’</w:t>
      </w:r>
      <w:r>
        <w:rPr>
          <w:rFonts w:ascii="Arial" w:cs="Arial" w:eastAsia="Arial" w:hAnsi="Arial"/>
          <w:sz w:val="5"/>
          <w:szCs w:val="5"/>
          <w:color w:val="FFFFFF"/>
          <w:vertAlign w:val="subscript"/>
        </w:rPr>
        <w:t>business</w:t>
      </w:r>
      <w:r>
        <w:rPr>
          <w:rFonts w:ascii="Arial" w:cs="Arial" w:eastAsia="Arial" w:hAnsi="Arial"/>
          <w:sz w:val="3"/>
          <w:szCs w:val="3"/>
          <w:color w:val="FFFFFF"/>
        </w:rPr>
        <w:t>highly transparent governance, commitment to a stable, predictable dividend policy, and</w:t>
      </w:r>
    </w:p>
    <w:p>
      <w:pPr>
        <w:ind w:right="200"/>
        <w:spacing w:after="0" w:line="187" w:lineRule="auto"/>
        <w:rPr>
          <w:sz w:val="20"/>
          <w:szCs w:val="20"/>
          <w:color w:val="auto"/>
        </w:rPr>
      </w:pPr>
      <w:r>
        <w:rPr>
          <w:rFonts w:ascii="Arial" w:cs="Arial" w:eastAsia="Arial" w:hAnsi="Arial"/>
          <w:sz w:val="7"/>
          <w:szCs w:val="7"/>
          <w:color w:val="FFFFFF"/>
        </w:rPr>
        <w:t>its implementati</w:t>
      </w:r>
      <w:r>
        <w:rPr>
          <w:rFonts w:ascii="Arial" w:cs="Arial" w:eastAsia="Arial" w:hAnsi="Arial"/>
          <w:sz w:val="9"/>
          <w:szCs w:val="9"/>
          <w:color w:val="FFFFFF"/>
          <w:vertAlign w:val="subscript"/>
        </w:rPr>
        <w:t>Philosophy</w:t>
      </w:r>
      <w:r>
        <w:rPr>
          <w:rFonts w:ascii="Arial" w:cs="Arial" w:eastAsia="Arial" w:hAnsi="Arial"/>
          <w:sz w:val="7"/>
          <w:szCs w:val="7"/>
          <w:color w:val="FFFFFF"/>
        </w:rPr>
        <w:t>nof a buyback plan. As a result of this stockholder-first approach, TSLX is one of only a few development companies that are majority owned by large institutional investors. Dividend</w:t>
      </w:r>
    </w:p>
    <w:p>
      <w:pPr>
        <w:spacing w:after="0" w:line="213" w:lineRule="auto"/>
        <w:rPr>
          <w:sz w:val="20"/>
          <w:szCs w:val="20"/>
          <w:color w:val="auto"/>
        </w:rPr>
      </w:pPr>
      <w:r>
        <w:rPr>
          <w:rFonts w:ascii="Arial" w:cs="Arial" w:eastAsia="Arial" w:hAnsi="Arial"/>
          <w:sz w:val="4"/>
          <w:szCs w:val="4"/>
          <w:color w:val="FFFFFF"/>
          <w:vertAlign w:val="superscript"/>
        </w:rPr>
        <w:t>TSLX</w:t>
      </w:r>
      <w:r>
        <w:rPr>
          <w:rFonts w:ascii="Arial" w:cs="Arial" w:eastAsia="Arial" w:hAnsi="Arial"/>
          <w:sz w:val="2"/>
          <w:szCs w:val="2"/>
          <w:color w:val="FFFFFF"/>
        </w:rPr>
        <w:t xml:space="preserve"> believes that busin</w:t>
      </w:r>
      <w:r>
        <w:rPr>
          <w:rFonts w:ascii="Arial" w:cs="Arial" w:eastAsia="Arial" w:hAnsi="Arial"/>
          <w:sz w:val="4"/>
          <w:szCs w:val="4"/>
          <w:color w:val="FFFFFF"/>
          <w:vertAlign w:val="superscript"/>
        </w:rPr>
        <w:t>met</w:t>
      </w:r>
      <w:r>
        <w:rPr>
          <w:rFonts w:ascii="Arial" w:cs="Arial" w:eastAsia="Arial" w:hAnsi="Arial"/>
          <w:sz w:val="2"/>
          <w:szCs w:val="2"/>
          <w:color w:val="FFFFFF"/>
        </w:rPr>
        <w:t>ss development companies should maintain consistent divid</w:t>
      </w:r>
      <w:r>
        <w:rPr>
          <w:rFonts w:ascii="Arial" w:cs="Arial" w:eastAsia="Arial" w:hAnsi="Arial"/>
          <w:sz w:val="4"/>
          <w:szCs w:val="4"/>
          <w:color w:val="FFFFFF"/>
          <w:vertAlign w:val="superscript"/>
        </w:rPr>
        <w:t>net</w:t>
      </w:r>
      <w:r>
        <w:rPr>
          <w:rFonts w:ascii="Arial" w:cs="Arial" w:eastAsia="Arial" w:hAnsi="Arial"/>
          <w:sz w:val="2"/>
          <w:szCs w:val="2"/>
          <w:color w:val="FFFFFF"/>
        </w:rPr>
        <w:t>nds that are well covered by net investment income. Put simply, companies should only pay dividends that they can afford.</w:t>
      </w:r>
    </w:p>
    <w:p>
      <w:pPr>
        <w:ind w:right="20" w:firstLine="371"/>
        <w:spacing w:after="0" w:line="190" w:lineRule="auto"/>
        <w:rPr>
          <w:sz w:val="20"/>
          <w:szCs w:val="20"/>
          <w:color w:val="auto"/>
        </w:rPr>
      </w:pPr>
      <w:r>
        <w:rPr>
          <w:rFonts w:ascii="Arial" w:cs="Arial" w:eastAsia="Arial" w:hAnsi="Arial"/>
          <w:sz w:val="11"/>
          <w:szCs w:val="11"/>
          <w:color w:val="FFFFFF"/>
        </w:rPr>
        <w:t>is proud to have these expectations as it has over-earned its dividend on a investment income per share basis (including realized gains in 2012) every year since the commencement of its investing activities in July 2011 (prior to March 2014, TSLX was a privately-held business development company that did not have publicly traded or listed shares).</w:t>
      </w:r>
    </w:p>
    <w:p>
      <w:pPr>
        <w:sectPr>
          <w:pgSz w:w="11900" w:h="16838" w:orient="portrait"/>
          <w:cols w:equalWidth="0" w:num="1">
            <w:col w:w="11380"/>
          </w:cols>
          <w:pgMar w:left="240" w:top="1440" w:right="27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21183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1865" cy="211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20"/>
                <w:szCs w:val="20"/>
                <w:color w:val="auto"/>
              </w:rPr>
            </w:pPr>
            <w:r>
              <w:rPr>
                <w:rFonts w:ascii="Arial" w:cs="Arial" w:eastAsia="Arial" w:hAnsi="Arial"/>
                <w:sz w:val="14"/>
                <w:szCs w:val="14"/>
                <w:color w:val="FFFFFF"/>
                <w:w w:val="89"/>
              </w:rPr>
              <w:t>Strong Track Record of Market Outperformance</w:t>
            </w:r>
          </w:p>
        </w:tc>
        <w:tc>
          <w:tcPr>
            <w:tcW w:w="1780" w:type="dxa"/>
            <w:vAlign w:val="bottom"/>
          </w:tcPr>
          <w:p>
            <w:pPr>
              <w:spacing w:after="0"/>
              <w:rPr>
                <w:sz w:val="14"/>
                <w:szCs w:val="14"/>
                <w:color w:val="auto"/>
              </w:rPr>
            </w:pPr>
          </w:p>
        </w:tc>
        <w:tc>
          <w:tcPr>
            <w:tcW w:w="6940" w:type="dxa"/>
            <w:vAlign w:val="bottom"/>
            <w:vMerge w:val="restart"/>
          </w:tcPr>
          <w:p>
            <w:pPr>
              <w:ind w:left="120"/>
              <w:spacing w:after="0"/>
              <w:rPr>
                <w:sz w:val="20"/>
                <w:szCs w:val="20"/>
                <w:color w:val="auto"/>
              </w:rPr>
            </w:pPr>
            <w:r>
              <w:rPr>
                <w:rFonts w:ascii="Arial" w:cs="Arial" w:eastAsia="Arial" w:hAnsi="Arial"/>
                <w:sz w:val="14"/>
                <w:szCs w:val="14"/>
                <w:color w:val="FFFFFF"/>
                <w:w w:val="87"/>
              </w:rPr>
              <w:t>average of negative 7.5%, and negative 16.7% for TICC Capital Corp. TSLX has grown net asset value per share from $14.06</w:t>
            </w:r>
          </w:p>
        </w:tc>
        <w:tc>
          <w:tcPr>
            <w:tcW w:w="0" w:type="dxa"/>
            <w:vAlign w:val="bottom"/>
          </w:tcPr>
          <w:p>
            <w:pPr>
              <w:spacing w:after="0"/>
              <w:rPr>
                <w:sz w:val="1"/>
                <w:szCs w:val="1"/>
                <w:color w:val="auto"/>
              </w:rPr>
            </w:pPr>
          </w:p>
        </w:tc>
      </w:tr>
      <w:tr>
        <w:trPr>
          <w:trHeight w:val="41"/>
        </w:trPr>
        <w:tc>
          <w:tcPr>
            <w:tcW w:w="4440" w:type="dxa"/>
            <w:vAlign w:val="bottom"/>
            <w:gridSpan w:val="2"/>
          </w:tcPr>
          <w:p>
            <w:pPr>
              <w:spacing w:after="0"/>
              <w:rPr>
                <w:sz w:val="20"/>
                <w:szCs w:val="20"/>
                <w:color w:val="auto"/>
              </w:rPr>
            </w:pPr>
            <w:r>
              <w:rPr>
                <w:rFonts w:ascii="Arial" w:cs="Arial" w:eastAsia="Arial" w:hAnsi="Arial"/>
                <w:sz w:val="3"/>
                <w:szCs w:val="3"/>
                <w:color w:val="FFFFFF"/>
              </w:rPr>
              <w:t>In 2014, TSLX generated total stockholder returns of 14.7% compared to the</w:t>
            </w:r>
          </w:p>
        </w:tc>
        <w:tc>
          <w:tcPr>
            <w:tcW w:w="69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60" w:type="dxa"/>
            <w:vAlign w:val="bottom"/>
          </w:tcPr>
          <w:p>
            <w:pPr>
              <w:spacing w:after="0"/>
              <w:rPr>
                <w:sz w:val="20"/>
                <w:szCs w:val="20"/>
                <w:color w:val="auto"/>
              </w:rPr>
            </w:pPr>
            <w:r>
              <w:rPr>
                <w:rFonts w:ascii="Arial" w:cs="Arial" w:eastAsia="Arial" w:hAnsi="Arial"/>
                <w:sz w:val="3"/>
                <w:szCs w:val="3"/>
                <w:color w:val="FFFFFF"/>
              </w:rPr>
              <w:t>as of June 30, 2011 (the quarter-end</w:t>
            </w:r>
          </w:p>
        </w:tc>
        <w:tc>
          <w:tcPr>
            <w:tcW w:w="8720" w:type="dxa"/>
            <w:vAlign w:val="bottom"/>
            <w:gridSpan w:val="2"/>
          </w:tcPr>
          <w:p>
            <w:pPr>
              <w:ind w:left="20"/>
              <w:spacing w:after="0"/>
              <w:rPr>
                <w:sz w:val="20"/>
                <w:szCs w:val="20"/>
                <w:color w:val="auto"/>
              </w:rPr>
            </w:pPr>
            <w:r>
              <w:rPr>
                <w:rFonts w:ascii="Arial" w:cs="Arial" w:eastAsia="Arial" w:hAnsi="Arial"/>
                <w:sz w:val="3"/>
                <w:szCs w:val="3"/>
                <w:color w:val="FFFFFF"/>
              </w:rPr>
              <w:t>prior to the beginning of TSLX’sectorinvestment operations) after organizational costs to $15.84 as of June 30, 2015.</w:t>
            </w:r>
          </w:p>
        </w:tc>
        <w:tc>
          <w:tcPr>
            <w:tcW w:w="0" w:type="dxa"/>
            <w:vAlign w:val="bottom"/>
          </w:tcPr>
          <w:p>
            <w:pPr>
              <w:spacing w:after="0"/>
              <w:rPr>
                <w:sz w:val="1"/>
                <w:szCs w:val="1"/>
                <w:color w:val="auto"/>
              </w:rPr>
            </w:pPr>
          </w:p>
        </w:tc>
      </w:tr>
      <w:tr>
        <w:trPr>
          <w:trHeight w:val="41"/>
        </w:trPr>
        <w:tc>
          <w:tcPr>
            <w:tcW w:w="4440" w:type="dxa"/>
            <w:vAlign w:val="bottom"/>
            <w:gridSpan w:val="2"/>
          </w:tcPr>
          <w:p>
            <w:pPr>
              <w:spacing w:after="0"/>
              <w:rPr>
                <w:sz w:val="20"/>
                <w:szCs w:val="20"/>
                <w:color w:val="auto"/>
              </w:rPr>
            </w:pPr>
            <w:r>
              <w:rPr>
                <w:rFonts w:ascii="Arial" w:cs="Arial" w:eastAsia="Arial" w:hAnsi="Arial"/>
                <w:sz w:val="3"/>
                <w:szCs w:val="3"/>
                <w:color w:val="FFFFFF"/>
              </w:rPr>
              <w:t>For more information, visit the TSLXimmediatelywebsite www.tpgspecialtylending.com.</w:t>
            </w:r>
          </w:p>
        </w:tc>
        <w:tc>
          <w:tcPr>
            <w:tcW w:w="6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660" w:type="dxa"/>
            <w:vAlign w:val="bottom"/>
          </w:tcPr>
          <w:p>
            <w:pPr>
              <w:spacing w:after="0"/>
              <w:rPr>
                <w:sz w:val="20"/>
                <w:szCs w:val="20"/>
                <w:color w:val="auto"/>
              </w:rPr>
            </w:pPr>
            <w:r>
              <w:rPr>
                <w:rFonts w:ascii="Arial" w:cs="Arial" w:eastAsia="Arial" w:hAnsi="Arial"/>
                <w:sz w:val="14"/>
                <w:szCs w:val="14"/>
                <w:color w:val="FFFFFF"/>
              </w:rPr>
              <w:t>Copyright 2016.</w:t>
            </w:r>
          </w:p>
        </w:tc>
        <w:tc>
          <w:tcPr>
            <w:tcW w:w="178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440" w:right="27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51028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1865" cy="510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color w:val="FFFFFF"/>
        </w:rPr>
        <w:t>NewsToggle&amp;navigationFilings TPG Specialty Lending</w:t>
      </w:r>
    </w:p>
    <w:p>
      <w:pPr>
        <w:spacing w:after="0" w:line="211" w:lineRule="auto"/>
        <w:rPr>
          <w:sz w:val="20"/>
          <w:szCs w:val="20"/>
          <w:color w:val="auto"/>
        </w:rPr>
      </w:pPr>
      <w:r>
        <w:rPr>
          <w:rFonts w:ascii="Arial" w:cs="Arial" w:eastAsia="Arial" w:hAnsi="Arial"/>
          <w:sz w:val="2"/>
          <w:szCs w:val="2"/>
          <w:color w:val="FFFFFF"/>
        </w:rPr>
        <w:t>N</w:t>
      </w:r>
      <w:r>
        <w:rPr>
          <w:rFonts w:ascii="Arial" w:cs="Arial" w:eastAsia="Arial" w:hAnsi="Arial"/>
          <w:sz w:val="4"/>
          <w:szCs w:val="4"/>
          <w:color w:val="FFFFFF"/>
          <w:vertAlign w:val="subscript"/>
        </w:rPr>
        <w:t>How</w:t>
      </w:r>
      <w:r>
        <w:rPr>
          <w:rFonts w:ascii="Arial" w:cs="Arial" w:eastAsia="Arial" w:hAnsi="Arial"/>
          <w:sz w:val="2"/>
          <w:szCs w:val="2"/>
          <w:color w:val="FFFFFF"/>
        </w:rPr>
        <w:t>Presentationsminee</w:t>
      </w:r>
    </w:p>
    <w:p>
      <w:pPr>
        <w:ind w:left="300"/>
        <w:spacing w:after="0" w:line="188" w:lineRule="auto"/>
        <w:rPr>
          <w:sz w:val="20"/>
          <w:szCs w:val="20"/>
          <w:color w:val="auto"/>
        </w:rPr>
      </w:pPr>
      <w:r>
        <w:rPr>
          <w:rFonts w:ascii="Arial" w:cs="Arial" w:eastAsia="Arial" w:hAnsi="Arial"/>
          <w:sz w:val="9"/>
          <w:szCs w:val="9"/>
          <w:color w:val="FFFFFF"/>
        </w:rPr>
        <w:t>to Vote</w:t>
      </w:r>
    </w:p>
    <w:p>
      <w:pPr>
        <w:spacing w:after="0" w:line="188" w:lineRule="auto"/>
        <w:rPr>
          <w:sz w:val="20"/>
          <w:szCs w:val="20"/>
          <w:color w:val="auto"/>
        </w:rPr>
      </w:pPr>
      <w:r>
        <w:rPr>
          <w:rFonts w:ascii="Arial" w:cs="Arial" w:eastAsia="Arial" w:hAnsi="Arial"/>
          <w:sz w:val="9"/>
          <w:szCs w:val="9"/>
          <w:color w:val="FFFFFF"/>
          <w:vertAlign w:val="subscript"/>
        </w:rPr>
        <w:t>CONT</w:t>
      </w:r>
      <w:r>
        <w:rPr>
          <w:rFonts w:ascii="Arial" w:cs="Arial" w:eastAsia="Arial" w:hAnsi="Arial"/>
          <w:sz w:val="7"/>
          <w:szCs w:val="7"/>
          <w:color w:val="FFFFFF"/>
        </w:rPr>
        <w:t>AboutontactTPG Specialty Lending</w:t>
      </w:r>
    </w:p>
    <w:p>
      <w:pPr>
        <w:spacing w:after="0"/>
        <w:rPr>
          <w:sz w:val="20"/>
          <w:szCs w:val="20"/>
          <w:color w:val="auto"/>
        </w:rPr>
      </w:pPr>
      <w:r>
        <w:rPr>
          <w:rFonts w:ascii="Arial" w:cs="Arial" w:eastAsia="Arial" w:hAnsi="Arial"/>
          <w:sz w:val="3"/>
          <w:szCs w:val="3"/>
          <w:color w:val="FFFFFF"/>
        </w:rPr>
        <w:t>INVESTORSACTINFORMATION</w:t>
      </w:r>
    </w:p>
    <w:p>
      <w:pPr>
        <w:spacing w:after="0" w:line="181" w:lineRule="auto"/>
        <w:rPr>
          <w:sz w:val="20"/>
          <w:szCs w:val="20"/>
          <w:color w:val="auto"/>
        </w:rPr>
      </w:pPr>
      <w:r>
        <w:rPr>
          <w:rFonts w:ascii="Arial" w:cs="Arial" w:eastAsia="Arial" w:hAnsi="Arial"/>
          <w:sz w:val="10"/>
          <w:szCs w:val="10"/>
          <w:color w:val="FFFFFF"/>
        </w:rPr>
        <w:t>MEDIA</w:t>
      </w:r>
    </w:p>
    <w:p>
      <w:pPr>
        <w:spacing w:after="0"/>
        <w:rPr>
          <w:sz w:val="20"/>
          <w:szCs w:val="20"/>
          <w:color w:val="auto"/>
        </w:rPr>
      </w:pPr>
      <w:r>
        <w:rPr>
          <w:rFonts w:ascii="Arial" w:cs="Arial" w:eastAsia="Arial" w:hAnsi="Arial"/>
          <w:sz w:val="3"/>
          <w:szCs w:val="3"/>
          <w:color w:val="FFFFFF"/>
        </w:rPr>
        <w:t>RobertTPG@mackenziepartners.comOllwerther,212-430-4119(212)TPG929Specialty-5500(callLendingcollect)bollwerther@tpg.comorTOLL-FREE(800) 322-2885</w:t>
      </w:r>
    </w:p>
    <w:p>
      <w:pPr>
        <w:spacing w:after="0" w:line="194" w:lineRule="auto"/>
        <w:rPr>
          <w:sz w:val="20"/>
          <w:szCs w:val="20"/>
          <w:color w:val="auto"/>
        </w:rPr>
      </w:pPr>
      <w:r>
        <w:rPr>
          <w:rFonts w:ascii="Arial" w:cs="Arial" w:eastAsia="Arial" w:hAnsi="Arial"/>
          <w:sz w:val="5"/>
          <w:szCs w:val="5"/>
          <w:color w:val="FFFFFF"/>
        </w:rPr>
        <w:t>or</w:t>
      </w:r>
    </w:p>
    <w:p>
      <w:pPr>
        <w:spacing w:after="0" w:line="211" w:lineRule="auto"/>
        <w:rPr>
          <w:sz w:val="20"/>
          <w:szCs w:val="20"/>
          <w:color w:val="auto"/>
        </w:rPr>
      </w:pPr>
      <w:r>
        <w:rPr>
          <w:rFonts w:ascii="Arial" w:cs="Arial" w:eastAsia="Arial" w:hAnsi="Arial"/>
          <w:sz w:val="4"/>
          <w:szCs w:val="4"/>
          <w:color w:val="FFFFFF"/>
          <w:vertAlign w:val="superscript"/>
        </w:rPr>
        <w:t>Luke</w:t>
      </w:r>
    </w:p>
    <w:p>
      <w:pPr>
        <w:spacing w:after="0" w:line="188" w:lineRule="auto"/>
        <w:rPr>
          <w:sz w:val="20"/>
          <w:szCs w:val="20"/>
          <w:color w:val="auto"/>
        </w:rPr>
      </w:pPr>
      <w:r>
        <w:rPr>
          <w:rFonts w:ascii="Arial" w:cs="Arial" w:eastAsia="Arial" w:hAnsi="Arial"/>
          <w:sz w:val="9"/>
          <w:szCs w:val="9"/>
          <w:color w:val="FFFFFF"/>
        </w:rPr>
        <w:t>or cy Barrett,Lu,212-212601--6014753-4752TPGlbarrett@tpg.comSpecialtyLending llu@tpg.com</w:t>
      </w:r>
    </w:p>
    <w:p>
      <w:pPr>
        <w:spacing w:after="0"/>
        <w:rPr>
          <w:sz w:val="20"/>
          <w:szCs w:val="20"/>
          <w:color w:val="auto"/>
        </w:rPr>
      </w:pPr>
      <w:r>
        <w:rPr>
          <w:rFonts w:ascii="Arial" w:cs="Arial" w:eastAsia="Arial" w:hAnsi="Arial"/>
          <w:sz w:val="12"/>
          <w:szCs w:val="12"/>
          <w:color w:val="FFFFFF"/>
        </w:rPr>
        <w:t>Abernathy MacGregor Tom Johnson or Pat Tucker 212-371-5999 tbj@abmac.com / pct@abmac.com</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2019-12-20T22:21:12Z</dcterms:created>
  <dcterms:modified xsi:type="dcterms:W3CDTF">2019-12-20T22:21:12Z</dcterms:modified>
</cp:coreProperties>
</file>