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Boehm, Steven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Thursday, December 22, 2011 1:36 PM</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rupertk@sec.gov</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Cc: </w:t>
      </w:r>
      <w:r>
        <w:rPr>
          <w:rFonts w:ascii="Arial" w:cs="Arial" w:eastAsia="Arial" w:hAnsi="Arial"/>
          <w:sz w:val="18"/>
          <w:szCs w:val="18"/>
          <w:color w:val="auto"/>
        </w:rPr>
        <w:t>aleipsic@cgsh.com; Gray, Anne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TPG Specialty Lending</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Hi Kevin</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Per our discussion earlier today, attached are clean and marked versions of a draft of a revised letter responding to your comments on TSL's Schedule 14C.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Please let us know if you have any additional comments or questions.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always, we appreciate your assistance.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Steve</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Steven B. Boehm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Partner</w:t>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Sutherland Asbill &amp; Brennan LLP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1275 Pennsylvania Avenue NW | Washington, DC 20004-2415</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202.383.0176 direct | 202.637.3593 facsimile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steven.boehm@sutherland.com | www.sutherland.com</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To learn more about alternative fund structures and our BDC and Alternative Assets Practice Group, please visit </w:t>
      </w:r>
      <w:r>
        <w:rPr>
          <w:rFonts w:ascii="Arial" w:cs="Arial" w:eastAsia="Arial" w:hAnsi="Arial"/>
          <w:sz w:val="17"/>
          <w:szCs w:val="17"/>
          <w:u w:val="single" w:color="auto"/>
          <w:color w:val="0000FF"/>
        </w:rPr>
        <w:t>www.publiclytradedprivateequity.com</w:t>
      </w:r>
      <w:r>
        <w:rPr>
          <w:rFonts w:ascii="Arial" w:cs="Arial" w:eastAsia="Arial" w:hAnsi="Arial"/>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b w:val="1"/>
          <w:bCs w:val="1"/>
          <w:color w:val="A2A2A2"/>
        </w:rPr>
        <w:t xml:space="preserve">CIRCULAR 230 DISCLOSURE: </w:t>
      </w:r>
      <w:r>
        <w:rPr>
          <w:rFonts w:ascii="Arial" w:cs="Arial" w:eastAsia="Arial" w:hAnsi="Arial"/>
          <w:sz w:val="18"/>
          <w:szCs w:val="18"/>
          <w:color w:val="A2A2A2"/>
        </w:rPr>
        <w:t>To comply with Treasury Department regulations, we inform you that, unless otherwise expressly indicated, any tax</w:t>
      </w:r>
      <w:r>
        <w:rPr>
          <w:rFonts w:ascii="Arial" w:cs="Arial" w:eastAsia="Arial" w:hAnsi="Arial"/>
          <w:sz w:val="18"/>
          <w:szCs w:val="18"/>
          <w:b w:val="1"/>
          <w:bCs w:val="1"/>
          <w:color w:val="A2A2A2"/>
        </w:rPr>
        <w:t xml:space="preserve"> </w:t>
      </w:r>
      <w:r>
        <w:rPr>
          <w:rFonts w:ascii="Arial" w:cs="Arial" w:eastAsia="Arial" w:hAnsi="Arial"/>
          <w:sz w:val="18"/>
          <w:szCs w:val="18"/>
          <w:color w:val="A2A2A2"/>
        </w:rPr>
        <w:t>advice contained in this communication (including any attachments) is not intended or written to be used, and cannot be used, for the purpose of (i) avoiding penalties that may be imposed under the Internal Revenue Code or any other applicable tax law, or (ii) promoting, marketing or recommending to another party any transaction, arrangement, or other matter.</w:t>
      </w:r>
    </w:p>
    <w:p>
      <w:pPr>
        <w:spacing w:after="0" w:line="211" w:lineRule="exact"/>
        <w:rPr>
          <w:sz w:val="24"/>
          <w:szCs w:val="24"/>
          <w:color w:val="auto"/>
        </w:rPr>
      </w:pPr>
    </w:p>
    <w:p>
      <w:pPr>
        <w:spacing w:after="0" w:line="262" w:lineRule="auto"/>
        <w:rPr>
          <w:sz w:val="20"/>
          <w:szCs w:val="20"/>
          <w:color w:val="auto"/>
        </w:rPr>
      </w:pPr>
      <w:r>
        <w:rPr>
          <w:rFonts w:ascii="Arial" w:cs="Arial" w:eastAsia="Arial" w:hAnsi="Arial"/>
          <w:sz w:val="18"/>
          <w:szCs w:val="18"/>
          <w:color w:val="A2A2A2"/>
        </w:rPr>
        <w:t>This e-mail message is intended only for the personal use of the recipient(s) named above. This message may be an attorney-client communication and as such privileged and confidential. If you are not an intended recipient, you may not review, copy, or distribute this message. If you have received this communication in error, please notify us immediately by e-mail and delete the original message.</w:t>
      </w:r>
    </w:p>
    <w:p>
      <w:pPr>
        <w:sectPr>
          <w:pgSz w:w="11900" w:h="16838" w:orient="portrait"/>
          <w:cols w:equalWidth="0" w:num="1">
            <w:col w:w="11400"/>
          </w:cols>
          <w:pgMar w:left="240" w:top="956" w:right="259" w:bottom="1440" w:gutter="0" w:footer="0" w:header="0"/>
        </w:sectPr>
      </w:pPr>
    </w:p>
    <w:bookmarkStart w:id="1" w:name="page2"/>
    <w:bookmarkEnd w:id="1"/>
    <w:p>
      <w:pPr>
        <w:ind w:left="7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396875</wp:posOffset>
            </wp:positionV>
            <wp:extent cx="2153285" cy="1076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53285" cy="1076960"/>
                    </a:xfrm>
                    <a:prstGeom prst="rect">
                      <a:avLst/>
                    </a:prstGeom>
                    <a:noFill/>
                  </pic:spPr>
                </pic:pic>
              </a:graphicData>
            </a:graphic>
          </wp:anchor>
        </w:drawing>
        <w:t>SUTHERLAND ASBILL &amp; BRENNAN LLP</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1275 Pennsylvania Ave., NW</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Washington, DC 20004-2415</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202.383.0100 Fax 202.637.3593</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18"/>
          <w:szCs w:val="18"/>
          <w:color w:val="0000FF"/>
        </w:rPr>
        <w:t>www.sutherland.com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B. BOEHM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 LINE: 202.383.0176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steven.boehm@sutherland.com</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[22], 2011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Kevin Rupert[, Esq.]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[Senior Counsel, Division of Investment Management]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TPG Specialty Lending, Inc. – Preliminary Schedule 14C Information Statement filed on December 13, 2011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Dear Mr. Rupert,</w:t>
      </w:r>
    </w:p>
    <w:p>
      <w:pPr>
        <w:spacing w:after="0" w:line="251" w:lineRule="exact"/>
        <w:rPr>
          <w:sz w:val="20"/>
          <w:szCs w:val="20"/>
          <w:color w:val="auto"/>
        </w:rPr>
      </w:pPr>
    </w:p>
    <w:p>
      <w:pPr>
        <w:ind w:firstLine="1292"/>
        <w:spacing w:after="0" w:line="270" w:lineRule="auto"/>
        <w:rPr>
          <w:sz w:val="20"/>
          <w:szCs w:val="20"/>
          <w:color w:val="auto"/>
        </w:rPr>
      </w:pPr>
      <w:r>
        <w:rPr>
          <w:rFonts w:ascii="Arial" w:cs="Arial" w:eastAsia="Arial" w:hAnsi="Arial"/>
          <w:sz w:val="17"/>
          <w:szCs w:val="17"/>
          <w:color w:val="auto"/>
        </w:rPr>
        <w:t>On behalf of our client,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we have set forth below the response of the Company to the comment provided by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during a telephonic conference on December 17, 2011 regarding the Company’s Preliminary Schedule 14C Information Statement filed on December 13, 2011 (the “</w:t>
      </w:r>
      <w:r>
        <w:rPr>
          <w:rFonts w:ascii="Arial" w:cs="Arial" w:eastAsia="Arial" w:hAnsi="Arial"/>
          <w:sz w:val="17"/>
          <w:szCs w:val="17"/>
          <w:u w:val="single" w:color="auto"/>
          <w:color w:val="auto"/>
        </w:rPr>
        <w:t>Schedule 14C</w:t>
      </w:r>
      <w:r>
        <w:rPr>
          <w:rFonts w:ascii="Arial" w:cs="Arial" w:eastAsia="Arial" w:hAnsi="Arial"/>
          <w:sz w:val="17"/>
          <w:szCs w:val="17"/>
          <w:color w:val="auto"/>
        </w:rPr>
        <w:t>”). Upon the Company’s receipt of the Staff’s approval of, or the successful incorporation of any additional comments of the Staff to the proposed response below, the Company intends to file and duly distribute a Definitive Schedule 14C Information Statement in accordance with Regulation 14C of the Securities and Exchange Act of 1934, as amended. For ease of reference, a summary of the Staff’s comment is set forth below in italics and is immediately followed by the Company’s response. Capitalized terms used but not defined herein have the meanings ascribed to them in the Schedule 14C. All page references in the following responses correspond to the page numbers in the Schedule 14C.</w:t>
      </w:r>
    </w:p>
    <w:p>
      <w:pPr>
        <w:spacing w:after="0" w:line="206" w:lineRule="exact"/>
        <w:rPr>
          <w:sz w:val="20"/>
          <w:szCs w:val="20"/>
          <w:color w:val="auto"/>
        </w:rPr>
      </w:pPr>
    </w:p>
    <w:p>
      <w:pPr>
        <w:ind w:right="220" w:firstLine="654"/>
        <w:spacing w:after="0" w:line="262" w:lineRule="auto"/>
        <w:tabs>
          <w:tab w:leader="none" w:pos="1767" w:val="left"/>
        </w:tabs>
        <w:numPr>
          <w:ilvl w:val="0"/>
          <w:numId w:val="1"/>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color w:val="auto"/>
        </w:rPr>
        <w:t>:</w:t>
      </w:r>
      <w:r>
        <w:rPr>
          <w:rFonts w:ascii="Arial" w:cs="Arial" w:eastAsia="Arial" w:hAnsi="Arial"/>
          <w:sz w:val="18"/>
          <w:szCs w:val="18"/>
          <w:i w:val="1"/>
          <w:iCs w:val="1"/>
          <w:color w:val="auto"/>
        </w:rPr>
        <w:t xml:space="preserve"> The Staff has requested that the Company provide example hurdle calculations under the Current Advisory Agreement and the Amended Advisory Agreement that will demonstrate how the new formula will affect the Adviser’s quarterly compensation in the event that (i) the assets of the Company increase and (ii) the assets of the Company decrease.</w:t>
      </w:r>
    </w:p>
    <w:p>
      <w:pPr>
        <w:spacing w:after="0" w:line="200" w:lineRule="exact"/>
        <w:rPr>
          <w:sz w:val="20"/>
          <w:szCs w:val="20"/>
          <w:color w:val="auto"/>
        </w:rPr>
      </w:pPr>
    </w:p>
    <w:p>
      <w:pPr>
        <w:spacing w:after="0" w:line="253" w:lineRule="exact"/>
        <w:rPr>
          <w:sz w:val="20"/>
          <w:szCs w:val="20"/>
          <w:color w:val="auto"/>
        </w:rPr>
      </w:pPr>
    </w:p>
    <w:p>
      <w:pPr>
        <w:ind w:left="900"/>
        <w:spacing w:after="0"/>
        <w:tabs>
          <w:tab w:leader="none" w:pos="2660" w:val="left"/>
          <w:tab w:leader="none" w:pos="4740" w:val="left"/>
          <w:tab w:leader="none" w:pos="6640" w:val="left"/>
          <w:tab w:leader="none" w:pos="9020" w:val="left"/>
        </w:tabs>
        <w:rPr>
          <w:sz w:val="20"/>
          <w:szCs w:val="20"/>
          <w:color w:val="auto"/>
        </w:rPr>
      </w:pPr>
      <w:r>
        <w:rPr>
          <w:rFonts w:ascii="Arial" w:cs="Arial" w:eastAsia="Arial" w:hAnsi="Arial"/>
          <w:sz w:val="18"/>
          <w:szCs w:val="18"/>
          <w:color w:val="auto"/>
        </w:rPr>
        <w:t>ATLANTA</w:t>
      </w:r>
      <w:r>
        <w:rPr>
          <w:sz w:val="20"/>
          <w:szCs w:val="20"/>
          <w:color w:val="auto"/>
        </w:rPr>
        <w:tab/>
      </w: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7"/>
          <w:szCs w:val="17"/>
          <w:color w:val="auto"/>
        </w:rPr>
        <w:t>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413385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825"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December [22], 2011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21"/>
          <w:szCs w:val="21"/>
          <w:color w:val="auto"/>
        </w:rPr>
        <w:t>2</w:t>
      </w:r>
    </w:p>
    <w:p>
      <w:pPr>
        <w:spacing w:after="0" w:line="200" w:lineRule="exact"/>
        <w:rPr>
          <w:sz w:val="20"/>
          <w:szCs w:val="20"/>
          <w:color w:val="auto"/>
        </w:rPr>
      </w:pPr>
    </w:p>
    <w:p>
      <w:pPr>
        <w:spacing w:after="0" w:line="270" w:lineRule="exact"/>
        <w:rPr>
          <w:sz w:val="20"/>
          <w:szCs w:val="20"/>
          <w:color w:val="auto"/>
        </w:rPr>
      </w:pPr>
    </w:p>
    <w:p>
      <w:pPr>
        <w:ind w:right="260" w:firstLine="646"/>
        <w:spacing w:after="0" w:line="280"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proposes to include the following disclosure immediately after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on page 2 of the Schedule 14C:</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example below for a comparison of the hurdle calculation under the Current Advisory Agreement and the Amended Advisory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w:t>
      </w:r>
    </w:p>
    <w:p>
      <w:pPr>
        <w:spacing w:after="0" w:line="168" w:lineRule="exact"/>
        <w:rPr>
          <w:sz w:val="20"/>
          <w:szCs w:val="20"/>
          <w:color w:val="auto"/>
        </w:rPr>
      </w:pPr>
    </w:p>
    <w:p>
      <w:pPr>
        <w:ind w:left="660" w:hanging="14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Relevant period: Calendar quarter commencing April 1, 2012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4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Hurdle Rate: 1.5% (1)</w:t>
      </w:r>
    </w:p>
    <w:p>
      <w:pPr>
        <w:spacing w:after="0" w:line="6" w:lineRule="exact"/>
        <w:rPr>
          <w:rFonts w:ascii="Arial" w:cs="Arial" w:eastAsia="Arial" w:hAnsi="Arial"/>
          <w:sz w:val="18"/>
          <w:szCs w:val="18"/>
          <w:color w:val="auto"/>
        </w:rPr>
      </w:pPr>
    </w:p>
    <w:p>
      <w:pPr>
        <w:ind w:left="660" w:hanging="14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Value of the Company’s net assets as of March 31, 2012: $200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Alternative 1</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No increase or decrease in the Company’s net assets as a result of capital draws or dividend distributions during the 2</w:t>
      </w:r>
      <w:r>
        <w:rPr>
          <w:rFonts w:ascii="Arial" w:cs="Arial" w:eastAsia="Arial" w:hAnsi="Arial"/>
          <w:sz w:val="22"/>
          <w:szCs w:val="22"/>
          <w:b w:val="1"/>
          <w:bCs w:val="1"/>
          <w:u w:val="single" w:color="auto"/>
          <w:color w:val="auto"/>
          <w:vertAlign w:val="superscript"/>
        </w:rPr>
        <w:t>nd</w:t>
      </w:r>
    </w:p>
    <w:p>
      <w:pPr>
        <w:spacing w:after="0"/>
        <w:rPr>
          <w:sz w:val="20"/>
          <w:szCs w:val="20"/>
          <w:color w:val="auto"/>
        </w:rPr>
      </w:pPr>
      <w:r>
        <w:rPr>
          <w:rFonts w:ascii="Arial" w:cs="Arial" w:eastAsia="Arial" w:hAnsi="Arial"/>
          <w:sz w:val="18"/>
          <w:szCs w:val="18"/>
          <w:b w:val="1"/>
          <w:bCs w:val="1"/>
          <w:u w:val="single" w:color="auto"/>
          <w:color w:val="auto"/>
        </w:rPr>
        <w:t>Quarter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168" w:lineRule="exact"/>
        <w:rPr>
          <w:sz w:val="20"/>
          <w:szCs w:val="20"/>
          <w:color w:val="auto"/>
        </w:rPr>
      </w:pPr>
    </w:p>
    <w:p>
      <w:pPr>
        <w:ind w:left="660" w:hanging="14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does not draw any capital from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41"/>
        <w:spacing w:after="0" w:line="18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Company does not make any distributions or pay any dividends to its investors during the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Quarter</w:t>
      </w:r>
    </w:p>
    <w:p>
      <w:pPr>
        <w:ind w:left="660" w:hanging="14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of the Company’s net assets of June 30, 2012: $200 million (2)</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Alternative 1a</w:t>
      </w:r>
      <w:r>
        <w:rPr>
          <w:rFonts w:ascii="Arial" w:cs="Arial" w:eastAsia="Arial" w:hAnsi="Arial"/>
          <w:sz w:val="18"/>
          <w:szCs w:val="18"/>
          <w:color w:val="auto"/>
        </w:rPr>
        <w:t>:</w:t>
      </w:r>
      <w:r>
        <w:rPr>
          <w:rFonts w:ascii="Arial" w:cs="Arial" w:eastAsia="Arial" w:hAnsi="Arial"/>
          <w:sz w:val="18"/>
          <w:szCs w:val="18"/>
          <w:b w:val="1"/>
          <w:bCs w:val="1"/>
          <w:color w:val="auto"/>
        </w:rPr>
        <w:t xml:space="preserve"> Current Advisory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 * $200 million</w:t>
      </w:r>
    </w:p>
    <w:p>
      <w:pPr>
        <w:spacing w:after="0" w:line="8" w:lineRule="exact"/>
        <w:rPr>
          <w:rFonts w:ascii="Arial" w:cs="Arial" w:eastAsia="Arial" w:hAnsi="Arial"/>
          <w:sz w:val="18"/>
          <w:szCs w:val="18"/>
          <w:color w:val="auto"/>
        </w:rPr>
      </w:pPr>
    </w:p>
    <w:p>
      <w:pPr>
        <w:ind w:left="720" w:hanging="1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million</w:t>
      </w:r>
    </w:p>
    <w:p>
      <w:pPr>
        <w:spacing w:after="0" w:line="20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$3.0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1b: Amended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 * $200 million</w:t>
      </w:r>
    </w:p>
    <w:p>
      <w:pPr>
        <w:spacing w:after="0" w:line="6" w:lineRule="exact"/>
        <w:rPr>
          <w:rFonts w:ascii="Arial" w:cs="Arial" w:eastAsia="Arial" w:hAnsi="Arial"/>
          <w:sz w:val="18"/>
          <w:szCs w:val="18"/>
          <w:color w:val="auto"/>
        </w:rPr>
      </w:pPr>
    </w:p>
    <w:p>
      <w:pPr>
        <w:ind w:left="720" w:hanging="1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652780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515"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December [22],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5" w:lineRule="exact"/>
        <w:rPr>
          <w:sz w:val="20"/>
          <w:szCs w:val="20"/>
          <w:color w:val="auto"/>
        </w:rPr>
      </w:pPr>
    </w:p>
    <w:p>
      <w:pPr>
        <w:ind w:right="200" w:firstLine="646"/>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$3.0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Alternative 2: Increase in the Company’s net assets as a result of capital drawn from investors during the 2</w:t>
      </w:r>
      <w:r>
        <w:rPr>
          <w:rFonts w:ascii="Arial" w:cs="Arial" w:eastAsia="Arial" w:hAnsi="Arial"/>
          <w:sz w:val="25"/>
          <w:szCs w:val="25"/>
          <w:b w:val="1"/>
          <w:bCs w:val="1"/>
          <w:u w:val="single" w:color="auto"/>
          <w:color w:val="auto"/>
          <w:vertAlign w:val="superscript"/>
        </w:rPr>
        <w:t>nd</w:t>
      </w:r>
      <w:r>
        <w:rPr>
          <w:rFonts w:ascii="Arial" w:cs="Arial" w:eastAsia="Arial" w:hAnsi="Arial"/>
          <w:sz w:val="18"/>
          <w:szCs w:val="18"/>
          <w:b w:val="1"/>
          <w:bCs w:val="1"/>
          <w:u w:val="single" w:color="auto"/>
          <w:color w:val="auto"/>
        </w:rPr>
        <w:t xml:space="preserve"> Quarter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224" w:lineRule="exact"/>
        <w:rPr>
          <w:sz w:val="20"/>
          <w:szCs w:val="20"/>
          <w:color w:val="auto"/>
        </w:rPr>
      </w:pPr>
    </w:p>
    <w:p>
      <w:pPr>
        <w:ind w:left="660" w:hanging="14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draws $50 million from its investors on May 15, 2012</w:t>
      </w:r>
    </w:p>
    <w:p>
      <w:pPr>
        <w:spacing w:after="0" w:line="22" w:lineRule="exact"/>
        <w:rPr>
          <w:rFonts w:ascii="Arial" w:cs="Arial" w:eastAsia="Arial" w:hAnsi="Arial"/>
          <w:sz w:val="18"/>
          <w:szCs w:val="18"/>
          <w:color w:val="auto"/>
        </w:rPr>
      </w:pPr>
    </w:p>
    <w:p>
      <w:pPr>
        <w:ind w:left="660" w:hanging="141"/>
        <w:spacing w:after="0" w:line="18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does not make any distributions or pay any dividends to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4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 of the Company’s net assets as of June 30, 2012: $250 million (2)</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Alternative 2a: Current Advisory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 $250 million</w:t>
      </w:r>
    </w:p>
    <w:p>
      <w:pPr>
        <w:spacing w:after="0" w:line="8" w:lineRule="exact"/>
        <w:rPr>
          <w:rFonts w:ascii="Arial" w:cs="Arial" w:eastAsia="Arial" w:hAnsi="Arial"/>
          <w:sz w:val="18"/>
          <w:szCs w:val="18"/>
          <w:color w:val="auto"/>
        </w:rPr>
      </w:pPr>
    </w:p>
    <w:p>
      <w:pPr>
        <w:ind w:left="720" w:hanging="1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 million</w:t>
      </w:r>
    </w:p>
    <w:p>
      <w:pPr>
        <w:spacing w:after="0" w:line="209" w:lineRule="exact"/>
        <w:rPr>
          <w:sz w:val="20"/>
          <w:szCs w:val="20"/>
          <w:color w:val="auto"/>
        </w:rPr>
      </w:pPr>
    </w:p>
    <w:p>
      <w:pPr>
        <w:ind w:firstLine="646"/>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$3.8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2b: Amended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 * $225.8 million</w:t>
      </w:r>
    </w:p>
    <w:p>
      <w:pPr>
        <w:spacing w:after="0" w:line="6" w:lineRule="exact"/>
        <w:rPr>
          <w:rFonts w:ascii="Arial" w:cs="Arial" w:eastAsia="Arial" w:hAnsi="Arial"/>
          <w:sz w:val="18"/>
          <w:szCs w:val="18"/>
          <w:color w:val="auto"/>
        </w:rPr>
      </w:pPr>
    </w:p>
    <w:p>
      <w:pPr>
        <w:ind w:left="720" w:hanging="1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 million</w:t>
      </w:r>
    </w:p>
    <w:p>
      <w:pPr>
        <w:spacing w:after="0" w:line="209" w:lineRule="exact"/>
        <w:rPr>
          <w:sz w:val="20"/>
          <w:szCs w:val="20"/>
          <w:color w:val="auto"/>
        </w:rPr>
      </w:pPr>
    </w:p>
    <w:p>
      <w:pPr>
        <w:ind w:right="200" w:firstLine="646"/>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calendar quarter exceeds $3.4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Alternative 3: Decrease in the Company’s net assets as a result of dividend distribution during the 2</w:t>
      </w:r>
      <w:r>
        <w:rPr>
          <w:rFonts w:ascii="Arial" w:cs="Arial" w:eastAsia="Arial" w:hAnsi="Arial"/>
          <w:sz w:val="25"/>
          <w:szCs w:val="25"/>
          <w:b w:val="1"/>
          <w:bCs w:val="1"/>
          <w:u w:val="single" w:color="auto"/>
          <w:color w:val="auto"/>
          <w:vertAlign w:val="superscript"/>
        </w:rPr>
        <w:t>nd</w:t>
      </w:r>
      <w:r>
        <w:rPr>
          <w:rFonts w:ascii="Arial" w:cs="Arial" w:eastAsia="Arial" w:hAnsi="Arial"/>
          <w:sz w:val="18"/>
          <w:szCs w:val="18"/>
          <w:b w:val="1"/>
          <w:bCs w:val="1"/>
          <w:u w:val="single" w:color="auto"/>
          <w:color w:val="auto"/>
        </w:rPr>
        <w:t xml:space="preserve"> Quarter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168" w:lineRule="exact"/>
        <w:rPr>
          <w:sz w:val="20"/>
          <w:szCs w:val="20"/>
          <w:color w:val="auto"/>
        </w:rPr>
      </w:pPr>
    </w:p>
    <w:p>
      <w:pPr>
        <w:ind w:left="660" w:hanging="14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does not draw any capital from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4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makes a $50 million dividend distribution to its investors on May 15, 2012</w:t>
      </w:r>
    </w:p>
    <w:p>
      <w:pPr>
        <w:spacing w:after="0" w:line="6" w:lineRule="exact"/>
        <w:rPr>
          <w:rFonts w:ascii="Arial" w:cs="Arial" w:eastAsia="Arial" w:hAnsi="Arial"/>
          <w:sz w:val="18"/>
          <w:szCs w:val="18"/>
          <w:color w:val="auto"/>
        </w:rPr>
      </w:pPr>
    </w:p>
    <w:p>
      <w:pPr>
        <w:ind w:left="660" w:hanging="14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of the Company’s net assets of June 30, 2012: $150 million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652780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583"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December [22],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3a: Current Advisory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 * $$150 million</w:t>
      </w:r>
    </w:p>
    <w:p>
      <w:pPr>
        <w:spacing w:after="0" w:line="8" w:lineRule="exact"/>
        <w:rPr>
          <w:rFonts w:ascii="Arial" w:cs="Arial" w:eastAsia="Arial" w:hAnsi="Arial"/>
          <w:sz w:val="18"/>
          <w:szCs w:val="18"/>
          <w:color w:val="auto"/>
        </w:rPr>
      </w:pPr>
    </w:p>
    <w:p>
      <w:pPr>
        <w:ind w:left="720" w:hanging="1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 million</w:t>
      </w:r>
    </w:p>
    <w:p>
      <w:pPr>
        <w:spacing w:after="0" w:line="200" w:lineRule="exact"/>
        <w:rPr>
          <w:sz w:val="20"/>
          <w:szCs w:val="20"/>
          <w:color w:val="auto"/>
        </w:rPr>
      </w:pPr>
    </w:p>
    <w:p>
      <w:pPr>
        <w:spacing w:after="0" w:line="225" w:lineRule="exact"/>
        <w:rPr>
          <w:sz w:val="20"/>
          <w:szCs w:val="20"/>
          <w:color w:val="auto"/>
        </w:rPr>
      </w:pPr>
    </w:p>
    <w:p>
      <w:pPr>
        <w:ind w:firstLine="646"/>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$2.3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3b: Amended Advisory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 * $174.2 million</w:t>
      </w:r>
    </w:p>
    <w:p>
      <w:pPr>
        <w:spacing w:after="0" w:line="6" w:lineRule="exact"/>
        <w:rPr>
          <w:rFonts w:ascii="Arial" w:cs="Arial" w:eastAsia="Arial" w:hAnsi="Arial"/>
          <w:sz w:val="18"/>
          <w:szCs w:val="18"/>
          <w:color w:val="auto"/>
        </w:rPr>
      </w:pPr>
    </w:p>
    <w:p>
      <w:pPr>
        <w:ind w:left="720" w:hanging="1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 million</w:t>
      </w:r>
    </w:p>
    <w:p>
      <w:pPr>
        <w:spacing w:after="0" w:line="209" w:lineRule="exact"/>
        <w:rPr>
          <w:sz w:val="20"/>
          <w:szCs w:val="20"/>
          <w:color w:val="auto"/>
        </w:rPr>
      </w:pPr>
    </w:p>
    <w:p>
      <w:pPr>
        <w:ind w:right="200" w:firstLine="646"/>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$2.6 million.</w:t>
      </w:r>
    </w:p>
    <w:p>
      <w:pPr>
        <w:spacing w:after="0"/>
        <w:rPr>
          <w:sz w:val="20"/>
          <w:szCs w:val="20"/>
          <w:color w:val="auto"/>
        </w:rPr>
      </w:pPr>
      <w:r>
        <w:rPr>
          <w:rFonts w:ascii="Arial" w:cs="Arial" w:eastAsia="Arial" w:hAnsi="Arial"/>
          <w:sz w:val="18"/>
          <w:szCs w:val="18"/>
          <w:color w:val="auto"/>
        </w:rPr>
        <w:t>_________________</w:t>
      </w:r>
    </w:p>
    <w:p>
      <w:pPr>
        <w:spacing w:after="0" w:line="209" w:lineRule="exact"/>
        <w:rPr>
          <w:sz w:val="20"/>
          <w:szCs w:val="20"/>
          <w:color w:val="auto"/>
        </w:rPr>
      </w:pPr>
    </w:p>
    <w:p>
      <w:pPr>
        <w:ind w:right="40" w:firstLine="8"/>
        <w:spacing w:after="0" w:line="255"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This hypothetical example is included solely for the purpose of comparing the hurdle calculation under the Current Advisory Agreement and the Amended Advisory Agreement and does not reflect the Company’s current expectations, estimates or projections about the Company, its portfolio investments or future performance.</w:t>
      </w:r>
    </w:p>
    <w:p>
      <w:pPr>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This example assumes that no IPO of the Company’s common stock has occurred.</w:t>
      </w:r>
    </w:p>
    <w:p>
      <w:pPr>
        <w:spacing w:after="0" w:line="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Represents 6.0% annualized hurdle rate</w:t>
      </w:r>
    </w:p>
    <w:p>
      <w:pPr>
        <w:spacing w:after="0" w:line="8" w:lineRule="exact"/>
        <w:rPr>
          <w:rFonts w:ascii="Arial" w:cs="Arial" w:eastAsia="Arial" w:hAnsi="Arial"/>
          <w:sz w:val="18"/>
          <w:szCs w:val="18"/>
          <w:color w:val="auto"/>
        </w:rPr>
      </w:pPr>
    </w:p>
    <w:p>
      <w:pPr>
        <w:ind w:right="660"/>
        <w:spacing w:after="0" w:line="249" w:lineRule="auto"/>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Assumes that the only changes to the value of the Company’s net assets since March 31, 2012 are those resulting from any capital drawn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investors and/or any distributions by the Company as described in the relevant alternative</w:t>
      </w:r>
    </w:p>
    <w:p>
      <w:pPr>
        <w:spacing w:after="0" w:line="1" w:lineRule="exact"/>
        <w:rPr>
          <w:rFonts w:ascii="Arial" w:cs="Arial" w:eastAsia="Arial" w:hAnsi="Arial"/>
          <w:sz w:val="18"/>
          <w:szCs w:val="18"/>
          <w:color w:val="auto"/>
        </w:rPr>
      </w:pPr>
    </w:p>
    <w:p>
      <w:pPr>
        <w:ind w:right="100"/>
        <w:spacing w:after="0" w:line="206" w:lineRule="auto"/>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Equals the average daily value throughout the 2</w:t>
      </w:r>
      <w:r>
        <w:rPr>
          <w:rFonts w:ascii="Arial" w:cs="Arial" w:eastAsia="Arial" w:hAnsi="Arial"/>
          <w:sz w:val="25"/>
          <w:szCs w:val="25"/>
          <w:i w:val="1"/>
          <w:i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i w:val="1"/>
          <w:iCs w:val="1"/>
          <w:color w:val="auto"/>
        </w:rPr>
        <w:t>Quarter of (i) the Company’s net assets of March 31, 2012</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w:t>
      </w:r>
      <w:r>
        <w:rPr>
          <w:rFonts w:ascii="Arial" w:cs="Arial" w:eastAsia="Arial" w:hAnsi="Arial"/>
          <w:sz w:val="18"/>
          <w:szCs w:val="18"/>
          <w:i w:val="1"/>
          <w:iCs w:val="1"/>
          <w:color w:val="auto"/>
        </w:rPr>
        <w:t>(ii) the aggregate amount of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drawn from the Company’s investors since the beginning of the 2</w:t>
      </w:r>
      <w:r>
        <w:rPr>
          <w:rFonts w:ascii="Arial" w:cs="Arial" w:eastAsia="Arial" w:hAnsi="Arial"/>
          <w:sz w:val="25"/>
          <w:szCs w:val="25"/>
          <w:i w:val="1"/>
          <w:iCs w:val="1"/>
          <w:color w:val="auto"/>
          <w:vertAlign w:val="superscript"/>
        </w:rPr>
        <w:t>nd</w:t>
      </w:r>
      <w:r>
        <w:rPr>
          <w:rFonts w:ascii="Arial" w:cs="Arial" w:eastAsia="Arial" w:hAnsi="Arial"/>
          <w:sz w:val="18"/>
          <w:szCs w:val="18"/>
          <w:i w:val="1"/>
          <w:iCs w:val="1"/>
          <w:color w:val="auto"/>
        </w:rPr>
        <w:t xml:space="preserve"> Quarter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(iii) the aggregate amount of distributions made by the Company since the beginning of the 2</w:t>
      </w:r>
      <w:r>
        <w:rPr>
          <w:rFonts w:ascii="Arial" w:cs="Arial" w:eastAsia="Arial" w:hAnsi="Arial"/>
          <w:sz w:val="25"/>
          <w:szCs w:val="25"/>
          <w:i w:val="1"/>
          <w:iCs w:val="1"/>
          <w:color w:val="auto"/>
          <w:vertAlign w:val="superscript"/>
        </w:rPr>
        <w:t>nd</w:t>
      </w:r>
      <w:r>
        <w:rPr>
          <w:rFonts w:ascii="Arial" w:cs="Arial" w:eastAsia="Arial" w:hAnsi="Arial"/>
          <w:sz w:val="18"/>
          <w:szCs w:val="18"/>
          <w:i w:val="1"/>
          <w:iCs w:val="1"/>
          <w:color w:val="auto"/>
        </w:rPr>
        <w:t xml:space="preserv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587375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7"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December [22],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compares the hurdle calculations provided in the three alternatives.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426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8"/>
                <w:szCs w:val="18"/>
                <w:color w:val="auto"/>
              </w:rPr>
              <w:t>Alternative</w:t>
            </w:r>
          </w:p>
        </w:tc>
        <w:tc>
          <w:tcPr>
            <w:tcW w:w="31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Hurdle Under Current Advisory</w:t>
            </w:r>
          </w:p>
        </w:tc>
        <w:tc>
          <w:tcPr>
            <w:tcW w:w="3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Hurdle Under Amended Advisory Agreement</w:t>
            </w:r>
          </w:p>
        </w:tc>
      </w:tr>
      <w:tr>
        <w:trPr>
          <w:trHeight w:val="230"/>
        </w:trPr>
        <w:tc>
          <w:tcPr>
            <w:tcW w:w="42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0"/>
              </w:rPr>
              <w:t>Agreement</w:t>
            </w:r>
          </w:p>
        </w:tc>
        <w:tc>
          <w:tcPr>
            <w:tcW w:w="10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r>
      <w:tr>
        <w:trPr>
          <w:trHeight w:val="37"/>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r>
      <w:tr>
        <w:trPr>
          <w:trHeight w:val="238"/>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Alternative 1 – No increase or decrease in the Company’s</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$3.0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$3.0 million</w:t>
            </w:r>
          </w:p>
        </w:tc>
      </w:tr>
      <w:tr>
        <w:trPr>
          <w:trHeight w:val="215"/>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 assets as a result of capital draws or dividend</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r>
      <w:tr>
        <w:trPr>
          <w:trHeight w:val="257"/>
        </w:trPr>
        <w:tc>
          <w:tcPr>
            <w:tcW w:w="4260" w:type="dxa"/>
            <w:vAlign w:val="bottom"/>
            <w:tcBorders>
              <w:left w:val="single" w:sz="8" w:color="auto"/>
              <w:bottom w:val="single" w:sz="8" w:color="auto"/>
              <w:right w:val="single" w:sz="8" w:color="auto"/>
            </w:tcBorders>
          </w:tcPr>
          <w:p>
            <w:pPr>
              <w:ind w:left="60"/>
              <w:spacing w:after="0" w:line="257" w:lineRule="exact"/>
              <w:rPr>
                <w:sz w:val="20"/>
                <w:szCs w:val="20"/>
                <w:color w:val="auto"/>
              </w:rPr>
            </w:pPr>
            <w:r>
              <w:rPr>
                <w:rFonts w:ascii="Arial" w:cs="Arial" w:eastAsia="Arial" w:hAnsi="Arial"/>
                <w:sz w:val="18"/>
                <w:szCs w:val="18"/>
                <w:color w:val="auto"/>
              </w:rPr>
              <w:t>distributions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235"/>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Alternative 2 – Increase in the Company’s net assets as a</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$3.8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$3.4 million</w:t>
            </w:r>
          </w:p>
        </w:tc>
      </w:tr>
      <w:tr>
        <w:trPr>
          <w:trHeight w:val="215"/>
        </w:trPr>
        <w:tc>
          <w:tcPr>
            <w:tcW w:w="426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17"/>
                <w:szCs w:val="17"/>
                <w:color w:val="auto"/>
              </w:rPr>
              <w:t>result of capital drawn from investors during the 2</w:t>
            </w:r>
            <w:r>
              <w:rPr>
                <w:rFonts w:ascii="Arial" w:cs="Arial" w:eastAsia="Arial" w:hAnsi="Arial"/>
                <w:sz w:val="24"/>
                <w:szCs w:val="24"/>
                <w:color w:val="auto"/>
                <w:vertAlign w:val="superscript"/>
              </w:rPr>
              <w:t>nd</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r>
      <w:tr>
        <w:trPr>
          <w:trHeight w:val="230"/>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5"/>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9"/>
              </w:rPr>
              <w:t>Alternative 3 – Decrease in the Company’s net assets as a</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$2.3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$2.6 million</w:t>
            </w:r>
          </w:p>
        </w:tc>
      </w:tr>
      <w:tr>
        <w:trPr>
          <w:trHeight w:val="257"/>
        </w:trPr>
        <w:tc>
          <w:tcPr>
            <w:tcW w:w="4260" w:type="dxa"/>
            <w:vAlign w:val="bottom"/>
            <w:tcBorders>
              <w:left w:val="single" w:sz="8" w:color="auto"/>
              <w:bottom w:val="single" w:sz="8" w:color="auto"/>
              <w:right w:val="single" w:sz="8" w:color="auto"/>
            </w:tcBorders>
          </w:tcPr>
          <w:p>
            <w:pPr>
              <w:ind w:left="60"/>
              <w:spacing w:after="0" w:line="257" w:lineRule="exact"/>
              <w:rPr>
                <w:sz w:val="20"/>
                <w:szCs w:val="20"/>
                <w:color w:val="auto"/>
              </w:rPr>
            </w:pPr>
            <w:r>
              <w:rPr>
                <w:rFonts w:ascii="Arial" w:cs="Arial" w:eastAsia="Arial" w:hAnsi="Arial"/>
                <w:sz w:val="18"/>
                <w:szCs w:val="18"/>
                <w:color w:val="auto"/>
              </w:rPr>
              <w:t>result of dividend distribution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424"/>
        </w:trPr>
        <w:tc>
          <w:tcPr>
            <w:tcW w:w="42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authorized us to acknowledge on its behalf that: (1) it is responsible for the adequacy and accuracy of the disclosures in its filing;</w:t>
      </w:r>
    </w:p>
    <w:p>
      <w:pPr>
        <w:spacing w:after="0" w:line="46" w:lineRule="exact"/>
        <w:rPr>
          <w:sz w:val="20"/>
          <w:szCs w:val="20"/>
          <w:color w:val="auto"/>
        </w:rPr>
      </w:pPr>
    </w:p>
    <w:p>
      <w:pPr>
        <w:ind w:right="100" w:firstLine="8"/>
        <w:spacing w:after="0" w:line="25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SEC from taking any action with respect to the filing; and (3) it may not assert Staff’s comments as a defense in any proceeding initiated by the Commission or any person under the federal securities laws of the United States.</w:t>
      </w:r>
    </w:p>
    <w:p>
      <w:pPr>
        <w:spacing w:after="0" w:line="217"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In addition, the Company has authorized us to acknowledge that the Division of Enforcement of the SEC has access to all information provided to the Staff in connection with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or additional comments concerning the foregoing, please contact the undersigned at (202) 383-0176.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576580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December [22],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Sincerely,</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Steven B. Boehm</w:t>
      </w:r>
    </w:p>
    <w:p>
      <w:pPr>
        <w:spacing w:after="0" w:line="251" w:lineRule="exact"/>
        <w:rPr>
          <w:sz w:val="20"/>
          <w:szCs w:val="20"/>
          <w:color w:val="auto"/>
        </w:rPr>
      </w:pPr>
    </w:p>
    <w:p>
      <w:pPr>
        <w:jc w:val="right"/>
        <w:ind w:right="3779"/>
        <w:spacing w:after="0"/>
        <w:rPr>
          <w:sz w:val="20"/>
          <w:szCs w:val="20"/>
          <w:color w:val="auto"/>
        </w:rPr>
      </w:pPr>
      <w:r>
        <w:rPr>
          <w:rFonts w:ascii="Arial" w:cs="Arial" w:eastAsia="Arial" w:hAnsi="Arial"/>
          <w:sz w:val="18"/>
          <w:szCs w:val="18"/>
          <w:color w:val="auto"/>
        </w:rPr>
        <w:t>Steven B. Boehm</w:t>
      </w:r>
    </w:p>
    <w:p>
      <w:pPr>
        <w:spacing w:after="0" w:line="251" w:lineRule="exact"/>
        <w:rPr>
          <w:sz w:val="20"/>
          <w:szCs w:val="20"/>
          <w:color w:val="auto"/>
        </w:rPr>
      </w:pPr>
    </w:p>
    <w:p>
      <w:pPr>
        <w:ind w:left="820" w:right="5939" w:hanging="812"/>
        <w:spacing w:after="0" w:line="290"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Joshua Easterly/ TPG Specialty Lending, Inc. David Stiepleman/ TPG Specialty Lending, Inc.</w:t>
      </w:r>
    </w:p>
    <w:p>
      <w:pPr>
        <w:ind w:left="820" w:right="4539"/>
        <w:spacing w:after="0" w:line="276" w:lineRule="auto"/>
        <w:rPr>
          <w:rFonts w:ascii="Arial" w:cs="Arial" w:eastAsia="Arial" w:hAnsi="Arial"/>
          <w:sz w:val="16"/>
          <w:szCs w:val="16"/>
          <w:color w:val="auto"/>
        </w:rPr>
      </w:pPr>
      <w:r>
        <w:rPr>
          <w:rFonts w:ascii="Arial" w:cs="Arial" w:eastAsia="Arial" w:hAnsi="Arial"/>
          <w:sz w:val="17"/>
          <w:szCs w:val="17"/>
          <w:color w:val="auto"/>
        </w:rPr>
        <w:t>Michael Gerstenzang, Esq./ Cleary Gottlieb Steen &amp; Hamilton LLP Adrian Leipsic, Esq./ Cleary Gottlieb Steen &amp; Hamilton LLP Anne Gray, Esq./ Sutherland Asbill &amp; Brennan LLP</w:t>
      </w:r>
    </w:p>
    <w:sectPr>
      <w:pgSz w:w="11900" w:h="16838" w:orient="portrait"/>
      <w:cols w:equalWidth="0" w:num="1">
        <w:col w:w="10219"/>
      </w:cols>
      <w:pgMar w:left="240" w:top="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2019-12-11T08:50:22Z</dcterms:created>
  <dcterms:modified xsi:type="dcterms:W3CDTF">2019-12-11T08:50:22Z</dcterms:modified>
</cp:coreProperties>
</file>