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9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60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814-00854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4500" w:type="dxa"/>
            <w:vAlign w:val="bottom"/>
          </w:tcPr>
          <w:p>
            <w:pPr>
              <w:jc w:val="center"/>
              <w:ind w:right="1922"/>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0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500" w:type="dxa"/>
            <w:vAlign w:val="bottom"/>
          </w:tcPr>
          <w:p>
            <w:pPr>
              <w:jc w:val="center"/>
              <w:ind w:right="1922"/>
              <w:spacing w:after="0"/>
              <w:rPr>
                <w:sz w:val="20"/>
                <w:szCs w:val="20"/>
                <w:color w:val="auto"/>
              </w:rPr>
            </w:pPr>
            <w:r>
              <w:rPr>
                <w:rFonts w:ascii="Arial" w:cs="Arial" w:eastAsia="Arial" w:hAnsi="Arial"/>
                <w:sz w:val="14"/>
                <w:szCs w:val="14"/>
                <w:b w:val="1"/>
                <w:bCs w:val="1"/>
                <w:color w:val="auto"/>
                <w:w w:val="89"/>
              </w:rPr>
              <w:t>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500" w:type="dxa"/>
            <w:vAlign w:val="bottom"/>
          </w:tcPr>
          <w:p>
            <w:pPr>
              <w:jc w:val="center"/>
              <w:ind w:right="1902"/>
              <w:spacing w:after="0"/>
              <w:rPr>
                <w:sz w:val="20"/>
                <w:szCs w:val="20"/>
                <w:color w:val="auto"/>
              </w:rPr>
            </w:pPr>
            <w:r>
              <w:rPr>
                <w:rFonts w:ascii="Arial" w:cs="Arial" w:eastAsia="Arial" w:hAnsi="Arial"/>
                <w:sz w:val="18"/>
                <w:szCs w:val="18"/>
                <w:b w:val="1"/>
                <w:bCs w:val="1"/>
                <w:color w:val="auto"/>
                <w:w w:val="87"/>
              </w:rPr>
              <w:t>301 Commerce Street, Suite 3300,</w:t>
            </w:r>
          </w:p>
        </w:tc>
        <w:tc>
          <w:tcPr>
            <w:tcW w:w="3040" w:type="dxa"/>
            <w:vAlign w:val="bottom"/>
          </w:tcPr>
          <w:p>
            <w:pPr>
              <w:spacing w:after="0"/>
              <w:rPr>
                <w:sz w:val="24"/>
                <w:szCs w:val="24"/>
                <w:color w:val="auto"/>
              </w:rPr>
            </w:pPr>
          </w:p>
        </w:tc>
      </w:tr>
      <w:tr>
        <w:trPr>
          <w:trHeight w:val="231"/>
        </w:trPr>
        <w:tc>
          <w:tcPr>
            <w:tcW w:w="4500" w:type="dxa"/>
            <w:vAlign w:val="bottom"/>
          </w:tcPr>
          <w:p>
            <w:pPr>
              <w:jc w:val="center"/>
              <w:ind w:right="1922"/>
              <w:spacing w:after="0"/>
              <w:rPr>
                <w:sz w:val="20"/>
                <w:szCs w:val="20"/>
                <w:color w:val="auto"/>
              </w:rPr>
            </w:pPr>
            <w:r>
              <w:rPr>
                <w:rFonts w:ascii="Arial" w:cs="Arial" w:eastAsia="Arial" w:hAnsi="Arial"/>
                <w:sz w:val="18"/>
                <w:szCs w:val="18"/>
                <w:b w:val="1"/>
                <w:bCs w:val="1"/>
                <w:color w:val="auto"/>
                <w:w w:val="94"/>
              </w:rPr>
              <w:t>Fort Worth, TX</w:t>
            </w:r>
          </w:p>
        </w:tc>
        <w:tc>
          <w:tcPr>
            <w:tcW w:w="304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500" w:type="dxa"/>
            <w:vAlign w:val="bottom"/>
          </w:tcPr>
          <w:p>
            <w:pPr>
              <w:jc w:val="center"/>
              <w:ind w:right="19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6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40" w:space="380"/>
            <w:col w:w="160" w:space="100"/>
            <w:col w:w="5960" w:space="720"/>
            <w:col w:w="1920" w:space="480"/>
            <w:col w:w="160"/>
          </w:cols>
          <w:pgMar w:left="240" w:top="230" w:right="239" w:bottom="1440" w:gutter="0" w:footer="0" w:header="0"/>
          <w:type w:val="continuous"/>
        </w:sectPr>
      </w:pPr>
    </w:p>
    <w:p>
      <w:pPr>
        <w:spacing w:after="0" w:line="184" w:lineRule="exact"/>
        <w:tabs>
          <w:tab w:leader="none" w:pos="9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10040" w:space="180"/>
            <w:col w:w="1200"/>
          </w:cols>
          <w:pgMar w:left="240" w:top="230"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the Registrant’s common stock, $.01 par value per share, outstanding at May 8, 2013 was 516,571.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FOR THE QUARTER ENDED MARCH 31, 2013</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20" w:type="dxa"/>
            <w:vAlign w:val="bottom"/>
            <w:gridSpan w:val="7"/>
            <w:vMerge w:val="restart"/>
          </w:tcPr>
          <w:p>
            <w:pPr>
              <w:ind w:left="480"/>
              <w:spacing w:after="0"/>
              <w:rPr>
                <w:sz w:val="20"/>
                <w:szCs w:val="20"/>
                <w:color w:val="auto"/>
              </w:rPr>
            </w:pPr>
            <w:r>
              <w:rPr>
                <w:rFonts w:ascii="Arial" w:cs="Arial" w:eastAsia="Arial" w:hAnsi="Arial"/>
                <w:sz w:val="14"/>
                <w:szCs w:val="14"/>
                <w:b w:val="1"/>
                <w:bCs w:val="1"/>
                <w:color w:val="auto"/>
              </w:rPr>
              <w:t>INDEX</w:t>
            </w:r>
          </w:p>
        </w:tc>
        <w:tc>
          <w:tcPr>
            <w:tcW w:w="200" w:type="dxa"/>
            <w:vAlign w:val="bottom"/>
            <w:vMerge w:val="restart"/>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20" w:type="dxa"/>
            <w:vAlign w:val="bottom"/>
            <w:tcBorders>
              <w:bottom w:val="single" w:sz="8" w:color="auto"/>
            </w:tcBorders>
            <w:gridSpan w:val="7"/>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64"/>
        </w:trPr>
        <w:tc>
          <w:tcPr>
            <w:tcW w:w="580" w:type="dxa"/>
            <w:vAlign w:val="bottom"/>
            <w:gridSpan w:val="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PART I.</w:t>
              </w:r>
            </w:hyperlink>
          </w:p>
        </w:tc>
        <w:tc>
          <w:tcPr>
            <w:tcW w:w="300" w:type="dxa"/>
            <w:vAlign w:val="bottom"/>
            <w:gridSpan w:val="2"/>
          </w:tcPr>
          <w:p>
            <w:pPr>
              <w:spacing w:after="0"/>
              <w:rPr>
                <w:sz w:val="22"/>
                <w:szCs w:val="22"/>
                <w:color w:val="auto"/>
              </w:rPr>
            </w:pPr>
          </w:p>
        </w:tc>
        <w:tc>
          <w:tcPr>
            <w:tcW w:w="100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300" w:type="dxa"/>
            <w:vAlign w:val="bottom"/>
            <w:gridSpan w:val="2"/>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Balance Sheets as of March 31, 2013 and December 31, 2012 (Unaudited)</w:t>
              </w:r>
            </w:hyperlink>
          </w:p>
        </w:tc>
        <w:tc>
          <w:tcPr>
            <w:tcW w:w="386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months ended March 31, 2013 and 2012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20" w:type="dxa"/>
            <w:vAlign w:val="bottom"/>
            <w:tcBorders>
              <w:top w:val="single" w:sz="8" w:color="0000EE"/>
            </w:tcBorders>
            <w:gridSpan w:val="16"/>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Consolidated Schedules of Investments as of March 31, 2013 and December 31, 2012 (Unaudited)</w:t>
              </w:r>
            </w:hyperlink>
          </w:p>
        </w:tc>
        <w:tc>
          <w:tcPr>
            <w:tcW w:w="264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4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Consolidated Statements of Changes in Net Assets for the three months ended March 31, 2013 and 2012 (Unaudited)</w:t>
              </w:r>
            </w:hyperlink>
          </w:p>
        </w:tc>
        <w:tc>
          <w:tcPr>
            <w:tcW w:w="182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8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Consolidated Statements of Cash Flows for the three months ended March 31, 2013 and 2012 (Unaudited)</w:t>
              </w:r>
            </w:hyperlink>
          </w:p>
        </w:tc>
        <w:tc>
          <w:tcPr>
            <w:tcW w:w="258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Notes to Consolidated Financial Statements (Unaudited)</w:t>
              </w:r>
            </w:hyperlink>
          </w:p>
        </w:tc>
        <w:tc>
          <w:tcPr>
            <w:tcW w:w="608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1006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60" w:type="dxa"/>
            <w:vAlign w:val="bottom"/>
            <w:tcBorders>
              <w:left w:val="single" w:sz="8" w:color="0000EE"/>
            </w:tcBorders>
            <w:gridSpan w:val="2"/>
            <w:shd w:val="clear" w:color="auto" w:fill="0000EE"/>
          </w:tcPr>
          <w:p>
            <w:pPr>
              <w:spacing w:after="0" w:line="20" w:lineRule="exact"/>
              <w:rPr>
                <w:sz w:val="1"/>
                <w:szCs w:val="1"/>
                <w:color w:val="auto"/>
              </w:rPr>
            </w:pPr>
          </w:p>
        </w:tc>
        <w:tc>
          <w:tcPr>
            <w:tcW w:w="376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3.</w:t>
              </w:r>
            </w:hyperlink>
          </w:p>
        </w:tc>
        <w:tc>
          <w:tcPr>
            <w:tcW w:w="1006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820" w:type="dxa"/>
            <w:vAlign w:val="bottom"/>
            <w:tcBorders>
              <w:left w:val="single" w:sz="8" w:color="0000EE"/>
            </w:tcBorders>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1006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PART II.</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Item 1A.</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3.</w:t>
              </w:r>
            </w:hyperlink>
          </w:p>
        </w:tc>
        <w:tc>
          <w:tcPr>
            <w:tcW w:w="100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778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100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32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5.</w:t>
              </w:r>
            </w:hyperlink>
          </w:p>
        </w:tc>
        <w:tc>
          <w:tcPr>
            <w:tcW w:w="100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78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w:t>
              </w:r>
            </w:hyperlink>
          </w:p>
        </w:tc>
        <w:tc>
          <w:tcPr>
            <w:tcW w:w="1006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60" w:type="dxa"/>
            <w:vAlign w:val="bottom"/>
            <w:gridSpan w:val="1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40" w:type="dxa"/>
            <w:vAlign w:val="bottom"/>
            <w:gridSpan w:val="2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3"/>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gridSpan w:val="2"/>
          </w:tcPr>
          <w:p>
            <w:pPr>
              <w:spacing w:after="0"/>
              <w:rPr>
                <w:sz w:val="24"/>
                <w:szCs w:val="24"/>
                <w:color w:val="auto"/>
              </w:rPr>
            </w:pPr>
          </w:p>
        </w:tc>
        <w:tc>
          <w:tcPr>
            <w:tcW w:w="6000" w:type="dxa"/>
            <w:vAlign w:val="bottom"/>
            <w:gridSpan w:val="11"/>
          </w:tcPr>
          <w:p>
            <w:pPr>
              <w:jc w:val="right"/>
              <w:ind w:right="12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(the “SEC”), the following factors, among others, could cause actual results to differ materially from forward-looking statements or historical performance:</w:t>
      </w:r>
    </w:p>
    <w:p>
      <w:pPr>
        <w:spacing w:after="0" w:line="59" w:lineRule="exact"/>
        <w:rPr>
          <w:sz w:val="20"/>
          <w:szCs w:val="20"/>
          <w:color w:val="auto"/>
        </w:rPr>
      </w:pPr>
    </w:p>
    <w:p>
      <w:pPr>
        <w:ind w:left="900" w:right="4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such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sections entitled “Risk Factors” in this report and in our Annual Report on Form 10-K for the year ended December 31, 2012, filed with the SEC on March 15, 2013, as amended, and elsewhere in our filings with the SEC.</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(the “1934 Act”), which preclude civil liability for certain forward-looking statements, do not apply to the forward-looking statements in this report because we are an investment company.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this Quarterly Report, “Company”, “TSL”, “we”, “us” and “our” refer to TPG Specialty Lending, Inc. and its consolidated subsidiaries unless the context states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March 31, 2013</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Non-controlled, non-affiliated investments (amortized cost of $614,822 and $644,421, respectively)</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626,293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164,666</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2,998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11,194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Assets</w:t>
            </w: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805,151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7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263,655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1,532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4,359</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13,000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Other liabilities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2,110</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285,806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353,346</w:t>
            </w:r>
          </w:p>
        </w:tc>
        <w:tc>
          <w:tcPr>
            <w:tcW w:w="0" w:type="dxa"/>
            <w:vAlign w:val="bottom"/>
          </w:tcPr>
          <w:p>
            <w:pPr>
              <w:spacing w:after="0"/>
              <w:rPr>
                <w:sz w:val="1"/>
                <w:szCs w:val="1"/>
                <w:color w:val="auto"/>
              </w:rPr>
            </w:pPr>
          </w:p>
        </w:tc>
      </w:tr>
      <w:tr>
        <w:trPr>
          <w:trHeight w:val="221"/>
        </w:trPr>
        <w:tc>
          <w:tcPr>
            <w:tcW w:w="8020" w:type="dxa"/>
            <w:vAlign w:val="bottom"/>
            <w:gridSpan w:val="2"/>
          </w:tcPr>
          <w:p>
            <w:pPr>
              <w:spacing w:after="0"/>
              <w:rPr>
                <w:sz w:val="20"/>
                <w:szCs w:val="20"/>
                <w:color w:val="auto"/>
              </w:rPr>
            </w:pPr>
            <w:r>
              <w:rPr>
                <w:rFonts w:ascii="Arial" w:cs="Arial" w:eastAsia="Arial" w:hAnsi="Arial"/>
                <w:sz w:val="18"/>
                <w:szCs w:val="18"/>
                <w:color w:val="auto"/>
              </w:rPr>
              <w:t>Commitments and contingencies (Note 7)</w:t>
            </w: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8"/>
              </w:rPr>
              <w:t>Common stock, $0.01 par value; 100,000,000 shares authorized; 511,020 and 474,677 shares issued,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 and 510,021 and 473,678 shares outstanding, respectively</w:t>
            </w: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506,787</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469,709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999 shares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(907)</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11,471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Undistributed net realized gains on investments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1,990</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Net Assets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519,345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805,151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6"/>
              </w:rPr>
              <w:t>1,018.28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94"/>
              </w:rPr>
              <w:t>March 31, 2013</w:t>
            </w:r>
          </w:p>
        </w:tc>
        <w:tc>
          <w:tcPr>
            <w:tcW w:w="1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March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20,624</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non-affiliated investments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20,802</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120" w:type="dxa"/>
            <w:vAlign w:val="bottom"/>
          </w:tcPr>
          <w:p>
            <w:pPr>
              <w:spacing w:after="0"/>
              <w:rPr>
                <w:sz w:val="18"/>
                <w:szCs w:val="18"/>
                <w:color w:val="auto"/>
              </w:rPr>
            </w:pPr>
          </w:p>
        </w:tc>
        <w:tc>
          <w:tcPr>
            <w:tcW w:w="214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affiliated investments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20,802</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6,974</w:t>
            </w:r>
          </w:p>
        </w:tc>
        <w:tc>
          <w:tcPr>
            <w:tcW w:w="0" w:type="dxa"/>
            <w:vAlign w:val="bottom"/>
          </w:tcPr>
          <w:p>
            <w:pPr>
              <w:spacing w:after="0"/>
              <w:rPr>
                <w:sz w:val="1"/>
                <w:szCs w:val="1"/>
                <w:color w:val="auto"/>
              </w:rPr>
            </w:pPr>
          </w:p>
        </w:tc>
      </w:tr>
      <w:tr>
        <w:trPr>
          <w:trHeight w:val="221"/>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Management fees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3,016</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582</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Management fees waived (Note 3)</w:t>
            </w:r>
          </w:p>
        </w:tc>
        <w:tc>
          <w:tcPr>
            <w:tcW w:w="120" w:type="dxa"/>
            <w:vAlign w:val="bottom"/>
          </w:tcPr>
          <w:p>
            <w:pPr>
              <w:spacing w:after="0"/>
              <w:rPr>
                <w:sz w:val="20"/>
                <w:szCs w:val="20"/>
                <w:color w:val="auto"/>
              </w:rPr>
            </w:pPr>
          </w:p>
        </w:tc>
        <w:tc>
          <w:tcPr>
            <w:tcW w:w="2140" w:type="dxa"/>
            <w:vAlign w:val="bottom"/>
            <w:gridSpan w:val="2"/>
          </w:tcPr>
          <w:p>
            <w:pPr>
              <w:jc w:val="right"/>
              <w:ind w:right="960"/>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Net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0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13,110</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13,106</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Gains on Investments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120" w:type="dxa"/>
            <w:vAlign w:val="bottom"/>
          </w:tcPr>
          <w:p>
            <w:pPr>
              <w:spacing w:after="0"/>
              <w:rPr>
                <w:sz w:val="18"/>
                <w:szCs w:val="18"/>
                <w:color w:val="auto"/>
              </w:rPr>
            </w:pPr>
          </w:p>
        </w:tc>
        <w:tc>
          <w:tcPr>
            <w:tcW w:w="214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Net Gains on Investments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ind w:left="128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15,461</w:t>
            </w:r>
          </w:p>
        </w:tc>
        <w:tc>
          <w:tcPr>
            <w:tcW w:w="10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Schedule of Investments as of March 31,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1"/>
              </w:rPr>
              <w:t>Company (1)</w:t>
            </w:r>
          </w:p>
        </w:tc>
        <w:tc>
          <w:tcPr>
            <w:tcW w:w="3120" w:type="dxa"/>
            <w:vAlign w:val="bottom"/>
            <w:vMerge w:val="restart"/>
          </w:tcPr>
          <w:p>
            <w:pPr>
              <w:spacing w:after="0"/>
              <w:rPr>
                <w:sz w:val="14"/>
                <w:szCs w:val="14"/>
                <w:color w:val="auto"/>
              </w:rPr>
            </w:pPr>
          </w:p>
        </w:tc>
        <w:tc>
          <w:tcPr>
            <w:tcW w:w="12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Industry</w:t>
            </w:r>
          </w:p>
        </w:tc>
        <w:tc>
          <w:tcPr>
            <w:tcW w:w="160" w:type="dxa"/>
            <w:vAlign w:val="bottom"/>
          </w:tcPr>
          <w:p>
            <w:pPr>
              <w:spacing w:after="0"/>
              <w:rPr>
                <w:sz w:val="14"/>
                <w:szCs w:val="14"/>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Acquisition</w:t>
            </w: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Amortized</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3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6"/>
              </w:rPr>
              <w:t>Interest</w:t>
            </w:r>
          </w:p>
        </w:tc>
        <w:tc>
          <w:tcPr>
            <w:tcW w:w="134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5"/>
              </w:rPr>
              <w:t>Date</w:t>
            </w:r>
          </w:p>
        </w:tc>
        <w:tc>
          <w:tcPr>
            <w:tcW w:w="90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8"/>
              </w:rPr>
              <w:t>Cost (2)</w:t>
            </w:r>
          </w:p>
        </w:tc>
        <w:tc>
          <w:tcPr>
            <w:tcW w:w="8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5"/>
        </w:trPr>
        <w:tc>
          <w:tcPr>
            <w:tcW w:w="392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AFS Technologies, Inc. (3)(4)</w:t>
            </w:r>
          </w:p>
        </w:tc>
        <w:tc>
          <w:tcPr>
            <w:tcW w:w="12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Software</w:t>
            </w:r>
          </w:p>
        </w:tc>
        <w:tc>
          <w:tcPr>
            <w:tcW w:w="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9"/>
              </w:rPr>
              <w:t>Senior secured</w:t>
            </w: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provider for</w:t>
            </w:r>
          </w:p>
        </w:tc>
        <w:tc>
          <w:tcPr>
            <w:tcW w:w="1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loan ($46,261</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food and</w:t>
            </w:r>
          </w:p>
        </w:tc>
        <w:tc>
          <w:tcPr>
            <w:tcW w:w="1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beverage</w:t>
            </w:r>
          </w:p>
        </w:tc>
        <w:tc>
          <w:tcPr>
            <w:tcW w:w="1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8/2015)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companies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8/31/2011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45,452</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46,146</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8"/>
        </w:trPr>
        <w:tc>
          <w:tcPr>
            <w:tcW w:w="3920" w:type="dxa"/>
            <w:vAlign w:val="bottom"/>
            <w:gridSpan w:val="2"/>
          </w:tcPr>
          <w:p>
            <w:pPr>
              <w:spacing w:after="0"/>
              <w:rPr>
                <w:sz w:val="20"/>
                <w:szCs w:val="20"/>
                <w:color w:val="auto"/>
              </w:rPr>
            </w:pPr>
            <w:r>
              <w:rPr>
                <w:rFonts w:ascii="Arial" w:cs="Arial" w:eastAsia="Arial" w:hAnsi="Arial"/>
                <w:sz w:val="18"/>
                <w:szCs w:val="18"/>
                <w:color w:val="auto"/>
              </w:rPr>
              <w:t>Ecommerce Industries, Inc. (3)(4)</w:t>
            </w:r>
          </w:p>
        </w:tc>
        <w:tc>
          <w:tcPr>
            <w:tcW w:w="1200" w:type="dxa"/>
            <w:vAlign w:val="bottom"/>
          </w:tcPr>
          <w:p>
            <w:pPr>
              <w:spacing w:after="0"/>
              <w:rPr>
                <w:sz w:val="20"/>
                <w:szCs w:val="20"/>
                <w:color w:val="auto"/>
              </w:rPr>
            </w:pPr>
            <w:r>
              <w:rPr>
                <w:rFonts w:ascii="Arial" w:cs="Arial" w:eastAsia="Arial" w:hAnsi="Arial"/>
                <w:sz w:val="18"/>
                <w:szCs w:val="18"/>
                <w:color w:val="auto"/>
              </w:rPr>
              <w:t>ERP and</w:t>
            </w:r>
          </w:p>
        </w:tc>
        <w:tc>
          <w:tcPr>
            <w:tcW w:w="1420" w:type="dxa"/>
            <w:vAlign w:val="bottom"/>
            <w:gridSpan w:val="3"/>
          </w:tcPr>
          <w:p>
            <w:pPr>
              <w:ind w:left="160"/>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eCommerce</w:t>
            </w:r>
          </w:p>
        </w:tc>
        <w:tc>
          <w:tcPr>
            <w:tcW w:w="1420" w:type="dxa"/>
            <w:vAlign w:val="bottom"/>
            <w:gridSpan w:val="3"/>
          </w:tcPr>
          <w:p>
            <w:pPr>
              <w:ind w:left="160"/>
              <w:spacing w:after="0"/>
              <w:rPr>
                <w:sz w:val="20"/>
                <w:szCs w:val="20"/>
                <w:color w:val="auto"/>
              </w:rPr>
            </w:pPr>
            <w:r>
              <w:rPr>
                <w:rFonts w:ascii="Arial" w:cs="Arial" w:eastAsia="Arial" w:hAnsi="Arial"/>
                <w:sz w:val="18"/>
                <w:szCs w:val="18"/>
                <w:color w:val="auto"/>
              </w:rPr>
              <w:t>loan ($21,275</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systems</w:t>
            </w:r>
          </w:p>
        </w:tc>
        <w:tc>
          <w:tcPr>
            <w:tcW w:w="1420" w:type="dxa"/>
            <w:vAlign w:val="bottom"/>
            <w:gridSpan w:val="3"/>
          </w:tcPr>
          <w:p>
            <w:pPr>
              <w:ind w:left="160"/>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software</w:t>
            </w: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10/2016)</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10/17/2011</w:t>
            </w:r>
          </w:p>
        </w:tc>
        <w:tc>
          <w:tcPr>
            <w:tcW w:w="620" w:type="dxa"/>
            <w:vAlign w:val="bottom"/>
          </w:tcPr>
          <w:p>
            <w:pPr>
              <w:jc w:val="right"/>
              <w:spacing w:after="0"/>
              <w:rPr>
                <w:sz w:val="20"/>
                <w:szCs w:val="20"/>
                <w:color w:val="auto"/>
              </w:rPr>
            </w:pPr>
            <w:r>
              <w:rPr>
                <w:rFonts w:ascii="Arial" w:cs="Arial" w:eastAsia="Arial" w:hAnsi="Arial"/>
                <w:sz w:val="18"/>
                <w:szCs w:val="18"/>
                <w:color w:val="auto"/>
              </w:rPr>
              <w:t>21,018</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21,701</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MSC.Software Corporation (3)(4)</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Multidiscipline</w:t>
            </w:r>
          </w:p>
        </w:tc>
        <w:tc>
          <w:tcPr>
            <w:tcW w:w="1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secured</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simulation</w:t>
            </w:r>
          </w:p>
        </w:tc>
        <w:tc>
          <w:tcPr>
            <w:tcW w:w="1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loan ($55,562</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11/2017)</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12/23/2011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54,775</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55,562</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8"/>
        </w:trPr>
        <w:tc>
          <w:tcPr>
            <w:tcW w:w="3920" w:type="dxa"/>
            <w:vAlign w:val="bottom"/>
            <w:gridSpan w:val="2"/>
          </w:tcPr>
          <w:p>
            <w:pPr>
              <w:spacing w:after="0"/>
              <w:rPr>
                <w:sz w:val="20"/>
                <w:szCs w:val="20"/>
                <w:color w:val="auto"/>
              </w:rPr>
            </w:pPr>
            <w:r>
              <w:rPr>
                <w:rFonts w:ascii="Arial" w:cs="Arial" w:eastAsia="Arial" w:hAnsi="Arial"/>
                <w:sz w:val="18"/>
                <w:szCs w:val="18"/>
                <w:color w:val="auto"/>
              </w:rPr>
              <w:t>Mannington Mills, Inc. (3)(4)</w:t>
            </w:r>
          </w:p>
        </w:tc>
        <w:tc>
          <w:tcPr>
            <w:tcW w:w="1200" w:type="dxa"/>
            <w:vAlign w:val="bottom"/>
          </w:tcPr>
          <w:p>
            <w:pPr>
              <w:spacing w:after="0"/>
              <w:rPr>
                <w:sz w:val="20"/>
                <w:szCs w:val="20"/>
                <w:color w:val="auto"/>
              </w:rPr>
            </w:pPr>
            <w:r>
              <w:rPr>
                <w:rFonts w:ascii="Arial" w:cs="Arial" w:eastAsia="Arial" w:hAnsi="Arial"/>
                <w:sz w:val="18"/>
                <w:szCs w:val="18"/>
                <w:color w:val="auto"/>
                <w:w w:val="90"/>
              </w:rPr>
              <w:t>Commercial and</w:t>
            </w:r>
          </w:p>
        </w:tc>
        <w:tc>
          <w:tcPr>
            <w:tcW w:w="1420" w:type="dxa"/>
            <w:vAlign w:val="bottom"/>
            <w:gridSpan w:val="3"/>
          </w:tcPr>
          <w:p>
            <w:pPr>
              <w:ind w:left="160"/>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residential</w:t>
            </w:r>
          </w:p>
        </w:tc>
        <w:tc>
          <w:tcPr>
            <w:tcW w:w="1420" w:type="dxa"/>
            <w:vAlign w:val="bottom"/>
            <w:gridSpan w:val="3"/>
          </w:tcPr>
          <w:p>
            <w:pPr>
              <w:ind w:left="160"/>
              <w:spacing w:after="0"/>
              <w:rPr>
                <w:sz w:val="20"/>
                <w:szCs w:val="20"/>
                <w:color w:val="auto"/>
              </w:rPr>
            </w:pPr>
            <w:r>
              <w:rPr>
                <w:rFonts w:ascii="Arial" w:cs="Arial" w:eastAsia="Arial" w:hAnsi="Arial"/>
                <w:sz w:val="18"/>
                <w:szCs w:val="18"/>
                <w:color w:val="auto"/>
              </w:rPr>
              <w:t>loan ($50,184</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flooring</w:t>
            </w:r>
          </w:p>
        </w:tc>
        <w:tc>
          <w:tcPr>
            <w:tcW w:w="1420" w:type="dxa"/>
            <w:vAlign w:val="bottom"/>
            <w:gridSpan w:val="3"/>
          </w:tcPr>
          <w:p>
            <w:pPr>
              <w:ind w:left="160"/>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3/2017)</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14.00%</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3/5/2012</w:t>
            </w:r>
          </w:p>
        </w:tc>
        <w:tc>
          <w:tcPr>
            <w:tcW w:w="620" w:type="dxa"/>
            <w:vAlign w:val="bottom"/>
          </w:tcPr>
          <w:p>
            <w:pPr>
              <w:jc w:val="right"/>
              <w:spacing w:after="0"/>
              <w:rPr>
                <w:sz w:val="20"/>
                <w:szCs w:val="20"/>
                <w:color w:val="auto"/>
              </w:rPr>
            </w:pPr>
            <w:r>
              <w:rPr>
                <w:rFonts w:ascii="Arial" w:cs="Arial" w:eastAsia="Arial" w:hAnsi="Arial"/>
                <w:sz w:val="18"/>
                <w:szCs w:val="18"/>
                <w:color w:val="auto"/>
              </w:rPr>
              <w:t>46,539</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50,458</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Mandalay Baseball Properties,</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Sports</w:t>
            </w:r>
          </w:p>
        </w:tc>
        <w:tc>
          <w:tcPr>
            <w:tcW w:w="1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secured</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LLC (3)(4)</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Entertainment</w:t>
            </w:r>
          </w:p>
        </w:tc>
        <w:tc>
          <w:tcPr>
            <w:tcW w:w="1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loan ($28,727</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4/2017)</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12.00%</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4/12/2012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28,034</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29,086</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8"/>
        </w:trPr>
        <w:tc>
          <w:tcPr>
            <w:tcW w:w="3920" w:type="dxa"/>
            <w:vAlign w:val="bottom"/>
            <w:gridSpan w:val="2"/>
          </w:tcPr>
          <w:p>
            <w:pPr>
              <w:spacing w:after="0"/>
              <w:rPr>
                <w:sz w:val="20"/>
                <w:szCs w:val="20"/>
                <w:color w:val="auto"/>
              </w:rPr>
            </w:pPr>
            <w:r>
              <w:rPr>
                <w:rFonts w:ascii="Arial" w:cs="Arial" w:eastAsia="Arial" w:hAnsi="Arial"/>
                <w:sz w:val="18"/>
                <w:szCs w:val="18"/>
                <w:color w:val="auto"/>
              </w:rPr>
              <w:t>Infogix, Inc. (3)(4)</w:t>
            </w:r>
          </w:p>
        </w:tc>
        <w:tc>
          <w:tcPr>
            <w:tcW w:w="1200" w:type="dxa"/>
            <w:vAlign w:val="bottom"/>
          </w:tcPr>
          <w:p>
            <w:pPr>
              <w:spacing w:after="0"/>
              <w:rPr>
                <w:sz w:val="20"/>
                <w:szCs w:val="20"/>
                <w:color w:val="auto"/>
              </w:rPr>
            </w:pPr>
            <w:r>
              <w:rPr>
                <w:rFonts w:ascii="Arial" w:cs="Arial" w:eastAsia="Arial" w:hAnsi="Arial"/>
                <w:sz w:val="18"/>
                <w:szCs w:val="18"/>
                <w:color w:val="auto"/>
              </w:rPr>
              <w:t>Business</w:t>
            </w:r>
          </w:p>
        </w:tc>
        <w:tc>
          <w:tcPr>
            <w:tcW w:w="1420" w:type="dxa"/>
            <w:vAlign w:val="bottom"/>
            <w:gridSpan w:val="3"/>
          </w:tcPr>
          <w:p>
            <w:pPr>
              <w:ind w:left="160"/>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operations</w:t>
            </w:r>
          </w:p>
        </w:tc>
        <w:tc>
          <w:tcPr>
            <w:tcW w:w="1420" w:type="dxa"/>
            <w:vAlign w:val="bottom"/>
            <w:gridSpan w:val="3"/>
          </w:tcPr>
          <w:p>
            <w:pPr>
              <w:ind w:left="160"/>
              <w:spacing w:after="0"/>
              <w:rPr>
                <w:sz w:val="20"/>
                <w:szCs w:val="20"/>
                <w:color w:val="auto"/>
              </w:rPr>
            </w:pPr>
            <w:r>
              <w:rPr>
                <w:rFonts w:ascii="Arial" w:cs="Arial" w:eastAsia="Arial" w:hAnsi="Arial"/>
                <w:sz w:val="18"/>
                <w:szCs w:val="18"/>
                <w:color w:val="auto"/>
              </w:rPr>
              <w:t>loan ($30,419</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management</w:t>
            </w:r>
          </w:p>
        </w:tc>
        <w:tc>
          <w:tcPr>
            <w:tcW w:w="1420" w:type="dxa"/>
            <w:vAlign w:val="bottom"/>
            <w:gridSpan w:val="3"/>
          </w:tcPr>
          <w:p>
            <w:pPr>
              <w:ind w:left="160"/>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solutions</w:t>
            </w: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6/2017)</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10.00%</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6/1/2012</w:t>
            </w:r>
          </w:p>
        </w:tc>
        <w:tc>
          <w:tcPr>
            <w:tcW w:w="620" w:type="dxa"/>
            <w:vAlign w:val="bottom"/>
          </w:tcPr>
          <w:p>
            <w:pPr>
              <w:jc w:val="right"/>
              <w:spacing w:after="0"/>
              <w:rPr>
                <w:sz w:val="20"/>
                <w:szCs w:val="20"/>
                <w:color w:val="auto"/>
              </w:rPr>
            </w:pPr>
            <w:r>
              <w:rPr>
                <w:rFonts w:ascii="Arial" w:cs="Arial" w:eastAsia="Arial" w:hAnsi="Arial"/>
                <w:sz w:val="18"/>
                <w:szCs w:val="18"/>
                <w:color w:val="auto"/>
              </w:rPr>
              <w:t>29,814</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30,419</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Attachmate Corporation (3)(4)</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Multidiscipline</w:t>
            </w:r>
          </w:p>
        </w:tc>
        <w:tc>
          <w:tcPr>
            <w:tcW w:w="1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secured</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simulation</w:t>
            </w:r>
          </w:p>
        </w:tc>
        <w:tc>
          <w:tcPr>
            <w:tcW w:w="1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loan ($908 par,</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due 11/2017)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6/25/2012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8"/>
        </w:trPr>
        <w:tc>
          <w:tcPr>
            <w:tcW w:w="3920" w:type="dxa"/>
            <w:vAlign w:val="bottom"/>
            <w:gridSpan w:val="2"/>
          </w:tcPr>
          <w:p>
            <w:pPr>
              <w:spacing w:after="0"/>
              <w:rPr>
                <w:sz w:val="20"/>
                <w:szCs w:val="20"/>
                <w:color w:val="auto"/>
              </w:rPr>
            </w:pPr>
            <w:r>
              <w:rPr>
                <w:rFonts w:ascii="Arial" w:cs="Arial" w:eastAsia="Arial" w:hAnsi="Arial"/>
                <w:sz w:val="18"/>
                <w:szCs w:val="18"/>
                <w:color w:val="auto"/>
              </w:rPr>
              <w:t>Teletrac, Inc. (3)(4)</w:t>
            </w:r>
          </w:p>
        </w:tc>
        <w:tc>
          <w:tcPr>
            <w:tcW w:w="1200" w:type="dxa"/>
            <w:vAlign w:val="bottom"/>
          </w:tcPr>
          <w:p>
            <w:pPr>
              <w:spacing w:after="0"/>
              <w:rPr>
                <w:sz w:val="20"/>
                <w:szCs w:val="20"/>
                <w:color w:val="auto"/>
              </w:rPr>
            </w:pPr>
            <w:r>
              <w:rPr>
                <w:rFonts w:ascii="Arial" w:cs="Arial" w:eastAsia="Arial" w:hAnsi="Arial"/>
                <w:sz w:val="18"/>
                <w:szCs w:val="18"/>
                <w:color w:val="auto"/>
              </w:rPr>
              <w:t>Fleet</w:t>
            </w:r>
          </w:p>
        </w:tc>
        <w:tc>
          <w:tcPr>
            <w:tcW w:w="1420" w:type="dxa"/>
            <w:vAlign w:val="bottom"/>
            <w:gridSpan w:val="3"/>
          </w:tcPr>
          <w:p>
            <w:pPr>
              <w:ind w:left="160"/>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management</w:t>
            </w:r>
          </w:p>
        </w:tc>
        <w:tc>
          <w:tcPr>
            <w:tcW w:w="1420" w:type="dxa"/>
            <w:vAlign w:val="bottom"/>
            <w:gridSpan w:val="3"/>
          </w:tcPr>
          <w:p>
            <w:pPr>
              <w:ind w:left="160"/>
              <w:spacing w:after="0"/>
              <w:rPr>
                <w:sz w:val="20"/>
                <w:szCs w:val="20"/>
                <w:color w:val="auto"/>
              </w:rPr>
            </w:pPr>
            <w:r>
              <w:rPr>
                <w:rFonts w:ascii="Arial" w:cs="Arial" w:eastAsia="Arial" w:hAnsi="Arial"/>
                <w:sz w:val="18"/>
                <w:szCs w:val="18"/>
                <w:color w:val="auto"/>
              </w:rPr>
              <w:t>loan ($17,369</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solutions</w:t>
            </w:r>
          </w:p>
        </w:tc>
        <w:tc>
          <w:tcPr>
            <w:tcW w:w="1420" w:type="dxa"/>
            <w:vAlign w:val="bottom"/>
            <w:gridSpan w:val="3"/>
          </w:tcPr>
          <w:p>
            <w:pPr>
              <w:ind w:left="160"/>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7/2017)</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6.65%</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7/23/2012</w:t>
            </w:r>
          </w:p>
        </w:tc>
        <w:tc>
          <w:tcPr>
            <w:tcW w:w="620" w:type="dxa"/>
            <w:vAlign w:val="bottom"/>
          </w:tcPr>
          <w:p>
            <w:pPr>
              <w:jc w:val="right"/>
              <w:spacing w:after="0"/>
              <w:rPr>
                <w:sz w:val="20"/>
                <w:szCs w:val="20"/>
                <w:color w:val="auto"/>
              </w:rPr>
            </w:pPr>
            <w:r>
              <w:rPr>
                <w:rFonts w:ascii="Arial" w:cs="Arial" w:eastAsia="Arial" w:hAnsi="Arial"/>
                <w:sz w:val="18"/>
                <w:szCs w:val="18"/>
                <w:color w:val="auto"/>
              </w:rPr>
              <w:t>17,023</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17,238</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Consona Holdings, Inc. (3)(4)</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Enterprise</w:t>
            </w:r>
          </w:p>
        </w:tc>
        <w:tc>
          <w:tcPr>
            <w:tcW w:w="1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Senior secured</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application</w:t>
            </w:r>
          </w:p>
        </w:tc>
        <w:tc>
          <w:tcPr>
            <w:tcW w:w="1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loan ($29,850</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solutions</w:t>
            </w:r>
          </w:p>
        </w:tc>
        <w:tc>
          <w:tcPr>
            <w:tcW w:w="1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8/2018)</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8/13/2012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29,455</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8"/>
        </w:trPr>
        <w:tc>
          <w:tcPr>
            <w:tcW w:w="3920" w:type="dxa"/>
            <w:vAlign w:val="bottom"/>
            <w:gridSpan w:val="2"/>
          </w:tcPr>
          <w:p>
            <w:pPr>
              <w:spacing w:after="0"/>
              <w:rPr>
                <w:sz w:val="20"/>
                <w:szCs w:val="20"/>
                <w:color w:val="auto"/>
              </w:rPr>
            </w:pPr>
            <w:r>
              <w:rPr>
                <w:rFonts w:ascii="Arial" w:cs="Arial" w:eastAsia="Arial" w:hAnsi="Arial"/>
                <w:sz w:val="18"/>
                <w:szCs w:val="18"/>
                <w:color w:val="auto"/>
              </w:rPr>
              <w:t>Heartland Automotive Holdings,</w:t>
            </w:r>
          </w:p>
        </w:tc>
        <w:tc>
          <w:tcPr>
            <w:tcW w:w="1200" w:type="dxa"/>
            <w:vAlign w:val="bottom"/>
          </w:tcPr>
          <w:p>
            <w:pPr>
              <w:spacing w:after="0"/>
              <w:rPr>
                <w:sz w:val="20"/>
                <w:szCs w:val="20"/>
                <w:color w:val="auto"/>
              </w:rPr>
            </w:pPr>
            <w:r>
              <w:rPr>
                <w:rFonts w:ascii="Arial" w:cs="Arial" w:eastAsia="Arial" w:hAnsi="Arial"/>
                <w:sz w:val="18"/>
                <w:szCs w:val="18"/>
                <w:color w:val="auto"/>
              </w:rPr>
              <w:t>Preventive</w:t>
            </w:r>
          </w:p>
        </w:tc>
        <w:tc>
          <w:tcPr>
            <w:tcW w:w="1420" w:type="dxa"/>
            <w:vAlign w:val="bottom"/>
            <w:gridSpan w:val="3"/>
          </w:tcPr>
          <w:p>
            <w:pPr>
              <w:ind w:left="160"/>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220"/>
              <w:spacing w:after="0"/>
              <w:rPr>
                <w:sz w:val="20"/>
                <w:szCs w:val="20"/>
                <w:color w:val="auto"/>
              </w:rPr>
            </w:pPr>
            <w:r>
              <w:rPr>
                <w:rFonts w:ascii="Arial" w:cs="Arial" w:eastAsia="Arial" w:hAnsi="Arial"/>
                <w:sz w:val="18"/>
                <w:szCs w:val="18"/>
                <w:color w:val="auto"/>
              </w:rPr>
              <w:t>LLC (3)(4)</w:t>
            </w:r>
          </w:p>
        </w:tc>
        <w:tc>
          <w:tcPr>
            <w:tcW w:w="1200" w:type="dxa"/>
            <w:vAlign w:val="bottom"/>
          </w:tcPr>
          <w:p>
            <w:pPr>
              <w:spacing w:after="0"/>
              <w:rPr>
                <w:sz w:val="20"/>
                <w:szCs w:val="20"/>
                <w:color w:val="auto"/>
              </w:rPr>
            </w:pPr>
            <w:r>
              <w:rPr>
                <w:rFonts w:ascii="Arial" w:cs="Arial" w:eastAsia="Arial" w:hAnsi="Arial"/>
                <w:sz w:val="18"/>
                <w:szCs w:val="18"/>
                <w:color w:val="auto"/>
              </w:rPr>
              <w:t>automotive</w:t>
            </w:r>
          </w:p>
        </w:tc>
        <w:tc>
          <w:tcPr>
            <w:tcW w:w="1420" w:type="dxa"/>
            <w:vAlign w:val="bottom"/>
            <w:gridSpan w:val="3"/>
          </w:tcPr>
          <w:p>
            <w:pPr>
              <w:ind w:left="160"/>
              <w:spacing w:after="0"/>
              <w:rPr>
                <w:sz w:val="20"/>
                <w:szCs w:val="20"/>
                <w:color w:val="auto"/>
              </w:rPr>
            </w:pPr>
            <w:r>
              <w:rPr>
                <w:rFonts w:ascii="Arial" w:cs="Arial" w:eastAsia="Arial" w:hAnsi="Arial"/>
                <w:sz w:val="18"/>
                <w:szCs w:val="18"/>
                <w:color w:val="auto"/>
              </w:rPr>
              <w:t>loan ($38,458</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maintenance</w:t>
            </w:r>
          </w:p>
        </w:tc>
        <w:tc>
          <w:tcPr>
            <w:tcW w:w="1420" w:type="dxa"/>
            <w:vAlign w:val="bottom"/>
            <w:gridSpan w:val="3"/>
          </w:tcPr>
          <w:p>
            <w:pPr>
              <w:ind w:left="160"/>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services</w:t>
            </w: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6/2017)</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8/28/2012</w:t>
            </w:r>
          </w:p>
        </w:tc>
        <w:tc>
          <w:tcPr>
            <w:tcW w:w="620" w:type="dxa"/>
            <w:vAlign w:val="bottom"/>
          </w:tcPr>
          <w:p>
            <w:pPr>
              <w:jc w:val="right"/>
              <w:spacing w:after="0"/>
              <w:rPr>
                <w:sz w:val="20"/>
                <w:szCs w:val="20"/>
                <w:color w:val="auto"/>
              </w:rPr>
            </w:pPr>
            <w:r>
              <w:rPr>
                <w:rFonts w:ascii="Arial" w:cs="Arial" w:eastAsia="Arial" w:hAnsi="Arial"/>
                <w:sz w:val="18"/>
                <w:szCs w:val="18"/>
                <w:color w:val="auto"/>
              </w:rPr>
              <w:t>37,425</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37,798</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65"/>
        </w:trPr>
        <w:tc>
          <w:tcPr>
            <w:tcW w:w="8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1"/>
              </w:rPr>
              <w:t>Company (1)</w:t>
            </w:r>
          </w:p>
        </w:tc>
        <w:tc>
          <w:tcPr>
            <w:tcW w:w="252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60" w:type="dxa"/>
            <w:vAlign w:val="bottom"/>
          </w:tcPr>
          <w:p>
            <w:pPr>
              <w:spacing w:after="0"/>
              <w:rPr>
                <w:sz w:val="14"/>
                <w:szCs w:val="14"/>
                <w:color w:val="auto"/>
              </w:rPr>
            </w:pP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7"/>
              </w:rPr>
              <w:t>Acquisition</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7"/>
              </w:rPr>
              <w:t>Amortized</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8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6"/>
              </w:rPr>
              <w:t>Interest</w:t>
            </w:r>
          </w:p>
        </w:tc>
        <w:tc>
          <w:tcPr>
            <w:tcW w:w="1680" w:type="dxa"/>
            <w:vAlign w:val="bottom"/>
            <w:gridSpan w:val="2"/>
          </w:tcPr>
          <w:p>
            <w:pPr>
              <w:jc w:val="right"/>
              <w:ind w:right="1120"/>
              <w:spacing w:after="0" w:line="148" w:lineRule="exact"/>
              <w:rPr>
                <w:sz w:val="20"/>
                <w:szCs w:val="20"/>
                <w:color w:val="auto"/>
              </w:rPr>
            </w:pPr>
            <w:r>
              <w:rPr>
                <w:rFonts w:ascii="Arial" w:cs="Arial" w:eastAsia="Arial" w:hAnsi="Arial"/>
                <w:sz w:val="14"/>
                <w:szCs w:val="14"/>
                <w:b w:val="1"/>
                <w:bCs w:val="1"/>
                <w:color w:val="auto"/>
              </w:rPr>
              <w:t>Date</w:t>
            </w:r>
          </w:p>
        </w:tc>
        <w:tc>
          <w:tcPr>
            <w:tcW w:w="6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9"/>
              </w:rPr>
              <w:t>Cost (2)</w:t>
            </w:r>
          </w:p>
        </w:tc>
        <w:tc>
          <w:tcPr>
            <w:tcW w:w="260" w:type="dxa"/>
            <w:vAlign w:val="bottom"/>
          </w:tcPr>
          <w:p>
            <w:pPr>
              <w:spacing w:after="0"/>
              <w:rPr>
                <w:sz w:val="14"/>
                <w:szCs w:val="14"/>
                <w:color w:val="auto"/>
              </w:rPr>
            </w:pPr>
          </w:p>
        </w:tc>
        <w:tc>
          <w:tcPr>
            <w:tcW w:w="9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5"/>
        </w:trPr>
        <w:tc>
          <w:tcPr>
            <w:tcW w:w="332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Synagro Technologies, Inc. (3)</w:t>
            </w: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Recycling and</w:t>
            </w:r>
          </w:p>
        </w:tc>
        <w:tc>
          <w:tcPr>
            <w:tcW w:w="16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4"/>
              </w:rPr>
              <w:t>Senior secured loan</w:t>
            </w: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waste</w:t>
            </w:r>
          </w:p>
        </w:tc>
        <w:tc>
          <w:tcPr>
            <w:tcW w:w="1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($5,670 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management</w:t>
            </w:r>
          </w:p>
        </w:tc>
        <w:tc>
          <w:tcPr>
            <w:tcW w:w="1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10/2014)</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w:t>
            </w: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9/14/2012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1,474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8"/>
        </w:trPr>
        <w:tc>
          <w:tcPr>
            <w:tcW w:w="3320" w:type="dxa"/>
            <w:vAlign w:val="bottom"/>
            <w:gridSpan w:val="2"/>
          </w:tcPr>
          <w:p>
            <w:pPr>
              <w:spacing w:after="0"/>
              <w:rPr>
                <w:sz w:val="20"/>
                <w:szCs w:val="20"/>
                <w:color w:val="auto"/>
              </w:rPr>
            </w:pPr>
            <w:r>
              <w:rPr>
                <w:rFonts w:ascii="Arial" w:cs="Arial" w:eastAsia="Arial" w:hAnsi="Arial"/>
                <w:sz w:val="18"/>
                <w:szCs w:val="18"/>
                <w:color w:val="auto"/>
              </w:rPr>
              <w:t>Synagro Technologies, Inc. (3)</w:t>
            </w:r>
          </w:p>
        </w:tc>
        <w:tc>
          <w:tcPr>
            <w:tcW w:w="1180" w:type="dxa"/>
            <w:vAlign w:val="bottom"/>
            <w:gridSpan w:val="2"/>
          </w:tcPr>
          <w:p>
            <w:pPr>
              <w:ind w:left="80"/>
              <w:spacing w:after="0"/>
              <w:rPr>
                <w:sz w:val="20"/>
                <w:szCs w:val="20"/>
                <w:color w:val="auto"/>
              </w:rPr>
            </w:pPr>
            <w:r>
              <w:rPr>
                <w:rFonts w:ascii="Arial" w:cs="Arial" w:eastAsia="Arial" w:hAnsi="Arial"/>
                <w:sz w:val="18"/>
                <w:szCs w:val="18"/>
                <w:color w:val="auto"/>
                <w:w w:val="95"/>
              </w:rPr>
              <w:t>Recycling and</w:t>
            </w:r>
          </w:p>
        </w:tc>
        <w:tc>
          <w:tcPr>
            <w:tcW w:w="1700" w:type="dxa"/>
            <w:vAlign w:val="bottom"/>
            <w:gridSpan w:val="3"/>
          </w:tcPr>
          <w:p>
            <w:pPr>
              <w:ind w:left="160"/>
              <w:spacing w:after="0"/>
              <w:rPr>
                <w:sz w:val="20"/>
                <w:szCs w:val="20"/>
                <w:color w:val="auto"/>
              </w:rPr>
            </w:pPr>
            <w:r>
              <w:rPr>
                <w:rFonts w:ascii="Arial" w:cs="Arial" w:eastAsia="Arial" w:hAnsi="Arial"/>
                <w:sz w:val="18"/>
                <w:szCs w:val="18"/>
                <w:color w:val="auto"/>
                <w:w w:val="94"/>
              </w:rPr>
              <w:t>Senior secured loan</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waste</w:t>
            </w: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($3,117</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management</w:t>
            </w:r>
          </w:p>
        </w:tc>
        <w:tc>
          <w:tcPr>
            <w:tcW w:w="1700" w:type="dxa"/>
            <w:vAlign w:val="bottom"/>
            <w:gridSpan w:val="3"/>
          </w:tcPr>
          <w:p>
            <w:pPr>
              <w:ind w:left="160"/>
              <w:spacing w:after="0"/>
              <w:rPr>
                <w:sz w:val="20"/>
                <w:szCs w:val="20"/>
                <w:color w:val="auto"/>
              </w:rPr>
            </w:pPr>
            <w:r>
              <w:rPr>
                <w:rFonts w:ascii="Arial" w:cs="Arial" w:eastAsia="Arial" w:hAnsi="Arial"/>
                <w:sz w:val="18"/>
                <w:szCs w:val="18"/>
                <w:color w:val="auto"/>
              </w:rPr>
              <w:t>par, due 10/2014)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11/8/2012</w:t>
            </w:r>
          </w:p>
        </w:tc>
        <w:tc>
          <w:tcPr>
            <w:tcW w:w="620" w:type="dxa"/>
            <w:vAlign w:val="bottom"/>
          </w:tcPr>
          <w:p>
            <w:pPr>
              <w:jc w:val="right"/>
              <w:spacing w:after="0"/>
              <w:rPr>
                <w:sz w:val="20"/>
                <w:szCs w:val="20"/>
                <w:color w:val="auto"/>
              </w:rPr>
            </w:pPr>
            <w:r>
              <w:rPr>
                <w:rFonts w:ascii="Arial" w:cs="Arial" w:eastAsia="Arial" w:hAnsi="Arial"/>
                <w:sz w:val="18"/>
                <w:szCs w:val="18"/>
                <w:color w:val="auto"/>
              </w:rPr>
              <w:t>2,766</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2,961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International Equipment Solutions, Inc. (3)(4)</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Engineered</w:t>
            </w:r>
          </w:p>
        </w:tc>
        <w:tc>
          <w:tcPr>
            <w:tcW w:w="1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Senior secured loan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equipment</w:t>
            </w:r>
          </w:p>
        </w:tc>
        <w:tc>
          <w:tcPr>
            <w:tcW w:w="1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($29,010 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manufacturing</w:t>
            </w:r>
          </w:p>
        </w:tc>
        <w:tc>
          <w:tcPr>
            <w:tcW w:w="1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9/2016)</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9/18/2012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28,396</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28,647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8"/>
        </w:trPr>
        <w:tc>
          <w:tcPr>
            <w:tcW w:w="3320" w:type="dxa"/>
            <w:vAlign w:val="bottom"/>
            <w:gridSpan w:val="2"/>
          </w:tcPr>
          <w:p>
            <w:pPr>
              <w:spacing w:after="0"/>
              <w:rPr>
                <w:sz w:val="20"/>
                <w:szCs w:val="20"/>
                <w:color w:val="auto"/>
              </w:rPr>
            </w:pPr>
            <w:r>
              <w:rPr>
                <w:rFonts w:ascii="Arial" w:cs="Arial" w:eastAsia="Arial" w:hAnsi="Arial"/>
                <w:sz w:val="18"/>
                <w:szCs w:val="18"/>
                <w:color w:val="auto"/>
              </w:rPr>
              <w:t>Mediware Information Systems,</w:t>
            </w: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Healthcare</w:t>
            </w:r>
          </w:p>
        </w:tc>
        <w:tc>
          <w:tcPr>
            <w:tcW w:w="1700" w:type="dxa"/>
            <w:vAlign w:val="bottom"/>
            <w:gridSpan w:val="3"/>
          </w:tcPr>
          <w:p>
            <w:pPr>
              <w:ind w:left="160"/>
              <w:spacing w:after="0"/>
              <w:rPr>
                <w:sz w:val="20"/>
                <w:szCs w:val="20"/>
                <w:color w:val="auto"/>
              </w:rPr>
            </w:pPr>
            <w:r>
              <w:rPr>
                <w:rFonts w:ascii="Arial" w:cs="Arial" w:eastAsia="Arial" w:hAnsi="Arial"/>
                <w:sz w:val="18"/>
                <w:szCs w:val="18"/>
                <w:color w:val="auto"/>
                <w:w w:val="94"/>
              </w:rPr>
              <w:t>Senior secured loan</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220"/>
              <w:spacing w:after="0"/>
              <w:rPr>
                <w:sz w:val="20"/>
                <w:szCs w:val="20"/>
                <w:color w:val="auto"/>
              </w:rPr>
            </w:pPr>
            <w:r>
              <w:rPr>
                <w:rFonts w:ascii="Arial" w:cs="Arial" w:eastAsia="Arial" w:hAnsi="Arial"/>
                <w:sz w:val="18"/>
                <w:szCs w:val="18"/>
                <w:color w:val="auto"/>
              </w:rPr>
              <w:t>Inc. (3)(4)</w:t>
            </w: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software</w:t>
            </w:r>
          </w:p>
        </w:tc>
        <w:tc>
          <w:tcPr>
            <w:tcW w:w="1700" w:type="dxa"/>
            <w:vAlign w:val="bottom"/>
            <w:gridSpan w:val="3"/>
          </w:tcPr>
          <w:p>
            <w:pPr>
              <w:ind w:left="160"/>
              <w:spacing w:after="0"/>
              <w:rPr>
                <w:sz w:val="20"/>
                <w:szCs w:val="20"/>
                <w:color w:val="auto"/>
              </w:rPr>
            </w:pPr>
            <w:r>
              <w:rPr>
                <w:rFonts w:ascii="Arial" w:cs="Arial" w:eastAsia="Arial" w:hAnsi="Arial"/>
                <w:sz w:val="18"/>
                <w:szCs w:val="18"/>
                <w:color w:val="auto"/>
              </w:rPr>
              <w:t>($50,184 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solutions</w:t>
            </w: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5/2018)</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11/9/2012</w:t>
            </w:r>
          </w:p>
        </w:tc>
        <w:tc>
          <w:tcPr>
            <w:tcW w:w="620" w:type="dxa"/>
            <w:vAlign w:val="bottom"/>
          </w:tcPr>
          <w:p>
            <w:pPr>
              <w:jc w:val="right"/>
              <w:spacing w:after="0"/>
              <w:rPr>
                <w:sz w:val="20"/>
                <w:szCs w:val="20"/>
                <w:color w:val="auto"/>
              </w:rPr>
            </w:pPr>
            <w:r>
              <w:rPr>
                <w:rFonts w:ascii="Arial" w:cs="Arial" w:eastAsia="Arial" w:hAnsi="Arial"/>
                <w:sz w:val="18"/>
                <w:szCs w:val="18"/>
                <w:color w:val="auto"/>
              </w:rPr>
              <w:t>48,983</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49,334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SumTotal Systems, LLC (3)</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Talent</w:t>
            </w:r>
          </w:p>
        </w:tc>
        <w:tc>
          <w:tcPr>
            <w:tcW w:w="1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Senior secured loan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development</w:t>
            </w:r>
          </w:p>
        </w:tc>
        <w:tc>
          <w:tcPr>
            <w:tcW w:w="1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($9,975 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software</w:t>
            </w:r>
          </w:p>
        </w:tc>
        <w:tc>
          <w:tcPr>
            <w:tcW w:w="1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11/2018)</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w:t>
            </w: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3"/>
              </w:rPr>
              <w:t>11/16/2012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9,848</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8"/>
        </w:trPr>
        <w:tc>
          <w:tcPr>
            <w:tcW w:w="3320" w:type="dxa"/>
            <w:vAlign w:val="bottom"/>
            <w:gridSpan w:val="2"/>
          </w:tcPr>
          <w:p>
            <w:pPr>
              <w:spacing w:after="0"/>
              <w:rPr>
                <w:sz w:val="20"/>
                <w:szCs w:val="20"/>
                <w:color w:val="auto"/>
              </w:rPr>
            </w:pPr>
            <w:r>
              <w:rPr>
                <w:rFonts w:ascii="Arial" w:cs="Arial" w:eastAsia="Arial" w:hAnsi="Arial"/>
                <w:sz w:val="18"/>
                <w:szCs w:val="18"/>
                <w:color w:val="auto"/>
              </w:rPr>
              <w:t>SumTotal Systems, LLC (3)</w:t>
            </w: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Talent</w:t>
            </w:r>
          </w:p>
        </w:tc>
        <w:tc>
          <w:tcPr>
            <w:tcW w:w="1700" w:type="dxa"/>
            <w:vAlign w:val="bottom"/>
            <w:gridSpan w:val="3"/>
          </w:tcPr>
          <w:p>
            <w:pPr>
              <w:ind w:left="160"/>
              <w:spacing w:after="0"/>
              <w:rPr>
                <w:sz w:val="20"/>
                <w:szCs w:val="20"/>
                <w:color w:val="auto"/>
              </w:rPr>
            </w:pPr>
            <w:r>
              <w:rPr>
                <w:rFonts w:ascii="Arial" w:cs="Arial" w:eastAsia="Arial" w:hAnsi="Arial"/>
                <w:sz w:val="18"/>
                <w:szCs w:val="18"/>
                <w:color w:val="auto"/>
                <w:w w:val="94"/>
              </w:rPr>
              <w:t>Senior secured loan</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development</w:t>
            </w:r>
          </w:p>
        </w:tc>
        <w:tc>
          <w:tcPr>
            <w:tcW w:w="1700" w:type="dxa"/>
            <w:vAlign w:val="bottom"/>
            <w:gridSpan w:val="3"/>
          </w:tcPr>
          <w:p>
            <w:pPr>
              <w:ind w:left="160"/>
              <w:spacing w:after="0"/>
              <w:rPr>
                <w:sz w:val="20"/>
                <w:szCs w:val="20"/>
                <w:color w:val="auto"/>
              </w:rPr>
            </w:pPr>
            <w:r>
              <w:rPr>
                <w:rFonts w:ascii="Arial" w:cs="Arial" w:eastAsia="Arial" w:hAnsi="Arial"/>
                <w:sz w:val="18"/>
                <w:szCs w:val="18"/>
                <w:color w:val="auto"/>
              </w:rPr>
              <w:t>($5,500 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software</w:t>
            </w: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5/2018)</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10.25%</w:t>
            </w: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w w:val="93"/>
              </w:rPr>
              <w:t>11/16/2012</w:t>
            </w:r>
          </w:p>
        </w:tc>
        <w:tc>
          <w:tcPr>
            <w:tcW w:w="620" w:type="dxa"/>
            <w:vAlign w:val="bottom"/>
          </w:tcPr>
          <w:p>
            <w:pPr>
              <w:jc w:val="right"/>
              <w:spacing w:after="0"/>
              <w:rPr>
                <w:sz w:val="20"/>
                <w:szCs w:val="20"/>
                <w:color w:val="auto"/>
              </w:rPr>
            </w:pPr>
            <w:r>
              <w:rPr>
                <w:rFonts w:ascii="Arial" w:cs="Arial" w:eastAsia="Arial" w:hAnsi="Arial"/>
                <w:sz w:val="18"/>
                <w:szCs w:val="18"/>
                <w:color w:val="auto"/>
              </w:rPr>
              <w:t>5,452</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5,472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Rogue Wave Holdings, Inc. (3)(4)</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1"/>
              </w:rPr>
              <w:t>Cross-platform</w:t>
            </w:r>
          </w:p>
        </w:tc>
        <w:tc>
          <w:tcPr>
            <w:tcW w:w="1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Senior secured loan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software</w:t>
            </w:r>
          </w:p>
        </w:tc>
        <w:tc>
          <w:tcPr>
            <w:tcW w:w="1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($39,500 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development</w:t>
            </w:r>
          </w:p>
        </w:tc>
        <w:tc>
          <w:tcPr>
            <w:tcW w:w="1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11/2017)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tools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w:t>
            </w: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3"/>
              </w:rPr>
              <w:t>11/21/2012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38,511</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39,303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8"/>
        </w:trPr>
        <w:tc>
          <w:tcPr>
            <w:tcW w:w="3320" w:type="dxa"/>
            <w:vAlign w:val="bottom"/>
            <w:gridSpan w:val="2"/>
          </w:tcPr>
          <w:p>
            <w:pPr>
              <w:spacing w:after="0"/>
              <w:rPr>
                <w:sz w:val="20"/>
                <w:szCs w:val="20"/>
                <w:color w:val="auto"/>
              </w:rPr>
            </w:pPr>
            <w:r>
              <w:rPr>
                <w:rFonts w:ascii="Arial" w:cs="Arial" w:eastAsia="Arial" w:hAnsi="Arial"/>
                <w:sz w:val="18"/>
                <w:szCs w:val="18"/>
                <w:color w:val="auto"/>
              </w:rPr>
              <w:t>Embarcadero Technologies, Inc. (3)(4)</w:t>
            </w: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Database</w:t>
            </w:r>
          </w:p>
        </w:tc>
        <w:tc>
          <w:tcPr>
            <w:tcW w:w="1700" w:type="dxa"/>
            <w:vAlign w:val="bottom"/>
            <w:gridSpan w:val="3"/>
          </w:tcPr>
          <w:p>
            <w:pPr>
              <w:ind w:left="160"/>
              <w:spacing w:after="0"/>
              <w:rPr>
                <w:sz w:val="20"/>
                <w:szCs w:val="20"/>
                <w:color w:val="auto"/>
              </w:rPr>
            </w:pPr>
            <w:r>
              <w:rPr>
                <w:rFonts w:ascii="Arial" w:cs="Arial" w:eastAsia="Arial" w:hAnsi="Arial"/>
                <w:sz w:val="18"/>
                <w:szCs w:val="18"/>
                <w:color w:val="auto"/>
                <w:w w:val="94"/>
              </w:rPr>
              <w:t>Senior secured loan</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management</w:t>
            </w:r>
          </w:p>
        </w:tc>
        <w:tc>
          <w:tcPr>
            <w:tcW w:w="1700" w:type="dxa"/>
            <w:vAlign w:val="bottom"/>
            <w:gridSpan w:val="3"/>
          </w:tcPr>
          <w:p>
            <w:pPr>
              <w:ind w:left="160"/>
              <w:spacing w:after="0"/>
              <w:rPr>
                <w:sz w:val="20"/>
                <w:szCs w:val="20"/>
                <w:color w:val="auto"/>
              </w:rPr>
            </w:pPr>
            <w:r>
              <w:rPr>
                <w:rFonts w:ascii="Arial" w:cs="Arial" w:eastAsia="Arial" w:hAnsi="Arial"/>
                <w:sz w:val="18"/>
                <w:szCs w:val="18"/>
                <w:color w:val="auto"/>
              </w:rPr>
              <w:t>($44,155 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software</w:t>
            </w: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12/2017)</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w w:val="93"/>
              </w:rPr>
              <w:t>12/28/2012</w:t>
            </w:r>
          </w:p>
        </w:tc>
        <w:tc>
          <w:tcPr>
            <w:tcW w:w="620" w:type="dxa"/>
            <w:vAlign w:val="bottom"/>
          </w:tcPr>
          <w:p>
            <w:pPr>
              <w:jc w:val="right"/>
              <w:spacing w:after="0"/>
              <w:rPr>
                <w:sz w:val="20"/>
                <w:szCs w:val="20"/>
                <w:color w:val="auto"/>
              </w:rPr>
            </w:pPr>
            <w:r>
              <w:rPr>
                <w:rFonts w:ascii="Arial" w:cs="Arial" w:eastAsia="Arial" w:hAnsi="Arial"/>
                <w:sz w:val="18"/>
                <w:szCs w:val="18"/>
                <w:color w:val="auto"/>
              </w:rPr>
              <w:t>43,115</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43,824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SRS Software, LLC (3)(4)</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Healthcare</w:t>
            </w:r>
          </w:p>
        </w:tc>
        <w:tc>
          <w:tcPr>
            <w:tcW w:w="1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Senior secured loan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software</w:t>
            </w:r>
          </w:p>
        </w:tc>
        <w:tc>
          <w:tcPr>
            <w:tcW w:w="1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($37,378 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solutions</w:t>
            </w:r>
          </w:p>
        </w:tc>
        <w:tc>
          <w:tcPr>
            <w:tcW w:w="1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12/2017)</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3"/>
              </w:rPr>
              <w:t>12/28/2012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36,034</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36,401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8"/>
        </w:trPr>
        <w:tc>
          <w:tcPr>
            <w:tcW w:w="3320" w:type="dxa"/>
            <w:vAlign w:val="bottom"/>
            <w:gridSpan w:val="2"/>
          </w:tcPr>
          <w:p>
            <w:pPr>
              <w:spacing w:after="0"/>
              <w:rPr>
                <w:sz w:val="20"/>
                <w:szCs w:val="20"/>
                <w:color w:val="auto"/>
              </w:rPr>
            </w:pPr>
            <w:r>
              <w:rPr>
                <w:rFonts w:ascii="Arial" w:cs="Arial" w:eastAsia="Arial" w:hAnsi="Arial"/>
                <w:sz w:val="18"/>
                <w:szCs w:val="18"/>
                <w:color w:val="auto"/>
              </w:rPr>
              <w:t>Sage Automotive Interiors, Inc. (3)(4)</w:t>
            </w: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Automotive</w:t>
            </w:r>
          </w:p>
        </w:tc>
        <w:tc>
          <w:tcPr>
            <w:tcW w:w="1700" w:type="dxa"/>
            <w:vAlign w:val="bottom"/>
            <w:gridSpan w:val="3"/>
          </w:tcPr>
          <w:p>
            <w:pPr>
              <w:ind w:left="160"/>
              <w:spacing w:after="0"/>
              <w:rPr>
                <w:sz w:val="20"/>
                <w:szCs w:val="20"/>
                <w:color w:val="auto"/>
              </w:rPr>
            </w:pPr>
            <w:r>
              <w:rPr>
                <w:rFonts w:ascii="Arial" w:cs="Arial" w:eastAsia="Arial" w:hAnsi="Arial"/>
                <w:sz w:val="18"/>
                <w:szCs w:val="18"/>
                <w:color w:val="auto"/>
                <w:w w:val="94"/>
              </w:rPr>
              <w:t>Senior secured loan</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Interiors</w:t>
            </w:r>
          </w:p>
        </w:tc>
        <w:tc>
          <w:tcPr>
            <w:tcW w:w="1700" w:type="dxa"/>
            <w:vAlign w:val="bottom"/>
            <w:gridSpan w:val="3"/>
          </w:tcPr>
          <w:p>
            <w:pPr>
              <w:ind w:left="160"/>
              <w:spacing w:after="0"/>
              <w:rPr>
                <w:sz w:val="20"/>
                <w:szCs w:val="20"/>
                <w:color w:val="auto"/>
              </w:rPr>
            </w:pPr>
            <w:r>
              <w:rPr>
                <w:rFonts w:ascii="Arial" w:cs="Arial" w:eastAsia="Arial" w:hAnsi="Arial"/>
                <w:sz w:val="18"/>
                <w:szCs w:val="18"/>
                <w:color w:val="auto"/>
              </w:rPr>
              <w:t>($19,629 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12/2016)</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9.50%</w:t>
            </w: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w w:val="93"/>
              </w:rPr>
              <w:t>12/31/2012</w:t>
            </w:r>
          </w:p>
        </w:tc>
        <w:tc>
          <w:tcPr>
            <w:tcW w:w="620" w:type="dxa"/>
            <w:vAlign w:val="bottom"/>
          </w:tcPr>
          <w:p>
            <w:pPr>
              <w:jc w:val="right"/>
              <w:spacing w:after="0"/>
              <w:rPr>
                <w:sz w:val="20"/>
                <w:szCs w:val="20"/>
                <w:color w:val="auto"/>
              </w:rPr>
            </w:pPr>
            <w:r>
              <w:rPr>
                <w:rFonts w:ascii="Arial" w:cs="Arial" w:eastAsia="Arial" w:hAnsi="Arial"/>
                <w:sz w:val="18"/>
                <w:szCs w:val="18"/>
                <w:color w:val="auto"/>
              </w:rPr>
              <w:t>19,583</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19,531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Centaur, LLC (3)(4)</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Gaming</w:t>
            </w:r>
          </w:p>
        </w:tc>
        <w:tc>
          <w:tcPr>
            <w:tcW w:w="1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Senior secured loan</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($10,000 par, due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2/2020)</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3/8/2013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10,150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8"/>
        </w:trPr>
        <w:tc>
          <w:tcPr>
            <w:tcW w:w="3320" w:type="dxa"/>
            <w:vAlign w:val="bottom"/>
            <w:gridSpan w:val="2"/>
          </w:tcPr>
          <w:p>
            <w:pPr>
              <w:spacing w:after="0"/>
              <w:rPr>
                <w:sz w:val="20"/>
                <w:szCs w:val="20"/>
                <w:color w:val="auto"/>
              </w:rPr>
            </w:pPr>
            <w:r>
              <w:rPr>
                <w:rFonts w:ascii="Arial" w:cs="Arial" w:eastAsia="Arial" w:hAnsi="Arial"/>
                <w:sz w:val="18"/>
                <w:szCs w:val="18"/>
                <w:color w:val="auto"/>
              </w:rPr>
              <w:t>The Newark Group, Inc. (3)(4)</w:t>
            </w: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Recycled</w:t>
            </w:r>
          </w:p>
        </w:tc>
        <w:tc>
          <w:tcPr>
            <w:tcW w:w="1700" w:type="dxa"/>
            <w:vAlign w:val="bottom"/>
            <w:gridSpan w:val="3"/>
          </w:tcPr>
          <w:p>
            <w:pPr>
              <w:ind w:left="160"/>
              <w:spacing w:after="0"/>
              <w:rPr>
                <w:sz w:val="20"/>
                <w:szCs w:val="20"/>
                <w:color w:val="auto"/>
              </w:rPr>
            </w:pPr>
            <w:r>
              <w:rPr>
                <w:rFonts w:ascii="Arial" w:cs="Arial" w:eastAsia="Arial" w:hAnsi="Arial"/>
                <w:sz w:val="18"/>
                <w:szCs w:val="18"/>
                <w:color w:val="auto"/>
                <w:w w:val="94"/>
              </w:rPr>
              <w:t>Senior secured loan</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Paperboard</w:t>
            </w:r>
          </w:p>
        </w:tc>
        <w:tc>
          <w:tcPr>
            <w:tcW w:w="1700" w:type="dxa"/>
            <w:vAlign w:val="bottom"/>
            <w:gridSpan w:val="3"/>
          </w:tcPr>
          <w:p>
            <w:pPr>
              <w:ind w:left="160"/>
              <w:spacing w:after="0"/>
              <w:rPr>
                <w:sz w:val="20"/>
                <w:szCs w:val="20"/>
                <w:color w:val="auto"/>
              </w:rPr>
            </w:pPr>
            <w:r>
              <w:rPr>
                <w:rFonts w:ascii="Arial" w:cs="Arial" w:eastAsia="Arial" w:hAnsi="Arial"/>
                <w:sz w:val="18"/>
                <w:szCs w:val="18"/>
                <w:color w:val="auto"/>
              </w:rPr>
              <w:t>($48,000 par, due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Producer</w:t>
            </w: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2/2018)</w:t>
            </w: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1680" w:type="dxa"/>
            <w:vAlign w:val="bottom"/>
            <w:gridSpan w:val="2"/>
          </w:tcPr>
          <w:p>
            <w:pPr>
              <w:jc w:val="right"/>
              <w:ind w:right="820"/>
              <w:spacing w:after="0"/>
              <w:rPr>
                <w:sz w:val="20"/>
                <w:szCs w:val="20"/>
                <w:color w:val="auto"/>
              </w:rPr>
            </w:pPr>
            <w:r>
              <w:rPr>
                <w:rFonts w:ascii="Arial" w:cs="Arial" w:eastAsia="Arial" w:hAnsi="Arial"/>
                <w:sz w:val="18"/>
                <w:szCs w:val="18"/>
                <w:color w:val="auto"/>
              </w:rPr>
              <w:t>2/8/2013</w:t>
            </w:r>
          </w:p>
        </w:tc>
        <w:tc>
          <w:tcPr>
            <w:tcW w:w="620" w:type="dxa"/>
            <w:vAlign w:val="bottom"/>
          </w:tcPr>
          <w:p>
            <w:pPr>
              <w:jc w:val="right"/>
              <w:spacing w:after="0"/>
              <w:rPr>
                <w:sz w:val="20"/>
                <w:szCs w:val="20"/>
                <w:color w:val="auto"/>
              </w:rPr>
            </w:pPr>
            <w:r>
              <w:rPr>
                <w:rFonts w:ascii="Arial" w:cs="Arial" w:eastAsia="Arial" w:hAnsi="Arial"/>
                <w:sz w:val="18"/>
                <w:szCs w:val="18"/>
                <w:color w:val="auto"/>
              </w:rPr>
              <w:t>46,943</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47,520</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Senior Secured Loans</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602,805</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613,893</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21"/>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Corporate Bonds</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Checkers Drive-In Restaurants, Inc. (4)</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Full service</w:t>
            </w:r>
          </w:p>
        </w:tc>
        <w:tc>
          <w:tcPr>
            <w:tcW w:w="1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8"/>
              </w:rPr>
              <w:t>Bond ($10,000 par,</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chain of</w:t>
            </w:r>
          </w:p>
        </w:tc>
        <w:tc>
          <w:tcPr>
            <w:tcW w:w="1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due 12/2017)</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restaurants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11.00%</w:t>
            </w:r>
          </w:p>
        </w:tc>
        <w:tc>
          <w:tcPr>
            <w:tcW w:w="16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3"/>
              </w:rPr>
              <w:t>11/16/2012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 Corporate Bonds</w:t>
            </w: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10,017</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10,400</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72"/>
        </w:trPr>
        <w:tc>
          <w:tcPr>
            <w:tcW w:w="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8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Industry</w:t>
            </w:r>
          </w:p>
        </w:tc>
        <w:tc>
          <w:tcPr>
            <w:tcW w:w="180" w:type="dxa"/>
            <w:vAlign w:val="bottom"/>
          </w:tcPr>
          <w:p>
            <w:pPr>
              <w:spacing w:after="0"/>
              <w:rPr>
                <w:sz w:val="14"/>
                <w:szCs w:val="14"/>
                <w:color w:val="auto"/>
              </w:rPr>
            </w:pPr>
          </w:p>
        </w:tc>
        <w:tc>
          <w:tcPr>
            <w:tcW w:w="15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Acquisition</w:t>
            </w:r>
          </w:p>
        </w:tc>
        <w:tc>
          <w:tcPr>
            <w:tcW w:w="4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Amortized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8"/>
        </w:trPr>
        <w:tc>
          <w:tcPr>
            <w:tcW w:w="3700" w:type="dxa"/>
            <w:vAlign w:val="bottom"/>
            <w:gridSpan w:val="3"/>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6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Interest</w:t>
            </w:r>
          </w:p>
        </w:tc>
        <w:tc>
          <w:tcPr>
            <w:tcW w:w="1280" w:type="dxa"/>
            <w:vAlign w:val="bottom"/>
            <w:gridSpan w:val="2"/>
          </w:tcPr>
          <w:p>
            <w:pPr>
              <w:jc w:val="right"/>
              <w:ind w:right="720"/>
              <w:spacing w:after="0" w:line="148" w:lineRule="exact"/>
              <w:rPr>
                <w:sz w:val="20"/>
                <w:szCs w:val="20"/>
                <w:color w:val="auto"/>
              </w:rPr>
            </w:pPr>
            <w:r>
              <w:rPr>
                <w:rFonts w:ascii="Arial" w:cs="Arial" w:eastAsia="Arial" w:hAnsi="Arial"/>
                <w:sz w:val="14"/>
                <w:szCs w:val="14"/>
                <w:b w:val="1"/>
                <w:bCs w:val="1"/>
                <w:color w:val="auto"/>
              </w:rPr>
              <w:t>Date</w:t>
            </w:r>
          </w:p>
        </w:tc>
        <w:tc>
          <w:tcPr>
            <w:tcW w:w="400" w:type="dxa"/>
            <w:vAlign w:val="bottom"/>
          </w:tcPr>
          <w:p>
            <w:pPr>
              <w:spacing w:after="0"/>
              <w:rPr>
                <w:sz w:val="14"/>
                <w:szCs w:val="14"/>
                <w:color w:val="auto"/>
              </w:rPr>
            </w:pPr>
          </w:p>
        </w:tc>
        <w:tc>
          <w:tcPr>
            <w:tcW w:w="8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4"/>
              </w:rPr>
              <w:t>Cost (2)</w:t>
            </w:r>
          </w:p>
        </w:tc>
        <w:tc>
          <w:tcPr>
            <w:tcW w:w="120" w:type="dxa"/>
            <w:vAlign w:val="bottom"/>
          </w:tcPr>
          <w:p>
            <w:pPr>
              <w:spacing w:after="0"/>
              <w:rPr>
                <w:sz w:val="14"/>
                <w:szCs w:val="14"/>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Fair Value</w:t>
            </w:r>
          </w:p>
        </w:tc>
        <w:tc>
          <w:tcPr>
            <w:tcW w:w="280" w:type="dxa"/>
            <w:vAlign w:val="bottom"/>
          </w:tcPr>
          <w:p>
            <w:pPr>
              <w:spacing w:after="0"/>
              <w:rPr>
                <w:sz w:val="14"/>
                <w:szCs w:val="14"/>
                <w:color w:val="auto"/>
              </w:rPr>
            </w:pP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Equity</w:t>
            </w:r>
          </w:p>
        </w:tc>
        <w:tc>
          <w:tcPr>
            <w:tcW w:w="29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SRS Parent Corp.</w:t>
            </w:r>
          </w:p>
        </w:tc>
        <w:tc>
          <w:tcPr>
            <w:tcW w:w="860" w:type="dxa"/>
            <w:vAlign w:val="bottom"/>
          </w:tcPr>
          <w:p>
            <w:pPr>
              <w:spacing w:after="0"/>
              <w:rPr>
                <w:sz w:val="20"/>
                <w:szCs w:val="20"/>
                <w:color w:val="auto"/>
              </w:rPr>
            </w:pPr>
            <w:r>
              <w:rPr>
                <w:rFonts w:ascii="Arial" w:cs="Arial" w:eastAsia="Arial" w:hAnsi="Arial"/>
                <w:sz w:val="18"/>
                <w:szCs w:val="18"/>
                <w:color w:val="auto"/>
                <w:w w:val="96"/>
              </w:rPr>
              <w:t>Healthcare</w:t>
            </w:r>
          </w:p>
        </w:tc>
        <w:tc>
          <w:tcPr>
            <w:tcW w:w="1700" w:type="dxa"/>
            <w:vAlign w:val="bottom"/>
            <w:gridSpan w:val="3"/>
          </w:tcPr>
          <w:p>
            <w:pPr>
              <w:ind w:left="180"/>
              <w:spacing w:after="0"/>
              <w:rPr>
                <w:sz w:val="20"/>
                <w:szCs w:val="20"/>
                <w:color w:val="auto"/>
              </w:rPr>
            </w:pPr>
            <w:r>
              <w:rPr>
                <w:rFonts w:ascii="Arial" w:cs="Arial" w:eastAsia="Arial" w:hAnsi="Arial"/>
                <w:sz w:val="18"/>
                <w:szCs w:val="18"/>
                <w:color w:val="auto"/>
              </w:rPr>
              <w:t>Common Shares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software</w:t>
            </w:r>
          </w:p>
        </w:tc>
        <w:tc>
          <w:tcPr>
            <w:tcW w:w="1700" w:type="dxa"/>
            <w:vAlign w:val="bottom"/>
            <w:gridSpan w:val="3"/>
          </w:tcPr>
          <w:p>
            <w:pPr>
              <w:ind w:left="180"/>
              <w:spacing w:after="0"/>
              <w:rPr>
                <w:sz w:val="20"/>
                <w:szCs w:val="20"/>
                <w:color w:val="auto"/>
              </w:rPr>
            </w:pPr>
            <w:r>
              <w:rPr>
                <w:rFonts w:ascii="Arial" w:cs="Arial" w:eastAsia="Arial" w:hAnsi="Arial"/>
                <w:sz w:val="18"/>
                <w:szCs w:val="18"/>
                <w:color w:val="auto"/>
              </w:rPr>
              <w:t>Class A</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solutions</w:t>
            </w:r>
          </w:p>
        </w:tc>
        <w:tc>
          <w:tcPr>
            <w:tcW w:w="1700" w:type="dxa"/>
            <w:vAlign w:val="bottom"/>
            <w:gridSpan w:val="3"/>
          </w:tcPr>
          <w:p>
            <w:pPr>
              <w:ind w:left="180"/>
              <w:spacing w:after="0"/>
              <w:rPr>
                <w:sz w:val="20"/>
                <w:szCs w:val="20"/>
                <w:color w:val="auto"/>
              </w:rPr>
            </w:pPr>
            <w:r>
              <w:rPr>
                <w:rFonts w:ascii="Arial" w:cs="Arial" w:eastAsia="Arial" w:hAnsi="Arial"/>
                <w:sz w:val="18"/>
                <w:szCs w:val="18"/>
                <w:color w:val="auto"/>
              </w:rPr>
              <w:t>(1,980 shares)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12/28/2012</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1,980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1,980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Common Shares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Class B</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(2,953,020 shares)</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12/28/2012</w:t>
            </w: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Equity</w:t>
            </w: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614,822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626,293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60" w:right="6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March 31, 2013, the Company does not “control” any of the portfolio companies nor are any of its portfolio companies considered to be “affiliates” – see Note 4. Certain portfolio company investments are subject to contractual restrictions on sales.</w:t>
      </w:r>
    </w:p>
    <w:p>
      <w:pPr>
        <w:ind w:left="460" w:right="5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6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 In addition to the interest earned based on the stated interest rate of this loan, the Company may be entitled to receive additional interest as a result of its arrangement with other lenders in a syndication.</w:t>
      </w:r>
    </w:p>
    <w:p>
      <w:pPr>
        <w:spacing w:after="0" w:line="2" w:lineRule="exact"/>
        <w:rPr>
          <w:rFonts w:ascii="Arial" w:cs="Arial" w:eastAsia="Arial" w:hAnsi="Arial"/>
          <w:sz w:val="16"/>
          <w:szCs w:val="16"/>
          <w:color w:val="auto"/>
        </w:rPr>
      </w:pPr>
    </w:p>
    <w:p>
      <w:pPr>
        <w:ind w:left="460" w:right="6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6).</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Schedule of Investments as of December 31,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1"/>
              </w:rPr>
              <w:t>Company (1)</w:t>
            </w:r>
          </w:p>
        </w:tc>
        <w:tc>
          <w:tcPr>
            <w:tcW w:w="246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Industry</w:t>
            </w:r>
          </w:p>
        </w:tc>
        <w:tc>
          <w:tcPr>
            <w:tcW w:w="15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Acquisition</w:t>
            </w: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Amortized</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2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84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86"/>
              </w:rPr>
              <w:t>Interest</w:t>
            </w:r>
          </w:p>
        </w:tc>
        <w:tc>
          <w:tcPr>
            <w:tcW w:w="1380" w:type="dxa"/>
            <w:vAlign w:val="bottom"/>
            <w:gridSpan w:val="2"/>
          </w:tcPr>
          <w:p>
            <w:pPr>
              <w:jc w:val="right"/>
              <w:ind w:right="820"/>
              <w:spacing w:after="0" w:line="148" w:lineRule="exact"/>
              <w:rPr>
                <w:sz w:val="20"/>
                <w:szCs w:val="20"/>
                <w:color w:val="auto"/>
              </w:rPr>
            </w:pPr>
            <w:r>
              <w:rPr>
                <w:rFonts w:ascii="Arial" w:cs="Arial" w:eastAsia="Arial" w:hAnsi="Arial"/>
                <w:sz w:val="14"/>
                <w:szCs w:val="14"/>
                <w:b w:val="1"/>
                <w:bCs w:val="1"/>
                <w:color w:val="auto"/>
              </w:rPr>
              <w:t>Date</w:t>
            </w:r>
          </w:p>
        </w:tc>
        <w:tc>
          <w:tcPr>
            <w:tcW w:w="90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8"/>
              </w:rPr>
              <w:t>Cost (2)</w:t>
            </w:r>
          </w:p>
        </w:tc>
        <w:tc>
          <w:tcPr>
            <w:tcW w:w="8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5"/>
        </w:trPr>
        <w:tc>
          <w:tcPr>
            <w:tcW w:w="326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AFS Technologies, Inc. (3)(4)</w:t>
            </w:r>
          </w:p>
        </w:tc>
        <w:tc>
          <w:tcPr>
            <w:tcW w:w="2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Software</w:t>
            </w:r>
          </w:p>
        </w:tc>
        <w:tc>
          <w:tcPr>
            <w:tcW w:w="1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6"/>
              </w:rPr>
              <w:t>Senior secured loan</w:t>
            </w:r>
          </w:p>
        </w:tc>
        <w:tc>
          <w:tcPr>
            <w:tcW w:w="1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provider for</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($46,884</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food and</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8/2015)</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beverage</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companies</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7.75%</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8/31/2011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45,987</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46,532</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8"/>
        </w:trPr>
        <w:tc>
          <w:tcPr>
            <w:tcW w:w="3260" w:type="dxa"/>
            <w:vAlign w:val="bottom"/>
            <w:gridSpan w:val="2"/>
          </w:tcPr>
          <w:p>
            <w:pPr>
              <w:spacing w:after="0"/>
              <w:rPr>
                <w:sz w:val="20"/>
                <w:szCs w:val="20"/>
                <w:color w:val="auto"/>
              </w:rPr>
            </w:pPr>
            <w:r>
              <w:rPr>
                <w:rFonts w:ascii="Arial" w:cs="Arial" w:eastAsia="Arial" w:hAnsi="Arial"/>
                <w:sz w:val="18"/>
                <w:szCs w:val="18"/>
                <w:color w:val="auto"/>
              </w:rPr>
              <w:t>Ecommerce Industries, Inc. (3)(4)</w:t>
            </w: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ERP and</w:t>
            </w:r>
          </w:p>
        </w:tc>
        <w:tc>
          <w:tcPr>
            <w:tcW w:w="1580" w:type="dxa"/>
            <w:vAlign w:val="bottom"/>
            <w:gridSpan w:val="2"/>
          </w:tcPr>
          <w:p>
            <w:pPr>
              <w:spacing w:after="0"/>
              <w:rPr>
                <w:sz w:val="20"/>
                <w:szCs w:val="20"/>
                <w:color w:val="auto"/>
              </w:rPr>
            </w:pPr>
            <w:r>
              <w:rPr>
                <w:rFonts w:ascii="Arial" w:cs="Arial" w:eastAsia="Arial" w:hAnsi="Arial"/>
                <w:sz w:val="18"/>
                <w:szCs w:val="18"/>
                <w:color w:val="auto"/>
                <w:w w:val="97"/>
              </w:rPr>
              <w:t>Senior secured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eCommerce</w:t>
            </w:r>
          </w:p>
        </w:tc>
        <w:tc>
          <w:tcPr>
            <w:tcW w:w="1400" w:type="dxa"/>
            <w:vAlign w:val="bottom"/>
          </w:tcPr>
          <w:p>
            <w:pPr>
              <w:spacing w:after="0"/>
              <w:rPr>
                <w:sz w:val="20"/>
                <w:szCs w:val="20"/>
                <w:color w:val="auto"/>
              </w:rPr>
            </w:pPr>
            <w:r>
              <w:rPr>
                <w:rFonts w:ascii="Arial" w:cs="Arial" w:eastAsia="Arial" w:hAnsi="Arial"/>
                <w:sz w:val="18"/>
                <w:szCs w:val="18"/>
                <w:color w:val="auto"/>
              </w:rPr>
              <w:t>($21,562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systems</w:t>
            </w:r>
          </w:p>
        </w:tc>
        <w:tc>
          <w:tcPr>
            <w:tcW w:w="1580" w:type="dxa"/>
            <w:vAlign w:val="bottom"/>
            <w:gridSpan w:val="2"/>
          </w:tcPr>
          <w:p>
            <w:pPr>
              <w:spacing w:after="0"/>
              <w:rPr>
                <w:sz w:val="20"/>
                <w:szCs w:val="20"/>
                <w:color w:val="auto"/>
              </w:rPr>
            </w:pPr>
            <w:r>
              <w:rPr>
                <w:rFonts w:ascii="Arial" w:cs="Arial" w:eastAsia="Arial" w:hAnsi="Arial"/>
                <w:sz w:val="18"/>
                <w:szCs w:val="18"/>
                <w:color w:val="auto"/>
              </w:rPr>
              <w:t>par, due 10/2016)</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software</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8.00%</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10/17/2011</w:t>
            </w:r>
          </w:p>
        </w:tc>
        <w:tc>
          <w:tcPr>
            <w:tcW w:w="620" w:type="dxa"/>
            <w:vAlign w:val="bottom"/>
          </w:tcPr>
          <w:p>
            <w:pPr>
              <w:jc w:val="right"/>
              <w:spacing w:after="0"/>
              <w:rPr>
                <w:sz w:val="20"/>
                <w:szCs w:val="20"/>
                <w:color w:val="auto"/>
              </w:rPr>
            </w:pPr>
            <w:r>
              <w:rPr>
                <w:rFonts w:ascii="Arial" w:cs="Arial" w:eastAsia="Arial" w:hAnsi="Arial"/>
                <w:sz w:val="18"/>
                <w:szCs w:val="18"/>
                <w:color w:val="auto"/>
              </w:rPr>
              <w:t>21,286</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21,808</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MSC.Software Corporation (3)(4)</w:t>
            </w: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Multidiscipline</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Senior secured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simulation</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($56,266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software</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11/2017)</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7.75%</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12/23/2011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55,423</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8"/>
        </w:trPr>
        <w:tc>
          <w:tcPr>
            <w:tcW w:w="3260" w:type="dxa"/>
            <w:vAlign w:val="bottom"/>
            <w:gridSpan w:val="2"/>
          </w:tcPr>
          <w:p>
            <w:pPr>
              <w:spacing w:after="0"/>
              <w:rPr>
                <w:sz w:val="20"/>
                <w:szCs w:val="20"/>
                <w:color w:val="auto"/>
              </w:rPr>
            </w:pPr>
            <w:r>
              <w:rPr>
                <w:rFonts w:ascii="Arial" w:cs="Arial" w:eastAsia="Arial" w:hAnsi="Arial"/>
                <w:sz w:val="18"/>
                <w:szCs w:val="18"/>
                <w:color w:val="auto"/>
              </w:rPr>
              <w:t>Federal Signal Corporation (3)(4)</w:t>
            </w: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Manufacturer of</w:t>
            </w:r>
          </w:p>
        </w:tc>
        <w:tc>
          <w:tcPr>
            <w:tcW w:w="1580" w:type="dxa"/>
            <w:vAlign w:val="bottom"/>
            <w:gridSpan w:val="2"/>
          </w:tcPr>
          <w:p>
            <w:pPr>
              <w:spacing w:after="0"/>
              <w:rPr>
                <w:sz w:val="20"/>
                <w:szCs w:val="20"/>
                <w:color w:val="auto"/>
              </w:rPr>
            </w:pPr>
            <w:r>
              <w:rPr>
                <w:rFonts w:ascii="Arial" w:cs="Arial" w:eastAsia="Arial" w:hAnsi="Arial"/>
                <w:sz w:val="18"/>
                <w:szCs w:val="18"/>
                <w:color w:val="auto"/>
                <w:w w:val="97"/>
              </w:rPr>
              <w:t>Senior secured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safety,</w:t>
            </w:r>
          </w:p>
        </w:tc>
        <w:tc>
          <w:tcPr>
            <w:tcW w:w="1580" w:type="dxa"/>
            <w:vAlign w:val="bottom"/>
            <w:gridSpan w:val="2"/>
          </w:tcPr>
          <w:p>
            <w:pPr>
              <w:spacing w:after="0"/>
              <w:rPr>
                <w:sz w:val="20"/>
                <w:szCs w:val="20"/>
                <w:color w:val="auto"/>
              </w:rPr>
            </w:pPr>
            <w:r>
              <w:rPr>
                <w:rFonts w:ascii="Arial" w:cs="Arial" w:eastAsia="Arial" w:hAnsi="Arial"/>
                <w:sz w:val="18"/>
                <w:szCs w:val="18"/>
                <w:color w:val="auto"/>
              </w:rPr>
              <w:t>($41,608 par, due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emergency and</w:t>
            </w:r>
          </w:p>
        </w:tc>
        <w:tc>
          <w:tcPr>
            <w:tcW w:w="1400" w:type="dxa"/>
            <w:vAlign w:val="bottom"/>
          </w:tcPr>
          <w:p>
            <w:pPr>
              <w:spacing w:after="0"/>
              <w:rPr>
                <w:sz w:val="20"/>
                <w:szCs w:val="20"/>
                <w:color w:val="auto"/>
              </w:rPr>
            </w:pPr>
            <w:r>
              <w:rPr>
                <w:rFonts w:ascii="Arial" w:cs="Arial" w:eastAsia="Arial" w:hAnsi="Arial"/>
                <w:sz w:val="18"/>
                <w:szCs w:val="18"/>
                <w:color w:val="auto"/>
              </w:rPr>
              <w:t>2/2017)</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heavy duty</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cleaning</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equipment</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12.00%</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2/22/2012</w:t>
            </w:r>
          </w:p>
        </w:tc>
        <w:tc>
          <w:tcPr>
            <w:tcW w:w="620" w:type="dxa"/>
            <w:vAlign w:val="bottom"/>
          </w:tcPr>
          <w:p>
            <w:pPr>
              <w:jc w:val="right"/>
              <w:spacing w:after="0"/>
              <w:rPr>
                <w:sz w:val="20"/>
                <w:szCs w:val="20"/>
                <w:color w:val="auto"/>
              </w:rPr>
            </w:pPr>
            <w:r>
              <w:rPr>
                <w:rFonts w:ascii="Arial" w:cs="Arial" w:eastAsia="Arial" w:hAnsi="Arial"/>
                <w:sz w:val="18"/>
                <w:szCs w:val="18"/>
                <w:color w:val="auto"/>
              </w:rPr>
              <w:t>40,897</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43,064</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Mannington Mills, Inc. (3)(4)</w:t>
            </w: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Commercial and</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Senior secured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residential</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($50,537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flooring</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3/2017)</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14.00%</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49,551</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8"/>
        </w:trPr>
        <w:tc>
          <w:tcPr>
            <w:tcW w:w="3260" w:type="dxa"/>
            <w:vAlign w:val="bottom"/>
            <w:gridSpan w:val="2"/>
          </w:tcPr>
          <w:p>
            <w:pPr>
              <w:spacing w:after="0"/>
              <w:rPr>
                <w:sz w:val="20"/>
                <w:szCs w:val="20"/>
                <w:color w:val="auto"/>
              </w:rPr>
            </w:pPr>
            <w:r>
              <w:rPr>
                <w:rFonts w:ascii="Arial" w:cs="Arial" w:eastAsia="Arial" w:hAnsi="Arial"/>
                <w:sz w:val="18"/>
                <w:szCs w:val="18"/>
                <w:color w:val="auto"/>
                <w:w w:val="97"/>
              </w:rPr>
              <w:t>Mandalay Baseball Properties, LLC (3)(4)</w:t>
            </w: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Sports</w:t>
            </w:r>
          </w:p>
        </w:tc>
        <w:tc>
          <w:tcPr>
            <w:tcW w:w="1580" w:type="dxa"/>
            <w:vAlign w:val="bottom"/>
            <w:gridSpan w:val="2"/>
          </w:tcPr>
          <w:p>
            <w:pPr>
              <w:spacing w:after="0"/>
              <w:rPr>
                <w:sz w:val="20"/>
                <w:szCs w:val="20"/>
                <w:color w:val="auto"/>
              </w:rPr>
            </w:pPr>
            <w:r>
              <w:rPr>
                <w:rFonts w:ascii="Arial" w:cs="Arial" w:eastAsia="Arial" w:hAnsi="Arial"/>
                <w:sz w:val="18"/>
                <w:szCs w:val="18"/>
                <w:color w:val="auto"/>
                <w:w w:val="97"/>
              </w:rPr>
              <w:t>Senior secured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Entertainment</w:t>
            </w:r>
          </w:p>
        </w:tc>
        <w:tc>
          <w:tcPr>
            <w:tcW w:w="1580" w:type="dxa"/>
            <w:vAlign w:val="bottom"/>
            <w:gridSpan w:val="2"/>
          </w:tcPr>
          <w:p>
            <w:pPr>
              <w:spacing w:after="0"/>
              <w:rPr>
                <w:sz w:val="20"/>
                <w:szCs w:val="20"/>
                <w:color w:val="auto"/>
              </w:rPr>
            </w:pPr>
            <w:r>
              <w:rPr>
                <w:rFonts w:ascii="Arial" w:cs="Arial" w:eastAsia="Arial" w:hAnsi="Arial"/>
                <w:sz w:val="18"/>
                <w:szCs w:val="18"/>
                <w:color w:val="auto"/>
              </w:rPr>
              <w:t>($28,414 par, due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4/2017)</w:t>
            </w:r>
          </w:p>
        </w:tc>
        <w:tc>
          <w:tcPr>
            <w:tcW w:w="1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12.00%</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4/12/2012</w:t>
            </w:r>
          </w:p>
        </w:tc>
        <w:tc>
          <w:tcPr>
            <w:tcW w:w="620" w:type="dxa"/>
            <w:vAlign w:val="bottom"/>
          </w:tcPr>
          <w:p>
            <w:pPr>
              <w:jc w:val="right"/>
              <w:spacing w:after="0"/>
              <w:rPr>
                <w:sz w:val="20"/>
                <w:szCs w:val="20"/>
                <w:color w:val="auto"/>
              </w:rPr>
            </w:pPr>
            <w:r>
              <w:rPr>
                <w:rFonts w:ascii="Arial" w:cs="Arial" w:eastAsia="Arial" w:hAnsi="Arial"/>
                <w:sz w:val="18"/>
                <w:szCs w:val="18"/>
                <w:color w:val="auto"/>
              </w:rPr>
              <w:t>27,684</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28,556</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Infogix, Inc. (3)(4)</w:t>
            </w: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Business</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Senior secured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operations</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($30,613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management</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6/2017)</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solutions</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10.00%</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29,974</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30,346</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8"/>
        </w:trPr>
        <w:tc>
          <w:tcPr>
            <w:tcW w:w="3260" w:type="dxa"/>
            <w:vAlign w:val="bottom"/>
            <w:gridSpan w:val="2"/>
          </w:tcPr>
          <w:p>
            <w:pPr>
              <w:spacing w:after="0"/>
              <w:rPr>
                <w:sz w:val="20"/>
                <w:szCs w:val="20"/>
                <w:color w:val="auto"/>
              </w:rPr>
            </w:pPr>
            <w:r>
              <w:rPr>
                <w:rFonts w:ascii="Arial" w:cs="Arial" w:eastAsia="Arial" w:hAnsi="Arial"/>
                <w:sz w:val="18"/>
                <w:szCs w:val="18"/>
                <w:color w:val="auto"/>
              </w:rPr>
              <w:t>Attachmate Corporation (3)(4)</w:t>
            </w: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Multidiscipline</w:t>
            </w:r>
          </w:p>
        </w:tc>
        <w:tc>
          <w:tcPr>
            <w:tcW w:w="1580" w:type="dxa"/>
            <w:vAlign w:val="bottom"/>
            <w:gridSpan w:val="2"/>
          </w:tcPr>
          <w:p>
            <w:pPr>
              <w:spacing w:after="0"/>
              <w:rPr>
                <w:sz w:val="20"/>
                <w:szCs w:val="20"/>
                <w:color w:val="auto"/>
              </w:rPr>
            </w:pPr>
            <w:r>
              <w:rPr>
                <w:rFonts w:ascii="Arial" w:cs="Arial" w:eastAsia="Arial" w:hAnsi="Arial"/>
                <w:sz w:val="18"/>
                <w:szCs w:val="18"/>
                <w:color w:val="auto"/>
                <w:w w:val="97"/>
              </w:rPr>
              <w:t>Senior secured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simulation</w:t>
            </w:r>
          </w:p>
        </w:tc>
        <w:tc>
          <w:tcPr>
            <w:tcW w:w="1580" w:type="dxa"/>
            <w:vAlign w:val="bottom"/>
            <w:gridSpan w:val="2"/>
          </w:tcPr>
          <w:p>
            <w:pPr>
              <w:spacing w:after="0"/>
              <w:rPr>
                <w:sz w:val="20"/>
                <w:szCs w:val="20"/>
                <w:color w:val="auto"/>
              </w:rPr>
            </w:pPr>
            <w:r>
              <w:rPr>
                <w:rFonts w:ascii="Arial" w:cs="Arial" w:eastAsia="Arial" w:hAnsi="Arial"/>
                <w:sz w:val="18"/>
                <w:szCs w:val="18"/>
                <w:color w:val="auto"/>
              </w:rPr>
              <w:t>($926 par, due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software</w:t>
            </w:r>
          </w:p>
        </w:tc>
        <w:tc>
          <w:tcPr>
            <w:tcW w:w="1400" w:type="dxa"/>
            <w:vAlign w:val="bottom"/>
          </w:tcPr>
          <w:p>
            <w:pPr>
              <w:spacing w:after="0"/>
              <w:rPr>
                <w:sz w:val="20"/>
                <w:szCs w:val="20"/>
                <w:color w:val="auto"/>
              </w:rPr>
            </w:pPr>
            <w:r>
              <w:rPr>
                <w:rFonts w:ascii="Arial" w:cs="Arial" w:eastAsia="Arial" w:hAnsi="Arial"/>
                <w:sz w:val="18"/>
                <w:szCs w:val="18"/>
                <w:color w:val="auto"/>
              </w:rPr>
              <w:t>11/2017)</w:t>
            </w:r>
          </w:p>
        </w:tc>
        <w:tc>
          <w:tcPr>
            <w:tcW w:w="1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7.25%</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6/25/2012</w:t>
            </w:r>
          </w:p>
        </w:tc>
        <w:tc>
          <w:tcPr>
            <w:tcW w:w="620" w:type="dxa"/>
            <w:vAlign w:val="bottom"/>
          </w:tcPr>
          <w:p>
            <w:pPr>
              <w:jc w:val="right"/>
              <w:spacing w:after="0"/>
              <w:rPr>
                <w:sz w:val="20"/>
                <w:szCs w:val="20"/>
                <w:color w:val="auto"/>
              </w:rPr>
            </w:pPr>
            <w:r>
              <w:rPr>
                <w:rFonts w:ascii="Arial" w:cs="Arial" w:eastAsia="Arial" w:hAnsi="Arial"/>
                <w:sz w:val="18"/>
                <w:szCs w:val="18"/>
                <w:color w:val="auto"/>
              </w:rPr>
              <w:t>944</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894</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eResearch Technology, Inc. (3)(4)</w:t>
            </w: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Pharmaceutical</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Senior secured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6"/>
              </w:rPr>
              <w:t>research services</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($24,937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5/2018)</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24,006</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24,626</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8"/>
        </w:trPr>
        <w:tc>
          <w:tcPr>
            <w:tcW w:w="3260" w:type="dxa"/>
            <w:vAlign w:val="bottom"/>
            <w:gridSpan w:val="2"/>
          </w:tcPr>
          <w:p>
            <w:pPr>
              <w:spacing w:after="0"/>
              <w:rPr>
                <w:sz w:val="20"/>
                <w:szCs w:val="20"/>
                <w:color w:val="auto"/>
              </w:rPr>
            </w:pPr>
            <w:r>
              <w:rPr>
                <w:rFonts w:ascii="Arial" w:cs="Arial" w:eastAsia="Arial" w:hAnsi="Arial"/>
                <w:sz w:val="18"/>
                <w:szCs w:val="18"/>
                <w:color w:val="auto"/>
              </w:rPr>
              <w:t>Teletrac, Inc. (3)(4)</w:t>
            </w: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Fleet</w:t>
            </w:r>
          </w:p>
        </w:tc>
        <w:tc>
          <w:tcPr>
            <w:tcW w:w="1580" w:type="dxa"/>
            <w:vAlign w:val="bottom"/>
            <w:gridSpan w:val="2"/>
          </w:tcPr>
          <w:p>
            <w:pPr>
              <w:spacing w:after="0"/>
              <w:rPr>
                <w:sz w:val="20"/>
                <w:szCs w:val="20"/>
                <w:color w:val="auto"/>
              </w:rPr>
            </w:pPr>
            <w:r>
              <w:rPr>
                <w:rFonts w:ascii="Arial" w:cs="Arial" w:eastAsia="Arial" w:hAnsi="Arial"/>
                <w:sz w:val="18"/>
                <w:szCs w:val="18"/>
                <w:color w:val="auto"/>
                <w:w w:val="97"/>
              </w:rPr>
              <w:t>Senior secured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management</w:t>
            </w:r>
          </w:p>
        </w:tc>
        <w:tc>
          <w:tcPr>
            <w:tcW w:w="1580" w:type="dxa"/>
            <w:vAlign w:val="bottom"/>
            <w:gridSpan w:val="2"/>
          </w:tcPr>
          <w:p>
            <w:pPr>
              <w:spacing w:after="0"/>
              <w:rPr>
                <w:sz w:val="20"/>
                <w:szCs w:val="20"/>
                <w:color w:val="auto"/>
              </w:rPr>
            </w:pPr>
            <w:r>
              <w:rPr>
                <w:rFonts w:ascii="Arial" w:cs="Arial" w:eastAsia="Arial" w:hAnsi="Arial"/>
                <w:sz w:val="18"/>
                <w:szCs w:val="18"/>
                <w:color w:val="auto"/>
              </w:rPr>
              <w:t>($17,413 par, due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solutions</w:t>
            </w:r>
          </w:p>
        </w:tc>
        <w:tc>
          <w:tcPr>
            <w:tcW w:w="1400" w:type="dxa"/>
            <w:vAlign w:val="bottom"/>
          </w:tcPr>
          <w:p>
            <w:pPr>
              <w:spacing w:after="0"/>
              <w:rPr>
                <w:sz w:val="20"/>
                <w:szCs w:val="20"/>
                <w:color w:val="auto"/>
              </w:rPr>
            </w:pPr>
            <w:r>
              <w:rPr>
                <w:rFonts w:ascii="Arial" w:cs="Arial" w:eastAsia="Arial" w:hAnsi="Arial"/>
                <w:sz w:val="18"/>
                <w:szCs w:val="18"/>
                <w:color w:val="auto"/>
              </w:rPr>
              <w:t>7/2017)</w:t>
            </w:r>
          </w:p>
        </w:tc>
        <w:tc>
          <w:tcPr>
            <w:tcW w:w="1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6.65%</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7/23/2012</w:t>
            </w:r>
          </w:p>
        </w:tc>
        <w:tc>
          <w:tcPr>
            <w:tcW w:w="620" w:type="dxa"/>
            <w:vAlign w:val="bottom"/>
          </w:tcPr>
          <w:p>
            <w:pPr>
              <w:jc w:val="right"/>
              <w:spacing w:after="0"/>
              <w:rPr>
                <w:sz w:val="20"/>
                <w:szCs w:val="20"/>
                <w:color w:val="auto"/>
              </w:rPr>
            </w:pPr>
            <w:r>
              <w:rPr>
                <w:rFonts w:ascii="Arial" w:cs="Arial" w:eastAsia="Arial" w:hAnsi="Arial"/>
                <w:sz w:val="18"/>
                <w:szCs w:val="18"/>
                <w:color w:val="auto"/>
              </w:rPr>
              <w:t>17,049</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17,151</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Consona Holdings, Inc. (3)(4)</w:t>
            </w: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Enterprise</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Senior secured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application</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($29,925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software</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8/2018)</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solutions</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7.25%</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8/13/2012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29,514</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8"/>
        </w:trPr>
        <w:tc>
          <w:tcPr>
            <w:tcW w:w="3260" w:type="dxa"/>
            <w:vAlign w:val="bottom"/>
            <w:gridSpan w:val="2"/>
          </w:tcPr>
          <w:p>
            <w:pPr>
              <w:spacing w:after="0"/>
              <w:rPr>
                <w:sz w:val="20"/>
                <w:szCs w:val="20"/>
                <w:color w:val="auto"/>
              </w:rPr>
            </w:pPr>
            <w:r>
              <w:rPr>
                <w:rFonts w:ascii="Arial" w:cs="Arial" w:eastAsia="Arial" w:hAnsi="Arial"/>
                <w:sz w:val="18"/>
                <w:szCs w:val="18"/>
                <w:color w:val="auto"/>
              </w:rPr>
              <w:t>Heartland Automotive Holdings,</w:t>
            </w: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Preventive</w:t>
            </w:r>
          </w:p>
        </w:tc>
        <w:tc>
          <w:tcPr>
            <w:tcW w:w="1580" w:type="dxa"/>
            <w:vAlign w:val="bottom"/>
            <w:gridSpan w:val="2"/>
          </w:tcPr>
          <w:p>
            <w:pPr>
              <w:spacing w:after="0"/>
              <w:rPr>
                <w:sz w:val="20"/>
                <w:szCs w:val="20"/>
                <w:color w:val="auto"/>
              </w:rPr>
            </w:pPr>
            <w:r>
              <w:rPr>
                <w:rFonts w:ascii="Arial" w:cs="Arial" w:eastAsia="Arial" w:hAnsi="Arial"/>
                <w:sz w:val="18"/>
                <w:szCs w:val="18"/>
                <w:color w:val="auto"/>
                <w:w w:val="97"/>
              </w:rPr>
              <w:t>Senior secured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ind w:left="220"/>
              <w:spacing w:after="0"/>
              <w:rPr>
                <w:sz w:val="20"/>
                <w:szCs w:val="20"/>
                <w:color w:val="auto"/>
              </w:rPr>
            </w:pPr>
            <w:r>
              <w:rPr>
                <w:rFonts w:ascii="Arial" w:cs="Arial" w:eastAsia="Arial" w:hAnsi="Arial"/>
                <w:sz w:val="18"/>
                <w:szCs w:val="18"/>
                <w:color w:val="auto"/>
              </w:rPr>
              <w:t>LLC (3)(4)</w:t>
            </w: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automotive</w:t>
            </w:r>
          </w:p>
        </w:tc>
        <w:tc>
          <w:tcPr>
            <w:tcW w:w="1580" w:type="dxa"/>
            <w:vAlign w:val="bottom"/>
            <w:gridSpan w:val="2"/>
          </w:tcPr>
          <w:p>
            <w:pPr>
              <w:spacing w:after="0"/>
              <w:rPr>
                <w:sz w:val="20"/>
                <w:szCs w:val="20"/>
                <w:color w:val="auto"/>
              </w:rPr>
            </w:pPr>
            <w:r>
              <w:rPr>
                <w:rFonts w:ascii="Arial" w:cs="Arial" w:eastAsia="Arial" w:hAnsi="Arial"/>
                <w:sz w:val="18"/>
                <w:szCs w:val="18"/>
                <w:color w:val="auto"/>
              </w:rPr>
              <w:t>($38,951 par, due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maintenance</w:t>
            </w:r>
          </w:p>
        </w:tc>
        <w:tc>
          <w:tcPr>
            <w:tcW w:w="1400" w:type="dxa"/>
            <w:vAlign w:val="bottom"/>
          </w:tcPr>
          <w:p>
            <w:pPr>
              <w:spacing w:after="0"/>
              <w:rPr>
                <w:sz w:val="20"/>
                <w:szCs w:val="20"/>
                <w:color w:val="auto"/>
              </w:rPr>
            </w:pPr>
            <w:r>
              <w:rPr>
                <w:rFonts w:ascii="Arial" w:cs="Arial" w:eastAsia="Arial" w:hAnsi="Arial"/>
                <w:sz w:val="18"/>
                <w:szCs w:val="18"/>
                <w:color w:val="auto"/>
              </w:rPr>
              <w:t>6/2017)</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40" w:type="dxa"/>
            <w:vAlign w:val="bottom"/>
            <w:gridSpan w:val="3"/>
          </w:tcPr>
          <w:p>
            <w:pPr>
              <w:ind w:left="260"/>
              <w:spacing w:after="0"/>
              <w:rPr>
                <w:sz w:val="20"/>
                <w:szCs w:val="20"/>
                <w:color w:val="auto"/>
              </w:rPr>
            </w:pPr>
            <w:r>
              <w:rPr>
                <w:rFonts w:ascii="Arial" w:cs="Arial" w:eastAsia="Arial" w:hAnsi="Arial"/>
                <w:sz w:val="18"/>
                <w:szCs w:val="18"/>
                <w:color w:val="auto"/>
              </w:rPr>
              <w:t>services</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9.00%</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8/28/2012</w:t>
            </w:r>
          </w:p>
        </w:tc>
        <w:tc>
          <w:tcPr>
            <w:tcW w:w="620" w:type="dxa"/>
            <w:vAlign w:val="bottom"/>
          </w:tcPr>
          <w:p>
            <w:pPr>
              <w:jc w:val="right"/>
              <w:spacing w:after="0"/>
              <w:rPr>
                <w:sz w:val="20"/>
                <w:szCs w:val="20"/>
                <w:color w:val="auto"/>
              </w:rPr>
            </w:pPr>
            <w:r>
              <w:rPr>
                <w:rFonts w:ascii="Arial" w:cs="Arial" w:eastAsia="Arial" w:hAnsi="Arial"/>
                <w:sz w:val="18"/>
                <w:szCs w:val="18"/>
                <w:color w:val="auto"/>
              </w:rPr>
              <w:t>37,998</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38,075</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65"/>
        </w:trPr>
        <w:tc>
          <w:tcPr>
            <w:tcW w:w="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ind w:left="78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00" w:type="dxa"/>
            <w:vAlign w:val="bottom"/>
          </w:tcPr>
          <w:p>
            <w:pPr>
              <w:spacing w:after="0"/>
              <w:rPr>
                <w:sz w:val="14"/>
                <w:szCs w:val="14"/>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5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7"/>
              </w:rPr>
              <w:t>Acquisition</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7"/>
              </w:rPr>
              <w:t>Amortized</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34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80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86"/>
              </w:rPr>
              <w:t>Interest</w:t>
            </w:r>
          </w:p>
        </w:tc>
        <w:tc>
          <w:tcPr>
            <w:tcW w:w="1660" w:type="dxa"/>
            <w:vAlign w:val="bottom"/>
            <w:gridSpan w:val="2"/>
          </w:tcPr>
          <w:p>
            <w:pPr>
              <w:jc w:val="right"/>
              <w:ind w:right="1100"/>
              <w:spacing w:after="0" w:line="148" w:lineRule="exact"/>
              <w:rPr>
                <w:sz w:val="20"/>
                <w:szCs w:val="20"/>
                <w:color w:val="auto"/>
              </w:rPr>
            </w:pPr>
            <w:r>
              <w:rPr>
                <w:rFonts w:ascii="Arial" w:cs="Arial" w:eastAsia="Arial" w:hAnsi="Arial"/>
                <w:sz w:val="14"/>
                <w:szCs w:val="14"/>
                <w:b w:val="1"/>
                <w:bCs w:val="1"/>
                <w:color w:val="auto"/>
              </w:rPr>
              <w:t>Date</w:t>
            </w:r>
          </w:p>
        </w:tc>
        <w:tc>
          <w:tcPr>
            <w:tcW w:w="640" w:type="dxa"/>
            <w:vAlign w:val="bottom"/>
          </w:tcPr>
          <w:p>
            <w:pPr>
              <w:jc w:val="right"/>
              <w:ind w:right="15"/>
              <w:spacing w:after="0" w:line="148" w:lineRule="exact"/>
              <w:rPr>
                <w:sz w:val="20"/>
                <w:szCs w:val="20"/>
                <w:color w:val="auto"/>
              </w:rPr>
            </w:pPr>
            <w:r>
              <w:rPr>
                <w:rFonts w:ascii="Arial" w:cs="Arial" w:eastAsia="Arial" w:hAnsi="Arial"/>
                <w:sz w:val="14"/>
                <w:szCs w:val="14"/>
                <w:b w:val="1"/>
                <w:bCs w:val="1"/>
                <w:color w:val="auto"/>
                <w:w w:val="99"/>
              </w:rPr>
              <w:t>Cost (2)</w:t>
            </w:r>
          </w:p>
        </w:tc>
        <w:tc>
          <w:tcPr>
            <w:tcW w:w="24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9"/>
              </w:rPr>
              <w:t>Fair Value</w:t>
            </w:r>
          </w:p>
        </w:tc>
        <w:tc>
          <w:tcPr>
            <w:tcW w:w="240" w:type="dxa"/>
            <w:vAlign w:val="bottom"/>
          </w:tcPr>
          <w:p>
            <w:pPr>
              <w:spacing w:after="0"/>
              <w:rPr>
                <w:sz w:val="12"/>
                <w:szCs w:val="12"/>
                <w:color w:val="auto"/>
              </w:rPr>
            </w:pP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3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Synagro Technologies, Inc. (3)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Recycling and</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Senior secured</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waste</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($5,670 par,</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management</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9/14/2012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Synagro Technologies, Inc. (3)</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Recycling and</w:t>
            </w:r>
          </w:p>
        </w:tc>
        <w:tc>
          <w:tcPr>
            <w:tcW w:w="1520" w:type="dxa"/>
            <w:vAlign w:val="bottom"/>
            <w:gridSpan w:val="2"/>
          </w:tcPr>
          <w:p>
            <w:pPr>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waste</w:t>
            </w:r>
          </w:p>
        </w:tc>
        <w:tc>
          <w:tcPr>
            <w:tcW w:w="1520" w:type="dxa"/>
            <w:vAlign w:val="bottom"/>
            <w:gridSpan w:val="2"/>
          </w:tcPr>
          <w:p>
            <w:pPr>
              <w:spacing w:after="0"/>
              <w:rPr>
                <w:sz w:val="20"/>
                <w:szCs w:val="20"/>
                <w:color w:val="auto"/>
              </w:rPr>
            </w:pPr>
            <w:r>
              <w:rPr>
                <w:rFonts w:ascii="Arial" w:cs="Arial" w:eastAsia="Arial" w:hAnsi="Arial"/>
                <w:sz w:val="18"/>
                <w:szCs w:val="18"/>
                <w:color w:val="auto"/>
              </w:rPr>
              <w:t>loan ($3,134</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management</w:t>
            </w:r>
          </w:p>
        </w:tc>
        <w:tc>
          <w:tcPr>
            <w:tcW w:w="1520" w:type="dxa"/>
            <w:vAlign w:val="bottom"/>
            <w:gridSpan w:val="2"/>
          </w:tcPr>
          <w:p>
            <w:pPr>
              <w:spacing w:after="0"/>
              <w:rPr>
                <w:sz w:val="20"/>
                <w:szCs w:val="20"/>
                <w:color w:val="auto"/>
              </w:rPr>
            </w:pPr>
            <w:r>
              <w:rPr>
                <w:rFonts w:ascii="Arial" w:cs="Arial" w:eastAsia="Arial" w:hAnsi="Arial"/>
                <w:sz w:val="18"/>
                <w:szCs w:val="18"/>
                <w:color w:val="auto"/>
              </w:rPr>
              <w:t>par, due 10/2014)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2.31%</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11/8/2012</w:t>
            </w:r>
          </w:p>
        </w:tc>
        <w:tc>
          <w:tcPr>
            <w:tcW w:w="640" w:type="dxa"/>
            <w:vAlign w:val="bottom"/>
          </w:tcPr>
          <w:p>
            <w:pPr>
              <w:jc w:val="right"/>
              <w:spacing w:after="0"/>
              <w:rPr>
                <w:sz w:val="20"/>
                <w:szCs w:val="20"/>
                <w:color w:val="auto"/>
              </w:rPr>
            </w:pPr>
            <w:r>
              <w:rPr>
                <w:rFonts w:ascii="Arial" w:cs="Arial" w:eastAsia="Arial" w:hAnsi="Arial"/>
                <w:sz w:val="18"/>
                <w:szCs w:val="18"/>
                <w:color w:val="auto"/>
              </w:rPr>
              <w:t>2,759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2,813</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International Equipment Solutions, Inc. (3)(4)</w:t>
            </w: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Engineered</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equipment</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($29,391 par,</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manufacturing</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9/2016)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9/18/2012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28,876</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Mediware Information Systems, Inc. (3)(4)</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Healthcare</w:t>
            </w:r>
          </w:p>
        </w:tc>
        <w:tc>
          <w:tcPr>
            <w:tcW w:w="1520" w:type="dxa"/>
            <w:vAlign w:val="bottom"/>
            <w:gridSpan w:val="2"/>
          </w:tcPr>
          <w:p>
            <w:pPr>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software</w:t>
            </w:r>
          </w:p>
        </w:tc>
        <w:tc>
          <w:tcPr>
            <w:tcW w:w="1520" w:type="dxa"/>
            <w:vAlign w:val="bottom"/>
            <w:gridSpan w:val="2"/>
          </w:tcPr>
          <w:p>
            <w:pPr>
              <w:spacing w:after="0"/>
              <w:rPr>
                <w:sz w:val="20"/>
                <w:szCs w:val="20"/>
                <w:color w:val="auto"/>
              </w:rPr>
            </w:pPr>
            <w:r>
              <w:rPr>
                <w:rFonts w:ascii="Arial" w:cs="Arial" w:eastAsia="Arial" w:hAnsi="Arial"/>
                <w:sz w:val="18"/>
                <w:szCs w:val="18"/>
                <w:color w:val="auto"/>
              </w:rPr>
              <w:t>loan ($50,500 par,</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solutions</w:t>
            </w:r>
          </w:p>
        </w:tc>
        <w:tc>
          <w:tcPr>
            <w:tcW w:w="1520" w:type="dxa"/>
            <w:vAlign w:val="bottom"/>
            <w:gridSpan w:val="2"/>
          </w:tcPr>
          <w:p>
            <w:pPr>
              <w:spacing w:after="0"/>
              <w:rPr>
                <w:sz w:val="20"/>
                <w:szCs w:val="20"/>
                <w:color w:val="auto"/>
              </w:rPr>
            </w:pPr>
            <w:r>
              <w:rPr>
                <w:rFonts w:ascii="Arial" w:cs="Arial" w:eastAsia="Arial" w:hAnsi="Arial"/>
                <w:sz w:val="18"/>
                <w:szCs w:val="18"/>
                <w:color w:val="auto"/>
              </w:rPr>
              <w:t>due 5/2018)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11/9/2012</w:t>
            </w:r>
          </w:p>
        </w:tc>
        <w:tc>
          <w:tcPr>
            <w:tcW w:w="640" w:type="dxa"/>
            <w:vAlign w:val="bottom"/>
          </w:tcPr>
          <w:p>
            <w:pPr>
              <w:jc w:val="right"/>
              <w:spacing w:after="0"/>
              <w:rPr>
                <w:sz w:val="20"/>
                <w:szCs w:val="20"/>
                <w:color w:val="auto"/>
              </w:rPr>
            </w:pPr>
            <w:r>
              <w:rPr>
                <w:rFonts w:ascii="Arial" w:cs="Arial" w:eastAsia="Arial" w:hAnsi="Arial"/>
                <w:sz w:val="18"/>
                <w:szCs w:val="18"/>
                <w:color w:val="auto"/>
              </w:rPr>
              <w:t>49,230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49,218</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SumTotal Systems, LLC (3)</w:t>
            </w: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Talent</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development</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($10,000 par,</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software</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11/16/2012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SumTotal Systems, LLC (3)</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Talent</w:t>
            </w:r>
          </w:p>
        </w:tc>
        <w:tc>
          <w:tcPr>
            <w:tcW w:w="1520" w:type="dxa"/>
            <w:vAlign w:val="bottom"/>
            <w:gridSpan w:val="2"/>
          </w:tcPr>
          <w:p>
            <w:pPr>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development</w:t>
            </w:r>
          </w:p>
        </w:tc>
        <w:tc>
          <w:tcPr>
            <w:tcW w:w="1520" w:type="dxa"/>
            <w:vAlign w:val="bottom"/>
            <w:gridSpan w:val="2"/>
          </w:tcPr>
          <w:p>
            <w:pPr>
              <w:spacing w:after="0"/>
              <w:rPr>
                <w:sz w:val="20"/>
                <w:szCs w:val="20"/>
                <w:color w:val="auto"/>
              </w:rPr>
            </w:pPr>
            <w:r>
              <w:rPr>
                <w:rFonts w:ascii="Arial" w:cs="Arial" w:eastAsia="Arial" w:hAnsi="Arial"/>
                <w:sz w:val="18"/>
                <w:szCs w:val="18"/>
                <w:color w:val="auto"/>
              </w:rPr>
              <w:t>loan ($5,000 par,</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software</w:t>
            </w:r>
          </w:p>
        </w:tc>
        <w:tc>
          <w:tcPr>
            <w:tcW w:w="1520" w:type="dxa"/>
            <w:vAlign w:val="bottom"/>
            <w:gridSpan w:val="2"/>
          </w:tcPr>
          <w:p>
            <w:pPr>
              <w:spacing w:after="0"/>
              <w:rPr>
                <w:sz w:val="20"/>
                <w:szCs w:val="20"/>
                <w:color w:val="auto"/>
              </w:rPr>
            </w:pPr>
            <w:r>
              <w:rPr>
                <w:rFonts w:ascii="Arial" w:cs="Arial" w:eastAsia="Arial" w:hAnsi="Arial"/>
                <w:sz w:val="18"/>
                <w:szCs w:val="18"/>
                <w:color w:val="auto"/>
              </w:rPr>
              <w:t>due 5/2018)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10.25%</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11/16/2012</w:t>
            </w:r>
          </w:p>
        </w:tc>
        <w:tc>
          <w:tcPr>
            <w:tcW w:w="640" w:type="dxa"/>
            <w:vAlign w:val="bottom"/>
          </w:tcPr>
          <w:p>
            <w:pPr>
              <w:jc w:val="right"/>
              <w:spacing w:after="0"/>
              <w:rPr>
                <w:sz w:val="20"/>
                <w:szCs w:val="20"/>
                <w:color w:val="auto"/>
              </w:rPr>
            </w:pPr>
            <w:r>
              <w:rPr>
                <w:rFonts w:ascii="Arial" w:cs="Arial" w:eastAsia="Arial" w:hAnsi="Arial"/>
                <w:sz w:val="18"/>
                <w:szCs w:val="18"/>
                <w:color w:val="auto"/>
              </w:rPr>
              <w:t>4,950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4,925</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Rogue Wave Holdings, Inc. (3)(4)</w:t>
            </w: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Cross-platform</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software</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($40,000 par,</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development</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11/2017)</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tools</w:t>
            </w: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11/21/2012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39,600</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Embarcadero Technologies, Inc. (3)(4)</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Database</w:t>
            </w:r>
          </w:p>
        </w:tc>
        <w:tc>
          <w:tcPr>
            <w:tcW w:w="1520" w:type="dxa"/>
            <w:vAlign w:val="bottom"/>
            <w:gridSpan w:val="2"/>
          </w:tcPr>
          <w:p>
            <w:pPr>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management</w:t>
            </w:r>
          </w:p>
        </w:tc>
        <w:tc>
          <w:tcPr>
            <w:tcW w:w="1520" w:type="dxa"/>
            <w:vAlign w:val="bottom"/>
            <w:gridSpan w:val="2"/>
          </w:tcPr>
          <w:p>
            <w:pPr>
              <w:spacing w:after="0"/>
              <w:rPr>
                <w:sz w:val="20"/>
                <w:szCs w:val="20"/>
                <w:color w:val="auto"/>
              </w:rPr>
            </w:pPr>
            <w:r>
              <w:rPr>
                <w:rFonts w:ascii="Arial" w:cs="Arial" w:eastAsia="Arial" w:hAnsi="Arial"/>
                <w:sz w:val="18"/>
                <w:szCs w:val="18"/>
                <w:color w:val="auto"/>
              </w:rPr>
              <w:t>loan ($59,714 par,</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software</w:t>
            </w:r>
          </w:p>
        </w:tc>
        <w:tc>
          <w:tcPr>
            <w:tcW w:w="152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58,223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58,221</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SRS Software, LLC (3)(4)</w:t>
            </w: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Healthcare</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software</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($37,500 par,</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solutions</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12/28/2012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36,563</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Sage Automotive Interiors, Inc. (3)(4)</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Automotive</w:t>
            </w:r>
          </w:p>
        </w:tc>
        <w:tc>
          <w:tcPr>
            <w:tcW w:w="1520" w:type="dxa"/>
            <w:vAlign w:val="bottom"/>
            <w:gridSpan w:val="2"/>
          </w:tcPr>
          <w:p>
            <w:pPr>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Interiors</w:t>
            </w:r>
          </w:p>
        </w:tc>
        <w:tc>
          <w:tcPr>
            <w:tcW w:w="1520" w:type="dxa"/>
            <w:vAlign w:val="bottom"/>
            <w:gridSpan w:val="2"/>
          </w:tcPr>
          <w:p>
            <w:pPr>
              <w:spacing w:after="0"/>
              <w:rPr>
                <w:sz w:val="20"/>
                <w:szCs w:val="20"/>
                <w:color w:val="auto"/>
              </w:rPr>
            </w:pPr>
            <w:r>
              <w:rPr>
                <w:rFonts w:ascii="Arial" w:cs="Arial" w:eastAsia="Arial" w:hAnsi="Arial"/>
                <w:sz w:val="18"/>
                <w:szCs w:val="18"/>
                <w:color w:val="auto"/>
              </w:rPr>
              <w:t>loan ($19,878 par,</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due 12/2016)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9.50%</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12/31/2012</w:t>
            </w:r>
          </w:p>
        </w:tc>
        <w:tc>
          <w:tcPr>
            <w:tcW w:w="640" w:type="dxa"/>
            <w:vAlign w:val="bottom"/>
          </w:tcPr>
          <w:p>
            <w:pPr>
              <w:jc w:val="right"/>
              <w:spacing w:after="0"/>
              <w:rPr>
                <w:sz w:val="20"/>
                <w:szCs w:val="20"/>
                <w:color w:val="auto"/>
              </w:rPr>
            </w:pPr>
            <w:r>
              <w:rPr>
                <w:rFonts w:ascii="Arial" w:cs="Arial" w:eastAsia="Arial" w:hAnsi="Arial"/>
                <w:sz w:val="18"/>
                <w:szCs w:val="18"/>
                <w:color w:val="auto"/>
              </w:rPr>
              <w:t>19,717</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19,679</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Senior Secured Loans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631,991</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641,488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21"/>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Senior Secured Revolving Loans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Heartland Automotive Holdings, LLC (3)(4)</w:t>
            </w: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Preventive</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automotive</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loan</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maintenance</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($555 par,</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services</w:t>
            </w: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10.00%</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8/28/2012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w w:val="89"/>
              </w:rPr>
              <w:t>Total Senior Secured Revolving Loans</w:t>
            </w: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 Bonds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Checkers Drive-In Restaurants, Inc. (4)</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Full service</w:t>
            </w:r>
          </w:p>
        </w:tc>
        <w:tc>
          <w:tcPr>
            <w:tcW w:w="1520" w:type="dxa"/>
            <w:vAlign w:val="bottom"/>
            <w:gridSpan w:val="2"/>
          </w:tcPr>
          <w:p>
            <w:pPr>
              <w:spacing w:after="0"/>
              <w:rPr>
                <w:sz w:val="20"/>
                <w:szCs w:val="20"/>
                <w:color w:val="auto"/>
              </w:rPr>
            </w:pPr>
            <w:r>
              <w:rPr>
                <w:rFonts w:ascii="Arial" w:cs="Arial" w:eastAsia="Arial" w:hAnsi="Arial"/>
                <w:sz w:val="18"/>
                <w:szCs w:val="18"/>
                <w:color w:val="auto"/>
                <w:w w:val="97"/>
              </w:rPr>
              <w:t>Bond ($10,000 par,</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chain of</w:t>
            </w:r>
          </w:p>
        </w:tc>
        <w:tc>
          <w:tcPr>
            <w:tcW w:w="152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restaurants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11.00%</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11/16/2012</w:t>
            </w:r>
          </w:p>
        </w:tc>
        <w:tc>
          <w:tcPr>
            <w:tcW w:w="640" w:type="dxa"/>
            <w:vAlign w:val="bottom"/>
          </w:tcPr>
          <w:p>
            <w:pPr>
              <w:jc w:val="right"/>
              <w:spacing w:after="0"/>
              <w:rPr>
                <w:sz w:val="20"/>
                <w:szCs w:val="20"/>
                <w:color w:val="auto"/>
              </w:rPr>
            </w:pPr>
            <w:r>
              <w:rPr>
                <w:rFonts w:ascii="Arial" w:cs="Arial" w:eastAsia="Arial" w:hAnsi="Arial"/>
                <w:sz w:val="18"/>
                <w:szCs w:val="18"/>
                <w:color w:val="auto"/>
              </w:rPr>
              <w:t>10,017</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10,025</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Corporate Bonds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ind w:left="8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120" w:type="dxa"/>
            <w:vAlign w:val="bottom"/>
          </w:tcPr>
          <w:p>
            <w:pPr>
              <w:spacing w:after="0"/>
              <w:rPr>
                <w:sz w:val="14"/>
                <w:szCs w:val="14"/>
                <w:color w:val="auto"/>
              </w:rPr>
            </w:pPr>
          </w:p>
        </w:tc>
        <w:tc>
          <w:tcPr>
            <w:tcW w:w="9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200" w:type="dxa"/>
            <w:vAlign w:val="bottom"/>
          </w:tcPr>
          <w:p>
            <w:pPr>
              <w:spacing w:after="0"/>
              <w:rPr>
                <w:sz w:val="14"/>
                <w:szCs w:val="14"/>
                <w:color w:val="auto"/>
              </w:rPr>
            </w:pPr>
          </w:p>
        </w:tc>
        <w:tc>
          <w:tcPr>
            <w:tcW w:w="16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Acquisition</w:t>
            </w:r>
          </w:p>
        </w:tc>
        <w:tc>
          <w:tcPr>
            <w:tcW w:w="3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8"/>
        </w:trPr>
        <w:tc>
          <w:tcPr>
            <w:tcW w:w="248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6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Interest</w:t>
            </w:r>
          </w:p>
        </w:tc>
        <w:tc>
          <w:tcPr>
            <w:tcW w:w="11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2"/>
              </w:rPr>
              <w:t>Date</w:t>
            </w:r>
          </w:p>
        </w:tc>
        <w:tc>
          <w:tcPr>
            <w:tcW w:w="300" w:type="dxa"/>
            <w:vAlign w:val="bottom"/>
          </w:tcPr>
          <w:p>
            <w:pPr>
              <w:spacing w:after="0"/>
              <w:rPr>
                <w:sz w:val="14"/>
                <w:szCs w:val="14"/>
                <w:color w:val="auto"/>
              </w:rPr>
            </w:pPr>
          </w:p>
        </w:tc>
        <w:tc>
          <w:tcPr>
            <w:tcW w:w="8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Cost (2)</w:t>
            </w:r>
          </w:p>
        </w:tc>
        <w:tc>
          <w:tcPr>
            <w:tcW w:w="140" w:type="dxa"/>
            <w:vAlign w:val="bottom"/>
          </w:tcPr>
          <w:p>
            <w:pPr>
              <w:spacing w:after="0"/>
              <w:rPr>
                <w:sz w:val="14"/>
                <w:szCs w:val="14"/>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Fair Value</w:t>
            </w:r>
          </w:p>
        </w:tc>
        <w:tc>
          <w:tcPr>
            <w:tcW w:w="300" w:type="dxa"/>
            <w:vAlign w:val="bottom"/>
          </w:tcPr>
          <w:p>
            <w:pPr>
              <w:spacing w:after="0"/>
              <w:rPr>
                <w:sz w:val="14"/>
                <w:szCs w:val="14"/>
                <w:color w:val="auto"/>
              </w:rPr>
            </w:pP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Equity</w:t>
            </w:r>
          </w:p>
        </w:tc>
        <w:tc>
          <w:tcPr>
            <w:tcW w:w="16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SRS Parent Corp.</w:t>
            </w:r>
          </w:p>
        </w:tc>
        <w:tc>
          <w:tcPr>
            <w:tcW w:w="2020" w:type="dxa"/>
            <w:vAlign w:val="bottom"/>
            <w:gridSpan w:val="2"/>
          </w:tcPr>
          <w:p>
            <w:pPr>
              <w:ind w:left="1120"/>
              <w:spacing w:after="0"/>
              <w:rPr>
                <w:sz w:val="20"/>
                <w:szCs w:val="20"/>
                <w:color w:val="auto"/>
              </w:rPr>
            </w:pPr>
            <w:r>
              <w:rPr>
                <w:rFonts w:ascii="Arial" w:cs="Arial" w:eastAsia="Arial" w:hAnsi="Arial"/>
                <w:sz w:val="18"/>
                <w:szCs w:val="18"/>
                <w:color w:val="auto"/>
              </w:rPr>
              <w:t>Healthcare</w:t>
            </w:r>
          </w:p>
        </w:tc>
        <w:tc>
          <w:tcPr>
            <w:tcW w:w="1860" w:type="dxa"/>
            <w:vAlign w:val="bottom"/>
            <w:gridSpan w:val="3"/>
          </w:tcPr>
          <w:p>
            <w:pPr>
              <w:ind w:left="200"/>
              <w:spacing w:after="0"/>
              <w:rPr>
                <w:sz w:val="20"/>
                <w:szCs w:val="20"/>
                <w:color w:val="auto"/>
              </w:rPr>
            </w:pPr>
            <w:r>
              <w:rPr>
                <w:rFonts w:ascii="Arial" w:cs="Arial" w:eastAsia="Arial" w:hAnsi="Arial"/>
                <w:sz w:val="18"/>
                <w:szCs w:val="18"/>
                <w:color w:val="auto"/>
              </w:rPr>
              <w:t>Common Shares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20" w:type="dxa"/>
            <w:vAlign w:val="bottom"/>
            <w:gridSpan w:val="2"/>
          </w:tcPr>
          <w:p>
            <w:pPr>
              <w:ind w:left="1120"/>
              <w:spacing w:after="0"/>
              <w:rPr>
                <w:sz w:val="20"/>
                <w:szCs w:val="20"/>
                <w:color w:val="auto"/>
              </w:rPr>
            </w:pPr>
            <w:r>
              <w:rPr>
                <w:rFonts w:ascii="Arial" w:cs="Arial" w:eastAsia="Arial" w:hAnsi="Arial"/>
                <w:sz w:val="18"/>
                <w:szCs w:val="18"/>
                <w:color w:val="auto"/>
              </w:rPr>
              <w:t>software</w:t>
            </w:r>
          </w:p>
        </w:tc>
        <w:tc>
          <w:tcPr>
            <w:tcW w:w="1860" w:type="dxa"/>
            <w:vAlign w:val="bottom"/>
            <w:gridSpan w:val="3"/>
          </w:tcPr>
          <w:p>
            <w:pPr>
              <w:ind w:left="200"/>
              <w:spacing w:after="0"/>
              <w:rPr>
                <w:sz w:val="20"/>
                <w:szCs w:val="20"/>
                <w:color w:val="auto"/>
              </w:rPr>
            </w:pPr>
            <w:r>
              <w:rPr>
                <w:rFonts w:ascii="Arial" w:cs="Arial" w:eastAsia="Arial" w:hAnsi="Arial"/>
                <w:sz w:val="18"/>
                <w:szCs w:val="18"/>
                <w:color w:val="auto"/>
              </w:rPr>
              <w:t>Class A</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20" w:type="dxa"/>
            <w:vAlign w:val="bottom"/>
            <w:gridSpan w:val="2"/>
          </w:tcPr>
          <w:p>
            <w:pPr>
              <w:ind w:left="1120"/>
              <w:spacing w:after="0"/>
              <w:rPr>
                <w:sz w:val="20"/>
                <w:szCs w:val="20"/>
                <w:color w:val="auto"/>
              </w:rPr>
            </w:pPr>
            <w:r>
              <w:rPr>
                <w:rFonts w:ascii="Arial" w:cs="Arial" w:eastAsia="Arial" w:hAnsi="Arial"/>
                <w:sz w:val="18"/>
                <w:szCs w:val="18"/>
                <w:color w:val="auto"/>
              </w:rPr>
              <w:t>solutions</w:t>
            </w:r>
          </w:p>
        </w:tc>
        <w:tc>
          <w:tcPr>
            <w:tcW w:w="1860" w:type="dxa"/>
            <w:vAlign w:val="bottom"/>
            <w:gridSpan w:val="3"/>
          </w:tcPr>
          <w:p>
            <w:pPr>
              <w:ind w:left="200"/>
              <w:spacing w:after="0"/>
              <w:rPr>
                <w:sz w:val="20"/>
                <w:szCs w:val="20"/>
                <w:color w:val="auto"/>
              </w:rPr>
            </w:pPr>
            <w:r>
              <w:rPr>
                <w:rFonts w:ascii="Arial" w:cs="Arial" w:eastAsia="Arial" w:hAnsi="Arial"/>
                <w:sz w:val="18"/>
                <w:szCs w:val="18"/>
                <w:color w:val="auto"/>
              </w:rPr>
              <w:t>(1,980 shares)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12/28/2012</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1,980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1,980</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Common Shares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Class B</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(2,953,020 shares)</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12/28/2012</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Equity</w:t>
            </w: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644,421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80" w:hanging="452"/>
        <w:spacing w:after="0" w:line="253"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2012, the Company does not “control” any of the portfolio companies nor are any of its portfolio companies considered to be “affiliates” – see Note 4. Certain portfolio company investments are subject to contractual restrictions on sales.</w:t>
      </w:r>
    </w:p>
    <w:p>
      <w:pPr>
        <w:ind w:left="460" w:right="5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6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 In addition to the interest earned based on the stated interest rate of this loan, the Company may be entitled to receive additional interest as a result of its arrangement with other lenders in a syndication.</w:t>
      </w:r>
    </w:p>
    <w:p>
      <w:pPr>
        <w:spacing w:after="0" w:line="2" w:lineRule="exact"/>
        <w:rPr>
          <w:rFonts w:ascii="Arial" w:cs="Arial" w:eastAsia="Arial" w:hAnsi="Arial"/>
          <w:sz w:val="16"/>
          <w:szCs w:val="16"/>
          <w:color w:val="auto"/>
        </w:rPr>
      </w:pPr>
    </w:p>
    <w:p>
      <w:pPr>
        <w:ind w:left="460" w:right="6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6).</w:t>
      </w:r>
    </w:p>
    <w:p>
      <w:pPr>
        <w:spacing w:after="0" w:line="13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Transactions during the year ended December 31, 2012 in which the issuer was an affiliated company (but not a portfolio company that we “control”)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As of and for the Year</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Ended December 31, 2012</w:t>
            </w: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342"/>
              <w:spacing w:after="0" w:line="129"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1"/>
                <w:szCs w:val="11"/>
                <w:color w:val="auto"/>
              </w:rPr>
            </w:pPr>
          </w:p>
        </w:tc>
        <w:tc>
          <w:tcPr>
            <w:tcW w:w="8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3"/>
              </w:rPr>
              <w:t>Gross</w:t>
            </w:r>
          </w:p>
        </w:tc>
        <w:tc>
          <w:tcPr>
            <w:tcW w:w="940" w:type="dxa"/>
            <w:vAlign w:val="bottom"/>
            <w:gridSpan w:val="2"/>
          </w:tcPr>
          <w:p>
            <w:pPr>
              <w:jc w:val="center"/>
              <w:ind w:right="198"/>
              <w:spacing w:after="0" w:line="129"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680" w:type="dxa"/>
            <w:vAlign w:val="bottom"/>
            <w:gridSpan w:val="2"/>
          </w:tcPr>
          <w:p>
            <w:pPr>
              <w:jc w:val="right"/>
              <w:ind w:right="318"/>
              <w:spacing w:after="0" w:line="129"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1"/>
                <w:szCs w:val="11"/>
                <w:color w:val="auto"/>
              </w:rPr>
            </w:pPr>
          </w:p>
        </w:tc>
        <w:tc>
          <w:tcPr>
            <w:tcW w:w="800" w:type="dxa"/>
            <w:vAlign w:val="bottom"/>
          </w:tcPr>
          <w:p>
            <w:pPr>
              <w:jc w:val="center"/>
              <w:ind w:left="207"/>
              <w:spacing w:after="0" w:line="129" w:lineRule="exact"/>
              <w:rPr>
                <w:sz w:val="20"/>
                <w:szCs w:val="20"/>
                <w:color w:val="auto"/>
              </w:rPr>
            </w:pPr>
            <w:r>
              <w:rPr>
                <w:rFonts w:ascii="Arial" w:cs="Arial" w:eastAsia="Arial" w:hAnsi="Arial"/>
                <w:sz w:val="14"/>
                <w:szCs w:val="14"/>
                <w:b w:val="1"/>
                <w:bCs w:val="1"/>
                <w:color w:val="auto"/>
                <w:w w:val="93"/>
              </w:rPr>
              <w:t>Fair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2"/>
                <w:szCs w:val="12"/>
                <w:color w:val="auto"/>
              </w:rPr>
            </w:pPr>
          </w:p>
        </w:tc>
        <w:tc>
          <w:tcPr>
            <w:tcW w:w="9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Value at</w:t>
            </w:r>
          </w:p>
        </w:tc>
        <w:tc>
          <w:tcPr>
            <w:tcW w:w="2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Additions</w:t>
            </w:r>
          </w:p>
        </w:tc>
        <w:tc>
          <w:tcPr>
            <w:tcW w:w="940" w:type="dxa"/>
            <w:vAlign w:val="bottom"/>
            <w:gridSpan w:val="2"/>
          </w:tcPr>
          <w:p>
            <w:pPr>
              <w:jc w:val="center"/>
              <w:ind w:right="218"/>
              <w:spacing w:after="0" w:line="149" w:lineRule="exact"/>
              <w:rPr>
                <w:sz w:val="20"/>
                <w:szCs w:val="20"/>
                <w:color w:val="auto"/>
              </w:rPr>
            </w:pPr>
            <w:r>
              <w:rPr>
                <w:rFonts w:ascii="Arial" w:cs="Arial" w:eastAsia="Arial" w:hAnsi="Arial"/>
                <w:sz w:val="14"/>
                <w:szCs w:val="14"/>
                <w:b w:val="1"/>
                <w:bCs w:val="1"/>
                <w:color w:val="auto"/>
                <w:w w:val="83"/>
              </w:rPr>
              <w:t>Reductions</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800" w:type="dxa"/>
            <w:vAlign w:val="bottom"/>
          </w:tcPr>
          <w:p>
            <w:pPr>
              <w:jc w:val="center"/>
              <w:ind w:left="227"/>
              <w:spacing w:after="0" w:line="149" w:lineRule="exact"/>
              <w:rPr>
                <w:sz w:val="20"/>
                <w:szCs w:val="20"/>
                <w:color w:val="auto"/>
              </w:rPr>
            </w:pPr>
            <w:r>
              <w:rPr>
                <w:rFonts w:ascii="Arial" w:cs="Arial" w:eastAsia="Arial" w:hAnsi="Arial"/>
                <w:sz w:val="14"/>
                <w:szCs w:val="14"/>
                <w:b w:val="1"/>
                <w:bCs w:val="1"/>
                <w:color w:val="auto"/>
                <w:w w:val="85"/>
              </w:rPr>
              <w:t>Value at</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Realized</w:t>
            </w:r>
          </w:p>
        </w:tc>
        <w:tc>
          <w:tcPr>
            <w:tcW w:w="28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Interest</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Dividend</w:t>
            </w:r>
          </w:p>
        </w:tc>
        <w:tc>
          <w:tcPr>
            <w:tcW w:w="30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1"/>
        </w:trPr>
        <w:tc>
          <w:tcPr>
            <w:tcW w:w="3020" w:type="dxa"/>
            <w:vAlign w:val="bottom"/>
            <w:gridSpan w:val="2"/>
            <w:vMerge w:val="continue"/>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 2011</w:t>
            </w:r>
          </w:p>
        </w:tc>
        <w:tc>
          <w:tcPr>
            <w:tcW w:w="28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w:t>
            </w:r>
          </w:p>
        </w:tc>
        <w:tc>
          <w:tcPr>
            <w:tcW w:w="940" w:type="dxa"/>
            <w:vAlign w:val="bottom"/>
            <w:gridSpan w:val="2"/>
          </w:tcPr>
          <w:p>
            <w:pPr>
              <w:jc w:val="center"/>
              <w:ind w:right="218"/>
              <w:spacing w:after="0"/>
              <w:rPr>
                <w:sz w:val="20"/>
                <w:szCs w:val="20"/>
                <w:color w:val="auto"/>
              </w:rPr>
            </w:pPr>
            <w:r>
              <w:rPr>
                <w:rFonts w:ascii="Arial" w:cs="Arial" w:eastAsia="Arial" w:hAnsi="Arial"/>
                <w:sz w:val="14"/>
                <w:szCs w:val="14"/>
                <w:b w:val="1"/>
                <w:bCs w:val="1"/>
                <w:color w:val="auto"/>
                <w:w w:val="89"/>
              </w:rPr>
              <w:t>(b)</w:t>
            </w:r>
          </w:p>
        </w:tc>
        <w:tc>
          <w:tcPr>
            <w:tcW w:w="140" w:type="dxa"/>
            <w:vAlign w:val="bottom"/>
          </w:tcPr>
          <w:p>
            <w:pPr>
              <w:spacing w:after="0"/>
              <w:rPr>
                <w:sz w:val="14"/>
                <w:szCs w:val="14"/>
                <w:color w:val="auto"/>
              </w:rPr>
            </w:pPr>
          </w:p>
        </w:tc>
        <w:tc>
          <w:tcPr>
            <w:tcW w:w="680" w:type="dxa"/>
            <w:vAlign w:val="bottom"/>
            <w:gridSpan w:val="2"/>
          </w:tcPr>
          <w:p>
            <w:pPr>
              <w:jc w:val="right"/>
              <w:ind w:right="278"/>
              <w:spacing w:after="0"/>
              <w:rPr>
                <w:sz w:val="20"/>
                <w:szCs w:val="20"/>
                <w:color w:val="auto"/>
              </w:rPr>
            </w:pPr>
            <w:r>
              <w:rPr>
                <w:rFonts w:ascii="Arial" w:cs="Arial" w:eastAsia="Arial" w:hAnsi="Arial"/>
                <w:sz w:val="14"/>
                <w:szCs w:val="14"/>
                <w:b w:val="1"/>
                <w:bCs w:val="1"/>
                <w:color w:val="auto"/>
                <w:w w:val="91"/>
              </w:rPr>
              <w:t>Loss</w:t>
            </w:r>
          </w:p>
        </w:tc>
        <w:tc>
          <w:tcPr>
            <w:tcW w:w="1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31, 2012</w:t>
            </w:r>
          </w:p>
        </w:tc>
        <w:tc>
          <w:tcPr>
            <w:tcW w:w="280" w:type="dxa"/>
            <w:vAlign w:val="bottom"/>
          </w:tcPr>
          <w:p>
            <w:pPr>
              <w:spacing w:after="0"/>
              <w:rPr>
                <w:sz w:val="14"/>
                <w:szCs w:val="14"/>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Gains</w:t>
            </w:r>
          </w:p>
        </w:tc>
        <w:tc>
          <w:tcPr>
            <w:tcW w:w="28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Income</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5"/>
              </w:rPr>
              <w:t>Income</w:t>
            </w:r>
          </w:p>
        </w:tc>
        <w:tc>
          <w:tcPr>
            <w:tcW w:w="30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AFS Technologies, Inc. (c)</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42,663</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15,990</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(58,316</w:t>
            </w:r>
          </w:p>
        </w:tc>
        <w:tc>
          <w:tcPr>
            <w:tcW w:w="300" w:type="dxa"/>
            <w:vAlign w:val="bottom"/>
            <w:tcBorders>
              <w:top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center"/>
              <w:ind w:right="647"/>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2,724</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$ 1,231</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42,663</w:t>
            </w:r>
          </w:p>
        </w:tc>
        <w:tc>
          <w:tcPr>
            <w:tcW w:w="114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15,990</w:t>
            </w:r>
          </w:p>
        </w:tc>
        <w:tc>
          <w:tcPr>
            <w:tcW w:w="940" w:type="dxa"/>
            <w:vAlign w:val="bottom"/>
            <w:gridSpan w:val="2"/>
          </w:tcPr>
          <w:p>
            <w:pPr>
              <w:jc w:val="right"/>
              <w:ind w:right="158"/>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(58,316)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8"/>
              <w:spacing w:after="0"/>
              <w:rPr>
                <w:sz w:val="20"/>
                <w:szCs w:val="20"/>
                <w:color w:val="auto"/>
              </w:rPr>
            </w:pPr>
            <w:r>
              <w:rPr>
                <w:rFonts w:ascii="Arial" w:cs="Arial" w:eastAsia="Arial" w:hAnsi="Arial"/>
                <w:sz w:val="18"/>
                <w:szCs w:val="18"/>
                <w:color w:val="auto"/>
              </w:rPr>
              <w:t>(337)</w:t>
            </w:r>
          </w:p>
        </w:tc>
        <w:tc>
          <w:tcPr>
            <w:tcW w:w="920" w:type="dxa"/>
            <w:vAlign w:val="bottom"/>
            <w:gridSpan w:val="2"/>
          </w:tcPr>
          <w:p>
            <w:pPr>
              <w:jc w:val="center"/>
              <w:ind w:right="527"/>
              <w:spacing w:after="0"/>
              <w:rPr>
                <w:sz w:val="20"/>
                <w:szCs w:val="20"/>
                <w:color w:val="auto"/>
              </w:rPr>
            </w:pPr>
            <w:r>
              <w:rPr>
                <w:rFonts w:ascii="Arial" w:cs="Arial" w:eastAsia="Arial" w:hAnsi="Arial"/>
                <w:sz w:val="18"/>
                <w:szCs w:val="18"/>
                <w:color w:val="auto"/>
                <w:w w:val="79"/>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100</w:t>
            </w:r>
          </w:p>
        </w:tc>
        <w:tc>
          <w:tcPr>
            <w:tcW w:w="106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2,724</w:t>
            </w: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$ 1,231</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6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ind w:left="460" w:right="54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the redemption of the Company’s preferred equity investment, AFS Technologies, Inc. was no longer an affiliated company as of December 31, 2012.</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62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w:t>
            </w:r>
          </w:p>
        </w:tc>
        <w:tc>
          <w:tcPr>
            <w:tcW w:w="1320" w:type="dxa"/>
            <w:vAlign w:val="bottom"/>
            <w:gridSpan w:val="4"/>
          </w:tcPr>
          <w:p>
            <w:pPr>
              <w:ind w:left="38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March</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March</w:t>
            </w:r>
          </w:p>
        </w:tc>
        <w:tc>
          <w:tcPr>
            <w:tcW w:w="0" w:type="dxa"/>
            <w:vAlign w:val="bottom"/>
          </w:tcPr>
          <w:p>
            <w:pPr>
              <w:spacing w:after="0"/>
              <w:rPr>
                <w:sz w:val="1"/>
                <w:szCs w:val="1"/>
                <w:color w:val="auto"/>
              </w:rPr>
            </w:pPr>
          </w:p>
        </w:tc>
      </w:tr>
      <w:tr>
        <w:trPr>
          <w:trHeight w:val="161"/>
        </w:trPr>
        <w:tc>
          <w:tcPr>
            <w:tcW w:w="57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8"/>
              </w:rPr>
              <w:t>31, 2013</w:t>
            </w: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4"/>
              </w:rPr>
              <w:t>31, 2012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investment income</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13,106</w:t>
            </w:r>
          </w:p>
        </w:tc>
        <w:tc>
          <w:tcPr>
            <w:tcW w:w="42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15,461</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4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5,224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30"/>
        </w:trPr>
        <w:tc>
          <w:tcPr>
            <w:tcW w:w="5740" w:type="dxa"/>
            <w:vAlign w:val="bottom"/>
          </w:tcPr>
          <w:p>
            <w:pPr>
              <w:ind w:left="440"/>
              <w:spacing w:after="0"/>
              <w:rPr>
                <w:sz w:val="20"/>
                <w:szCs w:val="20"/>
                <w:color w:val="auto"/>
              </w:rPr>
            </w:pPr>
            <w:r>
              <w:rPr>
                <w:rFonts w:ascii="Arial" w:cs="Arial" w:eastAsia="Arial" w:hAnsi="Arial"/>
                <w:sz w:val="18"/>
                <w:szCs w:val="18"/>
                <w:b w:val="1"/>
                <w:bCs w:val="1"/>
                <w:color w:val="auto"/>
                <w:w w:val="94"/>
              </w:rPr>
              <w:t>Increase in Net Assets Resulting from Capital Share Transactions</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24,081</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Assets, End of Period</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519,345</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w w:val="93"/>
              </w:rPr>
              <w:t>Undistributed Net Investment Income Included in Net Assets at the End</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740" w:type="dxa"/>
            <w:vAlign w:val="bottom"/>
          </w:tcPr>
          <w:p>
            <w:pPr>
              <w:ind w:left="220"/>
              <w:spacing w:after="0"/>
              <w:rPr>
                <w:sz w:val="20"/>
                <w:szCs w:val="20"/>
                <w:color w:val="auto"/>
              </w:rPr>
            </w:pPr>
            <w:r>
              <w:rPr>
                <w:rFonts w:ascii="Arial" w:cs="Arial" w:eastAsia="Arial" w:hAnsi="Arial"/>
                <w:sz w:val="18"/>
                <w:szCs w:val="18"/>
                <w:b w:val="1"/>
                <w:bCs w:val="1"/>
                <w:color w:val="auto"/>
              </w:rPr>
              <w:t>of the Period</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(907)</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1"/>
              </w:rPr>
              <w:t>Three Months</w:t>
            </w:r>
          </w:p>
        </w:tc>
        <w:tc>
          <w:tcPr>
            <w:tcW w:w="28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Three Months</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8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2013</w:t>
            </w:r>
          </w:p>
        </w:tc>
        <w:tc>
          <w:tcPr>
            <w:tcW w:w="2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31, 2012</w:t>
            </w:r>
          </w:p>
        </w:tc>
        <w:tc>
          <w:tcPr>
            <w:tcW w:w="0" w:type="dxa"/>
            <w:vAlign w:val="bottom"/>
          </w:tcPr>
          <w:p>
            <w:pPr>
              <w:spacing w:after="0"/>
              <w:rPr>
                <w:sz w:val="1"/>
                <w:szCs w:val="1"/>
                <w:color w:val="auto"/>
              </w:rPr>
            </w:pPr>
          </w:p>
        </w:tc>
      </w:tr>
      <w:tr>
        <w:trPr>
          <w:trHeight w:val="196"/>
        </w:trPr>
        <w:tc>
          <w:tcPr>
            <w:tcW w:w="8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15,461</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increase in net assets resulting from operations to net cash used in operating activities: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880"/>
              <w:spacing w:after="0"/>
              <w:rPr>
                <w:sz w:val="20"/>
                <w:szCs w:val="20"/>
                <w:color w:val="auto"/>
              </w:rPr>
            </w:pPr>
            <w:r>
              <w:rPr>
                <w:rFonts w:ascii="Arial" w:cs="Arial" w:eastAsia="Arial" w:hAnsi="Arial"/>
                <w:sz w:val="18"/>
                <w:szCs w:val="18"/>
                <w:color w:val="auto"/>
              </w:rPr>
              <w:t>Net change in unrealized gains on investments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(1,948)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gains on investments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8360" w:type="dxa"/>
            <w:vAlign w:val="bottom"/>
          </w:tcPr>
          <w:p>
            <w:pPr>
              <w:ind w:left="880"/>
              <w:spacing w:after="0"/>
              <w:rPr>
                <w:sz w:val="20"/>
                <w:szCs w:val="20"/>
                <w:color w:val="auto"/>
              </w:rPr>
            </w:pPr>
            <w:r>
              <w:rPr>
                <w:rFonts w:ascii="Arial" w:cs="Arial" w:eastAsia="Arial" w:hAnsi="Arial"/>
                <w:sz w:val="18"/>
                <w:szCs w:val="18"/>
                <w:color w:val="auto"/>
              </w:rPr>
              <w:t>Net amortization of discount on securities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(2,407)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debt issuance costs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8360" w:type="dxa"/>
            <w:vAlign w:val="bottom"/>
          </w:tcPr>
          <w:p>
            <w:pPr>
              <w:ind w:left="880"/>
              <w:spacing w:after="0"/>
              <w:rPr>
                <w:sz w:val="20"/>
                <w:szCs w:val="20"/>
                <w:color w:val="auto"/>
              </w:rPr>
            </w:pPr>
            <w:r>
              <w:rPr>
                <w:rFonts w:ascii="Arial" w:cs="Arial" w:eastAsia="Arial" w:hAnsi="Arial"/>
                <w:sz w:val="18"/>
                <w:szCs w:val="18"/>
                <w:color w:val="auto"/>
              </w:rPr>
              <w:t>Purchases of investments, net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(76,943)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(188,649)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investments, net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32,670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45,906</w:t>
            </w:r>
          </w:p>
        </w:tc>
        <w:tc>
          <w:tcPr>
            <w:tcW w:w="0" w:type="dxa"/>
            <w:vAlign w:val="bottom"/>
          </w:tcPr>
          <w:p>
            <w:pPr>
              <w:spacing w:after="0"/>
              <w:rPr>
                <w:sz w:val="1"/>
                <w:szCs w:val="1"/>
                <w:color w:val="auto"/>
              </w:rPr>
            </w:pPr>
          </w:p>
        </w:tc>
      </w:tr>
      <w:tr>
        <w:trPr>
          <w:trHeight w:val="216"/>
        </w:trPr>
        <w:tc>
          <w:tcPr>
            <w:tcW w:w="8360" w:type="dxa"/>
            <w:vAlign w:val="bottom"/>
          </w:tcPr>
          <w:p>
            <w:pPr>
              <w:ind w:left="880"/>
              <w:spacing w:after="0"/>
              <w:rPr>
                <w:sz w:val="20"/>
                <w:szCs w:val="20"/>
                <w:color w:val="auto"/>
              </w:rPr>
            </w:pPr>
            <w:r>
              <w:rPr>
                <w:rFonts w:ascii="Arial" w:cs="Arial" w:eastAsia="Arial" w:hAnsi="Arial"/>
                <w:sz w:val="18"/>
                <w:szCs w:val="18"/>
                <w:color w:val="auto"/>
              </w:rPr>
              <w:t>Repayments on investments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77,244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Paid-in-kind interest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receivable</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16"/>
        </w:trPr>
        <w:tc>
          <w:tcPr>
            <w:tcW w:w="8360" w:type="dxa"/>
            <w:vAlign w:val="bottom"/>
          </w:tcPr>
          <w:p>
            <w:pPr>
              <w:ind w:left="880"/>
              <w:spacing w:after="0"/>
              <w:rPr>
                <w:sz w:val="20"/>
                <w:szCs w:val="20"/>
                <w:color w:val="auto"/>
              </w:rPr>
            </w:pPr>
            <w:r>
              <w:rPr>
                <w:rFonts w:ascii="Arial" w:cs="Arial" w:eastAsia="Arial" w:hAnsi="Arial"/>
                <w:sz w:val="18"/>
                <w:szCs w:val="18"/>
                <w:color w:val="auto"/>
              </w:rPr>
              <w:t>Prepaid expenses and other assets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3,341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Management fees payable</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8360" w:type="dxa"/>
            <w:vAlign w:val="bottom"/>
          </w:tcPr>
          <w:p>
            <w:pPr>
              <w:ind w:left="880"/>
              <w:spacing w:after="0"/>
              <w:rPr>
                <w:sz w:val="20"/>
                <w:szCs w:val="20"/>
                <w:color w:val="auto"/>
              </w:rPr>
            </w:pPr>
            <w:r>
              <w:rPr>
                <w:rFonts w:ascii="Arial" w:cs="Arial" w:eastAsia="Arial" w:hAnsi="Arial"/>
                <w:sz w:val="18"/>
                <w:szCs w:val="18"/>
                <w:color w:val="auto"/>
              </w:rPr>
              <w:t>Incentive fees payable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affiliate</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8360" w:type="dxa"/>
            <w:vAlign w:val="bottom"/>
          </w:tcPr>
          <w:p>
            <w:pPr>
              <w:ind w:left="880"/>
              <w:spacing w:after="0"/>
              <w:rPr>
                <w:sz w:val="20"/>
                <w:szCs w:val="20"/>
                <w:color w:val="auto"/>
              </w:rPr>
            </w:pPr>
            <w:r>
              <w:rPr>
                <w:rFonts w:ascii="Arial" w:cs="Arial" w:eastAsia="Arial" w:hAnsi="Arial"/>
                <w:sz w:val="18"/>
                <w:szCs w:val="18"/>
                <w:color w:val="auto"/>
              </w:rPr>
              <w:t>Other liabilities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(3,143)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(135,428)</w:t>
            </w:r>
          </w:p>
        </w:tc>
        <w:tc>
          <w:tcPr>
            <w:tcW w:w="0" w:type="dxa"/>
            <w:vAlign w:val="bottom"/>
          </w:tcPr>
          <w:p>
            <w:pPr>
              <w:spacing w:after="0"/>
              <w:rPr>
                <w:sz w:val="1"/>
                <w:szCs w:val="1"/>
                <w:color w:val="auto"/>
              </w:rPr>
            </w:pPr>
          </w:p>
        </w:tc>
      </w:tr>
      <w:tr>
        <w:trPr>
          <w:trHeight w:val="221"/>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credit facilities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440,000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Payments on revolving credit facilities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(293,181)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(368,000)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31,857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116,535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Dividend paid to stockholders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(5,034)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(41,369)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188,242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Increase in Cash and Cash Equivalents</w:t>
            </w: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161,825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Cash and Cash Equivalents, End of Period</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164,666</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196,506</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Supplemental Information:</w:t>
            </w: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Interest paid during the period</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1,851</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Dividends declared during the period</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13,000</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 during the period</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5,224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240" w:lineRule="exact"/>
        <w:rPr>
          <w:sz w:val="20"/>
          <w:szCs w:val="20"/>
          <w:color w:val="auto"/>
        </w:rPr>
      </w:pPr>
    </w:p>
    <w:p>
      <w:pPr>
        <w:ind w:right="8280" w:firstLine="8"/>
        <w:spacing w:after="0" w:line="347" w:lineRule="auto"/>
        <w:tabs>
          <w:tab w:leader="none" w:pos="17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TPG Specialty Lending, Inc. (collectively with its consolidated subsidiaries,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jc w:val="both"/>
        <w:ind w:right="420" w:firstLine="456"/>
        <w:spacing w:after="0" w:line="255"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significant intercompany balances and transactions have been eliminated in consolidation.</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2012, which was filed with the Securities and Exchange Commission (“SEC”) on March 15, 2013.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900" w:firstLine="8"/>
        <w:spacing w:after="0" w:line="347" w:lineRule="auto"/>
        <w:tabs>
          <w:tab w:leader="none" w:pos="17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Investment transactions purchased on a secondary basis are recorded on the trade date. Loan originations are recorded on the funding date which is generally the date of the binding commitment. Realized gains or losses are measured by the difference between the net proceeds from the repayment or sale and the amortized cost basis of the investment without regard to unrealized gains or losses previously recognized, and include investments charged off during the period, net of recoveries. Unrealized gains or losses primarily reflect the change in investment values, including the reversal of previously recorded unrealized gains or losses on investments realized during the period.</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such market quotations. In order to validate market quotations, the Company utilizes a number of factors to determine if the quotations are representative of fair value, including the source and nature of the quotations. Debt and equity securities that are not publicly traded or whose market prices are not readily available are valued at fair value as determined in good faith by the Company’s Board of Directors (the “Board”), based on, among other things, the input of the Adviser, the Company’s Audit Committee and an independent third-party valuation firm engaged at the direction of the Board.</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As part of the valuation process, the Company takes into account relevant factors in determining the fair value of its investments, including: the estimated enterprise value of a portfolio company (i.e., the total fair value of the portfolio company’s debt and equity), the nature and realizable value of any collateral, the portfolio company’s ability to make payments based on its earnings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Company considers the pricing indicated by the external event to corroborate its valuation.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each quarter, which includes, among other procedures, the following:</w:t>
      </w:r>
    </w:p>
    <w:p>
      <w:pPr>
        <w:spacing w:after="0" w:line="90" w:lineRule="exact"/>
        <w:rPr>
          <w:sz w:val="20"/>
          <w:szCs w:val="20"/>
          <w:color w:val="auto"/>
        </w:rPr>
      </w:pPr>
    </w:p>
    <w:p>
      <w:pPr>
        <w:ind w:left="900" w:right="4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quarterly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a value for each investment to the Board.</w:t>
      </w:r>
    </w:p>
    <w:p>
      <w:pPr>
        <w:spacing w:after="0" w:line="9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connection with debt and equity securities that were valued at fair value in good faith by the Board, the Board has engaged an independent third-party valuation firm to perform certain limited procedures that the Board identified and requested it to perform. As of March 31, 2013, the independent third-party valuation firm performed its procedures on the majority (determined by fair value) of investments that were valued in good faith by the Board which have been outstanding for greater than 45 days. Upon completion of such limited procedures, the third-party valuation firm determined that the fair value, as determined by the Board, of those investments subjected to their limited procedures, was reasonable.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5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(i.e.,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elected to be treated as a BDC under the 1940 Act. The Company also has elected to be treated as a RIC under the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1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18" w:lineRule="exact"/>
        <w:rPr>
          <w:sz w:val="20"/>
          <w:szCs w:val="20"/>
          <w:color w:val="auto"/>
        </w:rPr>
      </w:pPr>
    </w:p>
    <w:p>
      <w:pPr>
        <w:ind w:right="7920" w:firstLine="8"/>
        <w:spacing w:after="0" w:line="347" w:lineRule="auto"/>
        <w:tabs>
          <w:tab w:leader="none" w:pos="17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On March 15, 2011, the Company entered into an Administration Agreement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the three months ended March 31, 2013 and 2012, the Company incurred expenses of $0.3 million and $0.2 million, respectively, for administrative services payable to the Adviser under the terms of the Administration Agreement.</w:t>
      </w:r>
    </w:p>
    <w:p>
      <w:pPr>
        <w:spacing w:after="0" w:line="132"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Administration Agreement had an initial term that ended on March 15, 2013. On March 12, 2013, the Board renewed the Administration Agreement which will now remain in effect until March 15, 2014, unless earlier terminated as described below, and may be further extended subject to required approvals. The Administration Agreement may be terminated by either party without penalty upon at least 60 days’ written notice to the other party.</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and who serves as a director of the Company receives any compensation from the Company for such services.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a percentage of time such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w:t>
      </w:r>
    </w:p>
    <w:p>
      <w:pPr>
        <w:spacing w:after="0" w:line="90"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On April 15, 2011, the Company entered into an Advisory Agreement (the “Advisory Agreement”) with the Adviser. The Advisory Agreement was subsequently amended on December 12, 2011. Under the terms of the Advisory Agreement, the Adviser will provide investment advisory services to the Company. The Adviser’s services under the Advisory Agreement are not exclusive,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and the Adviser is free to furnish similar or other services to others so long as its services to the Company are not impaired. Under the terms of the Advisory Agreement, the Company will pay the Adviser a base management fee (the “Management Fee”) and may also pay certain incentive fees (the “Incentive Fee”).</w:t>
      </w:r>
    </w:p>
    <w:p>
      <w:pPr>
        <w:spacing w:after="0" w:line="6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Until the Company has an initial public offering of its Common Stock (an “IPO”), the Management Fee is calculated at an annual rate of 1.5% based on the average value of the Company’s gross assets calculated using the values at the end of the two most recently completed calendar quarters, adjusted for any share issuances or repurchases during the period. Management Fees are payable quarterly in arrears and are prorated for any partial month or quarter.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2013 and 2012, Management Fees were $3.0 million and $1.5 million, respectively.</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Until such time that the Company has an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2013 and 2012, Management Fees of $1.5 million and $0.3 million, respectively, were waived.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hanging="446"/>
        <w:spacing w:after="0" w:line="30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will equal 100% of the excess of pre-incentive fee net investment income in excess of a 1.5% quarterly hurdle rate until the Adviser has received 15% (17.5% subsequent to an IPO) of total net investment income for that quarter, and 15% (17.5% subsequent to an IPO) of all remaining pre-incentive fee net investment income for that quarter.</w:t>
      </w:r>
    </w:p>
    <w:p>
      <w:pPr>
        <w:spacing w:after="0" w:line="25" w:lineRule="exact"/>
        <w:rPr>
          <w:rFonts w:ascii="Arial" w:cs="Arial" w:eastAsia="Arial" w:hAnsi="Arial"/>
          <w:sz w:val="16"/>
          <w:szCs w:val="16"/>
          <w:color w:val="auto"/>
        </w:rPr>
      </w:pPr>
    </w:p>
    <w:p>
      <w:pPr>
        <w:ind w:left="900" w:right="40" w:hanging="446"/>
        <w:spacing w:after="0" w:line="290"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IPO, equal 15% of cumulative realized capital gains from the inception of the Company to the end of such fiscal year, less cumulative realized capital losses, unrealized capital depreciation and net of the aggregate amount of any previously paid capital gain incentive fees for prior periods (the “Capital Gains Fee”). Following an IPO, the Capital Gains Fee will equal a weighted percentage of the Company’s realized capital gains, if any, on a cumulative basis as between the inception of the Company to an IPO and from such IPO to the end of such fiscal year. The weighted percentage is intended to ensure that for each fiscal year following an IPO, the portion of the Company’s realized capital gains that accrued prior to an IPO will be subject to an incentive fee rate of 15% and the portion of the Company’s realized capital gains that accrued following an IPO will be subject to an incentive fee rate of 17.5%.</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Notwithstanding the forgoing, if prior to an IPO, cumulative net realized losses from inception of the Company exceed the aggregate dollar amount of dividends paid by the Company through such date, the Adviser will forego the right to receive its quarterly incentive fee payments with respect to pre-incentive fee net investment income until such time that cumulative net realized losses are less than or equal to dividend payments.</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 accrues Incentive Fees taking into account unrealized gains and losses; however, Section 205(b)(3) of the Investment Advisers Act of 1940, as amended, prohibits the Adviser from receiving the payment of fees until such gains are realized. There can be no assurance that such unrealized gains will be realized in the future.</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For the three months ended March 31, 2013, Incentive Fees were $2.7 million of which $2.4 million were realized and payable to the Adviser. For the three months ended March 31, 2012, Incentive Fees were $1.0 million of which $0.5 million were realized and payable to the Adviser.</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Unless earlier terminated, the Advisory Agreement will remain in effect until December 12, 2013, and may be extended subject to required approvals. The Advisory Agreement will automatically terminate in the event of an assignment and may be terminated by either party without penalty upon at least 60 days’ written notice to the other party.</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three months ended March 31, 2013 and 2012, were $0.9 million and $1.0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March 31, 2013 and December 31,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0"/>
              </w:rPr>
              <w:t>March 31, 2013</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6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Net Unrealized</w:t>
            </w:r>
          </w:p>
        </w:tc>
        <w:tc>
          <w:tcPr>
            <w:tcW w:w="100" w:type="dxa"/>
            <w:vAlign w:val="bottom"/>
          </w:tcPr>
          <w:p>
            <w:pPr>
              <w:spacing w:after="0"/>
              <w:rPr>
                <w:sz w:val="11"/>
                <w:szCs w:val="11"/>
                <w:color w:val="auto"/>
              </w:rPr>
            </w:pPr>
          </w:p>
        </w:tc>
      </w:tr>
      <w:tr>
        <w:trPr>
          <w:trHeight w:val="161"/>
        </w:trPr>
        <w:tc>
          <w:tcPr>
            <w:tcW w:w="3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Amortized Cost (1)</w:t>
            </w:r>
          </w:p>
        </w:tc>
        <w:tc>
          <w:tcPr>
            <w:tcW w:w="540" w:type="dxa"/>
            <w:vAlign w:val="bottom"/>
          </w:tcPr>
          <w:p>
            <w:pPr>
              <w:spacing w:after="0"/>
              <w:rPr>
                <w:sz w:val="14"/>
                <w:szCs w:val="14"/>
                <w:color w:val="auto"/>
              </w:rPr>
            </w:pPr>
          </w:p>
        </w:tc>
        <w:tc>
          <w:tcPr>
            <w:tcW w:w="13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Fair Value</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Gains</w:t>
            </w:r>
          </w:p>
        </w:tc>
      </w:tr>
      <w:tr>
        <w:trPr>
          <w:trHeight w:val="210"/>
        </w:trPr>
        <w:tc>
          <w:tcPr>
            <w:tcW w:w="3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84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612,822</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$624,293</w:t>
            </w:r>
          </w:p>
        </w:tc>
        <w:tc>
          <w:tcPr>
            <w:tcW w:w="72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Common equity</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7"/>
        </w:trPr>
        <w:tc>
          <w:tcPr>
            <w:tcW w:w="3600" w:type="dxa"/>
            <w:vAlign w:val="bottom"/>
          </w:tcPr>
          <w:p>
            <w:pPr>
              <w:spacing w:after="0"/>
              <w:rPr>
                <w:sz w:val="2"/>
                <w:szCs w:val="2"/>
                <w:color w:val="auto"/>
              </w:rPr>
            </w:pPr>
          </w:p>
        </w:tc>
        <w:tc>
          <w:tcPr>
            <w:tcW w:w="184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8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614,822</w:t>
            </w:r>
          </w:p>
        </w:tc>
        <w:tc>
          <w:tcPr>
            <w:tcW w:w="20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626,293</w:t>
            </w:r>
          </w:p>
        </w:tc>
        <w:tc>
          <w:tcPr>
            <w:tcW w:w="7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11,471</w:t>
            </w:r>
          </w:p>
        </w:tc>
        <w:tc>
          <w:tcPr>
            <w:tcW w:w="100" w:type="dxa"/>
            <w:vAlign w:val="bottom"/>
            <w:shd w:val="clear" w:color="auto" w:fill="CCEEFF"/>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5"/>
              </w:rPr>
              <w:t>December 31, 2012</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36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Net Unrealized</w:t>
            </w:r>
          </w:p>
        </w:tc>
        <w:tc>
          <w:tcPr>
            <w:tcW w:w="100" w:type="dxa"/>
            <w:vAlign w:val="bottom"/>
          </w:tcPr>
          <w:p>
            <w:pPr>
              <w:spacing w:after="0"/>
              <w:rPr>
                <w:sz w:val="11"/>
                <w:szCs w:val="11"/>
                <w:color w:val="auto"/>
              </w:rPr>
            </w:pPr>
          </w:p>
        </w:tc>
      </w:tr>
      <w:tr>
        <w:trPr>
          <w:trHeight w:val="161"/>
        </w:trPr>
        <w:tc>
          <w:tcPr>
            <w:tcW w:w="3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Amortized Cost (1)</w:t>
            </w:r>
          </w:p>
        </w:tc>
        <w:tc>
          <w:tcPr>
            <w:tcW w:w="540" w:type="dxa"/>
            <w:vAlign w:val="bottom"/>
          </w:tcPr>
          <w:p>
            <w:pPr>
              <w:spacing w:after="0"/>
              <w:rPr>
                <w:sz w:val="14"/>
                <w:szCs w:val="14"/>
                <w:color w:val="auto"/>
              </w:rPr>
            </w:pPr>
          </w:p>
        </w:tc>
        <w:tc>
          <w:tcPr>
            <w:tcW w:w="13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9"/>
              </w:rPr>
              <w:t>Fair Value</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Gains</w:t>
            </w:r>
          </w:p>
        </w:tc>
      </w:tr>
      <w:tr>
        <w:trPr>
          <w:trHeight w:val="210"/>
        </w:trPr>
        <w:tc>
          <w:tcPr>
            <w:tcW w:w="3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84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642,421</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$651,944</w:t>
            </w:r>
          </w:p>
        </w:tc>
        <w:tc>
          <w:tcPr>
            <w:tcW w:w="72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Common equity</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7"/>
        </w:trPr>
        <w:tc>
          <w:tcPr>
            <w:tcW w:w="36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1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644,421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7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shd w:val="clear" w:color="auto" w:fill="CCEEFF"/>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as of March 31, 2013 and December 31, 2012,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0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March 31, 2013</w:t>
            </w:r>
          </w:p>
        </w:tc>
        <w:tc>
          <w:tcPr>
            <w:tcW w:w="1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Healthcare software solutions</w:t>
            </w:r>
          </w:p>
        </w:tc>
        <w:tc>
          <w:tcPr>
            <w:tcW w:w="16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w:t>
            </w:r>
          </w:p>
        </w:tc>
        <w:tc>
          <w:tcPr>
            <w:tcW w:w="40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Multidiscipline simulation software</w:t>
            </w:r>
          </w:p>
        </w:tc>
        <w:tc>
          <w:tcPr>
            <w:tcW w:w="3020" w:type="dxa"/>
            <w:vAlign w:val="bottom"/>
            <w:gridSpan w:val="3"/>
          </w:tcPr>
          <w:p>
            <w:pPr>
              <w:jc w:val="right"/>
              <w:ind w:right="380"/>
              <w:spacing w:after="0"/>
              <w:rPr>
                <w:sz w:val="20"/>
                <w:szCs w:val="20"/>
                <w:color w:val="auto"/>
              </w:rPr>
            </w:pPr>
            <w:r>
              <w:rPr>
                <w:rFonts w:ascii="Arial" w:cs="Arial" w:eastAsia="Arial" w:hAnsi="Arial"/>
                <w:sz w:val="18"/>
                <w:szCs w:val="18"/>
                <w:color w:val="auto"/>
              </w:rPr>
              <w:t>9.0%</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residential flooring</w:t>
            </w:r>
          </w:p>
        </w:tc>
        <w:tc>
          <w:tcPr>
            <w:tcW w:w="3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Recycled paperboard producer</w:t>
            </w:r>
          </w:p>
        </w:tc>
        <w:tc>
          <w:tcPr>
            <w:tcW w:w="3020" w:type="dxa"/>
            <w:vAlign w:val="bottom"/>
            <w:gridSpan w:val="3"/>
          </w:tcPr>
          <w:p>
            <w:pPr>
              <w:jc w:val="right"/>
              <w:ind w:right="380"/>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5"/>
              </w:rPr>
              <w:t>Software provider for food and beverage companies</w:t>
            </w:r>
          </w:p>
        </w:tc>
        <w:tc>
          <w:tcPr>
            <w:tcW w:w="3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Database management software</w:t>
            </w:r>
          </w:p>
        </w:tc>
        <w:tc>
          <w:tcPr>
            <w:tcW w:w="3020" w:type="dxa"/>
            <w:vAlign w:val="bottom"/>
            <w:gridSpan w:val="3"/>
          </w:tcPr>
          <w:p>
            <w:pPr>
              <w:jc w:val="right"/>
              <w:ind w:right="380"/>
              <w:spacing w:after="0"/>
              <w:rPr>
                <w:sz w:val="20"/>
                <w:szCs w:val="20"/>
                <w:color w:val="auto"/>
              </w:rPr>
            </w:pPr>
            <w:r>
              <w:rPr>
                <w:rFonts w:ascii="Arial" w:cs="Arial" w:eastAsia="Arial" w:hAnsi="Arial"/>
                <w:sz w:val="18"/>
                <w:szCs w:val="18"/>
                <w:color w:val="auto"/>
              </w:rPr>
              <w:t>7.0%</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Cross-platform software development tools</w:t>
            </w:r>
          </w:p>
        </w:tc>
        <w:tc>
          <w:tcPr>
            <w:tcW w:w="3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6.3%</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Preventive automotive maintenance services</w:t>
            </w:r>
          </w:p>
        </w:tc>
        <w:tc>
          <w:tcPr>
            <w:tcW w:w="3020" w:type="dxa"/>
            <w:vAlign w:val="bottom"/>
            <w:gridSpan w:val="3"/>
          </w:tcPr>
          <w:p>
            <w:pPr>
              <w:jc w:val="right"/>
              <w:ind w:right="380"/>
              <w:spacing w:after="0"/>
              <w:rPr>
                <w:sz w:val="20"/>
                <w:szCs w:val="20"/>
                <w:color w:val="auto"/>
              </w:rPr>
            </w:pPr>
            <w:r>
              <w:rPr>
                <w:rFonts w:ascii="Arial" w:cs="Arial" w:eastAsia="Arial" w:hAnsi="Arial"/>
                <w:sz w:val="18"/>
                <w:szCs w:val="18"/>
                <w:color w:val="auto"/>
              </w:rPr>
              <w:t>6.0%</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Business operations management solutions</w:t>
            </w:r>
          </w:p>
        </w:tc>
        <w:tc>
          <w:tcPr>
            <w:tcW w:w="3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4.9%</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Enterprise application software solutions</w:t>
            </w:r>
          </w:p>
        </w:tc>
        <w:tc>
          <w:tcPr>
            <w:tcW w:w="3020" w:type="dxa"/>
            <w:vAlign w:val="bottom"/>
            <w:gridSpan w:val="3"/>
          </w:tcPr>
          <w:p>
            <w:pPr>
              <w:jc w:val="right"/>
              <w:ind w:right="380"/>
              <w:spacing w:after="0"/>
              <w:rPr>
                <w:sz w:val="20"/>
                <w:szCs w:val="20"/>
                <w:color w:val="auto"/>
              </w:rPr>
            </w:pPr>
            <w:r>
              <w:rPr>
                <w:rFonts w:ascii="Arial" w:cs="Arial" w:eastAsia="Arial" w:hAnsi="Arial"/>
                <w:sz w:val="18"/>
                <w:szCs w:val="18"/>
                <w:color w:val="auto"/>
              </w:rPr>
              <w:t>4.8%</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Sports entertainment</w:t>
            </w:r>
          </w:p>
        </w:tc>
        <w:tc>
          <w:tcPr>
            <w:tcW w:w="3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Engineered equipment manufacturing</w:t>
            </w:r>
          </w:p>
        </w:tc>
        <w:tc>
          <w:tcPr>
            <w:tcW w:w="3020" w:type="dxa"/>
            <w:vAlign w:val="bottom"/>
            <w:gridSpan w:val="3"/>
          </w:tcPr>
          <w:p>
            <w:pPr>
              <w:jc w:val="right"/>
              <w:ind w:right="380"/>
              <w:spacing w:after="0"/>
              <w:rPr>
                <w:sz w:val="20"/>
                <w:szCs w:val="20"/>
                <w:color w:val="auto"/>
              </w:rPr>
            </w:pPr>
            <w:r>
              <w:rPr>
                <w:rFonts w:ascii="Arial" w:cs="Arial" w:eastAsia="Arial" w:hAnsi="Arial"/>
                <w:sz w:val="18"/>
                <w:szCs w:val="18"/>
                <w:color w:val="auto"/>
              </w:rPr>
              <w:t>4.6%</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ERP and eCommerce systems software</w:t>
            </w:r>
          </w:p>
        </w:tc>
        <w:tc>
          <w:tcPr>
            <w:tcW w:w="3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Automotive interiors</w:t>
            </w:r>
          </w:p>
        </w:tc>
        <w:tc>
          <w:tcPr>
            <w:tcW w:w="3020" w:type="dxa"/>
            <w:vAlign w:val="bottom"/>
            <w:gridSpan w:val="3"/>
          </w:tcPr>
          <w:p>
            <w:pPr>
              <w:jc w:val="right"/>
              <w:ind w:right="380"/>
              <w:spacing w:after="0"/>
              <w:rPr>
                <w:sz w:val="20"/>
                <w:szCs w:val="20"/>
                <w:color w:val="auto"/>
              </w:rPr>
            </w:pPr>
            <w:r>
              <w:rPr>
                <w:rFonts w:ascii="Arial" w:cs="Arial" w:eastAsia="Arial" w:hAnsi="Arial"/>
                <w:sz w:val="18"/>
                <w:szCs w:val="18"/>
                <w:color w:val="auto"/>
              </w:rPr>
              <w:t>3.1%</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Fleet management solutions</w:t>
            </w:r>
          </w:p>
        </w:tc>
        <w:tc>
          <w:tcPr>
            <w:tcW w:w="3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Talent development software</w:t>
            </w:r>
          </w:p>
        </w:tc>
        <w:tc>
          <w:tcPr>
            <w:tcW w:w="3020" w:type="dxa"/>
            <w:vAlign w:val="bottom"/>
            <w:gridSpan w:val="3"/>
          </w:tcPr>
          <w:p>
            <w:pPr>
              <w:jc w:val="right"/>
              <w:ind w:right="380"/>
              <w:spacing w:after="0"/>
              <w:rPr>
                <w:sz w:val="20"/>
                <w:szCs w:val="20"/>
                <w:color w:val="auto"/>
              </w:rPr>
            </w:pPr>
            <w:r>
              <w:rPr>
                <w:rFonts w:ascii="Arial" w:cs="Arial" w:eastAsia="Arial" w:hAnsi="Arial"/>
                <w:sz w:val="18"/>
                <w:szCs w:val="18"/>
                <w:color w:val="auto"/>
              </w:rPr>
              <w:t>2.5%</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Full service chain of restaurants</w:t>
            </w:r>
          </w:p>
        </w:tc>
        <w:tc>
          <w:tcPr>
            <w:tcW w:w="3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Gaming</w:t>
            </w:r>
          </w:p>
        </w:tc>
        <w:tc>
          <w:tcPr>
            <w:tcW w:w="3020" w:type="dxa"/>
            <w:vAlign w:val="bottom"/>
            <w:gridSpan w:val="3"/>
          </w:tcPr>
          <w:p>
            <w:pPr>
              <w:jc w:val="right"/>
              <w:ind w:right="38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Recycling and waste management</w:t>
            </w:r>
          </w:p>
        </w:tc>
        <w:tc>
          <w:tcPr>
            <w:tcW w:w="3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Safety equipment manufacturer</w:t>
            </w:r>
          </w:p>
        </w:tc>
        <w:tc>
          <w:tcPr>
            <w:tcW w:w="16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Pharmaceutical research services</w:t>
            </w:r>
          </w:p>
        </w:tc>
        <w:tc>
          <w:tcPr>
            <w:tcW w:w="16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6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100.0%</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0" w:type="dxa"/>
            <w:vAlign w:val="bottom"/>
            <w:vMerge w:val="restart"/>
          </w:tcPr>
          <w:p>
            <w:pPr>
              <w:jc w:val="right"/>
              <w:ind w:right="1053"/>
              <w:spacing w:after="0"/>
              <w:rPr>
                <w:sz w:val="20"/>
                <w:szCs w:val="20"/>
                <w:color w:val="auto"/>
              </w:rPr>
            </w:pPr>
            <w:r>
              <w:rPr>
                <w:rFonts w:ascii="Arial" w:cs="Arial" w:eastAsia="Arial" w:hAnsi="Arial"/>
                <w:sz w:val="18"/>
                <w:szCs w:val="18"/>
                <w:color w:val="auto"/>
              </w:rPr>
              <w:t>18</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March 31, 2013 and December 31, 2012,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35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March 31, 2013</w:t>
            </w:r>
          </w:p>
        </w:tc>
        <w:tc>
          <w:tcPr>
            <w:tcW w:w="1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0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Midwest</w:t>
            </w:r>
          </w:p>
        </w:tc>
        <w:tc>
          <w:tcPr>
            <w:tcW w:w="3580" w:type="dxa"/>
            <w:vAlign w:val="bottom"/>
            <w:gridSpan w:val="3"/>
          </w:tcPr>
          <w:p>
            <w:pPr>
              <w:jc w:val="right"/>
              <w:ind w:right="480"/>
              <w:spacing w:after="0"/>
              <w:rPr>
                <w:sz w:val="20"/>
                <w:szCs w:val="20"/>
                <w:color w:val="auto"/>
              </w:rPr>
            </w:pPr>
            <w:r>
              <w:rPr>
                <w:rFonts w:ascii="Arial" w:cs="Arial" w:eastAsia="Arial" w:hAnsi="Arial"/>
                <w:sz w:val="18"/>
                <w:szCs w:val="18"/>
                <w:color w:val="auto"/>
              </w:rPr>
              <w:t>14.4%</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3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21.8%</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South</w:t>
            </w:r>
          </w:p>
        </w:tc>
        <w:tc>
          <w:tcPr>
            <w:tcW w:w="3580" w:type="dxa"/>
            <w:vAlign w:val="bottom"/>
            <w:gridSpan w:val="3"/>
          </w:tcPr>
          <w:p>
            <w:pPr>
              <w:jc w:val="right"/>
              <w:ind w:right="480"/>
              <w:spacing w:after="0"/>
              <w:rPr>
                <w:sz w:val="20"/>
                <w:szCs w:val="20"/>
                <w:color w:val="auto"/>
              </w:rPr>
            </w:pPr>
            <w:r>
              <w:rPr>
                <w:rFonts w:ascii="Arial" w:cs="Arial" w:eastAsia="Arial" w:hAnsi="Arial"/>
                <w:sz w:val="18"/>
                <w:szCs w:val="18"/>
                <w:color w:val="auto"/>
              </w:rPr>
              <w:t>26.8%</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20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37.0%</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20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20" w:type="dxa"/>
            <w:vAlign w:val="bottom"/>
            <w:vMerge w:val="continue"/>
          </w:tcPr>
          <w:p>
            <w:pPr>
              <w:spacing w:after="0"/>
              <w:rPr>
                <w:sz w:val="19"/>
                <w:szCs w:val="19"/>
                <w:color w:val="auto"/>
              </w:rPr>
            </w:pPr>
          </w:p>
        </w:tc>
        <w:tc>
          <w:tcPr>
            <w:tcW w:w="206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320" w:firstLine="8"/>
        <w:spacing w:after="0" w:line="369" w:lineRule="auto"/>
        <w:tabs>
          <w:tab w:leader="none" w:pos="17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for Investments at fair value as of March 31, 2013 and December 31,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80" w:type="dxa"/>
            <w:vAlign w:val="bottom"/>
            <w:gridSpan w:val="8"/>
          </w:tcPr>
          <w:p>
            <w:pPr>
              <w:jc w:val="center"/>
              <w:ind w:right="620"/>
              <w:spacing w:after="0"/>
              <w:rPr>
                <w:sz w:val="20"/>
                <w:szCs w:val="20"/>
                <w:color w:val="auto"/>
              </w:rPr>
            </w:pPr>
            <w:r>
              <w:rPr>
                <w:rFonts w:ascii="Arial" w:cs="Arial" w:eastAsia="Arial" w:hAnsi="Arial"/>
                <w:sz w:val="14"/>
                <w:szCs w:val="14"/>
                <w:b w:val="1"/>
                <w:bCs w:val="1"/>
                <w:color w:val="auto"/>
                <w:w w:val="90"/>
              </w:rPr>
              <w:t>Fair Value Hierarchy at March 31, 2013</w:t>
            </w:r>
          </w:p>
        </w:tc>
      </w:tr>
      <w:tr>
        <w:trPr>
          <w:trHeight w:val="142"/>
        </w:trPr>
        <w:tc>
          <w:tcPr>
            <w:tcW w:w="4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Level 1</w:t>
            </w: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84"/>
              </w:rPr>
              <w:t>Level 2</w:t>
            </w:r>
          </w:p>
        </w:tc>
        <w:tc>
          <w:tcPr>
            <w:tcW w:w="66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Level 3</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210"/>
        </w:trPr>
        <w:tc>
          <w:tcPr>
            <w:tcW w:w="4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9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 —</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6"/>
              </w:rPr>
              <w:t>$71,325</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$552,968</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$624,293</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Common equity</w:t>
            </w: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9"/>
                <w:szCs w:val="19"/>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 —</w:t>
            </w:r>
          </w:p>
        </w:tc>
        <w:tc>
          <w:tcPr>
            <w:tcW w:w="1040" w:type="dxa"/>
            <w:vAlign w:val="bottom"/>
            <w:gridSpan w:val="3"/>
            <w:shd w:val="clear" w:color="auto" w:fill="CCEEFF"/>
          </w:tcPr>
          <w:p>
            <w:pPr>
              <w:jc w:val="center"/>
              <w:ind w:left="38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71,325</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554,968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626,293</w:t>
            </w:r>
          </w:p>
        </w:tc>
        <w:tc>
          <w:tcPr>
            <w:tcW w:w="200" w:type="dxa"/>
            <w:vAlign w:val="bottom"/>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4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gridSpan w:val="8"/>
          </w:tcPr>
          <w:p>
            <w:pPr>
              <w:jc w:val="center"/>
              <w:ind w:right="640"/>
              <w:spacing w:after="0"/>
              <w:rPr>
                <w:sz w:val="20"/>
                <w:szCs w:val="20"/>
                <w:color w:val="auto"/>
              </w:rPr>
            </w:pPr>
            <w:r>
              <w:rPr>
                <w:rFonts w:ascii="Arial" w:cs="Arial" w:eastAsia="Arial" w:hAnsi="Arial"/>
                <w:sz w:val="14"/>
                <w:szCs w:val="14"/>
                <w:b w:val="1"/>
                <w:bCs w:val="1"/>
                <w:color w:val="auto"/>
                <w:w w:val="88"/>
              </w:rPr>
              <w:t>Fair Value Hierarchy at December 31, 2012</w:t>
            </w:r>
          </w:p>
        </w:tc>
      </w:tr>
      <w:tr>
        <w:trPr>
          <w:trHeight w:val="142"/>
        </w:trPr>
        <w:tc>
          <w:tcPr>
            <w:tcW w:w="4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88"/>
              </w:rPr>
              <w:t>Level 2</w:t>
            </w:r>
          </w:p>
        </w:tc>
        <w:tc>
          <w:tcPr>
            <w:tcW w:w="66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Level 3</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210"/>
        </w:trPr>
        <w:tc>
          <w:tcPr>
            <w:tcW w:w="4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9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w w:val="90"/>
              </w:rPr>
              <w:t>$ —</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2"/>
              </w:rPr>
              <w:t>$84,650</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$567,294</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$651,944</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Common equity</w:t>
            </w:r>
          </w:p>
        </w:tc>
        <w:tc>
          <w:tcPr>
            <w:tcW w:w="1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9"/>
                <w:szCs w:val="19"/>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3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gridSpan w:val="4"/>
            <w:shd w:val="clear" w:color="auto" w:fill="CCEEFF"/>
          </w:tcPr>
          <w:p>
            <w:pPr>
              <w:ind w:lef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84,650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569,294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200" w:type="dxa"/>
            <w:vAlign w:val="bottom"/>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changes in Investments at fair value that use Level 3 inputs as of and for the three months ended March 31, 2013 and 2012:</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As of and for the Three</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10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89"/>
              </w:rPr>
              <w:t>Months Ended March 31, 2013</w:t>
            </w: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Debt</w:t>
            </w:r>
          </w:p>
        </w:tc>
        <w:tc>
          <w:tcPr>
            <w:tcW w:w="4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Common</w:t>
            </w: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Investments</w:t>
            </w:r>
          </w:p>
        </w:tc>
        <w:tc>
          <w:tcPr>
            <w:tcW w:w="460" w:type="dxa"/>
            <w:vAlign w:val="bottom"/>
          </w:tcPr>
          <w:p>
            <w:pPr>
              <w:spacing w:after="0"/>
              <w:rPr>
                <w:sz w:val="14"/>
                <w:szCs w:val="14"/>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26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$ 567,294</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$ 2,000</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Purchases</w:t>
            </w:r>
          </w:p>
        </w:tc>
        <w:tc>
          <w:tcPr>
            <w:tcW w:w="3460" w:type="dxa"/>
            <w:vAlign w:val="bottom"/>
            <w:gridSpan w:val="3"/>
          </w:tcPr>
          <w:p>
            <w:pPr>
              <w:jc w:val="right"/>
              <w:ind w:right="80"/>
              <w:spacing w:after="0"/>
              <w:rPr>
                <w:sz w:val="20"/>
                <w:szCs w:val="20"/>
                <w:color w:val="auto"/>
              </w:rPr>
            </w:pPr>
            <w:r>
              <w:rPr>
                <w:rFonts w:ascii="Arial" w:cs="Arial" w:eastAsia="Arial" w:hAnsi="Arial"/>
                <w:sz w:val="18"/>
                <w:szCs w:val="18"/>
                <w:color w:val="auto"/>
              </w:rPr>
              <w:t>64,540</w:t>
            </w:r>
          </w:p>
        </w:tc>
        <w:tc>
          <w:tcPr>
            <w:tcW w:w="46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64,540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3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3460" w:type="dxa"/>
            <w:vAlign w:val="bottom"/>
            <w:gridSpan w:val="3"/>
          </w:tcPr>
          <w:p>
            <w:pPr>
              <w:jc w:val="right"/>
              <w:ind w:right="40"/>
              <w:spacing w:after="0"/>
              <w:rPr>
                <w:sz w:val="20"/>
                <w:szCs w:val="20"/>
                <w:color w:val="auto"/>
              </w:rPr>
            </w:pPr>
            <w:r>
              <w:rPr>
                <w:rFonts w:ascii="Arial" w:cs="Arial" w:eastAsia="Arial" w:hAnsi="Arial"/>
                <w:sz w:val="18"/>
                <w:szCs w:val="18"/>
                <w:color w:val="auto"/>
              </w:rPr>
              <w:t>(52,175)</w:t>
            </w:r>
          </w:p>
        </w:tc>
        <w:tc>
          <w:tcPr>
            <w:tcW w:w="46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(52,174)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3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3460" w:type="dxa"/>
            <w:vAlign w:val="bottom"/>
            <w:gridSpan w:val="3"/>
          </w:tcPr>
          <w:p>
            <w:pPr>
              <w:jc w:val="right"/>
              <w:ind w:right="80"/>
              <w:spacing w:after="0"/>
              <w:rPr>
                <w:sz w:val="20"/>
                <w:szCs w:val="20"/>
                <w:color w:val="auto"/>
              </w:rPr>
            </w:pPr>
            <w:r>
              <w:rPr>
                <w:rFonts w:ascii="Arial" w:cs="Arial" w:eastAsia="Arial" w:hAnsi="Arial"/>
                <w:sz w:val="18"/>
                <w:szCs w:val="18"/>
                <w:color w:val="auto"/>
              </w:rPr>
              <w:t>1,578</w:t>
            </w:r>
          </w:p>
        </w:tc>
        <w:tc>
          <w:tcPr>
            <w:tcW w:w="46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3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332</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26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3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$ 552,968</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$ 2,000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554,968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60" w:type="dxa"/>
            <w:vAlign w:val="bottom"/>
            <w:vMerge w:val="restart"/>
          </w:tcPr>
          <w:p>
            <w:pPr>
              <w:jc w:val="right"/>
              <w:ind w:right="1512"/>
              <w:spacing w:after="0"/>
              <w:rPr>
                <w:sz w:val="20"/>
                <w:szCs w:val="20"/>
                <w:color w:val="auto"/>
              </w:rPr>
            </w:pPr>
            <w:r>
              <w:rPr>
                <w:rFonts w:ascii="Arial" w:cs="Arial" w:eastAsia="Arial" w:hAnsi="Arial"/>
                <w:sz w:val="18"/>
                <w:szCs w:val="18"/>
                <w:color w:val="auto"/>
              </w:rPr>
              <w:t>19</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2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As of and for the Three</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9"/>
              </w:rPr>
              <w:t>Months Ended March 31, 2012</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9"/>
              </w:rPr>
              <w:t>Preferred</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Debt</w:t>
            </w:r>
          </w:p>
        </w:tc>
        <w:tc>
          <w:tcPr>
            <w:tcW w:w="480" w:type="dxa"/>
            <w:vAlign w:val="bottom"/>
          </w:tcPr>
          <w:p>
            <w:pPr>
              <w:spacing w:after="0"/>
              <w:rPr>
                <w:sz w:val="12"/>
                <w:szCs w:val="12"/>
                <w:color w:val="auto"/>
              </w:rPr>
            </w:pPr>
          </w:p>
        </w:tc>
        <w:tc>
          <w:tcPr>
            <w:tcW w:w="15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Equity/Mezzanine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0"/>
              </w:rPr>
              <w:t>Investments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Investments</w:t>
            </w:r>
          </w:p>
        </w:tc>
        <w:tc>
          <w:tcPr>
            <w:tcW w:w="1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$ 174,348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Purchases, net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188,653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188,649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 net</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(45,906)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(45,906)</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Repayments</w:t>
            </w: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(4,142)</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1,401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(496)</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(14,170)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vMerge w:val="continue"/>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$ 300,954</w:t>
            </w:r>
          </w:p>
        </w:tc>
        <w:tc>
          <w:tcPr>
            <w:tcW w:w="1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9,500</w:t>
            </w:r>
          </w:p>
        </w:tc>
        <w:tc>
          <w:tcPr>
            <w:tcW w:w="5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310,454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Rare Restaurant Group, LLC transferred out of Level 3 during the three months ended March 31, 2012, as a result of changes in the observability of inputs into its valuation.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at fair value for which Level 3 inputs were used in determining fair value that are still held by the Company as of March 31, 2013 and 2012:</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ind w:right="44"/>
              <w:spacing w:after="0"/>
              <w:rPr>
                <w:sz w:val="20"/>
                <w:szCs w:val="20"/>
                <w:color w:val="auto"/>
              </w:rPr>
            </w:pPr>
            <w:r>
              <w:rPr>
                <w:rFonts w:ascii="Arial" w:cs="Arial" w:eastAsia="Arial" w:hAnsi="Arial"/>
                <w:sz w:val="14"/>
                <w:szCs w:val="14"/>
                <w:b w:val="1"/>
                <w:bCs w:val="1"/>
                <w:color w:val="auto"/>
                <w:w w:val="87"/>
              </w:rPr>
              <w:t>Net Change in Unrealized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Net Change in Unrealized</w:t>
            </w:r>
          </w:p>
        </w:tc>
      </w:tr>
      <w:tr>
        <w:trPr>
          <w:trHeight w:val="149"/>
        </w:trPr>
        <w:tc>
          <w:tcPr>
            <w:tcW w:w="2680" w:type="dxa"/>
            <w:vAlign w:val="bottom"/>
          </w:tcPr>
          <w:p>
            <w:pPr>
              <w:spacing w:after="0"/>
              <w:rPr>
                <w:sz w:val="12"/>
                <w:szCs w:val="12"/>
                <w:color w:val="auto"/>
              </w:rPr>
            </w:pPr>
          </w:p>
        </w:tc>
        <w:tc>
          <w:tcPr>
            <w:tcW w:w="2460" w:type="dxa"/>
            <w:vAlign w:val="bottom"/>
            <w:gridSpan w:val="3"/>
          </w:tcPr>
          <w:p>
            <w:pPr>
              <w:jc w:val="center"/>
              <w:ind w:left="69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c>
          <w:tcPr>
            <w:tcW w:w="2620" w:type="dxa"/>
            <w:vAlign w:val="bottom"/>
            <w:gridSpan w:val="4"/>
          </w:tcPr>
          <w:p>
            <w:pPr>
              <w:jc w:val="center"/>
              <w:ind w:left="622"/>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r>
      <w:tr>
        <w:trPr>
          <w:trHeight w:val="149"/>
        </w:trPr>
        <w:tc>
          <w:tcPr>
            <w:tcW w:w="2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for the Three Months Ended</w:t>
            </w:r>
          </w:p>
        </w:tc>
        <w:tc>
          <w:tcPr>
            <w:tcW w:w="820" w:type="dxa"/>
            <w:vAlign w:val="bottom"/>
          </w:tcPr>
          <w:p>
            <w:pPr>
              <w:spacing w:after="0"/>
              <w:rPr>
                <w:sz w:val="12"/>
                <w:szCs w:val="12"/>
                <w:color w:val="auto"/>
              </w:rPr>
            </w:pP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for the Three Months Ended</w:t>
            </w:r>
          </w:p>
        </w:tc>
      </w:tr>
      <w:tr>
        <w:trPr>
          <w:trHeight w:val="149"/>
        </w:trPr>
        <w:tc>
          <w:tcPr>
            <w:tcW w:w="2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March 31, 2013 on</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March 31, 2012 on</w:t>
            </w:r>
          </w:p>
        </w:tc>
      </w:tr>
      <w:tr>
        <w:trPr>
          <w:trHeight w:val="149"/>
        </w:trPr>
        <w:tc>
          <w:tcPr>
            <w:tcW w:w="2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Investments Held at</w:t>
            </w:r>
          </w:p>
        </w:tc>
      </w:tr>
      <w:tr>
        <w:trPr>
          <w:trHeight w:val="161"/>
        </w:trPr>
        <w:tc>
          <w:tcPr>
            <w:tcW w:w="2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ind w:right="24"/>
              <w:spacing w:after="0"/>
              <w:rPr>
                <w:sz w:val="20"/>
                <w:szCs w:val="20"/>
                <w:color w:val="auto"/>
              </w:rPr>
            </w:pPr>
            <w:r>
              <w:rPr>
                <w:rFonts w:ascii="Arial" w:cs="Arial" w:eastAsia="Arial" w:hAnsi="Arial"/>
                <w:sz w:val="14"/>
                <w:szCs w:val="14"/>
                <w:b w:val="1"/>
                <w:bCs w:val="1"/>
                <w:color w:val="auto"/>
                <w:w w:val="90"/>
              </w:rPr>
              <w:t>March 31, 2013</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March 31, 2012</w:t>
            </w:r>
          </w:p>
        </w:tc>
      </w:tr>
      <w:tr>
        <w:trPr>
          <w:trHeight w:val="210"/>
        </w:trPr>
        <w:tc>
          <w:tcPr>
            <w:tcW w:w="2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Borders>
              <w:top w:val="single" w:sz="8" w:color="CCEEFF"/>
            </w:tcBorders>
            <w:shd w:val="clear" w:color="auto" w:fill="CCEEFF"/>
          </w:tcPr>
          <w:p>
            <w:pPr>
              <w:spacing w:after="0"/>
              <w:rPr>
                <w:sz w:val="18"/>
                <w:szCs w:val="18"/>
                <w:color w:val="auto"/>
              </w:rPr>
            </w:pPr>
          </w:p>
        </w:tc>
      </w:tr>
      <w:tr>
        <w:trPr>
          <w:trHeight w:val="208"/>
        </w:trPr>
        <w:tc>
          <w:tcPr>
            <w:tcW w:w="2680" w:type="dxa"/>
            <w:vAlign w:val="bottom"/>
          </w:tcPr>
          <w:p>
            <w:pPr>
              <w:spacing w:after="0"/>
              <w:rPr>
                <w:sz w:val="20"/>
                <w:szCs w:val="20"/>
                <w:color w:val="auto"/>
              </w:rPr>
            </w:pPr>
            <w:r>
              <w:rPr>
                <w:rFonts w:ascii="Arial" w:cs="Arial" w:eastAsia="Arial" w:hAnsi="Arial"/>
                <w:sz w:val="18"/>
                <w:szCs w:val="18"/>
                <w:color w:val="auto"/>
              </w:rPr>
              <w:t>Preferred equity/mezzanine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2680" w:type="dxa"/>
            <w:vAlign w:val="bottom"/>
          </w:tcPr>
          <w:p>
            <w:pPr>
              <w:jc w:val="center"/>
              <w:ind w:right="1312"/>
              <w:spacing w:after="0"/>
              <w:rPr>
                <w:sz w:val="20"/>
                <w:szCs w:val="20"/>
                <w:color w:val="auto"/>
              </w:rPr>
            </w:pPr>
            <w:r>
              <w:rPr>
                <w:rFonts w:ascii="Arial" w:cs="Arial" w:eastAsia="Arial" w:hAnsi="Arial"/>
                <w:sz w:val="18"/>
                <w:szCs w:val="18"/>
                <w:color w:val="auto"/>
                <w:w w:val="87"/>
              </w:rPr>
              <w:t>investments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(496)</w:t>
            </w:r>
          </w:p>
        </w:tc>
      </w:tr>
      <w:tr>
        <w:trPr>
          <w:trHeight w:val="28"/>
        </w:trPr>
        <w:tc>
          <w:tcPr>
            <w:tcW w:w="2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680" w:type="dxa"/>
            <w:vAlign w:val="bottom"/>
            <w:shd w:val="clear" w:color="auto" w:fill="CCEEFF"/>
          </w:tcPr>
          <w:p>
            <w:pPr>
              <w:jc w:val="center"/>
              <w:ind w:right="1332"/>
              <w:spacing w:after="0"/>
              <w:rPr>
                <w:sz w:val="20"/>
                <w:szCs w:val="20"/>
                <w:color w:val="auto"/>
              </w:rPr>
            </w:pPr>
            <w:r>
              <w:rPr>
                <w:rFonts w:ascii="Arial" w:cs="Arial" w:eastAsia="Arial" w:hAnsi="Arial"/>
                <w:sz w:val="18"/>
                <w:szCs w:val="18"/>
                <w:b w:val="1"/>
                <w:bCs w:val="1"/>
                <w:color w:val="auto"/>
                <w:w w:val="88"/>
              </w:rPr>
              <w:t>Total</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CCEEFF"/>
          </w:tcPr>
          <w:p>
            <w:pPr>
              <w:spacing w:after="0"/>
              <w:rPr>
                <w:sz w:val="18"/>
                <w:szCs w:val="18"/>
                <w:color w:val="auto"/>
              </w:rPr>
            </w:pPr>
          </w:p>
        </w:tc>
      </w:tr>
      <w:tr>
        <w:trPr>
          <w:trHeight w:val="20"/>
        </w:trPr>
        <w:tc>
          <w:tcPr>
            <w:tcW w:w="2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fair value of Level 3 Investments at fair value and the significant unobservable inputs used in the valuations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2013 and December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March 31, 2013</w:t>
            </w:r>
          </w:p>
        </w:tc>
        <w:tc>
          <w:tcPr>
            <w:tcW w:w="1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Impact to Valuation</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Valuation Technique</w:t>
            </w: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6"/>
              </w:rPr>
              <w:t>from an Increase to</w:t>
            </w:r>
          </w:p>
        </w:tc>
        <w:tc>
          <w:tcPr>
            <w:tcW w:w="0" w:type="dxa"/>
            <w:vAlign w:val="bottom"/>
          </w:tcPr>
          <w:p>
            <w:pPr>
              <w:spacing w:after="0"/>
              <w:rPr>
                <w:sz w:val="1"/>
                <w:szCs w:val="1"/>
                <w:color w:val="auto"/>
              </w:rPr>
            </w:pPr>
          </w:p>
        </w:tc>
      </w:tr>
      <w:tr>
        <w:trPr>
          <w:trHeight w:val="161"/>
        </w:trPr>
        <w:tc>
          <w:tcPr>
            <w:tcW w:w="2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Fair Value (1)</w:t>
            </w:r>
          </w:p>
        </w:tc>
        <w:tc>
          <w:tcPr>
            <w:tcW w:w="1820" w:type="dxa"/>
            <w:vAlign w:val="bottom"/>
            <w:gridSpan w:val="2"/>
            <w:vMerge w:val="continue"/>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Unobservable Input</w:t>
            </w:r>
          </w:p>
        </w:tc>
        <w:tc>
          <w:tcPr>
            <w:tcW w:w="2460" w:type="dxa"/>
            <w:vAlign w:val="bottom"/>
            <w:gridSpan w:val="2"/>
          </w:tcPr>
          <w:p>
            <w:pPr>
              <w:ind w:left="200"/>
              <w:spacing w:after="0"/>
              <w:rPr>
                <w:sz w:val="20"/>
                <w:szCs w:val="20"/>
                <w:color w:val="auto"/>
              </w:rPr>
            </w:pPr>
            <w:r>
              <w:rPr>
                <w:rFonts w:ascii="Arial" w:cs="Arial" w:eastAsia="Arial" w:hAnsi="Arial"/>
                <w:sz w:val="14"/>
                <w:szCs w:val="14"/>
                <w:b w:val="1"/>
                <w:bCs w:val="1"/>
                <w:color w:val="auto"/>
              </w:rPr>
              <w:t>Range (Weighted Average)</w:t>
            </w:r>
          </w:p>
        </w:tc>
        <w:tc>
          <w:tcPr>
            <w:tcW w:w="1160" w:type="dxa"/>
            <w:vAlign w:val="bottom"/>
          </w:tcPr>
          <w:p>
            <w:pPr>
              <w:ind w:left="420"/>
              <w:spacing w:after="0"/>
              <w:rPr>
                <w:sz w:val="20"/>
                <w:szCs w:val="20"/>
                <w:color w:val="auto"/>
              </w:rPr>
            </w:pPr>
            <w:r>
              <w:rPr>
                <w:rFonts w:ascii="Arial" w:cs="Arial" w:eastAsia="Arial" w:hAnsi="Arial"/>
                <w:sz w:val="14"/>
                <w:szCs w:val="14"/>
                <w:b w:val="1"/>
                <w:bCs w:val="1"/>
                <w:color w:val="auto"/>
              </w:rPr>
              <w:t>Input</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505,448</w:t>
            </w:r>
          </w:p>
        </w:tc>
        <w:tc>
          <w:tcPr>
            <w:tcW w:w="5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Income Approach</w:t>
            </w:r>
          </w:p>
        </w:tc>
        <w:tc>
          <w:tcPr>
            <w:tcW w:w="4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4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6.00% — 10.99% (9.61%)</w:t>
            </w:r>
          </w:p>
        </w:tc>
        <w:tc>
          <w:tcPr>
            <w:tcW w:w="5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22"/>
        </w:trPr>
        <w:tc>
          <w:tcPr>
            <w:tcW w:w="2080" w:type="dxa"/>
            <w:vAlign w:val="bottom"/>
          </w:tcPr>
          <w:p>
            <w:pPr>
              <w:spacing w:after="0"/>
              <w:rPr>
                <w:sz w:val="20"/>
                <w:szCs w:val="20"/>
                <w:color w:val="auto"/>
              </w:rPr>
            </w:pPr>
            <w:r>
              <w:rPr>
                <w:rFonts w:ascii="Arial" w:cs="Arial" w:eastAsia="Arial" w:hAnsi="Arial"/>
                <w:sz w:val="18"/>
                <w:szCs w:val="18"/>
                <w:color w:val="auto"/>
              </w:rPr>
              <w:t>Common equity</w:t>
            </w:r>
          </w:p>
        </w:tc>
        <w:tc>
          <w:tcPr>
            <w:tcW w:w="10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520" w:type="dxa"/>
            <w:vAlign w:val="bottom"/>
          </w:tcPr>
          <w:p>
            <w:pPr>
              <w:spacing w:after="0"/>
              <w:rPr>
                <w:sz w:val="19"/>
                <w:szCs w:val="19"/>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Market Approach</w:t>
            </w:r>
          </w:p>
        </w:tc>
        <w:tc>
          <w:tcPr>
            <w:tcW w:w="1720" w:type="dxa"/>
            <w:vAlign w:val="bottom"/>
            <w:gridSpan w:val="2"/>
          </w:tcPr>
          <w:p>
            <w:pPr>
              <w:spacing w:after="0"/>
              <w:rPr>
                <w:sz w:val="20"/>
                <w:szCs w:val="20"/>
                <w:color w:val="auto"/>
              </w:rPr>
            </w:pPr>
            <w:r>
              <w:rPr>
                <w:rFonts w:ascii="Arial" w:cs="Arial" w:eastAsia="Arial" w:hAnsi="Arial"/>
                <w:sz w:val="18"/>
                <w:szCs w:val="18"/>
                <w:color w:val="auto"/>
              </w:rPr>
              <w:t>EBITDA Multiple</w:t>
            </w:r>
          </w:p>
        </w:tc>
        <w:tc>
          <w:tcPr>
            <w:tcW w:w="2460" w:type="dxa"/>
            <w:vAlign w:val="bottom"/>
            <w:gridSpan w:val="2"/>
          </w:tcPr>
          <w:p>
            <w:pPr>
              <w:jc w:val="right"/>
              <w:ind w:right="520"/>
              <w:spacing w:after="0"/>
              <w:rPr>
                <w:sz w:val="20"/>
                <w:szCs w:val="20"/>
                <w:color w:val="auto"/>
              </w:rPr>
            </w:pPr>
            <w:r>
              <w:rPr>
                <w:rFonts w:ascii="Arial" w:cs="Arial" w:eastAsia="Arial" w:hAnsi="Arial"/>
                <w:sz w:val="18"/>
                <w:szCs w:val="18"/>
                <w:color w:val="auto"/>
              </w:rPr>
              <w:t>10x</w:t>
            </w:r>
          </w:p>
        </w:tc>
        <w:tc>
          <w:tcPr>
            <w:tcW w:w="1160" w:type="dxa"/>
            <w:vAlign w:val="bottom"/>
          </w:tcPr>
          <w:p>
            <w:pPr>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2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$47.5 million of debt investments which, due to the proximity of transactions relative to the measurement date, were valued by using the value implied from such transactions.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0"/>
              </w:rPr>
              <w:t>December 31, 2012</w:t>
            </w:r>
          </w:p>
        </w:tc>
        <w:tc>
          <w:tcPr>
            <w:tcW w:w="1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29"/>
        </w:trPr>
        <w:tc>
          <w:tcPr>
            <w:tcW w:w="2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Impact to Valuation</w:t>
            </w:r>
          </w:p>
        </w:tc>
      </w:tr>
      <w:tr>
        <w:trPr>
          <w:trHeight w:val="149"/>
        </w:trPr>
        <w:tc>
          <w:tcPr>
            <w:tcW w:w="2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6"/>
              </w:rPr>
              <w:t>from an Increase to</w:t>
            </w:r>
          </w:p>
        </w:tc>
      </w:tr>
      <w:tr>
        <w:trPr>
          <w:trHeight w:val="161"/>
        </w:trPr>
        <w:tc>
          <w:tcPr>
            <w:tcW w:w="2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Fair Value (1)</w:t>
            </w:r>
          </w:p>
        </w:tc>
        <w:tc>
          <w:tcPr>
            <w:tcW w:w="1500" w:type="dxa"/>
            <w:vAlign w:val="bottom"/>
          </w:tcPr>
          <w:p>
            <w:pPr>
              <w:ind w:left="160"/>
              <w:spacing w:after="0"/>
              <w:rPr>
                <w:sz w:val="20"/>
                <w:szCs w:val="20"/>
                <w:color w:val="auto"/>
              </w:rPr>
            </w:pPr>
            <w:r>
              <w:rPr>
                <w:rFonts w:ascii="Arial" w:cs="Arial" w:eastAsia="Arial" w:hAnsi="Arial"/>
                <w:sz w:val="14"/>
                <w:szCs w:val="14"/>
                <w:b w:val="1"/>
                <w:bCs w:val="1"/>
                <w:color w:val="auto"/>
                <w:w w:val="96"/>
              </w:rPr>
              <w:t>Valuation Technique</w:t>
            </w:r>
          </w:p>
        </w:tc>
        <w:tc>
          <w:tcPr>
            <w:tcW w:w="38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Unobservable Input</w:t>
            </w:r>
          </w:p>
        </w:tc>
        <w:tc>
          <w:tcPr>
            <w:tcW w:w="2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Range (Weighted Average)</w:t>
            </w:r>
          </w:p>
        </w:tc>
        <w:tc>
          <w:tcPr>
            <w:tcW w:w="1160" w:type="dxa"/>
            <w:vAlign w:val="bottom"/>
          </w:tcPr>
          <w:p>
            <w:pPr>
              <w:ind w:left="420"/>
              <w:spacing w:after="0"/>
              <w:rPr>
                <w:sz w:val="20"/>
                <w:szCs w:val="20"/>
                <w:color w:val="auto"/>
              </w:rPr>
            </w:pPr>
            <w:r>
              <w:rPr>
                <w:rFonts w:ascii="Arial" w:cs="Arial" w:eastAsia="Arial" w:hAnsi="Arial"/>
                <w:sz w:val="14"/>
                <w:szCs w:val="14"/>
                <w:b w:val="1"/>
                <w:bCs w:val="1"/>
                <w:color w:val="auto"/>
              </w:rPr>
              <w:t>Input</w:t>
            </w:r>
          </w:p>
        </w:tc>
      </w:tr>
      <w:tr>
        <w:trPr>
          <w:trHeight w:val="210"/>
        </w:trPr>
        <w:tc>
          <w:tcPr>
            <w:tcW w:w="2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452,831</w:t>
            </w:r>
          </w:p>
        </w:tc>
        <w:tc>
          <w:tcPr>
            <w:tcW w:w="4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Approach</w:t>
            </w:r>
          </w:p>
        </w:tc>
        <w:tc>
          <w:tcPr>
            <w:tcW w:w="3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36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7.00% — 11.29% (9.84%)</w:t>
            </w:r>
          </w:p>
        </w:tc>
        <w:tc>
          <w:tcPr>
            <w:tcW w:w="4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Decrease</w:t>
            </w:r>
          </w:p>
        </w:tc>
      </w:tr>
      <w:tr>
        <w:trPr>
          <w:trHeight w:val="222"/>
        </w:trPr>
        <w:tc>
          <w:tcPr>
            <w:tcW w:w="2280" w:type="dxa"/>
            <w:vAlign w:val="bottom"/>
          </w:tcPr>
          <w:p>
            <w:pPr>
              <w:spacing w:after="0"/>
              <w:rPr>
                <w:sz w:val="20"/>
                <w:szCs w:val="20"/>
                <w:color w:val="auto"/>
              </w:rPr>
            </w:pPr>
            <w:r>
              <w:rPr>
                <w:rFonts w:ascii="Arial" w:cs="Arial" w:eastAsia="Arial" w:hAnsi="Arial"/>
                <w:sz w:val="18"/>
                <w:szCs w:val="18"/>
                <w:color w:val="auto"/>
              </w:rPr>
              <w:t>Common equity</w:t>
            </w:r>
          </w:p>
        </w:tc>
        <w:tc>
          <w:tcPr>
            <w:tcW w:w="12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46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Arial" w:cs="Arial" w:eastAsia="Arial" w:hAnsi="Arial"/>
                <w:sz w:val="18"/>
                <w:szCs w:val="18"/>
                <w:color w:val="auto"/>
                <w:w w:val="90"/>
              </w:rPr>
              <w:t>Market Approach (2)</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188" w:lineRule="exact"/>
        <w:rPr>
          <w:sz w:val="20"/>
          <w:szCs w:val="20"/>
          <w:color w:val="auto"/>
        </w:rPr>
      </w:pPr>
    </w:p>
    <w:p>
      <w:pPr>
        <w:ind w:left="460" w:right="34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$114.5 million of debt investments which, due to the proximity of the transactions relative to the measurement date, were valued by using the value implied from such transactions.</w:t>
      </w:r>
    </w:p>
    <w:p>
      <w:pPr>
        <w:ind w:left="460" w:right="28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Due to the proximity of the transaction relative to the measurement date, the value implied from the transaction is representative of the fair value for the investments as of December 31,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March 31, 2013 and December 31, 2012, approximates its carrying value as the outstanding balances are callable at carrying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90"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 carrying amounts of the Company’s financial assets and liabilities as of March 31, 2013 and December 31, 2012,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borrowings, are classified as Level 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6"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color w:val="auto"/>
        </w:rPr>
        <w:t>In accordance with the 1940 Act, with certain limitations, the Company is allowed to borrow amounts such that its asset coverage, as defined in the 1940 Act, is at least 200% after such borrowing. As of March 31, 2013 and December 31, 2012, the Company’s asset coverage was 297.0% and 244.6%, respectively.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March 31, 2013 and December 31,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0"/>
              </w:rPr>
              <w:t>March 31, 2013</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Borrowings</w:t>
            </w: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6"/>
              </w:rPr>
              <w:t>Total Facility</w:t>
            </w:r>
          </w:p>
        </w:tc>
        <w:tc>
          <w:tcPr>
            <w:tcW w:w="600" w:type="dxa"/>
            <w:vAlign w:val="bottom"/>
          </w:tcPr>
          <w:p>
            <w:pPr>
              <w:spacing w:after="0"/>
              <w:rPr>
                <w:sz w:val="14"/>
                <w:szCs w:val="14"/>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Available (1)</w:t>
            </w:r>
          </w:p>
        </w:tc>
      </w:tr>
      <w:tr>
        <w:trPr>
          <w:trHeight w:val="210"/>
        </w:trPr>
        <w:tc>
          <w:tcPr>
            <w:tcW w:w="6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250,000</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$ 150,000</w:t>
            </w:r>
          </w:p>
        </w:tc>
        <w:tc>
          <w:tcPr>
            <w:tcW w:w="6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49,655</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16,910</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200,000</w:t>
            </w:r>
          </w:p>
        </w:tc>
        <w:tc>
          <w:tcPr>
            <w:tcW w:w="6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64,000</w:t>
            </w:r>
          </w:p>
        </w:tc>
        <w:tc>
          <w:tcPr>
            <w:tcW w:w="6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136,000</w:t>
            </w:r>
          </w:p>
        </w:tc>
        <w:tc>
          <w:tcPr>
            <w:tcW w:w="100" w:type="dxa"/>
            <w:vAlign w:val="bottom"/>
            <w:shd w:val="clear" w:color="auto" w:fill="CCEEFF"/>
          </w:tcPr>
          <w:p>
            <w:pPr>
              <w:spacing w:after="0"/>
              <w:rPr>
                <w:sz w:val="18"/>
                <w:szCs w:val="18"/>
                <w:color w:val="auto"/>
              </w:rPr>
            </w:pPr>
          </w:p>
        </w:tc>
      </w:tr>
      <w:tr>
        <w:trPr>
          <w:trHeight w:val="222"/>
        </w:trPr>
        <w:tc>
          <w:tcPr>
            <w:tcW w:w="604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550,000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$ 263,655</w:t>
            </w: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$ 252,910</w:t>
            </w:r>
          </w:p>
        </w:tc>
        <w:tc>
          <w:tcPr>
            <w:tcW w:w="10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5"/>
              </w:rPr>
              <w:t>December 31, 2012</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6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Borrowings</w:t>
            </w: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6"/>
              </w:rPr>
              <w:t>Total Facility</w:t>
            </w:r>
          </w:p>
        </w:tc>
        <w:tc>
          <w:tcPr>
            <w:tcW w:w="600" w:type="dxa"/>
            <w:vAlign w:val="bottom"/>
          </w:tcPr>
          <w:p>
            <w:pPr>
              <w:spacing w:after="0"/>
              <w:rPr>
                <w:sz w:val="14"/>
                <w:szCs w:val="14"/>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Available (1)</w:t>
            </w:r>
          </w:p>
        </w:tc>
      </w:tr>
      <w:tr>
        <w:trPr>
          <w:trHeight w:val="210"/>
        </w:trPr>
        <w:tc>
          <w:tcPr>
            <w:tcW w:w="6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250,000</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$ 165,000</w:t>
            </w:r>
          </w:p>
        </w:tc>
        <w:tc>
          <w:tcPr>
            <w:tcW w:w="6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85,000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66,836</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200,000</w:t>
            </w:r>
          </w:p>
        </w:tc>
        <w:tc>
          <w:tcPr>
            <w:tcW w:w="6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r>
        <w:trPr>
          <w:trHeight w:val="222"/>
        </w:trPr>
        <w:tc>
          <w:tcPr>
            <w:tcW w:w="604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550,000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$ 331,836</w:t>
            </w: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$ 189,808</w:t>
            </w:r>
          </w:p>
        </w:tc>
        <w:tc>
          <w:tcPr>
            <w:tcW w:w="10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available considers any limitations related to the respective debt facilities’ borrowing bases.</w:t>
      </w:r>
    </w:p>
    <w:p>
      <w:pPr>
        <w:spacing w:after="0" w:line="171"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Average debt outstanding during the three months ended March 31, 2013 and 2012, was $188.0 million and $67.9 million, respectively. The weighted average interest rate for outstanding borrowings during the three months ended March 31, 2013 and 2012 was 2.8% and 2.6%,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2013 and 2012, the components of interest expense were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88"/>
              </w:rPr>
              <w:t>Three Months Ended</w:t>
            </w:r>
          </w:p>
        </w:tc>
        <w:tc>
          <w:tcPr>
            <w:tcW w:w="23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96"/>
              <w:spacing w:after="0"/>
              <w:rPr>
                <w:sz w:val="20"/>
                <w:szCs w:val="20"/>
                <w:color w:val="auto"/>
              </w:rPr>
            </w:pPr>
            <w:r>
              <w:rPr>
                <w:rFonts w:ascii="Arial" w:cs="Arial" w:eastAsia="Arial" w:hAnsi="Arial"/>
                <w:sz w:val="14"/>
                <w:szCs w:val="14"/>
                <w:b w:val="1"/>
                <w:bCs w:val="1"/>
                <w:color w:val="auto"/>
                <w:w w:val="90"/>
              </w:rPr>
              <w:t>March 31, 2013</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2012</w:t>
            </w:r>
          </w:p>
        </w:tc>
      </w:tr>
      <w:tr>
        <w:trPr>
          <w:trHeight w:val="210"/>
        </w:trPr>
        <w:tc>
          <w:tcPr>
            <w:tcW w:w="5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Stated 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Commitment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413</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r>
      <w:tr>
        <w:trPr>
          <w:trHeight w:val="222"/>
        </w:trPr>
        <w:tc>
          <w:tcPr>
            <w:tcW w:w="510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2013 and December 31, 2012, the Company was in compliance with the terms of its debt arrangements.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Subsequent to March 31, 2013, the Company repaid a portion of its debt and borrowed additional amounts to fund investments. As of May 8, 2013, there was $214.2 million outstanding.</w:t>
      </w:r>
    </w:p>
    <w:p>
      <w:pPr>
        <w:spacing w:after="0" w:line="207" w:lineRule="exact"/>
        <w:rPr>
          <w:sz w:val="20"/>
          <w:szCs w:val="20"/>
          <w:color w:val="auto"/>
        </w:rPr>
      </w:pPr>
    </w:p>
    <w:p>
      <w:pPr>
        <w:ind w:right="8540" w:firstLine="8"/>
        <w:spacing w:after="0" w:line="417" w:lineRule="auto"/>
        <w:tabs>
          <w:tab w:leader="none" w:pos="176" w:val="left"/>
        </w:tabs>
        <w:numPr>
          <w:ilvl w:val="0"/>
          <w:numId w:val="1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March 31, 2013 and December 31, 2012, the Company had the following commitments to fund investments: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2013</w:t>
            </w:r>
          </w:p>
        </w:tc>
        <w:tc>
          <w:tcPr>
            <w:tcW w:w="20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2012</w:t>
            </w:r>
          </w:p>
        </w:tc>
      </w:tr>
      <w:tr>
        <w:trPr>
          <w:trHeight w:val="210"/>
        </w:trPr>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18,056</w:t>
            </w:r>
          </w:p>
        </w:tc>
        <w:tc>
          <w:tcPr>
            <w:tcW w:w="8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8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40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32,556</w:t>
            </w:r>
          </w:p>
        </w:tc>
        <w:tc>
          <w:tcPr>
            <w:tcW w:w="1240" w:type="dxa"/>
            <w:vAlign w:val="bottom"/>
            <w:gridSpan w:val="2"/>
            <w:shd w:val="clear" w:color="auto" w:fill="CCEEFF"/>
          </w:tcPr>
          <w:p>
            <w:pPr>
              <w:jc w:val="right"/>
              <w:ind w:right="20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March 31, 2013 and December 31, 2012, the Company had $1.5 billion and $1.4 billion, respectively, in total capital commitments from investors ($1.0 billion and $1.0 billion unfunded, respectively), of which $117.1 million and $114.1 million, respectively, is from the Adviser and its affiliates ($78.7 million and $76.6 million unfunded, respectively).</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March 31, 2013,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Assets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three months ended March 31, 2013 and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0" w:type="dxa"/>
            <w:vAlign w:val="bottom"/>
            <w:gridSpan w:val="4"/>
          </w:tcPr>
          <w:p>
            <w:pPr>
              <w:jc w:val="right"/>
              <w:ind w:right="23"/>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183"/>
              <w:spacing w:after="0"/>
              <w:rPr>
                <w:sz w:val="20"/>
                <w:szCs w:val="20"/>
                <w:color w:val="auto"/>
              </w:rPr>
            </w:pPr>
            <w:r>
              <w:rPr>
                <w:rFonts w:ascii="Arial" w:cs="Arial" w:eastAsia="Arial" w:hAnsi="Arial"/>
                <w:sz w:val="14"/>
                <w:szCs w:val="14"/>
                <w:b w:val="1"/>
                <w:bCs w:val="1"/>
                <w:color w:val="auto"/>
                <w:w w:val="92"/>
              </w:rPr>
              <w:t>March 31, 2013</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6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80"/>
              </w:rPr>
              <w:t>Shares Issued</w:t>
            </w:r>
          </w:p>
        </w:tc>
        <w:tc>
          <w:tcPr>
            <w:tcW w:w="1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20, 2013</w:t>
            </w:r>
          </w:p>
        </w:tc>
        <w:tc>
          <w:tcPr>
            <w:tcW w:w="25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31,184</w:t>
            </w: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0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5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31,184</w:t>
            </w:r>
          </w:p>
        </w:tc>
        <w:tc>
          <w:tcPr>
            <w:tcW w:w="60" w:type="dxa"/>
            <w:vAlign w:val="bottom"/>
          </w:tcPr>
          <w:p>
            <w:pPr>
              <w:spacing w:after="0"/>
              <w:rPr>
                <w:sz w:val="19"/>
                <w:szCs w:val="19"/>
                <w:color w:val="auto"/>
              </w:rPr>
            </w:pPr>
          </w:p>
        </w:tc>
        <w:tc>
          <w:tcPr>
            <w:tcW w:w="1200" w:type="dxa"/>
            <w:vAlign w:val="bottom"/>
            <w:gridSpan w:val="2"/>
          </w:tcPr>
          <w:p>
            <w:pPr>
              <w:jc w:val="right"/>
              <w:ind w:right="26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4"/>
                <w:szCs w:val="14"/>
                <w:b w:val="1"/>
                <w:bCs w:val="1"/>
                <w:color w:val="auto"/>
                <w:w w:val="94"/>
              </w:rPr>
              <w:t>March 31, 2012</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Shares Issued</w:t>
            </w:r>
          </w:p>
        </w:tc>
        <w:tc>
          <w:tcPr>
            <w:tcW w:w="1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15, 2012</w:t>
            </w:r>
          </w:p>
        </w:tc>
        <w:tc>
          <w:tcPr>
            <w:tcW w:w="264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February 22, 2012</w:t>
            </w:r>
          </w:p>
        </w:tc>
        <w:tc>
          <w:tcPr>
            <w:tcW w:w="3440" w:type="dxa"/>
            <w:vAlign w:val="bottom"/>
            <w:gridSpan w:val="4"/>
          </w:tcPr>
          <w:p>
            <w:pPr>
              <w:jc w:val="right"/>
              <w:spacing w:after="0"/>
              <w:rPr>
                <w:sz w:val="20"/>
                <w:szCs w:val="20"/>
                <w:color w:val="auto"/>
              </w:rPr>
            </w:pPr>
            <w:r>
              <w:rPr>
                <w:rFonts w:ascii="Arial" w:cs="Arial" w:eastAsia="Arial" w:hAnsi="Arial"/>
                <w:sz w:val="18"/>
                <w:szCs w:val="18"/>
                <w:color w:val="auto"/>
              </w:rPr>
              <w:t>35,521</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2640" w:type="dxa"/>
            <w:vAlign w:val="bottom"/>
            <w:gridSpan w:val="2"/>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76,137</w:t>
            </w:r>
          </w:p>
        </w:tc>
        <w:tc>
          <w:tcPr>
            <w:tcW w:w="7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3440" w:type="dxa"/>
            <w:vAlign w:val="bottom"/>
            <w:gridSpan w:val="4"/>
          </w:tcPr>
          <w:p>
            <w:pPr>
              <w:jc w:val="right"/>
              <w:spacing w:after="0"/>
              <w:rPr>
                <w:sz w:val="20"/>
                <w:szCs w:val="20"/>
                <w:color w:val="auto"/>
              </w:rPr>
            </w:pPr>
            <w:r>
              <w:rPr>
                <w:rFonts w:ascii="Arial" w:cs="Arial" w:eastAsia="Arial" w:hAnsi="Arial"/>
                <w:sz w:val="18"/>
                <w:szCs w:val="18"/>
                <w:color w:val="auto"/>
              </w:rPr>
              <w:t>118,183</w:t>
            </w:r>
          </w:p>
        </w:tc>
        <w:tc>
          <w:tcPr>
            <w:tcW w:w="1200" w:type="dxa"/>
            <w:vAlign w:val="bottom"/>
            <w:gridSpan w:val="2"/>
          </w:tcPr>
          <w:p>
            <w:pPr>
              <w:jc w:val="right"/>
              <w:ind w:right="26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580" w:type="dxa"/>
            <w:vAlign w:val="bottom"/>
            <w:vMerge w:val="restart"/>
          </w:tcPr>
          <w:p>
            <w:pPr>
              <w:jc w:val="right"/>
              <w:ind w:right="1372"/>
              <w:spacing w:after="0"/>
              <w:rPr>
                <w:sz w:val="20"/>
                <w:szCs w:val="20"/>
                <w:color w:val="auto"/>
              </w:rPr>
            </w:pPr>
            <w:r>
              <w:rPr>
                <w:rFonts w:ascii="Arial" w:cs="Arial" w:eastAsia="Arial" w:hAnsi="Arial"/>
                <w:sz w:val="18"/>
                <w:szCs w:val="18"/>
                <w:color w:val="auto"/>
              </w:rPr>
              <w:t>22</w:t>
            </w: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investors who have not opted out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 during the three months ended March 31, 2013 and 2012:</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3"/>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jc w:val="right"/>
              <w:ind w:right="1160"/>
              <w:spacing w:after="0"/>
              <w:rPr>
                <w:sz w:val="20"/>
                <w:szCs w:val="20"/>
                <w:color w:val="auto"/>
              </w:rPr>
            </w:pPr>
            <w:r>
              <w:rPr>
                <w:rFonts w:ascii="Arial" w:cs="Arial" w:eastAsia="Arial" w:hAnsi="Arial"/>
                <w:sz w:val="14"/>
                <w:szCs w:val="14"/>
                <w:b w:val="1"/>
                <w:bCs w:val="1"/>
                <w:color w:val="auto"/>
                <w:w w:val="98"/>
              </w:rPr>
              <w:t>March 31, 2013</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Dividend Declared</w:t>
            </w:r>
          </w:p>
        </w:tc>
        <w:tc>
          <w:tcPr>
            <w:tcW w:w="3220" w:type="dxa"/>
            <w:vAlign w:val="bottom"/>
            <w:vMerge w:val="restart"/>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60" w:type="dxa"/>
            <w:vAlign w:val="bottom"/>
            <w:gridSpan w:val="2"/>
          </w:tcPr>
          <w:p>
            <w:pPr>
              <w:ind w:left="460"/>
              <w:spacing w:after="0" w:line="129" w:lineRule="exact"/>
              <w:rPr>
                <w:sz w:val="20"/>
                <w:szCs w:val="20"/>
                <w:color w:val="auto"/>
              </w:rPr>
            </w:pPr>
            <w:r>
              <w:rPr>
                <w:rFonts w:ascii="Arial" w:cs="Arial" w:eastAsia="Arial" w:hAnsi="Arial"/>
                <w:sz w:val="14"/>
                <w:szCs w:val="14"/>
                <w:b w:val="1"/>
                <w:bCs w:val="1"/>
                <w:color w:val="auto"/>
              </w:rPr>
              <w:t>Date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46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1620" w:type="dxa"/>
            <w:vAlign w:val="bottom"/>
            <w:gridSpan w:val="2"/>
          </w:tcPr>
          <w:p>
            <w:pPr>
              <w:ind w:left="360"/>
              <w:spacing w:after="0" w:line="148" w:lineRule="exact"/>
              <w:rPr>
                <w:sz w:val="20"/>
                <w:szCs w:val="20"/>
                <w:color w:val="auto"/>
              </w:rPr>
            </w:pPr>
            <w:r>
              <w:rPr>
                <w:rFonts w:ascii="Arial" w:cs="Arial" w:eastAsia="Arial" w:hAnsi="Arial"/>
                <w:sz w:val="14"/>
                <w:szCs w:val="14"/>
                <w:b w:val="1"/>
                <w:bCs w:val="1"/>
                <w:color w:val="auto"/>
              </w:rPr>
              <w:t>Record Date</w:t>
            </w:r>
          </w:p>
        </w:tc>
        <w:tc>
          <w:tcPr>
            <w:tcW w:w="240" w:type="dxa"/>
            <w:vAlign w:val="bottom"/>
          </w:tcPr>
          <w:p>
            <w:pPr>
              <w:spacing w:after="0"/>
              <w:rPr>
                <w:sz w:val="14"/>
                <w:szCs w:val="14"/>
                <w:color w:val="auto"/>
              </w:rPr>
            </w:pPr>
          </w:p>
        </w:tc>
        <w:tc>
          <w:tcPr>
            <w:tcW w:w="2160" w:type="dxa"/>
            <w:vAlign w:val="bottom"/>
            <w:gridSpan w:val="2"/>
          </w:tcPr>
          <w:p>
            <w:pPr>
              <w:jc w:val="right"/>
              <w:ind w:right="1180"/>
              <w:spacing w:after="0" w:line="148" w:lineRule="exact"/>
              <w:rPr>
                <w:sz w:val="20"/>
                <w:szCs w:val="20"/>
                <w:color w:val="auto"/>
              </w:rPr>
            </w:pPr>
            <w:r>
              <w:rPr>
                <w:rFonts w:ascii="Arial" w:cs="Arial" w:eastAsia="Arial" w:hAnsi="Arial"/>
                <w:sz w:val="14"/>
                <w:szCs w:val="14"/>
                <w:b w:val="1"/>
                <w:bCs w:val="1"/>
                <w:color w:val="auto"/>
              </w:rPr>
              <w:t>Shares Issued</w:t>
            </w:r>
          </w:p>
        </w:tc>
        <w:tc>
          <w:tcPr>
            <w:tcW w:w="8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0"/>
              </w:rPr>
              <w:t>Shares Issued</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14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December 31, 2012</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March 12, 2013</w:t>
            </w:r>
          </w:p>
        </w:tc>
        <w:tc>
          <w:tcPr>
            <w:tcW w:w="9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5,159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6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jc w:val="right"/>
              <w:ind w:right="1160"/>
              <w:spacing w:after="0"/>
              <w:rPr>
                <w:sz w:val="20"/>
                <w:szCs w:val="20"/>
                <w:color w:val="auto"/>
              </w:rPr>
            </w:pPr>
            <w:r>
              <w:rPr>
                <w:rFonts w:ascii="Arial" w:cs="Arial" w:eastAsia="Arial" w:hAnsi="Arial"/>
                <w:sz w:val="14"/>
                <w:szCs w:val="14"/>
                <w:b w:val="1"/>
                <w:bCs w:val="1"/>
                <w:color w:val="auto"/>
                <w:w w:val="98"/>
              </w:rPr>
              <w:t>March 31, 2012</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Dividend Declared</w:t>
            </w:r>
          </w:p>
        </w:tc>
        <w:tc>
          <w:tcPr>
            <w:tcW w:w="3220" w:type="dxa"/>
            <w:vAlign w:val="bottom"/>
            <w:vMerge w:val="restart"/>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60" w:type="dxa"/>
            <w:vAlign w:val="bottom"/>
            <w:gridSpan w:val="2"/>
          </w:tcPr>
          <w:p>
            <w:pPr>
              <w:ind w:left="460"/>
              <w:spacing w:after="0" w:line="129" w:lineRule="exact"/>
              <w:rPr>
                <w:sz w:val="20"/>
                <w:szCs w:val="20"/>
                <w:color w:val="auto"/>
              </w:rPr>
            </w:pPr>
            <w:r>
              <w:rPr>
                <w:rFonts w:ascii="Arial" w:cs="Arial" w:eastAsia="Arial" w:hAnsi="Arial"/>
                <w:sz w:val="14"/>
                <w:szCs w:val="14"/>
                <w:b w:val="1"/>
                <w:bCs w:val="1"/>
                <w:color w:val="auto"/>
              </w:rPr>
              <w:t>Date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46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1620" w:type="dxa"/>
            <w:vAlign w:val="bottom"/>
            <w:gridSpan w:val="2"/>
          </w:tcPr>
          <w:p>
            <w:pPr>
              <w:ind w:left="360"/>
              <w:spacing w:after="0" w:line="148" w:lineRule="exact"/>
              <w:rPr>
                <w:sz w:val="20"/>
                <w:szCs w:val="20"/>
                <w:color w:val="auto"/>
              </w:rPr>
            </w:pPr>
            <w:r>
              <w:rPr>
                <w:rFonts w:ascii="Arial" w:cs="Arial" w:eastAsia="Arial" w:hAnsi="Arial"/>
                <w:sz w:val="14"/>
                <w:szCs w:val="14"/>
                <w:b w:val="1"/>
                <w:bCs w:val="1"/>
                <w:color w:val="auto"/>
              </w:rPr>
              <w:t>Record Date</w:t>
            </w:r>
          </w:p>
        </w:tc>
        <w:tc>
          <w:tcPr>
            <w:tcW w:w="240" w:type="dxa"/>
            <w:vAlign w:val="bottom"/>
          </w:tcPr>
          <w:p>
            <w:pPr>
              <w:spacing w:after="0"/>
              <w:rPr>
                <w:sz w:val="14"/>
                <w:szCs w:val="14"/>
                <w:color w:val="auto"/>
              </w:rPr>
            </w:pPr>
          </w:p>
        </w:tc>
        <w:tc>
          <w:tcPr>
            <w:tcW w:w="2160" w:type="dxa"/>
            <w:vAlign w:val="bottom"/>
            <w:gridSpan w:val="2"/>
          </w:tcPr>
          <w:p>
            <w:pPr>
              <w:jc w:val="right"/>
              <w:ind w:right="1180"/>
              <w:spacing w:after="0" w:line="148" w:lineRule="exact"/>
              <w:rPr>
                <w:sz w:val="20"/>
                <w:szCs w:val="20"/>
                <w:color w:val="auto"/>
              </w:rPr>
            </w:pPr>
            <w:r>
              <w:rPr>
                <w:rFonts w:ascii="Arial" w:cs="Arial" w:eastAsia="Arial" w:hAnsi="Arial"/>
                <w:sz w:val="14"/>
                <w:szCs w:val="14"/>
                <w:b w:val="1"/>
                <w:bCs w:val="1"/>
                <w:color w:val="auto"/>
              </w:rPr>
              <w:t>Shares Issued</w:t>
            </w:r>
          </w:p>
        </w:tc>
        <w:tc>
          <w:tcPr>
            <w:tcW w:w="8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0"/>
              </w:rPr>
              <w:t>Shares Issued</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144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December 31, 2011</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March 20, 2012</w:t>
            </w:r>
          </w:p>
        </w:tc>
        <w:tc>
          <w:tcPr>
            <w:tcW w:w="9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6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investor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dividends declared during the three months ended March 31, 2013 and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4160" w:type="dxa"/>
            <w:vAlign w:val="bottom"/>
            <w:vMerge w:val="restart"/>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90"/>
              </w:rPr>
              <w:t>March 31, 2013</w:t>
            </w: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4160" w:type="dxa"/>
            <w:vAlign w:val="bottom"/>
            <w:vMerge w:val="continue"/>
          </w:tcPr>
          <w:p>
            <w:pPr>
              <w:spacing w:after="0"/>
              <w:rPr>
                <w:sz w:val="12"/>
                <w:szCs w:val="12"/>
                <w:color w:val="auto"/>
              </w:rPr>
            </w:pPr>
          </w:p>
        </w:tc>
        <w:tc>
          <w:tcPr>
            <w:tcW w:w="140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Record Date</w:t>
            </w:r>
          </w:p>
        </w:tc>
        <w:tc>
          <w:tcPr>
            <w:tcW w:w="380" w:type="dxa"/>
            <w:vAlign w:val="bottom"/>
          </w:tcPr>
          <w:p>
            <w:pPr>
              <w:spacing w:after="0"/>
              <w:rPr>
                <w:sz w:val="12"/>
                <w:szCs w:val="12"/>
                <w:color w:val="auto"/>
              </w:rPr>
            </w:pPr>
          </w:p>
        </w:tc>
        <w:tc>
          <w:tcPr>
            <w:tcW w:w="154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Payment Date</w:t>
            </w:r>
          </w:p>
        </w:tc>
        <w:tc>
          <w:tcPr>
            <w:tcW w:w="11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12, 2013</w:t>
            </w:r>
          </w:p>
        </w:tc>
        <w:tc>
          <w:tcPr>
            <w:tcW w:w="11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March 31, 2013</w:t>
            </w: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May 6, 2013</w:t>
            </w: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25.49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0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8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4160" w:type="dxa"/>
            <w:vAlign w:val="bottom"/>
            <w:vMerge w:val="restart"/>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90"/>
              </w:rPr>
              <w:t>March 31, 2012</w:t>
            </w: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4160" w:type="dxa"/>
            <w:vAlign w:val="bottom"/>
            <w:vMerge w:val="continue"/>
          </w:tcPr>
          <w:p>
            <w:pPr>
              <w:spacing w:after="0"/>
              <w:rPr>
                <w:sz w:val="12"/>
                <w:szCs w:val="12"/>
                <w:color w:val="auto"/>
              </w:rPr>
            </w:pPr>
          </w:p>
        </w:tc>
        <w:tc>
          <w:tcPr>
            <w:tcW w:w="140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Record Date</w:t>
            </w:r>
          </w:p>
        </w:tc>
        <w:tc>
          <w:tcPr>
            <w:tcW w:w="380" w:type="dxa"/>
            <w:vAlign w:val="bottom"/>
          </w:tcPr>
          <w:p>
            <w:pPr>
              <w:spacing w:after="0"/>
              <w:rPr>
                <w:sz w:val="12"/>
                <w:szCs w:val="12"/>
                <w:color w:val="auto"/>
              </w:rPr>
            </w:pPr>
          </w:p>
        </w:tc>
        <w:tc>
          <w:tcPr>
            <w:tcW w:w="154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Payment Date</w:t>
            </w:r>
          </w:p>
        </w:tc>
        <w:tc>
          <w:tcPr>
            <w:tcW w:w="11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31, 2012</w:t>
            </w:r>
          </w:p>
        </w:tc>
        <w:tc>
          <w:tcPr>
            <w:tcW w:w="11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March 31, 2012</w:t>
            </w: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May 7, 2012</w:t>
            </w: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dividends declared during the three months ended March 31, 2013 and 2012, were derived from net investment income, determined on a tax basis.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reconciles Increase in Net Assets Resulting from Operations for the three months ended March 31, 2013 and 2012, to undistributed taxable income as of March 31, 2013 and 2012,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4"/>
                <w:szCs w:val="14"/>
                <w:b w:val="1"/>
                <w:bCs w:val="1"/>
                <w:color w:val="auto"/>
                <w:w w:val="91"/>
              </w:rPr>
              <w:t>As of and for the Taxable Year Ended</w:t>
            </w:r>
          </w:p>
        </w:tc>
        <w:tc>
          <w:tcPr>
            <w:tcW w:w="80" w:type="dxa"/>
            <w:vAlign w:val="bottom"/>
          </w:tcPr>
          <w:p>
            <w:pPr>
              <w:spacing w:after="0"/>
              <w:rPr>
                <w:sz w:val="14"/>
                <w:szCs w:val="14"/>
                <w:color w:val="auto"/>
              </w:rPr>
            </w:pPr>
          </w:p>
        </w:tc>
        <w:tc>
          <w:tcPr>
            <w:tcW w:w="22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5"/>
              </w:rPr>
              <w:t>As of and for the Taxable Year Ended</w:t>
            </w:r>
          </w:p>
        </w:tc>
      </w:tr>
      <w:tr>
        <w:trPr>
          <w:trHeight w:val="161"/>
        </w:trPr>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March 31, 2013 (Estimated) (1)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 2012</w:t>
            </w:r>
          </w:p>
        </w:tc>
      </w:tr>
      <w:tr>
        <w:trPr>
          <w:trHeight w:val="210"/>
        </w:trPr>
        <w:tc>
          <w:tcPr>
            <w:tcW w:w="6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unrealized gain on investments</w:t>
            </w:r>
          </w:p>
        </w:tc>
        <w:tc>
          <w:tcPr>
            <w:tcW w:w="1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(6,431)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(5,040)</w:t>
            </w: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Other income for tax purposes, not book</w:t>
            </w:r>
          </w:p>
        </w:tc>
        <w:tc>
          <w:tcPr>
            <w:tcW w:w="1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deferred organization costs</w:t>
            </w:r>
          </w:p>
        </w:tc>
        <w:tc>
          <w:tcPr>
            <w:tcW w:w="1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Other expenses not currently deductible</w:t>
            </w:r>
          </w:p>
        </w:tc>
        <w:tc>
          <w:tcPr>
            <w:tcW w:w="1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for book purposes, not tax</w:t>
            </w:r>
          </w:p>
        </w:tc>
        <w:tc>
          <w:tcPr>
            <w:tcW w:w="1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w:t>
            </w: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Dividends declared and/or paid, tax basis (2)</w:t>
            </w:r>
          </w:p>
        </w:tc>
        <w:tc>
          <w:tcPr>
            <w:tcW w:w="140" w:type="dxa"/>
            <w:vAlign w:val="bottom"/>
          </w:tcPr>
          <w:p>
            <w:pPr>
              <w:spacing w:after="0"/>
              <w:rPr>
                <w:sz w:val="18"/>
                <w:szCs w:val="18"/>
                <w:color w:val="auto"/>
              </w:rPr>
            </w:pPr>
          </w:p>
        </w:tc>
        <w:tc>
          <w:tcPr>
            <w:tcW w:w="2140" w:type="dxa"/>
            <w:vAlign w:val="bottom"/>
            <w:gridSpan w:val="2"/>
          </w:tcPr>
          <w:p>
            <w:pPr>
              <w:jc w:val="right"/>
              <w:ind w:right="60"/>
              <w:spacing w:after="0"/>
              <w:rPr>
                <w:sz w:val="20"/>
                <w:szCs w:val="20"/>
                <w:color w:val="auto"/>
              </w:rPr>
            </w:pPr>
            <w:r>
              <w:rPr>
                <w:rFonts w:ascii="Arial" w:cs="Arial" w:eastAsia="Arial" w:hAnsi="Arial"/>
                <w:sz w:val="18"/>
                <w:szCs w:val="18"/>
                <w:color w:val="auto"/>
              </w:rPr>
              <w:t>(40,007)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(629)</w:t>
            </w:r>
          </w:p>
        </w:tc>
      </w:tr>
      <w:tr>
        <w:trPr>
          <w:trHeight w:val="27"/>
        </w:trPr>
        <w:tc>
          <w:tcPr>
            <w:tcW w:w="6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Undistributed Taxable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2,784</w:t>
            </w:r>
          </w:p>
        </w:tc>
      </w:tr>
      <w:tr>
        <w:trPr>
          <w:trHeight w:val="20"/>
        </w:trPr>
        <w:tc>
          <w:tcPr>
            <w:tcW w:w="6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4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Taxable income is an estimate and will not be fully determined until the Company’s March 31, 2013 tax return is filed (expected to occur on or before December 17,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9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the taxable year ended March 31, 2013, $29,348 of the dividends paid from net investment income, determined on a tax basis, constitutes interest-related dividends for U.S. federal nonresident withholding tax purposes, $3,325 of the dividends paid from net realized gains, determined on a tax basis, constitutes short-term capital gain dividends for U.S. federal nonresident withholding tax purposes, and $1,776 of the dividends paid from net realized gains, determined on a tax basis constitutes capital gain dividends for U.S. federal nonresident withholding tax purposes. For the taxable year ended March 31, 2012, $2,095 of the dividends paid from net investment income, determined on a tax basis, constitutes interest-related dividends for U.S. federal nonresident withholding tax purposes and $441 constitutes short-term capital gain dividends for U.S. federal nonresident withholding tax purposes.</w:t>
      </w:r>
    </w:p>
    <w:p>
      <w:pPr>
        <w:spacing w:after="0" w:line="1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general, the Company may make certain adjustments to the classification of stockholders’ equity as a result of permanent book-to-tax differences, which may include differences in the book and tax basis of certain assets and liabilities and nondeductible federal taxes or expenses, among other items. To the extent these differences are permanent, they are charged or credited to Additional Paid-in Capital or Accumulated Net Investment Income, as appropriate, in the period that the differences arise. These adjustments have no effect on the Company’s net assets or results of operations.</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During the taxable year ended March 31, 2013, permanent differences of $46 were principally attributable to accrued U.S. federal excise taxes. During the fiscal quarter and taxable year ended March 31, 2012, permanent differences were attributable to the distribution of $441 of ordinary dividends derived from the Company’s taxable year ended March 31, 2012, net short-term capital gains, as well as $54 of nondeductible net operating losses incurred by the Company in respect of the Company’s taxable year ended March 31, 2011, which were recorded as adjustments to the Company’s additional paid-in capital, accumulated net investment income, and net realized gain at December 31, 2012.</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We neither have any uncertain tax positions that met the recognition or measurement criteria of ASC 740-10-25, </w:t>
      </w:r>
      <w:r>
        <w:rPr>
          <w:rFonts w:ascii="Arial" w:cs="Arial" w:eastAsia="Arial" w:hAnsi="Arial"/>
          <w:sz w:val="16"/>
          <w:szCs w:val="16"/>
          <w:i w:val="1"/>
          <w:iCs w:val="1"/>
          <w:color w:val="auto"/>
        </w:rPr>
        <w:t>Income Taxes</w:t>
      </w:r>
      <w:r>
        <w:rPr>
          <w:rFonts w:ascii="Arial" w:cs="Arial" w:eastAsia="Arial" w:hAnsi="Arial"/>
          <w:sz w:val="16"/>
          <w:szCs w:val="16"/>
          <w:color w:val="auto"/>
        </w:rPr>
        <w:t>, nor did we have any unrecognized tax benefits as of the periods presented herein. Although we file federal and state tax returns, our primary tax jurisdiction is federal. Our inception-to-date taxable years remain subject to examination by the Internal Revenue Service as well as the respective state and local tax authorities.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basis of the Company’s investments as of March 31, 2013 and December 31, 2012, approximates their amortized cost.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Highlights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a share of Common Stock outstanding during the three months ended March 31, 2013 and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March 31, 2013</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March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2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2840" w:type="dxa"/>
            <w:vAlign w:val="bottom"/>
            <w:gridSpan w:val="2"/>
          </w:tcPr>
          <w:p>
            <w:pPr>
              <w:ind w:left="272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600"/>
              <w:spacing w:after="0"/>
              <w:rPr>
                <w:sz w:val="20"/>
                <w:szCs w:val="20"/>
                <w:color w:val="auto"/>
              </w:rPr>
            </w:pPr>
            <w:r>
              <w:rPr>
                <w:rFonts w:ascii="Arial" w:cs="Arial" w:eastAsia="Arial" w:hAnsi="Arial"/>
                <w:sz w:val="18"/>
                <w:szCs w:val="18"/>
                <w:color w:val="auto"/>
              </w:rPr>
              <w:t>1,012.93</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980.51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(1)</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26.84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realized and unrealized gains (1)</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8"/>
                <w:szCs w:val="18"/>
                <w:color w:val="auto"/>
              </w:rPr>
              <w:t>4.00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from investment operations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30.84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Dividends declared</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(25.49)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increase in net assets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Asset Value, End of Period</w:t>
            </w:r>
          </w:p>
        </w:tc>
        <w:tc>
          <w:tcPr>
            <w:tcW w:w="2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2840" w:type="dxa"/>
            <w:vAlign w:val="bottom"/>
            <w:gridSpan w:val="2"/>
          </w:tcPr>
          <w:p>
            <w:pPr>
              <w:ind w:left="272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600"/>
              <w:spacing w:after="0"/>
              <w:rPr>
                <w:sz w:val="20"/>
                <w:szCs w:val="20"/>
                <w:color w:val="auto"/>
              </w:rPr>
            </w:pPr>
            <w:r>
              <w:rPr>
                <w:rFonts w:ascii="Arial" w:cs="Arial" w:eastAsia="Arial" w:hAnsi="Arial"/>
                <w:sz w:val="18"/>
                <w:szCs w:val="18"/>
                <w:color w:val="auto"/>
              </w:rPr>
              <w:t>1,018.28</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991.83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Outstanding, End of Period</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510,021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295,059</w:t>
            </w:r>
          </w:p>
        </w:tc>
        <w:tc>
          <w:tcPr>
            <w:tcW w:w="0" w:type="dxa"/>
            <w:vAlign w:val="bottom"/>
          </w:tcPr>
          <w:p>
            <w:pPr>
              <w:spacing w:after="0"/>
              <w:rPr>
                <w:sz w:val="1"/>
                <w:szCs w:val="1"/>
                <w:color w:val="auto"/>
              </w:rPr>
            </w:pPr>
          </w:p>
        </w:tc>
      </w:tr>
      <w:tr>
        <w:trPr>
          <w:trHeight w:val="322"/>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8"/>
                <w:szCs w:val="18"/>
                <w:color w:val="auto"/>
              </w:rPr>
              <w:t>(3) (4)</w:t>
            </w: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3 .0%</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Ratio of net expenses to average net assets (4)</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w w:val="99"/>
              </w:rPr>
              <w:t>Ratio of net investment income (loss) to average net assets (4)</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2840" w:type="dxa"/>
            <w:vAlign w:val="bottom"/>
            <w:gridSpan w:val="2"/>
          </w:tcPr>
          <w:p>
            <w:pPr>
              <w:ind w:left="272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600"/>
              <w:spacing w:after="0"/>
              <w:rPr>
                <w:sz w:val="20"/>
                <w:szCs w:val="20"/>
                <w:color w:val="auto"/>
              </w:rPr>
            </w:pPr>
            <w:r>
              <w:rPr>
                <w:rFonts w:ascii="Arial" w:cs="Arial" w:eastAsia="Arial" w:hAnsi="Arial"/>
                <w:sz w:val="18"/>
                <w:szCs w:val="18"/>
                <w:color w:val="auto"/>
              </w:rPr>
              <w:t>519,345</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292,649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488,338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197,610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720" w:type="dxa"/>
            <w:vAlign w:val="bottom"/>
          </w:tcPr>
          <w:p>
            <w:pPr>
              <w:jc w:val="right"/>
              <w:ind w:right="183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7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90"/>
              </w:rPr>
              <w:t>March 31, 2013</w:t>
            </w:r>
          </w:p>
        </w:tc>
        <w:tc>
          <w:tcPr>
            <w:tcW w:w="14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March 31, 2012</w:t>
            </w:r>
          </w:p>
        </w:tc>
      </w:tr>
      <w:tr>
        <w:trPr>
          <w:trHeight w:val="210"/>
        </w:trPr>
        <w:tc>
          <w:tcPr>
            <w:tcW w:w="7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committed capital, end of period (5)</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1,256,251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Ratio of total contributed capital to total committed capital, end of period</w:t>
            </w:r>
          </w:p>
        </w:tc>
        <w:tc>
          <w:tcPr>
            <w:tcW w:w="140" w:type="dxa"/>
            <w:vAlign w:val="bottom"/>
          </w:tcPr>
          <w:p>
            <w:pPr>
              <w:spacing w:after="0"/>
              <w:rPr>
                <w:sz w:val="18"/>
                <w:szCs w:val="18"/>
                <w:color w:val="auto"/>
              </w:rPr>
            </w:pPr>
          </w:p>
        </w:tc>
        <w:tc>
          <w:tcPr>
            <w:tcW w:w="2060" w:type="dxa"/>
            <w:vAlign w:val="bottom"/>
            <w:gridSpan w:val="2"/>
          </w:tcPr>
          <w:p>
            <w:pPr>
              <w:jc w:val="right"/>
              <w:ind w:right="820"/>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Year of formation</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2010</w:t>
            </w:r>
          </w:p>
        </w:tc>
      </w:tr>
    </w:tbl>
    <w:p>
      <w:pPr>
        <w:spacing w:after="0" w:line="7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return is calculated as the change in net asset value per share during the period plus declared dividends per share, divided by the beginning net asset value per share.</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 includes $117.1 million and $96.2 million of commitments from the Adviser and its affiliates as of March 31, 2013 and 2012,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On May 8, 2013, the Company executed an amendment to the Revolving Credit Facility (DBTCA) to permit entering into swap transactions that have a termination date that is earlier than the stated maturity date of the facility and to make other amendments regarding such swap transactions.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were incorporated under the laws of the State of Delaware on July 21, 2010. We elected to be treated as a business development company under the 1940 Act, and have elected to be treated as a regulated investment company (“RIC”) for U.S. federal income tax purposes. As such, we are required to comply with various statutory and regulatory requirements, such as the requirement to invest at least 70% of our assets in “qualifying assets,” source of income limitations, asset diversification requirements, and the requirement to distribute annually at least 90% of our taxable income and tax-exempt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INVESTMENT ACTIVITY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investment activity for the three months ended March 31, 2013 and 2012, is presented below (information presented herein is at amortized cost unless otherwise indicated):</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940" w:type="dxa"/>
            <w:vAlign w:val="bottom"/>
            <w:gridSpan w:val="3"/>
          </w:tcPr>
          <w:p>
            <w:pPr>
              <w:ind w:left="720"/>
              <w:spacing w:after="0"/>
              <w:rPr>
                <w:sz w:val="20"/>
                <w:szCs w:val="20"/>
                <w:color w:val="auto"/>
              </w:rPr>
            </w:pPr>
            <w:r>
              <w:rPr>
                <w:rFonts w:ascii="Arial" w:cs="Arial" w:eastAsia="Arial" w:hAnsi="Arial"/>
                <w:sz w:val="14"/>
                <w:szCs w:val="14"/>
                <w:b w:val="1"/>
                <w:bCs w:val="1"/>
                <w:color w:val="auto"/>
                <w:w w:val="86"/>
              </w:rPr>
              <w:t>Three Months Ended</w:t>
            </w:r>
          </w:p>
        </w:tc>
        <w:tc>
          <w:tcPr>
            <w:tcW w:w="2160" w:type="dxa"/>
            <w:vAlign w:val="bottom"/>
            <w:gridSpan w:val="4"/>
          </w:tcPr>
          <w:p>
            <w:pPr>
              <w:ind w:left="820"/>
              <w:spacing w:after="0"/>
              <w:rPr>
                <w:sz w:val="20"/>
                <w:szCs w:val="20"/>
                <w:color w:val="auto"/>
              </w:rPr>
            </w:pPr>
            <w:r>
              <w:rPr>
                <w:rFonts w:ascii="Arial" w:cs="Arial" w:eastAsia="Arial" w:hAnsi="Arial"/>
                <w:sz w:val="14"/>
                <w:szCs w:val="14"/>
                <w:b w:val="1"/>
                <w:bCs w:val="1"/>
                <w:color w:val="auto"/>
                <w:w w:val="95"/>
              </w:rPr>
              <w:t>Three Months Ended</w:t>
            </w:r>
          </w:p>
        </w:tc>
      </w:tr>
      <w:tr>
        <w:trPr>
          <w:trHeight w:val="161"/>
        </w:trPr>
        <w:tc>
          <w:tcPr>
            <w:tcW w:w="458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March 31, 2013</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2012</w:t>
            </w: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 (1):</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Senior term debt</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74.8</w:t>
            </w: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Senior secured revolving loan</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4580" w:type="dxa"/>
            <w:vAlign w:val="bottom"/>
          </w:tcPr>
          <w:p>
            <w:pPr>
              <w:ind w:left="860"/>
              <w:spacing w:after="0"/>
              <w:rPr>
                <w:sz w:val="20"/>
                <w:szCs w:val="20"/>
                <w:color w:val="auto"/>
              </w:rPr>
            </w:pPr>
            <w:r>
              <w:rPr>
                <w:rFonts w:ascii="Arial" w:cs="Arial" w:eastAsia="Arial" w:hAnsi="Arial"/>
                <w:sz w:val="18"/>
                <w:szCs w:val="18"/>
                <w:b w:val="1"/>
                <w:bCs w:val="1"/>
                <w:color w:val="auto"/>
              </w:rPr>
              <w:t>Total</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76.9</w:t>
            </w: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investment commitments (2):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New portfolio companies</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Average Total Investment in New Portfolio Companies (3):</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right="180" w:hanging="452"/>
        <w:spacing w:after="0" w:line="25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of investments originally funded includes amounts originally funded on term loans and revolving credit facilities, but not amounts subsequently repaid by borrowers in the period.</w:t>
      </w: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investment commitments include new agreements to fund revolving credit facilities and term loans not funded at closing.</w:t>
      </w:r>
    </w:p>
    <w:p>
      <w:pPr>
        <w:spacing w:after="0" w:line="9" w:lineRule="exact"/>
        <w:rPr>
          <w:rFonts w:ascii="Arial" w:cs="Arial" w:eastAsia="Arial" w:hAnsi="Arial"/>
          <w:sz w:val="18"/>
          <w:szCs w:val="18"/>
          <w:color w:val="auto"/>
        </w:rPr>
      </w:pPr>
    </w:p>
    <w:p>
      <w:pPr>
        <w:ind w:left="460" w:right="10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Total Investment in New Portfolio Companies” is computed as the average of all debt and equity investments made during the period, including investment commitments not yet funded.</w:t>
      </w:r>
    </w:p>
    <w:p>
      <w:pPr>
        <w:spacing w:after="0" w:line="1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weighted average yields at fair value and amortized cost of the following portions of our portfolio as of March 31, 2013 and December 31, 2012,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0" w:type="dxa"/>
            <w:vAlign w:val="bottom"/>
            <w:gridSpan w:val="3"/>
          </w:tcPr>
          <w:p>
            <w:pPr>
              <w:jc w:val="right"/>
              <w:ind w:right="1580"/>
              <w:spacing w:after="0"/>
              <w:rPr>
                <w:sz w:val="20"/>
                <w:szCs w:val="20"/>
                <w:color w:val="auto"/>
              </w:rPr>
            </w:pPr>
            <w:r>
              <w:rPr>
                <w:rFonts w:ascii="Arial" w:cs="Arial" w:eastAsia="Arial" w:hAnsi="Arial"/>
                <w:sz w:val="14"/>
                <w:szCs w:val="14"/>
                <w:b w:val="1"/>
                <w:bCs w:val="1"/>
                <w:color w:val="auto"/>
              </w:rPr>
              <w:t>March 31, 2013</w:t>
            </w:r>
          </w:p>
        </w:tc>
        <w:tc>
          <w:tcPr>
            <w:tcW w:w="244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440" w:type="dxa"/>
            <w:vAlign w:val="bottom"/>
            <w:tcBorders>
              <w:top w:val="single" w:sz="8" w:color="auto"/>
            </w:tcBorders>
            <w:gridSpan w:val="2"/>
          </w:tcPr>
          <w:p>
            <w:pPr>
              <w:jc w:val="right"/>
              <w:ind w:right="772"/>
              <w:spacing w:after="0" w:line="142" w:lineRule="exact"/>
              <w:rPr>
                <w:sz w:val="20"/>
                <w:szCs w:val="20"/>
                <w:color w:val="auto"/>
              </w:rPr>
            </w:pPr>
            <w:r>
              <w:rPr>
                <w:rFonts w:ascii="Arial" w:cs="Arial" w:eastAsia="Arial" w:hAnsi="Arial"/>
                <w:sz w:val="14"/>
                <w:szCs w:val="14"/>
                <w:b w:val="1"/>
                <w:bCs w:val="1"/>
                <w:color w:val="auto"/>
                <w:w w:val="86"/>
              </w:rPr>
              <w:t>Fair Value</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84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86"/>
              </w:rPr>
              <w:t>Fair Value</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term debt</w:t>
            </w:r>
          </w:p>
        </w:tc>
        <w:tc>
          <w:tcPr>
            <w:tcW w:w="60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10.2%</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10.4%</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Corporate bonds</w:t>
            </w:r>
          </w:p>
        </w:tc>
        <w:tc>
          <w:tcPr>
            <w:tcW w:w="1440" w:type="dxa"/>
            <w:vAlign w:val="bottom"/>
            <w:gridSpan w:val="2"/>
          </w:tcPr>
          <w:p>
            <w:pPr>
              <w:jc w:val="right"/>
              <w:ind w:right="632"/>
              <w:spacing w:after="0"/>
              <w:rPr>
                <w:sz w:val="20"/>
                <w:szCs w:val="20"/>
                <w:color w:val="auto"/>
              </w:rPr>
            </w:pPr>
            <w:r>
              <w:rPr>
                <w:rFonts w:ascii="Arial" w:cs="Arial" w:eastAsia="Arial" w:hAnsi="Arial"/>
                <w:sz w:val="18"/>
                <w:szCs w:val="18"/>
                <w:color w:val="auto"/>
              </w:rPr>
              <w:t>10.6%</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11.0%</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11.0%</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Debt and income producing securities</w:t>
            </w:r>
          </w:p>
        </w:tc>
        <w:tc>
          <w:tcPr>
            <w:tcW w:w="14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10.2%</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10.4%</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primary driver of change between the results of our operations for the three months ended March 31, 2013 and 2012, related to our investing and other related business activities as we continued to establish our business and deploy our available capital.</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90"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We generate revenues in the form of interest income from the debt securities we hold and dividends on either direct equity investments or equity interests obtained in connection with originating loans, such as options, warrants or conversion rights. In addition, we generate revenue in various forms, including commitment and loan origination fees. Certain of these fees are capitalized and amortized as additional interest income over the life of the related investment.</w:t>
      </w:r>
    </w:p>
    <w:p>
      <w:pPr>
        <w:spacing w:after="0" w:line="8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Investment income for the three months ended March 31, 2013 was $20.8 million, which consisted of $20.6 million in interest income and $0.2 million in other income from non-controlled, non-affiliated investments.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Investment income for the three months ended March 31, 2012 was $7.0 million, which consisted of $6.9 million in interest income and $0.1 million in other income. Investment income from non-controlled, non-affiliated investments was $6.1 million while investment income from non-controlled, affiliated investments was $0.9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primary operating expenses include the payment of the Management Fee and, depending on our operating results, the Incentive Fee, expenses reimbursable under the Administration Agreement and the Advisory Agreement, and other direct expenses that we incur, such as compensation to our Board and interest payable for borrowings. The Management Fee and Incentive Fee compensate our Adviser for work in identifying, evaluating, negotiating, closing, monitoring, and realizing our investments. Under the terms of the Administration Agreement, our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our Adviser under the terms of the Administration Agreement. We bear all other costs and expenses of our operations and transactions.</w:t>
      </w:r>
    </w:p>
    <w:p>
      <w:pPr>
        <w:spacing w:after="0" w:line="11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Net expenses for the three months ended March 31, 2013 were $7.7 million which consisted of $2.3 million of interest expense, $1.5 million in Management Fees (net of waivers), $2.7 million in Incentive Fees, $0.6 million in professional fees, $0.1 million in directors’ fees, and $0.5 million in other general and administrative expenses.</w:t>
      </w:r>
    </w:p>
    <w:p>
      <w:pPr>
        <w:spacing w:after="0" w:line="14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Net expenses for the three months ended March 31, 2012 were $4.3 million which consisted of $0.9 million of interest expense, $1.1 million in Management Fees (net of waivers), $1.0 million in Incentive Fees, $0.8 million in professional fees, $0.1 million in directors’ fees, and $0.4 million in other general and administrative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Including Excise Tax</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elected to be treated as a RIC under Subchapter M of the Code and we intend to operate in a manner so as to continue to qualify for the tax treatment applicable to RICs. To qualify as a RIC, we must, among other things, distribute to our stockholders generally at least 90% of our investment company taxable income, as defined by the Code, for each taxable year. In order to maintain our RIC status, we, among other things, have made and intend to continue to make the requisite distributions to our stockholders which will generally relieve us from U.S. federal income taxes.</w:t>
      </w:r>
    </w:p>
    <w:p>
      <w:pPr>
        <w:spacing w:after="0" w:line="11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Depending on the level of taxable income earned in a tax year, we may choose to carry forward taxable income in excess of current year dividend distributions from such current year taxable income into the next tax year and pay a 4% excise tax on such income, as required. To the extent that we determine that our estimated current year annual taxable income will be in excess of estimated current year dividend distributions from such income, we accrue excise tax on estimated excess taxable income. For the three months ended March 31, 2013, a net expense of $4 was recorded for U.S. federal excise tax. For the three months ended March 31, 2012, we did not incur any U.S. federal excise tax.</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Change in Unrealized Gains/Losses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value our investments quarterly and any changes in fair value are recorded as unrealized gains or losses.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March 31, 2013 and 2012, the net change in unrealized gains on our investment portfolio was comprised of the following:</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480" w:type="dxa"/>
            <w:vAlign w:val="bottom"/>
          </w:tcPr>
          <w:p>
            <w:pPr>
              <w:spacing w:after="0"/>
              <w:rPr>
                <w:sz w:val="14"/>
                <w:szCs w:val="14"/>
                <w:color w:val="auto"/>
              </w:rPr>
            </w:pPr>
          </w:p>
        </w:tc>
        <w:tc>
          <w:tcPr>
            <w:tcW w:w="25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38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March 31, 2013</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March 31, 2012</w:t>
            </w:r>
          </w:p>
        </w:tc>
        <w:tc>
          <w:tcPr>
            <w:tcW w:w="0" w:type="dxa"/>
            <w:vAlign w:val="bottom"/>
          </w:tcPr>
          <w:p>
            <w:pPr>
              <w:spacing w:after="0"/>
              <w:rPr>
                <w:sz w:val="1"/>
                <w:szCs w:val="1"/>
                <w:color w:val="auto"/>
              </w:rPr>
            </w:pPr>
          </w:p>
        </w:tc>
      </w:tr>
      <w:tr>
        <w:trPr>
          <w:trHeight w:val="210"/>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unrealized gains</w:t>
            </w:r>
          </w:p>
        </w:tc>
        <w:tc>
          <w:tcPr>
            <w:tcW w:w="4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Change in unrealized losses</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7"/>
              </w:rPr>
              <w:t>Net Change in Unrealized Gains (Losses)</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320" w:type="dxa"/>
            <w:vAlign w:val="bottom"/>
            <w:gridSpan w:val="2"/>
            <w:vMerge w:val="restart"/>
          </w:tcPr>
          <w:p>
            <w:pPr>
              <w:jc w:val="right"/>
              <w:ind w:right="712"/>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80" w:type="dxa"/>
            <w:vAlign w:val="bottom"/>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unrealized gains (losses) for the three months ended March 31 2013 and 2012,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800" w:type="dxa"/>
            <w:vAlign w:val="bottom"/>
            <w:gridSpan w:val="4"/>
          </w:tcPr>
          <w:p>
            <w:pPr>
              <w:ind w:left="100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40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March 31, 2013</w:t>
            </w:r>
          </w:p>
        </w:tc>
        <w:tc>
          <w:tcPr>
            <w:tcW w:w="5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March 31, 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AFS Technologies, Inc.</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Attachmate Corporation</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Center Cut Hospitality, Inc.</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Centaur, LLC.</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Checkers Drive-In Restaurants, Inc.</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Consona Holdings, Inc.</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Ecommerce Industries, Inc.</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Embarcadero Technologies, Inc.</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eResearch Technology, Inc.</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Federal Signal Corporation</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Heartland Automotive, LLC</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Infogix, Inc.</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Equipment Solutions, Inc.</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Mandalay Baseball Properties, LLC</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Mediware Information Systems, Inc.</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MSC.Software Corporation</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The Newark Group, Inc.</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Rare Restaurant Group, LLC.</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Rogue Wave Holdings, Inc.</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Sage Automotive Interiors, Inc.</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Solarsoft, LP (f/k/a CMS-XKO Holding Company, LP)</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SRS Software, LLC.</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SumTotal Systems, LLC.</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Synagro Technologies, Inc.</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Teletrac, Inc.</w:t>
            </w:r>
          </w:p>
        </w:tc>
        <w:tc>
          <w:tcPr>
            <w:tcW w:w="1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 (Losses)</w:t>
            </w:r>
          </w:p>
        </w:tc>
        <w:tc>
          <w:tcPr>
            <w:tcW w:w="11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Realized Gains/Losses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During the three months ended March 31, 2013, we sold and received proceeds of $32.7 million in connection with our investments in Centaur, LLC, Embarcadero Technologies, Inc., and The Newark Group, Inc. which resulted in $0.4 million of realized gains. During the three months ended March 31, 2012, we sold and received proceeds of $45.9 million in connection with our investment in Mannington Mills, Inc. which resulted in $0.4 million of realized gains.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but are not required to, enter into interest rate, foreign exchange or other derivative agreements to hedge interest rate, currency, credit or other risks, but we do not generally intend to enter into any such derivative agreements for speculative purposes. Any derivative agreements entered into for speculative purposes are not expected to be material to our business or results of operations. These hedging activities, which will be in compliance with applicable legal and regulatory requirements, may include the use of various instruments, including futures, options and forward contracts. We will bear the costs incurred in connection with entering into, administering and settling any such derivative contracts. There can be no assurance any hedging strategy we employ will be successful.</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did not enter into any interest rate, foreign exchange or other derivative agreements during the three months ended March 31, 2013 and 2012.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As of March 31, 2013, we had $164.7 million in cash and cash equivalents on hand, an increase of $2.8 million from December 31, 2012. The increase was primarily attributable to proceeds from operations and proceeds from investor drawdown notices received during the quarter. The primary uses of our cash and cash equivalents are for (1) investments in portfolio companies and other investments and to comply with certain portfolio diversification requirements; (2) the cost of operations (including paying our Adviser); (3) debt service, repayment, and other financing costs; and, (4) cash distributions to the holders of our shares.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expect to generate additional cash from (1) operations; (2) future offerings of our common or preferred shares; and, (3) borrowings from banks or other lenders.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Cash and cash equivalents on hand as of March 31, 2013, combined with our uncalled capital commitments of $1.0 billion, is expected to be sufficient for our investing activities and to conduct our operations for the foreseeable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Share Activity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three months ended March 31, 2013, we entered into subscription agreements (collectively, the “Subscription Agreements”) with several investors, including our Adviser, providing for the private placement of our Common Stock. The subscriptions agreements brought our total capital commitments to $1.5 billion ($117.1 million from the Adviser and its affiliates), the maximum agreed to with our investors. Offering costs associated with the private placements were absorbed by the Adviser. Under the terms of the Subscription Agreements, investors are required to fund drawdowns to purchase our Common Stock up to the amount of their respective capital commitments on an as-needed basis, with a minimum of 10 business days’ prior notice.</w:t>
      </w:r>
    </w:p>
    <w:p>
      <w:pPr>
        <w:spacing w:after="0" w:line="1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As of March 31, 2013 and December 31, 2012, we had $1.5 billion and $1.4 billion, respectively, in total capital commitments from investors ($1.0 billion and $1.0 billion unfunded, respectively), of which $117.1 million and $114.1 million, respectively, is from the Adviser and its affiliates ($78.7 million and $76.6 million unfunded, respectively).</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the three months ended March 31, 2013 and 2012, we delivered drawdown notices to our investors relating to the issuance of 31,184 and 118,183 shares of our Common Stock, respectively, for aggregate offering proceeds of $31.9 million and $116.5 million, respectively. See Note 8 to our consolidated financial statements for the dates and amounts of our drawdowns. Proceeds from the issuances were used in our investing activities and for other general corporate purposes.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to the drawdowns noted above, during the three months ended March 31, 2013 and 2012, we issued 5,159 and 343 shares of our Common Stock, respectively, to investors who have not opted out of our dividend reinvestment plan. The number of shares issued through the dividend reinvestment plan was determined by dividing the total dollar amount of the dividend payable to such investor by the net asset value per share of our Common Stock as of December 31, 2012 and 2011, respectively, (the declaration dates of the dividends). The Common Stock issued through the dividend reinvestment plan was rounded down to the nearest whole share to avoid the issuance of fractional shares, and fractional shares were paid in cash.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March 31, 2013 and December 31, 2012:</w:t>
      </w:r>
    </w:p>
    <w:p>
      <w:pPr>
        <w:spacing w:after="0" w:line="200" w:lineRule="exact"/>
        <w:rPr>
          <w:sz w:val="20"/>
          <w:szCs w:val="20"/>
          <w:color w:val="auto"/>
        </w:rPr>
      </w:pP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8"/>
              </w:rPr>
              <w:t>March 31, 2013</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jc w:val="center"/>
              <w:ind w:right="72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20" w:type="dxa"/>
            <w:vAlign w:val="bottom"/>
            <w:gridSpan w:val="2"/>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Total Facility</w:t>
            </w:r>
          </w:p>
        </w:tc>
        <w:tc>
          <w:tcPr>
            <w:tcW w:w="7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 (DBTCA)</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49.7</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550.0</w:t>
            </w:r>
          </w:p>
        </w:tc>
        <w:tc>
          <w:tcPr>
            <w:tcW w:w="20" w:type="dxa"/>
            <w:vAlign w:val="bottom"/>
          </w:tcPr>
          <w:p>
            <w:pPr>
              <w:spacing w:after="0"/>
              <w:rPr>
                <w:sz w:val="19"/>
                <w:szCs w:val="19"/>
                <w:color w:val="auto"/>
              </w:rPr>
            </w:pPr>
          </w:p>
        </w:tc>
        <w:tc>
          <w:tcPr>
            <w:tcW w:w="90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263.7</w:t>
            </w:r>
          </w:p>
        </w:tc>
        <w:tc>
          <w:tcPr>
            <w:tcW w:w="7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December 31, 2012</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jc w:val="center"/>
              <w:ind w:right="72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20" w:type="dxa"/>
            <w:vAlign w:val="bottom"/>
            <w:gridSpan w:val="2"/>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Total Facility</w:t>
            </w:r>
          </w:p>
        </w:tc>
        <w:tc>
          <w:tcPr>
            <w:tcW w:w="7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 (DBTCA)</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r>
              <w:rPr>
                <w:rFonts w:ascii="Arial" w:cs="Arial" w:eastAsia="Arial" w:hAnsi="Arial"/>
                <w:sz w:val="18"/>
                <w:szCs w:val="18"/>
                <w:u w:val="single" w:color="auto"/>
                <w:color w:val="auto"/>
              </w:rPr>
              <w:t>0</w:t>
            </w:r>
          </w:p>
        </w:tc>
        <w:tc>
          <w:tcPr>
            <w:tcW w:w="90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331.8</w:t>
            </w:r>
          </w:p>
        </w:tc>
        <w:tc>
          <w:tcPr>
            <w:tcW w:w="7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March 31, 2013 and December 31, 2012, we were in compliance with the terms of our debt arrangements. We intend to continue to utilize our credit facilities to fund investments and for other general corporate purposes.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Information on our capital commitments from investors and commitments to fund investments is contained in Note 7 to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March 31, 2013 is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2"/>
              <w:spacing w:after="0"/>
              <w:rPr>
                <w:sz w:val="20"/>
                <w:szCs w:val="20"/>
                <w:color w:val="auto"/>
              </w:rPr>
            </w:pPr>
            <w:r>
              <w:rPr>
                <w:rFonts w:ascii="Arial" w:cs="Arial" w:eastAsia="Arial" w:hAnsi="Arial"/>
                <w:sz w:val="14"/>
                <w:szCs w:val="14"/>
                <w:b w:val="1"/>
                <w:bCs w:val="1"/>
                <w:color w:val="auto"/>
                <w:w w:val="93"/>
              </w:rPr>
              <w:t>Payments Due by Period</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Less than</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80" w:type="dxa"/>
            <w:vAlign w:val="bottom"/>
            <w:gridSpan w:val="2"/>
            <w:vMerge w:val="continue"/>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8"/>
              </w:rPr>
              <w:t>1 year</w:t>
            </w:r>
          </w:p>
        </w:tc>
        <w:tc>
          <w:tcPr>
            <w:tcW w:w="48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1-3 years</w:t>
            </w:r>
          </w:p>
        </w:tc>
        <w:tc>
          <w:tcPr>
            <w:tcW w:w="46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3-5 years</w:t>
            </w:r>
          </w:p>
        </w:tc>
        <w:tc>
          <w:tcPr>
            <w:tcW w:w="46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After 5 years</w:t>
            </w:r>
          </w:p>
        </w:tc>
        <w:tc>
          <w:tcPr>
            <w:tcW w:w="0" w:type="dxa"/>
            <w:vAlign w:val="bottom"/>
          </w:tcPr>
          <w:p>
            <w:pPr>
              <w:spacing w:after="0"/>
              <w:rPr>
                <w:sz w:val="1"/>
                <w:szCs w:val="1"/>
                <w:color w:val="auto"/>
              </w:rPr>
            </w:pP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 (DBTCA)</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$150.0</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$ 150.0</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p>
        </w:tc>
        <w:tc>
          <w:tcPr>
            <w:tcW w:w="500" w:type="dxa"/>
            <w:vAlign w:val="bottom"/>
          </w:tcPr>
          <w:p>
            <w:pPr>
              <w:jc w:val="right"/>
              <w:spacing w:after="0"/>
              <w:rPr>
                <w:sz w:val="20"/>
                <w:szCs w:val="20"/>
                <w:color w:val="auto"/>
              </w:rPr>
            </w:pPr>
            <w:r>
              <w:rPr>
                <w:rFonts w:ascii="Arial" w:cs="Arial" w:eastAsia="Arial" w:hAnsi="Arial"/>
                <w:sz w:val="18"/>
                <w:szCs w:val="18"/>
                <w:color w:val="auto"/>
              </w:rPr>
              <w:t>49.7</w:t>
            </w:r>
          </w:p>
        </w:tc>
        <w:tc>
          <w:tcPr>
            <w:tcW w:w="4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center"/>
              <w:ind w:left="92"/>
              <w:spacing w:after="0"/>
              <w:rPr>
                <w:sz w:val="20"/>
                <w:szCs w:val="20"/>
                <w:color w:val="auto"/>
              </w:rPr>
            </w:pPr>
            <w:r>
              <w:rPr>
                <w:rFonts w:ascii="Arial" w:cs="Arial" w:eastAsia="Arial" w:hAnsi="Arial"/>
                <w:sz w:val="18"/>
                <w:szCs w:val="18"/>
                <w:color w:val="auto"/>
                <w:w w:val="85"/>
              </w:rPr>
              <w:t>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4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64.0</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Contractual Obligations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263.7</w:t>
            </w:r>
          </w:p>
        </w:tc>
        <w:tc>
          <w:tcPr>
            <w:tcW w:w="1020" w:type="dxa"/>
            <w:vAlign w:val="bottom"/>
            <w:gridSpan w:val="2"/>
          </w:tcPr>
          <w:p>
            <w:pPr>
              <w:jc w:val="center"/>
              <w:ind w:left="372"/>
              <w:spacing w:after="0"/>
              <w:rPr>
                <w:sz w:val="20"/>
                <w:szCs w:val="20"/>
                <w:color w:val="auto"/>
              </w:rPr>
            </w:pPr>
            <w:r>
              <w:rPr>
                <w:rFonts w:ascii="Arial" w:cs="Arial" w:eastAsia="Arial" w:hAnsi="Arial"/>
                <w:sz w:val="18"/>
                <w:szCs w:val="18"/>
                <w:color w:val="auto"/>
                <w:w w:val="93"/>
              </w:rPr>
              <w:t>$ 150.0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64.0</w:t>
            </w:r>
          </w:p>
        </w:tc>
        <w:tc>
          <w:tcPr>
            <w:tcW w:w="6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left="92"/>
              <w:spacing w:after="0"/>
              <w:rPr>
                <w:sz w:val="20"/>
                <w:szCs w:val="20"/>
                <w:color w:val="auto"/>
              </w:rPr>
            </w:pPr>
            <w:r>
              <w:rPr>
                <w:rFonts w:ascii="Arial" w:cs="Arial" w:eastAsia="Arial" w:hAnsi="Arial"/>
                <w:sz w:val="18"/>
                <w:szCs w:val="18"/>
                <w:color w:val="auto"/>
                <w:w w:val="85"/>
              </w:rPr>
              <w:t>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See Note 7 to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ENVIRONMENT</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U.S. capital markets have been experiencing extreme volatility and disruption for more than three years, and we believe that the U.S. economy has not fully recovered from a period of recession. Disruptions in the capital markets have increased the spread between the yields realized on risk-free and higher risk securities, resulting in illiquidity in parts of the capital markets. We believe these conditions may continue for a prolonged period of time or worsen in the future. A prolonged period of market illiquidity may have an adverse effect on our business, financial condition and results of operations. Unfavorable economic conditions could also increase our portfolio companies’ funding costs, limit their access to the capital markets or result in a decision by lenders not to extend credit to them. These conditions could limit our investment originations, limit our ability to grow, negatively impact our operating results, and delay or prevent us from launching or completing an IPO.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On May 8, 2013, the Company executed an amendment to the Revolving Credit Facility (DBTCA) to permit entering into swap transactions that have a termination date that is earlier than the stated maturity date of the facility and to make other amendments regarding such swap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the Company’s Annual Report on Form 10-K for the year ended December 31, 2012, which was filed with the Securities and Exchange Commission (“SEC”) on March 15,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financial market risks, including valuation risk and interest rate risk. We currently do not hedge our exposure to these risks.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Risk</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invested, and plan to continue to invest, primarily in illiquid debt and equity securities of private companies. Most of our investments will not have a readily available market price, and we will value these investments at fair value as determined in good faith by our Board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Note 2 to our consolidated financial statements, for more details on estimates and judgments made by us in connection with the valuation of our investments.</w:t>
      </w:r>
    </w:p>
    <w:p>
      <w:pPr>
        <w:sectPr>
          <w:pgSz w:w="11900" w:h="16838" w:orient="portrait"/>
          <w:cols w:equalWidth="0" w:num="1">
            <w:col w:w="11420"/>
          </w:cols>
          <w:pgMar w:left="240" w:top="45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rate sensitivity refers to the change in earnings that may result from changes in the level of interest rates. In the future, we may fund a portion of our investments with borrowings, and at such time, our net investment income will be affected by the difference between the rate at which we invest and the rate at which we borrow. Accordingly, there can be no assurance that a significant change in market interest rates will not have a material adverse effect on our net investment income.</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131" w:right="3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2013, the majority of the investments at fair value in our portfolio were at variable rates. Our credit facilities also bear interest at floating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Based on our balance sheet as of March 31, 2013, the following table shows the impact on net income for the three months ended March 31, 2013, of base rate changes in interest rates (considering interest rate floors and ceilings for variable rate instruments) assuming no changes in our investment and borrowing structure:</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Interest</w:t>
            </w:r>
          </w:p>
        </w:tc>
        <w:tc>
          <w:tcPr>
            <w:tcW w:w="26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Interest</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Net</w:t>
            </w:r>
          </w:p>
        </w:tc>
      </w:tr>
      <w:tr>
        <w:trPr>
          <w:trHeight w:val="175"/>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Basis Point Change</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Income</w:t>
            </w:r>
          </w:p>
        </w:tc>
        <w:tc>
          <w:tcPr>
            <w:tcW w:w="260" w:type="dxa"/>
            <w:vAlign w:val="bottom"/>
          </w:tcPr>
          <w:p>
            <w:pPr>
              <w:spacing w:after="0"/>
              <w:rPr>
                <w:sz w:val="15"/>
                <w:szCs w:val="15"/>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3"/>
              </w:rPr>
              <w:t>Expense</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Income</w:t>
            </w:r>
          </w:p>
        </w:tc>
      </w:tr>
      <w:tr>
        <w:trPr>
          <w:trHeight w:val="210"/>
        </w:trPr>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5.2</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1.4</w:t>
            </w:r>
          </w:p>
        </w:tc>
        <w:tc>
          <w:tcPr>
            <w:tcW w:w="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6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Down 100 basis points</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(0.2)</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6880" w:type="dxa"/>
            <w:vAlign w:val="bottom"/>
            <w:gridSpan w:val="2"/>
          </w:tcPr>
          <w:p>
            <w:pPr>
              <w:spacing w:after="0"/>
              <w:rPr>
                <w:sz w:val="20"/>
                <w:szCs w:val="20"/>
                <w:color w:val="auto"/>
              </w:rPr>
            </w:pPr>
            <w:r>
              <w:rPr>
                <w:rFonts w:ascii="Arial" w:cs="Arial" w:eastAsia="Arial" w:hAnsi="Arial"/>
                <w:sz w:val="18"/>
                <w:szCs w:val="18"/>
                <w:color w:val="auto"/>
              </w:rPr>
              <w:t>Down 300 basis points</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(0.2)</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Securities Exchange Act of 1934.</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Effective January 1, 2013, the Adviser has engaged a third-party service provider to whom it outsourced certain day-to-day finance and accounting activities. The Company continues to maintain senior finance personnel who have responsibility for managing the relationship with the third-party provider and review of its work product. The outsourcing of these activities resulted in certain changes to the Company’s processes and internal controls over financial reporting; however, ultimate responsibility of internal controls over financial reporting remains with the Company.</w:t>
      </w:r>
    </w:p>
    <w:p>
      <w:pPr>
        <w:spacing w:after="0" w:line="113"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Other than the item disclosed above, there have been no other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There have been no material changes to the risk factors previously disclosed in our Annual Report on Form 10-K for the year ended December 31, 2012, which was filed with the Securities and Exchange Commission (“SEC”) on March 15,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provides information regarding purchases of our common shares by our Adviser and its affiliates for each month in the three month period ended March 31, 2013:</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 in thousands, except per share amounts)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10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5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Shares that May Yet</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5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Be Purchased Under</w:t>
            </w:r>
          </w:p>
        </w:tc>
        <w:tc>
          <w:tcPr>
            <w:tcW w:w="0" w:type="dxa"/>
            <w:vAlign w:val="bottom"/>
          </w:tcPr>
          <w:p>
            <w:pPr>
              <w:spacing w:after="0"/>
              <w:rPr>
                <w:sz w:val="1"/>
                <w:szCs w:val="1"/>
                <w:color w:val="auto"/>
              </w:rPr>
            </w:pPr>
          </w:p>
        </w:tc>
      </w:tr>
      <w:tr>
        <w:trPr>
          <w:trHeight w:val="162"/>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Average Price Paid</w:t>
            </w:r>
          </w:p>
        </w:tc>
        <w:tc>
          <w:tcPr>
            <w:tcW w:w="720" w:type="dxa"/>
            <w:vAlign w:val="bottom"/>
          </w:tcPr>
          <w:p>
            <w:pPr>
              <w:spacing w:after="0"/>
              <w:rPr>
                <w:sz w:val="14"/>
                <w:szCs w:val="14"/>
                <w:color w:val="auto"/>
              </w:rPr>
            </w:pPr>
          </w:p>
        </w:tc>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Total Number of</w:t>
            </w: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Announced Plans or</w:t>
            </w:r>
          </w:p>
        </w:tc>
        <w:tc>
          <w:tcPr>
            <w:tcW w:w="10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4"/>
              </w:rPr>
              <w:t>the Plans or</w:t>
            </w:r>
          </w:p>
        </w:tc>
        <w:tc>
          <w:tcPr>
            <w:tcW w:w="0" w:type="dxa"/>
            <w:vAlign w:val="bottom"/>
          </w:tcPr>
          <w:p>
            <w:pPr>
              <w:spacing w:after="0"/>
              <w:rPr>
                <w:sz w:val="1"/>
                <w:szCs w:val="1"/>
                <w:color w:val="auto"/>
              </w:rPr>
            </w:pPr>
          </w:p>
        </w:tc>
      </w:tr>
      <w:tr>
        <w:trPr>
          <w:trHeight w:val="161"/>
        </w:trPr>
        <w:tc>
          <w:tcPr>
            <w:tcW w:w="3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76"/>
              <w:spacing w:after="0"/>
              <w:rPr>
                <w:sz w:val="20"/>
                <w:szCs w:val="20"/>
                <w:color w:val="auto"/>
              </w:rPr>
            </w:pPr>
            <w:r>
              <w:rPr>
                <w:rFonts w:ascii="Arial" w:cs="Arial" w:eastAsia="Arial" w:hAnsi="Arial"/>
                <w:sz w:val="14"/>
                <w:szCs w:val="14"/>
                <w:b w:val="1"/>
                <w:bCs w:val="1"/>
                <w:color w:val="auto"/>
                <w:w w:val="99"/>
              </w:rPr>
              <w:t>per Share</w:t>
            </w:r>
          </w:p>
        </w:tc>
        <w:tc>
          <w:tcPr>
            <w:tcW w:w="720" w:type="dxa"/>
            <w:vAlign w:val="bottom"/>
          </w:tcPr>
          <w:p>
            <w:pPr>
              <w:spacing w:after="0"/>
              <w:rPr>
                <w:sz w:val="14"/>
                <w:szCs w:val="14"/>
                <w:color w:val="auto"/>
              </w:rPr>
            </w:pPr>
          </w:p>
        </w:tc>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3"/>
              </w:rPr>
              <w:t>Shares Purchased</w:t>
            </w: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Programs</w:t>
            </w:r>
          </w:p>
        </w:tc>
        <w:tc>
          <w:tcPr>
            <w:tcW w:w="10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2013</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February 2013</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1,022.41</w:t>
            </w:r>
          </w:p>
        </w:tc>
        <w:tc>
          <w:tcPr>
            <w:tcW w:w="2460" w:type="dxa"/>
            <w:vAlign w:val="bottom"/>
            <w:gridSpan w:val="3"/>
          </w:tcPr>
          <w:p>
            <w:pPr>
              <w:ind w:left="1480"/>
              <w:spacing w:after="0"/>
              <w:rPr>
                <w:sz w:val="20"/>
                <w:szCs w:val="20"/>
                <w:color w:val="auto"/>
              </w:rPr>
            </w:pPr>
            <w:r>
              <w:rPr>
                <w:rFonts w:ascii="Arial" w:cs="Arial" w:eastAsia="Arial" w:hAnsi="Arial"/>
                <w:sz w:val="18"/>
                <w:szCs w:val="18"/>
                <w:color w:val="auto"/>
              </w:rPr>
              <w:t>973</w:t>
            </w:r>
          </w:p>
        </w:tc>
        <w:tc>
          <w:tcPr>
            <w:tcW w:w="1580" w:type="dxa"/>
            <w:vAlign w:val="bottom"/>
            <w:gridSpan w:val="2"/>
          </w:tcPr>
          <w:p>
            <w:pPr>
              <w:ind w:left="920"/>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78,657</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2013</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1,022.41</w:t>
            </w:r>
          </w:p>
        </w:tc>
        <w:tc>
          <w:tcPr>
            <w:tcW w:w="2460" w:type="dxa"/>
            <w:vAlign w:val="bottom"/>
            <w:gridSpan w:val="3"/>
          </w:tcPr>
          <w:p>
            <w:pPr>
              <w:ind w:left="1480"/>
              <w:spacing w:after="0"/>
              <w:rPr>
                <w:sz w:val="20"/>
                <w:szCs w:val="20"/>
                <w:color w:val="auto"/>
              </w:rPr>
            </w:pPr>
            <w:r>
              <w:rPr>
                <w:rFonts w:ascii="Arial" w:cs="Arial" w:eastAsia="Arial" w:hAnsi="Arial"/>
                <w:sz w:val="18"/>
                <w:szCs w:val="18"/>
                <w:color w:val="auto"/>
              </w:rPr>
              <w:t>973</w:t>
            </w:r>
          </w:p>
        </w:tc>
        <w:tc>
          <w:tcPr>
            <w:tcW w:w="1580" w:type="dxa"/>
            <w:vAlign w:val="bottom"/>
            <w:gridSpan w:val="2"/>
          </w:tcPr>
          <w:p>
            <w:pPr>
              <w:ind w:left="920"/>
              <w:spacing w:after="0"/>
              <w:rPr>
                <w:sz w:val="20"/>
                <w:szCs w:val="20"/>
                <w:color w:val="auto"/>
              </w:rPr>
            </w:pPr>
            <w:r>
              <w:rPr>
                <w:rFonts w:ascii="Arial" w:cs="Arial" w:eastAsia="Arial" w:hAnsi="Arial"/>
                <w:sz w:val="18"/>
                <w:szCs w:val="18"/>
                <w:color w:val="auto"/>
              </w:rPr>
              <w:t>973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78,657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May 8, 2013, we executed a Second Amendment to the Amended and Restated Revolving Credit Agreement by and among us, Deutsche Bank Trust Company Americas, as a Lender, as a Letter of Credit Issuer, as Administrative Agent for Lenders and Letter of Credit Issuer, and each of the other lending institutions that becomes Lender under the Credit Agreement (the “Second Amendment”). The Second Amendment amends the Revolving Credit Facility (DBTCA) to permit entering into swap transactions that have a termination date that is earlier than the stated maturity date of the facility and to make other amendments regarding such swap transactions.</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24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w w:val="88"/>
              </w:rPr>
              <w:t>(a) Exhibits.</w:t>
            </w:r>
          </w:p>
        </w:tc>
        <w:tc>
          <w:tcPr>
            <w:tcW w:w="9740" w:type="dxa"/>
            <w:vAlign w:val="bottom"/>
          </w:tcPr>
          <w:p>
            <w:pPr>
              <w:spacing w:after="0"/>
              <w:rPr>
                <w:sz w:val="19"/>
                <w:szCs w:val="19"/>
                <w:color w:val="auto"/>
              </w:rPr>
            </w:pPr>
          </w:p>
        </w:tc>
      </w:tr>
      <w:tr>
        <w:trPr>
          <w:trHeight w:val="412"/>
        </w:trPr>
        <w:tc>
          <w:tcPr>
            <w:tcW w:w="1040" w:type="dxa"/>
            <w:vAlign w:val="bottom"/>
          </w:tcPr>
          <w:p>
            <w:pPr>
              <w:jc w:val="right"/>
              <w:ind w:right="392"/>
              <w:spacing w:after="0"/>
              <w:rPr>
                <w:sz w:val="20"/>
                <w:szCs w:val="20"/>
                <w:color w:val="auto"/>
              </w:rPr>
            </w:pPr>
            <w:r>
              <w:rPr>
                <w:rFonts w:ascii="Arial" w:cs="Arial" w:eastAsia="Arial" w:hAnsi="Arial"/>
                <w:sz w:val="18"/>
                <w:szCs w:val="18"/>
                <w:color w:val="auto"/>
              </w:rPr>
              <w:t>10.1</w:t>
            </w:r>
          </w:p>
        </w:tc>
        <w:tc>
          <w:tcPr>
            <w:tcW w:w="9740" w:type="dxa"/>
            <w:vAlign w:val="bottom"/>
          </w:tcPr>
          <w:p>
            <w:pPr>
              <w:ind w:left="120"/>
              <w:spacing w:after="0"/>
              <w:rPr>
                <w:sz w:val="20"/>
                <w:szCs w:val="20"/>
                <w:color w:val="auto"/>
              </w:rPr>
            </w:pPr>
            <w:r>
              <w:rPr>
                <w:rFonts w:ascii="Arial" w:cs="Arial" w:eastAsia="Arial" w:hAnsi="Arial"/>
                <w:sz w:val="18"/>
                <w:szCs w:val="18"/>
                <w:color w:val="auto"/>
                <w:w w:val="88"/>
              </w:rPr>
              <w:t>Second Amendment to Amended and Restated Revolving Credit Agreement, dated May 7, 2013, among TPG Specialty Lending, Inc., as</w:t>
            </w:r>
          </w:p>
        </w:tc>
      </w:tr>
      <w:tr>
        <w:trPr>
          <w:trHeight w:val="222"/>
        </w:trPr>
        <w:tc>
          <w:tcPr>
            <w:tcW w:w="1040" w:type="dxa"/>
            <w:vAlign w:val="bottom"/>
          </w:tcPr>
          <w:p>
            <w:pPr>
              <w:spacing w:after="0"/>
              <w:rPr>
                <w:sz w:val="19"/>
                <w:szCs w:val="19"/>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Borrower, Deutsche Bank Trust Company Americas, as Administrative Agent, and Lenders Named Herein.</w:t>
            </w:r>
          </w:p>
        </w:tc>
      </w:tr>
      <w:tr>
        <w:trPr>
          <w:trHeight w:val="318"/>
        </w:trPr>
        <w:tc>
          <w:tcPr>
            <w:tcW w:w="1040" w:type="dxa"/>
            <w:vAlign w:val="bottom"/>
          </w:tcPr>
          <w:p>
            <w:pPr>
              <w:jc w:val="right"/>
              <w:ind w:right="392"/>
              <w:spacing w:after="0"/>
              <w:rPr>
                <w:sz w:val="20"/>
                <w:szCs w:val="20"/>
                <w:color w:val="auto"/>
              </w:rPr>
            </w:pPr>
            <w:r>
              <w:rPr>
                <w:rFonts w:ascii="Arial" w:cs="Arial" w:eastAsia="Arial" w:hAnsi="Arial"/>
                <w:sz w:val="18"/>
                <w:szCs w:val="18"/>
                <w:color w:val="auto"/>
              </w:rPr>
              <w:t>31.1</w:t>
            </w:r>
          </w:p>
        </w:tc>
        <w:tc>
          <w:tcPr>
            <w:tcW w:w="9740" w:type="dxa"/>
            <w:vAlign w:val="bottom"/>
          </w:tcPr>
          <w:p>
            <w:pPr>
              <w:ind w:left="120"/>
              <w:spacing w:after="0"/>
              <w:rPr>
                <w:sz w:val="20"/>
                <w:szCs w:val="20"/>
                <w:color w:val="auto"/>
              </w:rPr>
            </w:pPr>
            <w:r>
              <w:rPr>
                <w:rFonts w:ascii="Arial" w:cs="Arial" w:eastAsia="Arial" w:hAnsi="Arial"/>
                <w:sz w:val="18"/>
                <w:szCs w:val="18"/>
                <w:color w:val="auto"/>
                <w:w w:val="89"/>
              </w:rPr>
              <w:t>Certification of Chief Executive Officer Pursuant to 18 U.S.C. Section 1350, as Adopted Pursuant to Section 302 of the Sarbanes-Oxley</w:t>
            </w:r>
          </w:p>
        </w:tc>
      </w:tr>
      <w:tr>
        <w:trPr>
          <w:trHeight w:val="222"/>
        </w:trPr>
        <w:tc>
          <w:tcPr>
            <w:tcW w:w="1040" w:type="dxa"/>
            <w:vAlign w:val="bottom"/>
          </w:tcPr>
          <w:p>
            <w:pPr>
              <w:spacing w:after="0"/>
              <w:rPr>
                <w:sz w:val="19"/>
                <w:szCs w:val="19"/>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Act of 2002.</w:t>
            </w:r>
          </w:p>
        </w:tc>
      </w:tr>
      <w:tr>
        <w:trPr>
          <w:trHeight w:val="318"/>
        </w:trPr>
        <w:tc>
          <w:tcPr>
            <w:tcW w:w="1040" w:type="dxa"/>
            <w:vAlign w:val="bottom"/>
          </w:tcPr>
          <w:p>
            <w:pPr>
              <w:jc w:val="right"/>
              <w:ind w:right="392"/>
              <w:spacing w:after="0"/>
              <w:rPr>
                <w:sz w:val="20"/>
                <w:szCs w:val="20"/>
                <w:color w:val="auto"/>
              </w:rPr>
            </w:pPr>
            <w:r>
              <w:rPr>
                <w:rFonts w:ascii="Arial" w:cs="Arial" w:eastAsia="Arial" w:hAnsi="Arial"/>
                <w:sz w:val="18"/>
                <w:szCs w:val="18"/>
                <w:color w:val="auto"/>
              </w:rPr>
              <w:t>31.2</w:t>
            </w:r>
          </w:p>
        </w:tc>
        <w:tc>
          <w:tcPr>
            <w:tcW w:w="9740" w:type="dxa"/>
            <w:vAlign w:val="bottom"/>
          </w:tcPr>
          <w:p>
            <w:pPr>
              <w:ind w:left="120"/>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302 of the Sarbanes-Oxley</w:t>
            </w:r>
          </w:p>
        </w:tc>
      </w:tr>
      <w:tr>
        <w:trPr>
          <w:trHeight w:val="222"/>
        </w:trPr>
        <w:tc>
          <w:tcPr>
            <w:tcW w:w="1040" w:type="dxa"/>
            <w:vAlign w:val="bottom"/>
          </w:tcPr>
          <w:p>
            <w:pPr>
              <w:spacing w:after="0"/>
              <w:rPr>
                <w:sz w:val="19"/>
                <w:szCs w:val="19"/>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Act of 2002.</w:t>
            </w:r>
          </w:p>
        </w:tc>
      </w:tr>
    </w:tbl>
    <w:p>
      <w:pPr>
        <w:spacing w:after="0" w:line="102" w:lineRule="exact"/>
        <w:rPr>
          <w:sz w:val="20"/>
          <w:szCs w:val="20"/>
          <w:color w:val="auto"/>
        </w:rPr>
      </w:pPr>
    </w:p>
    <w:p>
      <w:pPr>
        <w:ind w:left="1620" w:right="220" w:hanging="910"/>
        <w:spacing w:after="0" w:line="268"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Certification of CEO and CFO Pursuant to 18 U.S.C. Section 1350, as Adopted Pursuant to Section 906 of the Sarbanes-Oxley Act of 2002.</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May 10, 2013</w:t>
      </w:r>
      <w:r>
        <w:rPr>
          <w:sz w:val="20"/>
          <w:szCs w:val="20"/>
          <w:color w:val="auto"/>
        </w:rPr>
        <w:tab/>
      </w:r>
      <w:r>
        <w:rPr>
          <w:rFonts w:ascii="Arial" w:cs="Arial" w:eastAsia="Arial" w:hAnsi="Arial"/>
          <w:sz w:val="16"/>
          <w:szCs w:val="16"/>
          <w:color w:val="auto"/>
        </w:rPr>
        <w:t>By:  /s/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Fishman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May 10, 2013</w:t>
      </w:r>
      <w:r>
        <w:rPr>
          <w:sz w:val="20"/>
          <w:szCs w:val="20"/>
          <w:color w:val="auto"/>
        </w:rPr>
        <w:tab/>
      </w:r>
      <w:r>
        <w:rPr>
          <w:rFonts w:ascii="Arial" w:cs="Arial" w:eastAsia="Arial" w:hAnsi="Arial"/>
          <w:sz w:val="16"/>
          <w:szCs w:val="16"/>
          <w:color w:val="auto"/>
        </w:rPr>
        <w:t>By:  /s/ John E.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E. Viola</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SECOND AMENDMENT TO AMENDED AND RESTATED REVOLVING CREDIT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w:t>
      </w:r>
    </w:p>
    <w:p>
      <w:pPr>
        <w:spacing w:after="0" w:line="16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and among</w:t>
      </w:r>
    </w:p>
    <w:p>
      <w:pPr>
        <w:spacing w:after="0" w:line="16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Borrower</w:t>
      </w:r>
    </w:p>
    <w:p>
      <w:pPr>
        <w:spacing w:after="0" w:line="15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LENDERS NAMED HEREIN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Lenders</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May 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156845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6" w:name="page37"/>
    <w:bookmarkEnd w:id="36"/>
    <w:p>
      <w:pPr>
        <w:ind w:right="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SECOND AMENDMENT TO AMENDED AND RESTATED REVOLVING CREDIT AGREEMENT (this “</w:t>
      </w:r>
      <w:r>
        <w:rPr>
          <w:rFonts w:ascii="Arial" w:cs="Arial" w:eastAsia="Arial" w:hAnsi="Arial"/>
          <w:sz w:val="16"/>
          <w:szCs w:val="16"/>
          <w:u w:val="single" w:color="auto"/>
          <w:color w:val="auto"/>
        </w:rPr>
        <w:t>Second Amendment</w:t>
      </w:r>
      <w:r>
        <w:rPr>
          <w:rFonts w:ascii="Arial" w:cs="Arial" w:eastAsia="Arial" w:hAnsi="Arial"/>
          <w:sz w:val="16"/>
          <w:szCs w:val="16"/>
          <w:color w:val="auto"/>
        </w:rPr>
        <w:t>”) is entered into as of May 7, 2013, by and among TPG SPECIALTY LENDING, INC., a Delaware corporation (“</w:t>
      </w:r>
      <w:r>
        <w:rPr>
          <w:rFonts w:ascii="Arial" w:cs="Arial" w:eastAsia="Arial" w:hAnsi="Arial"/>
          <w:sz w:val="16"/>
          <w:szCs w:val="16"/>
          <w:u w:val="single" w:color="auto"/>
          <w:color w:val="auto"/>
        </w:rPr>
        <w:t>Borrower</w:t>
      </w:r>
      <w:r>
        <w:rPr>
          <w:rFonts w:ascii="Arial" w:cs="Arial" w:eastAsia="Arial" w:hAnsi="Arial"/>
          <w:sz w:val="16"/>
          <w:szCs w:val="16"/>
          <w:color w:val="auto"/>
        </w:rPr>
        <w:t>”) and DEUTSCHE BANK TRUST COMPANY AMERICAS (in its individual capacity, “</w:t>
      </w:r>
      <w:r>
        <w:rPr>
          <w:rFonts w:ascii="Arial" w:cs="Arial" w:eastAsia="Arial" w:hAnsi="Arial"/>
          <w:sz w:val="16"/>
          <w:szCs w:val="16"/>
          <w:u w:val="single" w:color="auto"/>
          <w:color w:val="auto"/>
        </w:rPr>
        <w:t>Deutsche Bank</w:t>
      </w:r>
      <w:r>
        <w:rPr>
          <w:rFonts w:ascii="Arial" w:cs="Arial" w:eastAsia="Arial" w:hAnsi="Arial"/>
          <w:sz w:val="16"/>
          <w:szCs w:val="16"/>
          <w:color w:val="auto"/>
        </w:rPr>
        <w:t>”), as a Lender, as a Letter of Credit Issuer, as Administrative Agent for Lenders and Letter of Credit Issuer, and each of the other lending institutions that becomes a Lender under the Credit Agreement.</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WHEREAS, Borrower, Lenders party thereto and Deutsche Bank, as a Lender, Letter of Credit Issuer and Administrative Agent, entered into an Amended and Restated Revolving Credit Agreement, dated as of December 22, 2011, as previously amended pursuant to the First Amendment to Amended and Restated Revolving Credit Agreement, dated as of October 31, 2012 (as same may be amended, supplemented, renewed, extended, replaced, or restated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pursuant to which Lenders committed to make Loans to Borrower and to participate in Letters of Credit issued for the account of Borrower pursuant to the terms thereof; and</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WHEREAS, Borrower has requested that certain terms of the Credit Agreement be amended, and Lenders have consented thereto, pursuant to the terms and conditions hereof; and</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WHEREAS, terms used in this Second Amendment which are defined in the Credit Agreement shall have the meanings specified therein, as applicable (unless otherwise defined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for good and valuable consideration, the parties hereto hereby agree as follows: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 to Revolving Credit Agreement</w:t>
      </w:r>
      <w:r>
        <w:rPr>
          <w:rFonts w:ascii="Arial" w:cs="Arial" w:eastAsia="Arial" w:hAnsi="Arial"/>
          <w:sz w:val="18"/>
          <w:szCs w:val="18"/>
          <w:color w:val="auto"/>
        </w:rPr>
        <w:t>. Borrower, Lenders, Letter of Credit Issuer and Administrative Agent hereby amend the Credit Agreement, as of the date hereof, as follows:</w:t>
      </w:r>
    </w:p>
    <w:p>
      <w:pPr>
        <w:spacing w:after="0" w:line="132" w:lineRule="exact"/>
        <w:rPr>
          <w:sz w:val="20"/>
          <w:szCs w:val="20"/>
          <w:color w:val="auto"/>
        </w:rPr>
      </w:pPr>
    </w:p>
    <w:p>
      <w:pPr>
        <w:ind w:right="420" w:firstLine="921"/>
        <w:spacing w:after="0" w:line="268" w:lineRule="auto"/>
        <w:tabs>
          <w:tab w:leader="none" w:pos="11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Section 1.1 of the Credit Agreement is hereby amended to delete the definitions of “</w:t>
      </w:r>
      <w:r>
        <w:rPr>
          <w:rFonts w:ascii="Arial" w:cs="Arial" w:eastAsia="Arial" w:hAnsi="Arial"/>
          <w:sz w:val="18"/>
          <w:szCs w:val="18"/>
          <w:u w:val="single" w:color="auto"/>
          <w:color w:val="auto"/>
        </w:rPr>
        <w:t>Borrowing Base</w:t>
      </w:r>
      <w:r>
        <w:rPr>
          <w:rFonts w:ascii="Arial" w:cs="Arial" w:eastAsia="Arial" w:hAnsi="Arial"/>
          <w:sz w:val="18"/>
          <w:szCs w:val="18"/>
          <w:color w:val="auto"/>
        </w:rPr>
        <w:t>”, “</w:t>
      </w:r>
      <w:r>
        <w:rPr>
          <w:rFonts w:ascii="Arial" w:cs="Arial" w:eastAsia="Arial" w:hAnsi="Arial"/>
          <w:sz w:val="18"/>
          <w:szCs w:val="18"/>
          <w:u w:val="single" w:color="auto"/>
          <w:color w:val="auto"/>
        </w:rPr>
        <w:t>Permitted Other Indebtedness</w:t>
      </w:r>
      <w:r>
        <w:rPr>
          <w:rFonts w:ascii="Arial" w:cs="Arial" w:eastAsia="Arial" w:hAnsi="Arial"/>
          <w:sz w:val="18"/>
          <w:szCs w:val="18"/>
          <w:color w:val="auto"/>
        </w:rPr>
        <w:t>” and “</w:t>
      </w:r>
      <w:r>
        <w:rPr>
          <w:rFonts w:ascii="Arial" w:cs="Arial" w:eastAsia="Arial" w:hAnsi="Arial"/>
          <w:sz w:val="18"/>
          <w:szCs w:val="18"/>
          <w:u w:val="single" w:color="auto"/>
          <w:color w:val="auto"/>
        </w:rPr>
        <w:t>Unsecured Recourse Indebtedness</w:t>
      </w:r>
      <w:r>
        <w:rPr>
          <w:rFonts w:ascii="Arial" w:cs="Arial" w:eastAsia="Arial" w:hAnsi="Arial"/>
          <w:sz w:val="18"/>
          <w:szCs w:val="18"/>
          <w:color w:val="auto"/>
        </w:rPr>
        <w:t>” and replace them with the following:</w:t>
      </w:r>
    </w:p>
    <w:p>
      <w:pPr>
        <w:spacing w:after="0" w:line="51" w:lineRule="exact"/>
        <w:rPr>
          <w:sz w:val="20"/>
          <w:szCs w:val="20"/>
          <w:color w:val="auto"/>
        </w:rPr>
      </w:pPr>
    </w:p>
    <w:p>
      <w:pPr>
        <w:ind w:left="920" w:right="1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Base</w:t>
      </w:r>
      <w:r>
        <w:rPr>
          <w:rFonts w:ascii="Arial" w:cs="Arial" w:eastAsia="Arial" w:hAnsi="Arial"/>
          <w:sz w:val="16"/>
          <w:szCs w:val="16"/>
          <w:color w:val="auto"/>
        </w:rPr>
        <w:t xml:space="preserve">” means, at the date of determination, an amount equal to (a) for all Eligible Investors, the product of (i) the Unused Capital Commitment of each Eligible Investor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such Eligible Investor’s Excess Concentration,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 the Applicable Eligible Investor Advance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for all Designated Eligible Investors, the product of (i) the Unused Capital Commitment of each Designated Eligible Investor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such Designated Eligible Investor’s Excess Concentration,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 the Applicable Designated Eligible Investor Advance Rate;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(i) the outstanding amount of Unsecured Recourse Indebtedness in excess of $50,000,000, and (ii) the aggregate Swap Termination Value of all Swap Contracts included in Unsecured Recourse Indebtedness in excess of</w:t>
      </w:r>
    </w:p>
    <w:p>
      <w:pPr>
        <w:sectPr>
          <w:pgSz w:w="11900" w:h="16838" w:orient="portrait"/>
          <w:cols w:equalWidth="0" w:num="1">
            <w:col w:w="11340"/>
          </w:cols>
          <w:pgMar w:left="240" w:top="280" w:right="319" w:bottom="1440" w:gutter="0" w:footer="0" w:header="0"/>
        </w:sectPr>
      </w:pPr>
    </w:p>
    <w:bookmarkStart w:id="37" w:name="page38"/>
    <w:bookmarkEnd w:id="37"/>
    <w:p>
      <w:pPr>
        <w:ind w:left="92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$15,000,000. For purposes of calculating the exclusions from the Borrowing Base described in subsection (c) hereof, any such exclusions shall not be counted more than once.</w:t>
      </w:r>
    </w:p>
    <w:p>
      <w:pPr>
        <w:spacing w:after="0" w:line="51"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Other Indebtedness</w:t>
      </w:r>
      <w:r>
        <w:rPr>
          <w:rFonts w:ascii="Arial" w:cs="Arial" w:eastAsia="Arial" w:hAnsi="Arial"/>
          <w:sz w:val="18"/>
          <w:szCs w:val="18"/>
          <w:color w:val="auto"/>
        </w:rPr>
        <w:t xml:space="preserve">” means (a) Unsecured Recourse Indebtedness;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amount thereof in excess of $50,000,000 is subtracted from the Borrowing Base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the aggregate Swap Termination Value of all Swap Contracts included in Unsecured Recourse Indebtedness in excess of $15,000,000 is subtracted from the Borrowing Base, (b) Fully Secured Indebtedness, (c) Financing Indebtedness and (d) Non-Recourse Indebtedness. For purposes of calculating the exclusions from the Borrowing Base described in subsection (a) hereof, any such exclusions shall not be counted more than once.</w:t>
      </w:r>
    </w:p>
    <w:p>
      <w:pPr>
        <w:spacing w:after="0" w:line="62"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Recourse Indebtedness</w:t>
      </w:r>
      <w:r>
        <w:rPr>
          <w:rFonts w:ascii="Arial" w:cs="Arial" w:eastAsia="Arial" w:hAnsi="Arial"/>
          <w:sz w:val="18"/>
          <w:szCs w:val="18"/>
          <w:color w:val="auto"/>
        </w:rPr>
        <w:t xml:space="preserve">” means Indebtedness of Borrower that is not Fully Secured Indebtedness which is Recourse Indebtedness and has a maturity or termination date not earlier than the Stated Maturity Date; </w:t>
      </w:r>
      <w:r>
        <w:rPr>
          <w:rFonts w:ascii="Arial" w:cs="Arial" w:eastAsia="Arial" w:hAnsi="Arial"/>
          <w:sz w:val="18"/>
          <w:szCs w:val="18"/>
          <w:u w:val="single" w:color="auto"/>
          <w:color w:val="auto"/>
        </w:rPr>
        <w:t>provided, however</w:t>
      </w:r>
      <w:r>
        <w:rPr>
          <w:rFonts w:ascii="Arial" w:cs="Arial" w:eastAsia="Arial" w:hAnsi="Arial"/>
          <w:sz w:val="18"/>
          <w:szCs w:val="18"/>
          <w:color w:val="auto"/>
        </w:rPr>
        <w:t>, for purposes of this definition, a Swap Contract may have a termination date that is earlier than the Stated Maturity Date.</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Borrower hereby (i) confirms and reaffirms that the representations and warranties contained in the Credit Agreement and the other Loan Documents, to the extent applicable to Borrower, are true and correct in all material respects as of the Second Amendment Date, except to the extent that they relate to a particular date, in which case they are true and correct in all material respects on and as of such date as if made on and as of such date, (ii) confirms that, after taking into account this Second Amendment, there exists no Event of Default or, to Borrower’s knowledge, no event, which with the giving of notice or lapse of time or both, would become an Event of Default, under the Credit Agreement, and (iii) represents and warrants that Borrower has the power and requisite authority to execute, deliver, and perform its obligations under this Second Amendment and is duly authorized to, and has taken all action necessary to authorize it to execute, deliver, and perform its respective obligations under this Second Amendment.</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Second Amendment shall become effective on the date hereof, subject to the Administrative Agent receiving this Second Amendment duly executed and delivered by the Borrower and the other parties hereto.</w:t>
      </w:r>
    </w:p>
    <w:p>
      <w:pPr>
        <w:spacing w:after="0" w:line="132"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Agreements in Full Force and Effect as Amended</w:t>
      </w:r>
      <w:r>
        <w:rPr>
          <w:rFonts w:ascii="Arial" w:cs="Arial" w:eastAsia="Arial" w:hAnsi="Arial"/>
          <w:sz w:val="16"/>
          <w:szCs w:val="16"/>
          <w:color w:val="auto"/>
        </w:rPr>
        <w:t>. Except as specifically amended hereby, all of the terms and conditions of the Credit Agreement and all other Loan Documents shall remain in full force and effect, and are hereby ratified and affirmed by Borrower. All references to the Credit Agreement in any other document or instrument shall be deemed to mean the Credit Agreement as amended by this Second Amendment. This Second Amendment shall not constitute a novation of the Credit Agreement or any other Loan Document, but shall constitute an amendment thereof.</w:t>
      </w:r>
    </w:p>
    <w:p>
      <w:pPr>
        <w:spacing w:after="0" w:line="11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Fees and Expenses</w:t>
      </w:r>
      <w:r>
        <w:rPr>
          <w:rFonts w:ascii="Arial" w:cs="Arial" w:eastAsia="Arial" w:hAnsi="Arial"/>
          <w:sz w:val="18"/>
          <w:szCs w:val="18"/>
          <w:color w:val="auto"/>
        </w:rPr>
        <w:t>. In accordance with Section 9.6 of the Credit Agreement, Borrower agrees to pay Administrative Agent all reasonable and documented out-of-pocket expenses incurred by Administrative Agent, including, without limitation, reasonable and documented legal fees, in connection with preparing, executing, delivering and administering this Second Amendment.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38" w:name="page39"/>
    <w:bookmarkEnd w:id="38"/>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 </w:t>
      </w:r>
      <w:r>
        <w:rPr>
          <w:rFonts w:ascii="Arial" w:cs="Arial" w:eastAsia="Arial" w:hAnsi="Arial"/>
          <w:sz w:val="16"/>
          <w:szCs w:val="16"/>
          <w:u w:val="single" w:color="auto"/>
          <w:color w:val="auto"/>
        </w:rPr>
        <w:t>Counterparts</w:t>
      </w:r>
      <w:r>
        <w:rPr>
          <w:rFonts w:ascii="Arial" w:cs="Arial" w:eastAsia="Arial" w:hAnsi="Arial"/>
          <w:sz w:val="16"/>
          <w:szCs w:val="16"/>
          <w:color w:val="auto"/>
        </w:rPr>
        <w:t>. This Second Amendment may be executed in several counterparts, each of which shall be an original. The several counterparts shall constitute a single agreement. Receipt by telecopy or any other means of electronic communication of any executed signature page to this Second Amendment shall be effective as delivery of a manually executed counterpart of this Second Amendment.</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Second Amendment shall be governed by the laws of the State of New York as provided in the Credit Agreement and Borrower further agrees to submit to the jurisdiction of New York as provided therein.</w:t>
      </w:r>
    </w:p>
    <w:p>
      <w:pPr>
        <w:spacing w:after="0" w:line="12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 Page Follows.]</w:t>
      </w:r>
    </w:p>
    <w:p>
      <w:pPr>
        <w:spacing w:after="0" w:line="1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240" w:top="280" w:right="5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Second Amendment to be executed by their duly authorized officers as of the date set forth above.</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TPG SPECIALTY LENDING,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 xml:space="preserve">DEUTSCHE BANK TRUST COMPANY AMERICAS, </w:t>
      </w:r>
      <w:r>
        <w:rPr>
          <w:rFonts w:ascii="Arial" w:cs="Arial" w:eastAsia="Arial" w:hAnsi="Arial"/>
          <w:sz w:val="18"/>
          <w:szCs w:val="18"/>
          <w:color w:val="auto"/>
        </w:rPr>
        <w:t>as</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Administrative Agent, Letter of Credit Issuer and as Lender</w:t>
      </w:r>
    </w:p>
    <w:p>
      <w:pPr>
        <w:spacing w:after="0" w:line="24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 xml:space="preserve">WELLS FARGO CAPITAL FINANCE, LLC, </w:t>
      </w:r>
      <w:r>
        <w:rPr>
          <w:rFonts w:ascii="Arial" w:cs="Arial" w:eastAsia="Arial" w:hAnsi="Arial"/>
          <w:sz w:val="18"/>
          <w:szCs w:val="18"/>
          <w:color w:val="auto"/>
        </w:rPr>
        <w:t>as a Lender</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 SECOND AMENDMENT</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DB/TPG Specialty Lending Inc</w:t>
      </w:r>
    </w:p>
    <w:p>
      <w:pPr>
        <w:sectPr>
          <w:pgSz w:w="11900" w:h="16838" w:orient="portrait"/>
          <w:cols w:equalWidth="0" w:num="1">
            <w:col w:w="10960"/>
          </w:cols>
          <w:pgMar w:left="700" w:top="2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9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Date: May 10, 2013</w:t>
            </w:r>
          </w:p>
        </w:tc>
        <w:tc>
          <w:tcPr>
            <w:tcW w:w="7920" w:type="dxa"/>
            <w:vAlign w:val="bottom"/>
            <w:gridSpan w:val="2"/>
          </w:tcPr>
          <w:p>
            <w:pPr>
              <w:ind w:left="2080"/>
              <w:spacing w:after="0"/>
              <w:rPr>
                <w:sz w:val="20"/>
                <w:szCs w:val="20"/>
                <w:color w:val="auto"/>
              </w:rPr>
            </w:pPr>
            <w:r>
              <w:rPr>
                <w:rFonts w:ascii="Arial" w:cs="Arial" w:eastAsia="Arial" w:hAnsi="Arial"/>
                <w:sz w:val="18"/>
                <w:szCs w:val="18"/>
                <w:color w:val="auto"/>
              </w:rPr>
              <w:t>By:  /s/ Michael Fishman</w:t>
            </w:r>
          </w:p>
        </w:tc>
      </w:tr>
      <w:tr>
        <w:trPr>
          <w:trHeight w:val="202"/>
        </w:trPr>
        <w:tc>
          <w:tcPr>
            <w:tcW w:w="35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58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Michael Fishman</w:t>
            </w:r>
          </w:p>
        </w:tc>
      </w:tr>
      <w:tr>
        <w:trPr>
          <w:trHeight w:val="222"/>
        </w:trPr>
        <w:tc>
          <w:tcPr>
            <w:tcW w:w="35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E. Viola, certify that:</w:t>
      </w:r>
    </w:p>
    <w:p>
      <w:pPr>
        <w:spacing w:after="0" w:line="9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Date: May 10, 2013</w:t>
            </w:r>
          </w:p>
        </w:tc>
        <w:tc>
          <w:tcPr>
            <w:tcW w:w="7920" w:type="dxa"/>
            <w:vAlign w:val="bottom"/>
            <w:gridSpan w:val="2"/>
          </w:tcPr>
          <w:p>
            <w:pPr>
              <w:ind w:left="2080"/>
              <w:spacing w:after="0"/>
              <w:rPr>
                <w:sz w:val="20"/>
                <w:szCs w:val="20"/>
                <w:color w:val="auto"/>
              </w:rPr>
            </w:pPr>
            <w:r>
              <w:rPr>
                <w:rFonts w:ascii="Arial" w:cs="Arial" w:eastAsia="Arial" w:hAnsi="Arial"/>
                <w:sz w:val="18"/>
                <w:szCs w:val="18"/>
                <w:color w:val="auto"/>
              </w:rPr>
              <w:t>By:  /s/ John E. Viola</w:t>
            </w:r>
          </w:p>
        </w:tc>
      </w:tr>
      <w:tr>
        <w:trPr>
          <w:trHeight w:val="202"/>
        </w:trPr>
        <w:tc>
          <w:tcPr>
            <w:tcW w:w="35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58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John E. Viola</w:t>
            </w:r>
          </w:p>
        </w:tc>
      </w:tr>
      <w:tr>
        <w:trPr>
          <w:trHeight w:val="222"/>
        </w:trPr>
        <w:tc>
          <w:tcPr>
            <w:tcW w:w="35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March 31, 2013, as filed with the Securities and Exchange Commission on the date hereof (the “Report”), Michael Fishman, as Chief Executive Officer of the Company, and John Viola, as Chief Financial Officer of the Company, each hereby certifies, pursuant to 18 U.S.C. § 1350, as adopted pursuant to § 906 of the Sarbanes-Oxley Act of 2002, that, to such officer’s knowledge:</w:t>
      </w:r>
    </w:p>
    <w:p>
      <w:pPr>
        <w:spacing w:after="0" w:line="62" w:lineRule="exact"/>
        <w:rPr>
          <w:sz w:val="20"/>
          <w:szCs w:val="20"/>
          <w:color w:val="auto"/>
        </w:rPr>
      </w:pPr>
    </w:p>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Michael Fishman</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John E.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John E. Viola</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2013</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3"/>
    </w:lvl>
  </w:abstractNum>
  <w:abstractNum w:abstractNumId="11">
    <w:nsid w:val="257130A3"/>
    <w:multiLevelType w:val="hybridMultilevel"/>
    <w:lvl w:ilvl="0">
      <w:lvlJc w:val="left"/>
      <w:lvlText w:val="(%1)"/>
      <w:numFmt w:val="lowerRoman"/>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5"/>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7"/>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2"/>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32"/>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2019-12-07T23:24:09Z</dcterms:created>
  <dcterms:modified xsi:type="dcterms:W3CDTF">2019-12-07T23:24:09Z</dcterms:modified>
</cp:coreProperties>
</file>