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27-3380000</w:t>
      </w:r>
    </w:p>
    <w:p>
      <w:pPr>
        <w:spacing w:after="0" w:line="12" w:lineRule="exact"/>
        <w:rPr>
          <w:sz w:val="24"/>
          <w:szCs w:val="24"/>
          <w:color w:val="auto"/>
        </w:rPr>
      </w:pPr>
    </w:p>
    <w:p>
      <w:pPr>
        <w:sectPr>
          <w:pgSz w:w="11900" w:h="16838" w:orient="portrait"/>
          <w:cols w:equalWidth="0" w:num="3">
            <w:col w:w="4740" w:space="720"/>
            <w:col w:w="2980" w:space="720"/>
            <w:col w:w="2200"/>
          </w:cols>
          <w:pgMar w:left="240" w:top="362" w:right="29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20"/>
          </w:cols>
          <w:pgMar w:left="240" w:top="362" w:right="299" w:bottom="1440" w:gutter="0" w:footer="0" w:header="0"/>
          <w:type w:val="continuous"/>
        </w:sectPr>
      </w:pPr>
    </w:p>
    <w:p>
      <w:pPr>
        <w:spacing w:after="0" w:line="2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p>
      <w:pPr>
        <w:spacing w:after="0" w:line="4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76102</w:t>
      </w:r>
    </w:p>
    <w:p>
      <w:pPr>
        <w:spacing w:after="0" w:line="31" w:lineRule="exact"/>
        <w:rPr>
          <w:sz w:val="24"/>
          <w:szCs w:val="24"/>
          <w:color w:val="auto"/>
        </w:rPr>
      </w:pPr>
    </w:p>
    <w:p>
      <w:pPr>
        <w:sectPr>
          <w:pgSz w:w="11900" w:h="16838" w:orient="portrait"/>
          <w:cols w:equalWidth="0" w:num="2">
            <w:col w:w="7700" w:space="720"/>
            <w:col w:w="2940"/>
          </w:cols>
          <w:pgMar w:left="240" w:top="362" w:right="2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3040"/>
          </w:cols>
          <w:pgMar w:left="240" w:top="362"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Stockholders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May 17, 2018, TPG Specialty Lending, Inc. (the “Company”) held its annual meeting of stockholders. Stockholders considered two proposals as described in the Company’s proxy statement filed on April 3, 2018. The final results of the voting on each matter submitted to stockholders at the annual meeting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 Election of Class I Directors. </w:t>
      </w:r>
      <w:r>
        <w:rPr>
          <w:rFonts w:ascii="Times New Roman" w:cs="Times New Roman" w:eastAsia="Times New Roman" w:hAnsi="Times New Roman"/>
          <w:sz w:val="18"/>
          <w:szCs w:val="18"/>
          <w:color w:val="auto"/>
        </w:rPr>
        <w:t>The stockholders elected the nominees for Class I director by the vote shown below.</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Votes “Withheld”</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1"/>
              </w:rPr>
              <w:t>Richard</w:t>
            </w:r>
          </w:p>
        </w:tc>
        <w:tc>
          <w:tcPr>
            <w:tcW w:w="47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Higginbotham</w:t>
            </w:r>
          </w:p>
        </w:tc>
        <w:tc>
          <w:tcPr>
            <w:tcW w:w="8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30,903,535</w:t>
            </w:r>
          </w:p>
        </w:tc>
        <w:tc>
          <w:tcPr>
            <w:tcW w:w="5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6,247,879</w:t>
            </w:r>
          </w:p>
        </w:tc>
        <w:tc>
          <w:tcPr>
            <w:tcW w:w="5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15,576,791</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31,964,978</w:t>
            </w: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5,186,436</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15,576,791</w:t>
            </w:r>
          </w:p>
        </w:tc>
      </w:tr>
    </w:tbl>
    <w:p>
      <w:pPr>
        <w:spacing w:after="0" w:line="1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 Ratification of Appointment of Independent Registered Public Accounting Firm. </w:t>
      </w:r>
      <w:r>
        <w:rPr>
          <w:rFonts w:ascii="Times New Roman" w:cs="Times New Roman" w:eastAsia="Times New Roman" w:hAnsi="Times New Roman"/>
          <w:sz w:val="18"/>
          <w:szCs w:val="18"/>
          <w:color w:val="auto"/>
        </w:rPr>
        <w:t>The stockholders ratified the retention of KPMG LLP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independent registered public accounting firm for the fiscal year ending December 31, 2018.</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920" w:type="dxa"/>
            <w:vAlign w:val="bottom"/>
            <w:gridSpan w:val="2"/>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w w:val="99"/>
              </w:rPr>
              <w:t>Votes “Against”</w:t>
            </w:r>
          </w:p>
        </w:tc>
        <w:tc>
          <w:tcPr>
            <w:tcW w:w="2680" w:type="dxa"/>
            <w:vAlign w:val="bottom"/>
            <w:gridSpan w:val="2"/>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10"/>
        </w:trPr>
        <w:tc>
          <w:tcPr>
            <w:tcW w:w="8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52,367,439</w:t>
            </w:r>
          </w:p>
        </w:tc>
        <w:tc>
          <w:tcPr>
            <w:tcW w:w="19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136,079</w:t>
            </w:r>
          </w:p>
        </w:tc>
        <w:tc>
          <w:tcPr>
            <w:tcW w:w="19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224,687</w:t>
            </w:r>
          </w:p>
        </w:tc>
        <w:tc>
          <w:tcPr>
            <w:tcW w:w="19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17, 2018, the Company also held a special meeting of stockholders. Stockholders considered one proposal as described in the Company’s proxy statement filed on April 3, 2018. The final results of the voting on the matter submitted to stockholders at the special meeting are set forth below.</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1 – Sales of Common Stock Below NAV. </w:t>
      </w:r>
      <w:r>
        <w:rPr>
          <w:rFonts w:ascii="Times New Roman" w:cs="Times New Roman" w:eastAsia="Times New Roman" w:hAnsi="Times New Roman"/>
          <w:sz w:val="18"/>
          <w:szCs w:val="18"/>
          <w:color w:val="auto"/>
        </w:rPr>
        <w:t>The stockholders approved the proposal to authorize the Company to sell or otherwise issue shares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at a price below its then-current net asset value per share in one or more offerings, in each case subject to the approval of its board of directors and subject to the conditions set forth in the proxy statement (including that the number of shares issued does not exceed 25% of the Company’s then-outstanding common stock immediately prior to each such offering), by the vote shown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including affiliated and unaffiliated shares, was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920" w:type="dxa"/>
            <w:vAlign w:val="bottom"/>
            <w:gridSpan w:val="2"/>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w w:val="99"/>
              </w:rPr>
              <w:t>Votes “Against”</w:t>
            </w:r>
          </w:p>
        </w:tc>
        <w:tc>
          <w:tcPr>
            <w:tcW w:w="2680" w:type="dxa"/>
            <w:vAlign w:val="bottom"/>
            <w:gridSpan w:val="2"/>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10"/>
        </w:trPr>
        <w:tc>
          <w:tcPr>
            <w:tcW w:w="8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40,091,750</w:t>
            </w:r>
          </w:p>
        </w:tc>
        <w:tc>
          <w:tcPr>
            <w:tcW w:w="19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1,559,156</w:t>
            </w:r>
          </w:p>
        </w:tc>
        <w:tc>
          <w:tcPr>
            <w:tcW w:w="19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288,300</w:t>
            </w:r>
          </w:p>
        </w:tc>
        <w:tc>
          <w:tcPr>
            <w:tcW w:w="19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adjusted for 20,240,273 affiliated shares, was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920" w:type="dxa"/>
            <w:vAlign w:val="bottom"/>
            <w:gridSpan w:val="2"/>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w w:val="99"/>
              </w:rPr>
              <w:t>Votes “Against”</w:t>
            </w:r>
          </w:p>
        </w:tc>
        <w:tc>
          <w:tcPr>
            <w:tcW w:w="2680" w:type="dxa"/>
            <w:vAlign w:val="bottom"/>
            <w:gridSpan w:val="2"/>
          </w:tcPr>
          <w:p>
            <w:pPr>
              <w:jc w:val="right"/>
              <w:ind w:right="19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10"/>
        </w:trPr>
        <w:tc>
          <w:tcPr>
            <w:tcW w:w="8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20,003,053</w:t>
            </w:r>
          </w:p>
        </w:tc>
        <w:tc>
          <w:tcPr>
            <w:tcW w:w="19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1,556,405</w:t>
            </w:r>
          </w:p>
        </w:tc>
        <w:tc>
          <w:tcPr>
            <w:tcW w:w="19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139,475</w:t>
            </w:r>
          </w:p>
        </w:tc>
        <w:tc>
          <w:tcPr>
            <w:tcW w:w="19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360"/>
          </w:cols>
          <w:pgMar w:left="240" w:top="26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2018</w:t>
            </w:r>
          </w:p>
        </w:tc>
        <w:tc>
          <w:tcPr>
            <w:tcW w:w="79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2019-12-07T21:05:47Z</dcterms:created>
  <dcterms:modified xsi:type="dcterms:W3CDTF">2019-12-07T21:05:47Z</dcterms:modified>
</cp:coreProperties>
</file>