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Waxman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4"/>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660"/>
              <w:spacing w:after="0"/>
              <w:rPr>
                <w:sz w:val="20"/>
                <w:szCs w:val="20"/>
                <w:color w:val="auto"/>
              </w:rPr>
            </w:pPr>
            <w:r>
              <w:rPr>
                <w:rFonts w:ascii="Arial" w:cs="Arial" w:eastAsia="Arial" w:hAnsi="Arial"/>
                <w:sz w:val="18"/>
                <w:szCs w:val="18"/>
                <w:color w:val="0000FF"/>
              </w:rPr>
              <w:t>02/01/2012</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ind w:left="180"/>
              <w:spacing w:after="0"/>
              <w:rPr>
                <w:sz w:val="20"/>
                <w:szCs w:val="20"/>
                <w:color w:val="auto"/>
              </w:rPr>
            </w:pPr>
            <w:r>
              <w:rPr>
                <w:rFonts w:ascii="Arial" w:cs="Arial" w:eastAsia="Arial" w:hAnsi="Arial"/>
                <w:sz w:val="18"/>
                <w:szCs w:val="18"/>
                <w:color w:val="0000FF"/>
              </w:rPr>
              <w:t>3,741</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ind w:left="8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985.21</w:t>
            </w:r>
          </w:p>
        </w:tc>
        <w:tc>
          <w:tcPr>
            <w:tcW w:w="1300" w:type="dxa"/>
            <w:vAlign w:val="bottom"/>
            <w:gridSpan w:val="3"/>
            <w:vMerge w:val="restart"/>
          </w:tcPr>
          <w:p>
            <w:pPr>
              <w:ind w:left="400"/>
              <w:spacing w:after="0"/>
              <w:rPr>
                <w:sz w:val="20"/>
                <w:szCs w:val="20"/>
                <w:color w:val="auto"/>
              </w:rPr>
            </w:pPr>
            <w:r>
              <w:rPr>
                <w:rFonts w:ascii="Arial" w:cs="Arial" w:eastAsia="Arial" w:hAnsi="Arial"/>
                <w:sz w:val="18"/>
                <w:szCs w:val="18"/>
                <w:color w:val="0000FF"/>
              </w:rPr>
              <w:t>11,716</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0"/>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TSL Advisers, LLC ("TSL Advisers") directly holds 11,716 shares of Common Stock of the Issuer (the "TSL Shares"), including 511 shares of Common Stock of the Issuer indirectly beneficially owned by Mr. Waxman (through his limited partnership interest in TSL Equity Partners, L.P., which is a member of TSL Advisers). In addition, Mr. Waxman is a member of the board of managers of TSL Advisers and therefore may be deemed to beneficially own all of the TSL Shares. Mr. Waxman disclaims beneficial ownership of the TSL Shares except to the extent of his pecuniary interest therein.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0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Waxman pursuant to the authorization and designation letter dated March 10, 2011, which was previously filed with the Securities and Exchange Commission as an exhibit to a Form 3 filed by Mr. Waxman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02/03/2012</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Alan Waxman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2"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2019-12-17T05:12:02Z</dcterms:created>
  <dcterms:modified xsi:type="dcterms:W3CDTF">2019-12-17T05:12:02Z</dcterms:modified>
</cp:coreProperties>
</file>