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October 17,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4160" w:type="dxa"/>
            <w:vAlign w:val="bottom"/>
          </w:tcPr>
          <w:p>
            <w:pPr>
              <w:jc w:val="center"/>
              <w:ind w:right="2399"/>
              <w:spacing w:after="0"/>
              <w:rPr>
                <w:sz w:val="20"/>
                <w:szCs w:val="20"/>
                <w:color w:val="auto"/>
              </w:rPr>
            </w:pPr>
            <w:r>
              <w:rPr>
                <w:rFonts w:ascii="Arial" w:cs="Arial" w:eastAsia="Arial" w:hAnsi="Arial"/>
                <w:sz w:val="18"/>
                <w:szCs w:val="18"/>
                <w:b w:val="1"/>
                <w:bCs w:val="1"/>
                <w:color w:val="auto"/>
                <w:w w:val="91"/>
              </w:rPr>
              <w:t>Delaware</w:t>
            </w:r>
          </w:p>
        </w:tc>
        <w:tc>
          <w:tcPr>
            <w:tcW w:w="2380" w:type="dxa"/>
            <w:vAlign w:val="bottom"/>
          </w:tcPr>
          <w:p>
            <w:pPr>
              <w:ind w:left="200"/>
              <w:spacing w:after="0"/>
              <w:rPr>
                <w:sz w:val="20"/>
                <w:szCs w:val="20"/>
                <w:color w:val="auto"/>
              </w:rPr>
            </w:pPr>
            <w:r>
              <w:rPr>
                <w:rFonts w:ascii="Arial" w:cs="Arial" w:eastAsia="Arial" w:hAnsi="Arial"/>
                <w:sz w:val="18"/>
                <w:szCs w:val="18"/>
                <w:b w:val="1"/>
                <w:bCs w:val="1"/>
                <w:color w:val="auto"/>
              </w:rPr>
              <w:t>001-36364</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27-3380000</w:t>
            </w:r>
          </w:p>
        </w:tc>
      </w:tr>
      <w:tr>
        <w:trPr>
          <w:trHeight w:val="149"/>
        </w:trPr>
        <w:tc>
          <w:tcPr>
            <w:tcW w:w="4160" w:type="dxa"/>
            <w:vAlign w:val="bottom"/>
          </w:tcPr>
          <w:p>
            <w:pPr>
              <w:jc w:val="center"/>
              <w:ind w:right="237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8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60" w:type="dxa"/>
            <w:vAlign w:val="bottom"/>
          </w:tcPr>
          <w:p>
            <w:pPr>
              <w:jc w:val="center"/>
              <w:ind w:right="2379"/>
              <w:spacing w:after="0"/>
              <w:rPr>
                <w:sz w:val="20"/>
                <w:szCs w:val="20"/>
                <w:color w:val="auto"/>
              </w:rPr>
            </w:pPr>
            <w:r>
              <w:rPr>
                <w:rFonts w:ascii="Arial" w:cs="Arial" w:eastAsia="Arial" w:hAnsi="Arial"/>
                <w:sz w:val="14"/>
                <w:szCs w:val="14"/>
                <w:b w:val="1"/>
                <w:bCs w:val="1"/>
                <w:color w:val="auto"/>
                <w:w w:val="94"/>
              </w:rPr>
              <w:t>of Incorporation)</w:t>
            </w:r>
          </w:p>
        </w:tc>
        <w:tc>
          <w:tcPr>
            <w:tcW w:w="2380" w:type="dxa"/>
            <w:vAlign w:val="bottom"/>
          </w:tcPr>
          <w:p>
            <w:pPr>
              <w:ind w:left="16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160" w:type="dxa"/>
            <w:vAlign w:val="bottom"/>
          </w:tcPr>
          <w:p>
            <w:pPr>
              <w:jc w:val="center"/>
              <w:ind w:left="1219"/>
              <w:spacing w:after="0"/>
              <w:rPr>
                <w:sz w:val="20"/>
                <w:szCs w:val="20"/>
                <w:color w:val="auto"/>
              </w:rPr>
            </w:pPr>
            <w:r>
              <w:rPr>
                <w:rFonts w:ascii="Arial" w:cs="Arial" w:eastAsia="Arial" w:hAnsi="Arial"/>
                <w:sz w:val="18"/>
                <w:szCs w:val="18"/>
                <w:b w:val="1"/>
                <w:bCs w:val="1"/>
                <w:color w:val="auto"/>
                <w:w w:val="89"/>
              </w:rPr>
              <w:t>301 Commerce Street, Suite 3300</w:t>
            </w:r>
          </w:p>
        </w:tc>
        <w:tc>
          <w:tcPr>
            <w:tcW w:w="238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5"/>
        </w:trPr>
        <w:tc>
          <w:tcPr>
            <w:tcW w:w="4160" w:type="dxa"/>
            <w:vAlign w:val="bottom"/>
          </w:tcPr>
          <w:p>
            <w:pPr>
              <w:jc w:val="center"/>
              <w:ind w:left="1219"/>
              <w:spacing w:after="0"/>
              <w:rPr>
                <w:sz w:val="20"/>
                <w:szCs w:val="20"/>
                <w:color w:val="auto"/>
              </w:rPr>
            </w:pPr>
            <w:r>
              <w:rPr>
                <w:rFonts w:ascii="Arial" w:cs="Arial" w:eastAsia="Arial" w:hAnsi="Arial"/>
                <w:sz w:val="18"/>
                <w:szCs w:val="18"/>
                <w:b w:val="1"/>
                <w:bCs w:val="1"/>
                <w:color w:val="auto"/>
                <w:w w:val="97"/>
              </w:rPr>
              <w:t>Fort Worth, TX</w:t>
            </w:r>
          </w:p>
        </w:tc>
        <w:tc>
          <w:tcPr>
            <w:tcW w:w="2380" w:type="dxa"/>
            <w:vAlign w:val="bottom"/>
          </w:tcPr>
          <w:p>
            <w:pPr>
              <w:spacing w:after="0"/>
              <w:rPr>
                <w:sz w:val="19"/>
                <w:szCs w:val="19"/>
                <w:color w:val="auto"/>
              </w:rPr>
            </w:pP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76102</w:t>
            </w:r>
          </w:p>
        </w:tc>
      </w:tr>
      <w:tr>
        <w:trPr>
          <w:trHeight w:val="186"/>
        </w:trPr>
        <w:tc>
          <w:tcPr>
            <w:tcW w:w="4160" w:type="dxa"/>
            <w:vAlign w:val="bottom"/>
          </w:tcPr>
          <w:p>
            <w:pPr>
              <w:jc w:val="center"/>
              <w:ind w:left="121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38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 Entry into a Material Definitive Agreement</w:t>
      </w:r>
    </w:p>
    <w:p>
      <w:pPr>
        <w:spacing w:after="0" w:line="121"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On October 17, 2014, TPG Specialty Lending, Inc. (the “Company”) entered into a third amendment to the Company’s second amended and restated senior secured revolving credit facility, dated February 27, 2014 (as amended, the “Revolving Credit Facility”), (a) decreasing the applicable margin with respect to (i) any loan bearing interest at a rate determined by reference to the Alternate Base Rate from 1.25% to 1.00% and (ii) any loan bearing interest at a rate determined by reference to the Adjusted LIBO Rate from 2.25% to 2.00%, (b) decreasing the aggregate commitments under the Revolving Credit Facility from $781.3 million to $766.3 million, (c) extending the stated maturity date from February 26, 2019 to October 17, 2019 and (d) increasing the sublimit applicable to letters of credit from $20 million to $100 million. The Revolving Credit Facility continues to include the accordion feature, which would allow the Company, under certain circumstances, to increase the size of the Revolving Credit Facility to a maximum of $956.3 million.</w:t>
      </w:r>
    </w:p>
    <w:p>
      <w:pPr>
        <w:spacing w:after="0" w:line="167" w:lineRule="exact"/>
        <w:rPr>
          <w:sz w:val="20"/>
          <w:szCs w:val="20"/>
          <w:color w:val="auto"/>
        </w:rPr>
      </w:pPr>
    </w:p>
    <w:p>
      <w:pPr>
        <w:jc w:val="both"/>
        <w:ind w:right="240" w:firstLine="913"/>
        <w:spacing w:after="0" w:line="264" w:lineRule="auto"/>
        <w:rPr>
          <w:sz w:val="20"/>
          <w:szCs w:val="20"/>
          <w:color w:val="auto"/>
        </w:rPr>
      </w:pPr>
      <w:r>
        <w:rPr>
          <w:rFonts w:ascii="Arial" w:cs="Arial" w:eastAsia="Arial" w:hAnsi="Arial"/>
          <w:sz w:val="18"/>
          <w:szCs w:val="18"/>
          <w:color w:val="auto"/>
        </w:rPr>
        <w:t>On October 23, 2014, the Company entered into an agreement with a financial institution pursuant to which the institution agreed to provide commitments through the accordion feature in such Revolving Credit Facility, increasing the aggregate commitments under the Revolving Credit Facility from $766.3 million to $776.3 million.</w:t>
      </w:r>
    </w:p>
    <w:p>
      <w:pPr>
        <w:spacing w:after="0" w:line="181"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The foregoing description is only a summary of certain of the provisions of the Revolving Credit Facility and is qualified in its entirety by the underlying agreement, which will be filed as an exhibit to the Company’s next Quarterly Report on Form 10-Q.</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 Creation of a Direct Financial Obligation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information set forth under Item 1.01 above is incorporated by reference into this Item 2.03.</w:t>
      </w:r>
    </w:p>
    <w:p>
      <w:pPr>
        <w:sectPr>
          <w:pgSz w:w="11900" w:h="16838" w:orient="portrait"/>
          <w:cols w:equalWidth="0" w:num="1">
            <w:col w:w="11300"/>
          </w:cols>
          <w:pgMar w:left="240" w:top="270" w:right="35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jc w:val="center"/>
        <w:ind w:left="3500"/>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jc w:val="center"/>
        <w:ind w:left="352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spacing w:after="0"/>
        <w:tabs>
          <w:tab w:leader="none" w:pos="6120" w:val="left"/>
        </w:tabs>
        <w:rPr>
          <w:sz w:val="20"/>
          <w:szCs w:val="20"/>
          <w:color w:val="auto"/>
        </w:rPr>
      </w:pPr>
      <w:r>
        <w:rPr>
          <w:rFonts w:ascii="Arial" w:cs="Arial" w:eastAsia="Arial" w:hAnsi="Arial"/>
          <w:sz w:val="18"/>
          <w:szCs w:val="18"/>
          <w:color w:val="auto"/>
        </w:rPr>
        <w:t>Date: October 23, 2014</w:t>
      </w:r>
      <w:r>
        <w:rPr>
          <w:sz w:val="20"/>
          <w:szCs w:val="20"/>
          <w:color w:val="auto"/>
        </w:rPr>
        <w:tab/>
      </w:r>
      <w:r>
        <w:rPr>
          <w:rFonts w:ascii="Arial" w:cs="Arial" w:eastAsia="Arial" w:hAnsi="Arial"/>
          <w:sz w:val="17"/>
          <w:szCs w:val="17"/>
          <w:color w:val="auto"/>
        </w:rPr>
        <w:t>By:  /s/ Alan Kirshenbaum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14605</wp:posOffset>
            </wp:positionV>
            <wp:extent cx="31127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0"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Alan Kirshenbaum</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80"/>
      </w:cols>
      <w:pgMar w:left="240" w:top="27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2019-12-08T00:22:35Z</dcterms:created>
  <dcterms:modified xsi:type="dcterms:W3CDTF">2019-12-08T00:22:35Z</dcterms:modified>
</cp:coreProperties>
</file>