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219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191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HIGGINBOTHAM RICHARD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300"/>
        <w:spacing w:after="0" w:line="292" w:lineRule="auto"/>
        <w:rPr>
          <w:sz w:val="20"/>
          <w:szCs w:val="20"/>
          <w:color w:val="auto"/>
        </w:rPr>
      </w:pPr>
      <w:r>
        <w:rPr>
          <w:rFonts w:ascii="Arial" w:cs="Arial" w:eastAsia="Arial" w:hAnsi="Arial"/>
          <w:sz w:val="17"/>
          <w:szCs w:val="17"/>
          <w:color w:val="0000FF"/>
        </w:rPr>
        <w:t>C/O SIXTH STREET SPECIALTY LENDING,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2100 MCKINNEY AVENUE, SUITE 1500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6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75201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w w:val="96"/>
              </w:rPr>
            </w:pPr>
            <w:hyperlink r:id="rId13">
              <w:r>
                <w:rPr>
                  <w:rFonts w:ascii="Arial" w:cs="Arial" w:eastAsia="Arial" w:hAnsi="Arial"/>
                  <w:sz w:val="21"/>
                  <w:szCs w:val="21"/>
                  <w:color w:val="0000EE"/>
                  <w:w w:val="96"/>
                </w:rPr>
                <w:t xml:space="preserve">Sixth Street Specialty Lending, Inc.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7"/>
                <w:szCs w:val="17"/>
                <w:color w:val="0000FF"/>
                <w:w w:val="96"/>
              </w:rPr>
              <w:t>TSLX</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w:t>
              </w:r>
            </w:hyperlink>
          </w:p>
        </w:tc>
        <w:tc>
          <w:tcPr>
            <w:tcW w:w="292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20" w:type="dxa"/>
            <w:vAlign w:val="bottom"/>
            <w:gridSpan w:val="3"/>
          </w:tcPr>
          <w:p>
            <w:pPr>
              <w:ind w:left="80"/>
              <w:spacing w:after="0"/>
              <w:rPr>
                <w:sz w:val="20"/>
                <w:szCs w:val="20"/>
                <w:color w:val="auto"/>
              </w:rPr>
            </w:pPr>
            <w:r>
              <w:rPr>
                <w:rFonts w:ascii="Arial" w:cs="Arial" w:eastAsia="Arial" w:hAnsi="Arial"/>
                <w:sz w:val="17"/>
                <w:szCs w:val="17"/>
                <w:color w:val="0000FF"/>
              </w:rPr>
              <w:t>03/07/2022</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512"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500" w:type="dxa"/>
            <w:vAlign w:val="bottom"/>
          </w:tcPr>
          <w:p>
            <w:pPr>
              <w:spacing w:after="0"/>
              <w:rPr>
                <w:sz w:val="14"/>
                <w:szCs w:val="14"/>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8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0000FF"/>
                <w:w w:val="92"/>
              </w:rPr>
              <w:t>See</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vMerge w:val="restart"/>
          </w:tcPr>
          <w:p>
            <w:pPr>
              <w:ind w:left="400"/>
              <w:spacing w:after="0"/>
              <w:rPr>
                <w:sz w:val="20"/>
                <w:szCs w:val="20"/>
                <w:color w:val="auto"/>
              </w:rPr>
            </w:pPr>
            <w:r>
              <w:rPr>
                <w:rFonts w:ascii="Arial" w:cs="Arial" w:eastAsia="Arial" w:hAnsi="Arial"/>
                <w:sz w:val="17"/>
                <w:szCs w:val="17"/>
                <w:color w:val="0000FF"/>
              </w:rPr>
              <w:t>03/07/2022</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vMerge w:val="restart"/>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7"/>
                <w:szCs w:val="17"/>
                <w:color w:val="0000FF"/>
              </w:rPr>
              <w:t>2,000</w:t>
            </w:r>
          </w:p>
        </w:tc>
        <w:tc>
          <w:tcPr>
            <w:tcW w:w="80" w:type="dxa"/>
            <w:vAlign w:val="bottom"/>
          </w:tcPr>
          <w:p>
            <w:pPr>
              <w:spacing w:after="0"/>
              <w:rPr>
                <w:sz w:val="18"/>
                <w:szCs w:val="18"/>
                <w:color w:val="auto"/>
              </w:rPr>
            </w:pPr>
          </w:p>
        </w:tc>
        <w:tc>
          <w:tcPr>
            <w:tcW w:w="380" w:type="dxa"/>
            <w:vAlign w:val="bottom"/>
            <w:vMerge w:val="restart"/>
          </w:tcPr>
          <w:p>
            <w:pPr>
              <w:ind w:left="4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22.82</w:t>
            </w:r>
            <w:r>
              <w:rPr>
                <w:rFonts w:ascii="Arial" w:cs="Arial" w:eastAsia="Arial" w:hAnsi="Arial"/>
                <w:sz w:val="22"/>
                <w:szCs w:val="22"/>
                <w:color w:val="008000"/>
                <w:w w:val="85"/>
                <w:vertAlign w:val="superscript"/>
              </w:rPr>
              <w:t>(1)</w:t>
            </w:r>
          </w:p>
        </w:tc>
        <w:tc>
          <w:tcPr>
            <w:tcW w:w="80" w:type="dxa"/>
            <w:vAlign w:val="bottom"/>
          </w:tcPr>
          <w:p>
            <w:pPr>
              <w:spacing w:after="0"/>
              <w:rPr>
                <w:sz w:val="18"/>
                <w:szCs w:val="18"/>
                <w:color w:val="auto"/>
              </w:rPr>
            </w:pPr>
          </w:p>
        </w:tc>
        <w:tc>
          <w:tcPr>
            <w:tcW w:w="118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89"/>
              </w:rPr>
              <w:t>4,000</w:t>
            </w:r>
          </w:p>
        </w:tc>
        <w:tc>
          <w:tcPr>
            <w:tcW w:w="320" w:type="dxa"/>
            <w:vAlign w:val="bottom"/>
          </w:tcPr>
          <w:p>
            <w:pPr>
              <w:spacing w:after="0"/>
              <w:rPr>
                <w:sz w:val="18"/>
                <w:szCs w:val="18"/>
                <w:color w:val="auto"/>
              </w:rPr>
            </w:pPr>
          </w:p>
        </w:tc>
        <w:tc>
          <w:tcPr>
            <w:tcW w:w="560" w:type="dxa"/>
            <w:vAlign w:val="bottom"/>
            <w:vMerge w:val="restart"/>
          </w:tcPr>
          <w:p>
            <w:pPr>
              <w:jc w:val="center"/>
              <w:ind w:right="351"/>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20"/>
              <w:spacing w:after="0"/>
              <w:rPr>
                <w:sz w:val="20"/>
                <w:szCs w:val="20"/>
                <w:color w:val="auto"/>
              </w:rPr>
            </w:pPr>
            <w:r>
              <w:rPr>
                <w:rFonts w:ascii="Arial" w:cs="Arial" w:eastAsia="Arial" w:hAnsi="Arial"/>
                <w:sz w:val="17"/>
                <w:szCs w:val="17"/>
                <w:color w:val="0000FF"/>
              </w:rPr>
              <w:t>Explanation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vMerge w:val="restart"/>
          </w:tcPr>
          <w:p>
            <w:pPr>
              <w:ind w:left="20"/>
              <w:spacing w:after="0"/>
              <w:rPr>
                <w:sz w:val="20"/>
                <w:szCs w:val="20"/>
                <w:color w:val="auto"/>
              </w:rPr>
            </w:pPr>
            <w:r>
              <w:rPr>
                <w:rFonts w:ascii="Arial" w:cs="Arial" w:eastAsia="Arial" w:hAnsi="Arial"/>
                <w:sz w:val="17"/>
                <w:szCs w:val="17"/>
                <w:color w:val="0000FF"/>
              </w:rPr>
              <w:t>of</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gridSpan w:val="4"/>
          </w:tcPr>
          <w:p>
            <w:pPr>
              <w:ind w:left="20"/>
              <w:spacing w:after="0"/>
              <w:rPr>
                <w:sz w:val="20"/>
                <w:szCs w:val="20"/>
                <w:color w:val="auto"/>
              </w:rPr>
            </w:pPr>
            <w:r>
              <w:rPr>
                <w:rFonts w:ascii="Arial" w:cs="Arial" w:eastAsia="Arial" w:hAnsi="Arial"/>
                <w:sz w:val="17"/>
                <w:szCs w:val="17"/>
                <w:color w:val="0000FF"/>
                <w:w w:val="99"/>
              </w:rPr>
              <w:t>Responses</w:t>
            </w:r>
            <w:r>
              <w:rPr>
                <w:rFonts w:ascii="Arial" w:cs="Arial" w:eastAsia="Arial" w:hAnsi="Arial"/>
                <w:sz w:val="22"/>
                <w:szCs w:val="22"/>
                <w:color w:val="008000"/>
                <w:w w:val="99"/>
                <w:vertAlign w:val="superscript"/>
              </w:rPr>
              <w:t>(2)</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89"/>
              </w:rPr>
              <w:t>5,000</w:t>
            </w:r>
          </w:p>
        </w:tc>
        <w:tc>
          <w:tcPr>
            <w:tcW w:w="320" w:type="dxa"/>
            <w:vAlign w:val="bottom"/>
          </w:tcPr>
          <w:p>
            <w:pPr>
              <w:spacing w:after="0"/>
              <w:rPr>
                <w:sz w:val="18"/>
                <w:szCs w:val="18"/>
                <w:color w:val="auto"/>
              </w:rPr>
            </w:pPr>
          </w:p>
        </w:tc>
        <w:tc>
          <w:tcPr>
            <w:tcW w:w="560" w:type="dxa"/>
            <w:vAlign w:val="bottom"/>
            <w:vMerge w:val="restart"/>
          </w:tcPr>
          <w:p>
            <w:pPr>
              <w:jc w:val="center"/>
              <w:ind w:right="351"/>
              <w:spacing w:after="0"/>
              <w:rPr>
                <w:sz w:val="20"/>
                <w:szCs w:val="20"/>
                <w:color w:val="auto"/>
              </w:rPr>
            </w:pPr>
            <w:r>
              <w:rPr>
                <w:rFonts w:ascii="Arial" w:cs="Arial" w:eastAsia="Arial" w:hAnsi="Arial"/>
                <w:sz w:val="17"/>
                <w:szCs w:val="17"/>
                <w:color w:val="0000FF"/>
              </w:rPr>
              <w:t>I</w:t>
            </w:r>
          </w:p>
        </w:tc>
        <w:tc>
          <w:tcPr>
            <w:tcW w:w="1080" w:type="dxa"/>
            <w:vAlign w:val="bottom"/>
            <w:gridSpan w:val="4"/>
          </w:tcPr>
          <w:p>
            <w:pPr>
              <w:ind w:left="20"/>
              <w:spacing w:after="0"/>
              <w:rPr>
                <w:sz w:val="20"/>
                <w:szCs w:val="20"/>
                <w:color w:val="auto"/>
              </w:rPr>
            </w:pPr>
            <w:r>
              <w:rPr>
                <w:rFonts w:ascii="Arial" w:cs="Arial" w:eastAsia="Arial" w:hAnsi="Arial"/>
                <w:sz w:val="17"/>
                <w:szCs w:val="17"/>
                <w:color w:val="0000FF"/>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20" w:type="dxa"/>
            <w:vAlign w:val="bottom"/>
            <w:vMerge w:val="restart"/>
          </w:tcPr>
          <w:p>
            <w:pPr>
              <w:ind w:left="20"/>
              <w:spacing w:after="0"/>
              <w:rPr>
                <w:sz w:val="20"/>
                <w:szCs w:val="20"/>
                <w:color w:val="auto"/>
              </w:rPr>
            </w:pPr>
            <w:r>
              <w:rPr>
                <w:rFonts w:ascii="Arial" w:cs="Arial" w:eastAsia="Arial" w:hAnsi="Arial"/>
                <w:sz w:val="17"/>
                <w:szCs w:val="17"/>
                <w:color w:val="0000FF"/>
              </w:rPr>
              <w:t>of</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gridSpan w:val="4"/>
          </w:tcPr>
          <w:p>
            <w:pPr>
              <w:ind w:left="20"/>
              <w:spacing w:after="0"/>
              <w:rPr>
                <w:sz w:val="20"/>
                <w:szCs w:val="20"/>
                <w:color w:val="auto"/>
              </w:rPr>
            </w:pPr>
            <w:r>
              <w:rPr>
                <w:rFonts w:ascii="Arial" w:cs="Arial" w:eastAsia="Arial" w:hAnsi="Arial"/>
                <w:sz w:val="17"/>
                <w:szCs w:val="17"/>
                <w:color w:val="0000FF"/>
                <w:w w:val="99"/>
              </w:rPr>
              <w:t>Responses</w:t>
            </w:r>
            <w:r>
              <w:rPr>
                <w:rFonts w:ascii="Arial" w:cs="Arial" w:eastAsia="Arial" w:hAnsi="Arial"/>
                <w:sz w:val="22"/>
                <w:szCs w:val="22"/>
                <w:color w:val="008000"/>
                <w:w w:val="99"/>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20,000</w:t>
            </w:r>
          </w:p>
        </w:tc>
        <w:tc>
          <w:tcPr>
            <w:tcW w:w="32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jc w:val="center"/>
              <w:ind w:right="351"/>
              <w:spacing w:after="0"/>
              <w:rPr>
                <w:sz w:val="20"/>
                <w:szCs w:val="20"/>
                <w:color w:val="auto"/>
              </w:rPr>
            </w:pPr>
            <w:r>
              <w:rPr>
                <w:rFonts w:ascii="Arial" w:cs="Arial" w:eastAsia="Arial" w:hAnsi="Arial"/>
                <w:sz w:val="17"/>
                <w:szCs w:val="17"/>
                <w:color w:val="0000FF"/>
              </w:rPr>
              <w:t>D</w:t>
            </w:r>
          </w:p>
        </w:tc>
        <w:tc>
          <w:tcPr>
            <w:tcW w:w="32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7"/>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$22.64 to $23.00 inclusive. The reporting person undertakes to provide to Sixth Street Specialty Lending, Inc. (the "Issuer"), any security holder of the Issuer, or the staff of the Securities and Exchange Commission, upon request, full information regarding the number of shares purchased at each separate price within the range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purchased for the account of a family member, over which Mr. Higginbotham has investment discretion.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through a trust for which a member of Mr. Higginbotham's immediate family sharing the same household is the trustee.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4. Ian Simmonds is signing on behalf of Richard Higginbotham pursuant to a Power of Attorney dated January 4, 2021.</w:t>
      </w:r>
    </w:p>
    <w:p>
      <w:pPr>
        <w:ind w:left="6580"/>
        <w:spacing w:after="0" w:line="186" w:lineRule="auto"/>
        <w:rPr>
          <w:sz w:val="20"/>
          <w:szCs w:val="20"/>
          <w:color w:val="auto"/>
        </w:rPr>
      </w:pPr>
      <w:r>
        <w:rPr>
          <w:rFonts w:ascii="Arial" w:cs="Arial" w:eastAsia="Arial" w:hAnsi="Arial"/>
          <w:sz w:val="17"/>
          <w:szCs w:val="17"/>
          <w:color w:val="0000FF"/>
        </w:rPr>
        <w:t xml:space="preserve">/s/ Ian Simmonds, on behalf of </w:t>
      </w:r>
      <w:r>
        <w:rPr>
          <w:rFonts w:ascii="Arial" w:cs="Arial" w:eastAsia="Arial" w:hAnsi="Arial"/>
          <w:sz w:val="34"/>
          <w:szCs w:val="34"/>
          <w:color w:val="0000FF"/>
          <w:vertAlign w:val="subscript"/>
        </w:rPr>
        <w:t>03/09/2022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Richard Higginbotham(4)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39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919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403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2022-03-09T16:41:59Z</dcterms:created>
  <dcterms:modified xsi:type="dcterms:W3CDTF">2022-03-09T16:41:59Z</dcterms:modified>
</cp:coreProperties>
</file>