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May 28, 2015</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Act File No. 333-203450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N-2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20" w:type="dxa"/>
            <w:vAlign w:val="bottom"/>
          </w:tcPr>
          <w:p>
            <w:pPr>
              <w:jc w:val="center"/>
              <w:ind w:right="1981"/>
              <w:spacing w:after="0" w:line="210" w:lineRule="exact"/>
              <w:rPr>
                <w:sz w:val="20"/>
                <w:szCs w:val="20"/>
                <w:color w:val="auto"/>
              </w:rPr>
            </w:pPr>
            <w:r>
              <w:rPr>
                <w:rFonts w:ascii="Arial" w:cs="Arial" w:eastAsia="Arial" w:hAnsi="Arial"/>
                <w:sz w:val="20"/>
                <w:szCs w:val="20"/>
                <w:b w:val="1"/>
                <w:bCs w:val="1"/>
                <w:i w:val="1"/>
                <w:iCs w:val="1"/>
                <w:color w:val="auto"/>
                <w:w w:val="96"/>
              </w:rPr>
              <w:t>THE SECURITIES ACT OF 1933</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89"/>
              </w:rPr>
              <w:t>Pre-Effective Amendment No. 1</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88"/>
              </w:rPr>
              <w:t>Post-Effective Amendment No.</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301 Commerce Street, Suite 3300</w:t>
      </w:r>
    </w:p>
    <w:p>
      <w:pPr>
        <w:jc w:val="center"/>
        <w:spacing w:after="0" w:line="216" w:lineRule="auto"/>
        <w:rPr>
          <w:sz w:val="20"/>
          <w:szCs w:val="20"/>
          <w:color w:val="auto"/>
        </w:rPr>
      </w:pPr>
      <w:r>
        <w:rPr>
          <w:rFonts w:ascii="Arial" w:cs="Arial" w:eastAsia="Arial" w:hAnsi="Arial"/>
          <w:sz w:val="13"/>
          <w:szCs w:val="13"/>
          <w:b w:val="1"/>
          <w:bCs w:val="1"/>
          <w:color w:val="auto"/>
        </w:rPr>
        <w:t>Fort Worth, TX 76102</w:t>
      </w:r>
    </w:p>
    <w:p>
      <w:pPr>
        <w:jc w:val="center"/>
        <w:spacing w:after="0" w:line="217" w:lineRule="auto"/>
        <w:rPr>
          <w:sz w:val="20"/>
          <w:szCs w:val="20"/>
          <w:color w:val="auto"/>
        </w:rPr>
      </w:pPr>
      <w:r>
        <w:rPr>
          <w:rFonts w:ascii="Arial" w:cs="Arial" w:eastAsia="Arial" w:hAnsi="Arial"/>
          <w:sz w:val="13"/>
          <w:szCs w:val="13"/>
          <w:b w:val="1"/>
          <w:bCs w:val="1"/>
          <w:color w:val="auto"/>
        </w:rPr>
        <w:t>(Address of Principal Executive Offices)</w:t>
      </w:r>
    </w:p>
    <w:p>
      <w:pPr>
        <w:jc w:val="center"/>
        <w:spacing w:after="0" w:line="217" w:lineRule="auto"/>
        <w:rPr>
          <w:sz w:val="20"/>
          <w:szCs w:val="20"/>
          <w:color w:val="auto"/>
        </w:rPr>
      </w:pPr>
      <w:r>
        <w:rPr>
          <w:rFonts w:ascii="Arial" w:cs="Arial" w:eastAsia="Arial" w:hAnsi="Arial"/>
          <w:sz w:val="13"/>
          <w:szCs w:val="13"/>
          <w:b w:val="1"/>
          <w:bCs w:val="1"/>
          <w:color w:val="auto"/>
        </w:rPr>
        <w:t>(817) 871-4000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Stiepleman</w:t>
      </w:r>
    </w:p>
    <w:p>
      <w:pPr>
        <w:jc w:val="center"/>
        <w:spacing w:after="0" w:line="216" w:lineRule="auto"/>
        <w:rPr>
          <w:sz w:val="20"/>
          <w:szCs w:val="20"/>
          <w:color w:val="auto"/>
        </w:rPr>
      </w:pPr>
      <w:r>
        <w:rPr>
          <w:rFonts w:ascii="Arial" w:cs="Arial" w:eastAsia="Arial" w:hAnsi="Arial"/>
          <w:sz w:val="13"/>
          <w:szCs w:val="13"/>
          <w:b w:val="1"/>
          <w:bCs w:val="1"/>
          <w:color w:val="auto"/>
        </w:rPr>
        <w:t>c/o TPG Specialty Lending, Inc.</w:t>
      </w:r>
    </w:p>
    <w:p>
      <w:pPr>
        <w:jc w:val="center"/>
        <w:spacing w:after="0" w:line="217" w:lineRule="auto"/>
        <w:rPr>
          <w:sz w:val="20"/>
          <w:szCs w:val="20"/>
          <w:color w:val="auto"/>
        </w:rPr>
      </w:pPr>
      <w:r>
        <w:rPr>
          <w:rFonts w:ascii="Arial" w:cs="Arial" w:eastAsia="Arial" w:hAnsi="Arial"/>
          <w:sz w:val="13"/>
          <w:szCs w:val="13"/>
          <w:b w:val="1"/>
          <w:bCs w:val="1"/>
          <w:color w:val="auto"/>
        </w:rPr>
        <w:t>345 California Street, Suite 3300</w:t>
      </w:r>
    </w:p>
    <w:p>
      <w:pPr>
        <w:jc w:val="center"/>
        <w:spacing w:after="0" w:line="217" w:lineRule="auto"/>
        <w:rPr>
          <w:sz w:val="20"/>
          <w:szCs w:val="20"/>
          <w:color w:val="auto"/>
        </w:rPr>
      </w:pPr>
      <w:r>
        <w:rPr>
          <w:rFonts w:ascii="Arial" w:cs="Arial" w:eastAsia="Arial" w:hAnsi="Arial"/>
          <w:sz w:val="13"/>
          <w:szCs w:val="13"/>
          <w:b w:val="1"/>
          <w:bCs w:val="1"/>
          <w:color w:val="auto"/>
        </w:rPr>
        <w:t>San Francisco, CA 94104</w:t>
      </w:r>
    </w:p>
    <w:p>
      <w:pPr>
        <w:jc w:val="center"/>
        <w:spacing w:after="0"/>
        <w:rPr>
          <w:sz w:val="20"/>
          <w:szCs w:val="20"/>
          <w:color w:val="auto"/>
        </w:rPr>
      </w:pPr>
      <w:r>
        <w:rPr>
          <w:rFonts w:ascii="Arial" w:cs="Arial" w:eastAsia="Arial" w:hAnsi="Arial"/>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WITH COPIES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A. Gerstenzang, Esq.</w:t>
      </w:r>
    </w:p>
    <w:p>
      <w:pPr>
        <w:jc w:val="center"/>
        <w:spacing w:after="0" w:line="216" w:lineRule="auto"/>
        <w:rPr>
          <w:sz w:val="20"/>
          <w:szCs w:val="20"/>
          <w:color w:val="auto"/>
        </w:rPr>
      </w:pPr>
      <w:r>
        <w:rPr>
          <w:rFonts w:ascii="Arial" w:cs="Arial" w:eastAsia="Arial" w:hAnsi="Arial"/>
          <w:sz w:val="13"/>
          <w:szCs w:val="13"/>
          <w:b w:val="1"/>
          <w:bCs w:val="1"/>
          <w:color w:val="auto"/>
        </w:rPr>
        <w:t>Adam E. Fleisher, Esq.</w:t>
      </w:r>
    </w:p>
    <w:p>
      <w:pPr>
        <w:jc w:val="center"/>
        <w:spacing w:after="0" w:line="217" w:lineRule="auto"/>
        <w:rPr>
          <w:sz w:val="20"/>
          <w:szCs w:val="20"/>
          <w:color w:val="auto"/>
        </w:rPr>
      </w:pPr>
      <w:r>
        <w:rPr>
          <w:rFonts w:ascii="Arial" w:cs="Arial" w:eastAsia="Arial" w:hAnsi="Arial"/>
          <w:sz w:val="13"/>
          <w:szCs w:val="13"/>
          <w:b w:val="1"/>
          <w:bCs w:val="1"/>
          <w:color w:val="auto"/>
        </w:rPr>
        <w:t>Helena K. Grannis, Esq.</w:t>
      </w:r>
    </w:p>
    <w:p>
      <w:pPr>
        <w:jc w:val="center"/>
        <w:spacing w:after="0" w:line="217" w:lineRule="auto"/>
        <w:rPr>
          <w:sz w:val="20"/>
          <w:szCs w:val="20"/>
          <w:color w:val="auto"/>
        </w:rPr>
      </w:pPr>
      <w:r>
        <w:rPr>
          <w:rFonts w:ascii="Arial" w:cs="Arial" w:eastAsia="Arial" w:hAnsi="Arial"/>
          <w:sz w:val="13"/>
          <w:szCs w:val="13"/>
          <w:b w:val="1"/>
          <w:bCs w:val="1"/>
          <w:color w:val="auto"/>
        </w:rPr>
        <w:t>Cleary Gottlieb Steen &amp; Hamilton LLP</w:t>
      </w:r>
    </w:p>
    <w:p>
      <w:pPr>
        <w:jc w:val="center"/>
        <w:spacing w:after="0" w:line="217" w:lineRule="auto"/>
        <w:rPr>
          <w:sz w:val="20"/>
          <w:szCs w:val="20"/>
          <w:color w:val="auto"/>
        </w:rPr>
      </w:pPr>
      <w:r>
        <w:rPr>
          <w:rFonts w:ascii="Arial" w:cs="Arial" w:eastAsia="Arial" w:hAnsi="Arial"/>
          <w:sz w:val="13"/>
          <w:szCs w:val="13"/>
          <w:b w:val="1"/>
          <w:bCs w:val="1"/>
          <w:color w:val="auto"/>
        </w:rPr>
        <w:t>One Liberty Plaza</w:t>
      </w:r>
    </w:p>
    <w:p>
      <w:pPr>
        <w:jc w:val="center"/>
        <w:spacing w:after="0" w:line="217" w:lineRule="auto"/>
        <w:rPr>
          <w:sz w:val="20"/>
          <w:szCs w:val="20"/>
          <w:color w:val="auto"/>
        </w:rPr>
      </w:pPr>
      <w:r>
        <w:rPr>
          <w:rFonts w:ascii="Arial" w:cs="Arial" w:eastAsia="Arial" w:hAnsi="Arial"/>
          <w:sz w:val="13"/>
          <w:szCs w:val="13"/>
          <w:b w:val="1"/>
          <w:bCs w:val="1"/>
          <w:color w:val="auto"/>
        </w:rPr>
        <w:t>New York, NY 10006</w:t>
      </w:r>
    </w:p>
    <w:p>
      <w:pPr>
        <w:jc w:val="center"/>
        <w:spacing w:after="0" w:line="216" w:lineRule="auto"/>
        <w:rPr>
          <w:sz w:val="20"/>
          <w:szCs w:val="20"/>
          <w:color w:val="auto"/>
        </w:rPr>
      </w:pPr>
      <w:r>
        <w:rPr>
          <w:rFonts w:ascii="Arial" w:cs="Arial" w:eastAsia="Arial" w:hAnsi="Arial"/>
          <w:sz w:val="13"/>
          <w:szCs w:val="13"/>
          <w:b w:val="1"/>
          <w:bCs w:val="1"/>
          <w:color w:val="auto"/>
        </w:rPr>
        <w:t>Telephone: (212) 225-2000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Proposed Public Offering: </w:t>
      </w:r>
      <w:r>
        <w:rPr>
          <w:rFonts w:ascii="Arial" w:cs="Arial" w:eastAsia="Arial" w:hAnsi="Arial"/>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It is proposed that this filing will become effective (check appropriate box):</w:t>
      </w:r>
    </w:p>
    <w:p>
      <w:pPr>
        <w:spacing w:after="0" w:line="2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 UNDER THE SECURITIES ACT OF 1933</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9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Amount</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Title of Securities</w:t>
            </w: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82"/>
              </w:rPr>
              <w:t>Being</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Being Registered</w:t>
            </w:r>
          </w:p>
        </w:tc>
        <w:tc>
          <w:tcPr>
            <w:tcW w:w="18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9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Preferred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Subscription Rights (1)</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Warrants (3)</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Debt Securities (2)(4)</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5960" w:type="dxa"/>
            <w:vAlign w:val="bottom"/>
            <w:tcBorders>
              <w:bottom w:val="single" w:sz="8" w:color="auto"/>
              <w:right w:val="single" w:sz="8" w:color="auto"/>
            </w:tcBorders>
          </w:tcPr>
          <w:p>
            <w:pPr>
              <w:spacing w:after="0" w:line="116" w:lineRule="exact"/>
              <w:rPr>
                <w:sz w:val="20"/>
                <w:szCs w:val="20"/>
                <w:color w:val="auto"/>
              </w:rPr>
            </w:pPr>
            <w:r>
              <w:rPr>
                <w:rFonts w:ascii="Arial" w:cs="Arial" w:eastAsia="Arial" w:hAnsi="Arial"/>
                <w:sz w:val="13"/>
                <w:szCs w:val="13"/>
                <w:color w:val="auto"/>
              </w:rPr>
              <w:t>Total (5)</w:t>
            </w:r>
          </w:p>
        </w:tc>
        <w:tc>
          <w:tcPr>
            <w:tcW w:w="182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3"/>
                <w:szCs w:val="13"/>
                <w:color w:val="auto"/>
                <w:w w:val="88"/>
              </w:rPr>
              <w:t>$750,000,000 (6)</w:t>
            </w:r>
          </w:p>
        </w:tc>
        <w:tc>
          <w:tcPr>
            <w:tcW w:w="176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87"/>
              </w:rPr>
              <w:t>$87,150.00 (7)</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10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warrants as may be sold, from time to time, representing rights to purchase common stock, preferred stock or debt securities.</w:t>
      </w:r>
    </w:p>
    <w:p>
      <w:pPr>
        <w:spacing w:after="0" w:line="8" w:lineRule="exact"/>
        <w:rPr>
          <w:rFonts w:ascii="Arial" w:cs="Arial" w:eastAsia="Arial" w:hAnsi="Arial"/>
          <w:sz w:val="11"/>
          <w:szCs w:val="11"/>
          <w:color w:val="auto"/>
        </w:rPr>
      </w:pPr>
    </w:p>
    <w:p>
      <w:pPr>
        <w:ind w:left="340" w:right="12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no event will the aggregate offering price of all securities issued from time to time pursuant to this registration statement by the Registrant exceed $750,000,000.</w:t>
      </w:r>
    </w:p>
    <w:p>
      <w:pPr>
        <w:ind w:left="340" w:right="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22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28,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175260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2015, our investment portfolio consisted of investments in 35 portfolio companies with an aggregate fair value of $1,331.0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$11 billion of assets under management as of March 31, 2015. TPG Special Situations Partners is the special situations and credit platform of TPG, a leading global private investment firm founded in 1992 with $67 billion of assets under management as of March 31, 2015.</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May 26, 2015, the last reported sales price of our common stock on the NYSE was $18.28 per share. The net asset value per share of our common stock at March 31, 2015 (the last date prior to the date of this prospectus on which we determined net asset value) was $15.60.</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21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63"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9"/>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764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THE COMPANY</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PORTFOLIO COMPANIES</w:t>
              </w:r>
            </w:hyperlink>
          </w:p>
        </w:tc>
        <w:tc>
          <w:tcPr>
            <w:tcW w:w="68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0">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6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85">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7">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87">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Please read this prospectus and any such supplements together with any exhibits that we have filed with the SEC and the additional information described under “Available Information” and in the “Summary” and “Risk Factors” sections before you make an investment decision.</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4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“TSL,” “TSLX,”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i w:val="1"/>
          <w:iCs w:val="1"/>
          <w:color w:val="auto"/>
        </w:rPr>
      </w:pPr>
    </w:p>
    <w:p>
      <w:pPr>
        <w:ind w:left="1060" w:right="52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80" w:firstLine="443"/>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2015, our core portfolio companies, which exclude certain investments that fall outside of our typical borrower profile, had weighted average annual revenue of $126 million and weighted average annual EBITDA of $32 million.</w:t>
      </w:r>
    </w:p>
    <w:p>
      <w:pPr>
        <w:spacing w:after="0" w:line="182"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4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90"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March 31, 2015, based on fair value, our portfolio consisted of 90.1% first-lien debt investments, 7.8% second-lien debt investments, 1.0% mezzanine debt investments and 1.1% equity and other investments. Approximately 96.5% of our debt investments as of March 31, 2015 are floating rate in nature, subject to interest rate floors, which we believe helps act as a portfolio-wide hedge against inflation.</w:t>
      </w:r>
    </w:p>
    <w:p>
      <w:pPr>
        <w:spacing w:after="0" w:line="166"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of March 31, 2015, we had investments in 35 portfolio companies with an aggregate fair value of $1,331.0 million. 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As of December 31, 2014, we had investments in 34 portfolio companies with an aggregate fair value of $1,263.5 million. 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$295.5 million aggregate principal amount.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no single investment will represent more than 15% of our total investment portfolio, based on fair value.</w:t>
      </w:r>
    </w:p>
    <w:p>
      <w:pPr>
        <w:spacing w:after="0" w:line="225"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As of March 31, 2015, our portfolio was invested across 18 different industries. The largest industries in our portfolio, as of March 31, 2015, were healthcare and pharmaceuticals, business services, and financial services, which represented, as a percentage of our portfolio, 16.2%, 10.5%, and 10.3%, respectively.</w:t>
      </w:r>
    </w:p>
    <w:p>
      <w:pPr>
        <w:spacing w:after="0" w:line="18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Since we began investing in 2011, through March 31, 2015, our exited investments have resulted in an aggregate cash flow realized gross internal rate of return to us of approximately 16.3% (based on cash invested of $904.0 million and total proceeds from these exited investments of approximately $1,073.4 million). Eighty seven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March 31, 2015.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w:t>
      </w:r>
    </w:p>
    <w:p>
      <w:pPr>
        <w:spacing w:after="0" w:line="167"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$67 billion of assets under management as of March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400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6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2"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$1.24 trillion as of March 2015,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sources. Our Adviser has a dedicated team of 19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66" w:lineRule="exact"/>
        <w:rPr>
          <w:sz w:val="20"/>
          <w:szCs w:val="20"/>
          <w:color w:val="auto"/>
        </w:rPr>
      </w:pPr>
    </w:p>
    <w:p>
      <w:pPr>
        <w:ind w:left="200" w:right="4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right="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8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3,900 investment opportunities our Investment Team reviewed since our inception through March 31, 2015.</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Carefully constructed, existing portfolio consisting of predominantly senior, floating rate loans across a broad range of industries and borrowers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Since we began investing in 2011, we have invested approximately $2.5 billion. As of March 31, 2015, we had a portfolio of investments in 35 portfolio companies totaling $1,331.0 million that we believe exhibits strong credit quality and broad industry composition. As of March 31, 2015, approximately 96.5% of our debt investments bore interest at floating rates, subject to interest rate floors, and 90.1% of the fair value of our portfolio was invested in first-lien debt investments. We believe this portfolio will allow us to generate meaningful investment income, and consequently dividend income, for our stockholders.</w:t>
      </w:r>
    </w:p>
    <w:p>
      <w:pPr>
        <w:spacing w:after="0" w:line="193"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0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93" w:lineRule="exact"/>
        <w:rPr>
          <w:rFonts w:ascii="Arial" w:cs="Arial" w:eastAsia="Arial" w:hAnsi="Arial"/>
          <w:sz w:val="18"/>
          <w:szCs w:val="18"/>
          <w:color w:val="auto"/>
        </w:rPr>
      </w:pPr>
    </w:p>
    <w:p>
      <w:pPr>
        <w:ind w:left="1620" w:hanging="545"/>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hanging="545"/>
        <w:spacing w:after="0" w:line="34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54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w:t>
      </w:r>
    </w:p>
    <w:p>
      <w:pPr>
        <w:spacing w:after="0" w:line="12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Relief.”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November 3, 2014, our Board of Directors approved a stock repurchase plan, which we refer to as the Company 10b5-1 Plan, to acquire up to $50 million in the aggregate of our common stock at prices below our net asset value per share,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right="2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left="200" w:right="44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0" w:firstLine="443"/>
        <w:spacing w:after="0" w:line="264"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1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2014,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Related to Offerings Pursuant to this Prospectus.”</w:t>
      </w:r>
    </w:p>
    <w:p>
      <w:pPr>
        <w:spacing w:after="0" w:line="190"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4"/>
              </w:rPr>
              <w:t>will be reported to stockholders after the end of the calendar year. Future quarterly dividends,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if any, will be determined by our Board. See “Price Range of Common Stock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Distributions.”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the next tax year and pay a 4% excise tax on such income. We elected to retain a portion of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income and capital gains for the three months ended March 31, 2015 and the calendar years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ended December 31, 2014 and 2013 and we recorded a net expense of $0.3 million,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$1.1 million and $0.2 million, respectively, for U.S. federal excise tax as a result. Any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carryover of investment company taxable income or net capital gains must be timely declared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and distributed as a dividend in the taxable year following the taxable year in which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income or gains were earned. See “Price Range of Common Stock and Distributions” and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“Material U.S. Federal Income Tax Considerations.”</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may trade at a discount to our net asset value is separate and distinct from the risk that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our net asset value per share may decline. We cannot predict whether our shares will trade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above, at or below net asset value. See “Risk Factors—Risks Related to Offerings Pursuant to</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This Prospectus.”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TSLX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emailing us at IRTSL@tpg.com.</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2.45%</w:t>
            </w:r>
            <w:r>
              <w:rPr>
                <w:rFonts w:ascii="Arial" w:cs="Arial" w:eastAsia="Arial" w:hAnsi="Arial"/>
                <w:sz w:val="15"/>
                <w:szCs w:val="15"/>
                <w:color w:val="auto"/>
                <w:w w:val="92"/>
              </w:rPr>
              <w:t>(5)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 (17.5% of net investment income and capital gains)</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2.15%</w:t>
            </w:r>
            <w:r>
              <w:rPr>
                <w:rFonts w:ascii="Arial" w:cs="Arial" w:eastAsia="Arial" w:hAnsi="Arial"/>
                <w:sz w:val="15"/>
                <w:szCs w:val="15"/>
                <w:color w:val="auto"/>
                <w:w w:val="92"/>
              </w:rPr>
              <w:t>(6)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1.71%</w:t>
            </w:r>
            <w:r>
              <w:rPr>
                <w:rFonts w:ascii="Arial" w:cs="Arial" w:eastAsia="Arial" w:hAnsi="Arial"/>
                <w:sz w:val="15"/>
                <w:szCs w:val="15"/>
                <w:color w:val="auto"/>
                <w:w w:val="92"/>
              </w:rPr>
              <w:t>(7)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1.31%</w:t>
            </w:r>
            <w:r>
              <w:rPr>
                <w:rFonts w:ascii="Arial" w:cs="Arial" w:eastAsia="Arial" w:hAnsi="Arial"/>
                <w:sz w:val="15"/>
                <w:szCs w:val="15"/>
                <w:color w:val="auto"/>
                <w:w w:val="92"/>
              </w:rPr>
              <w:t>(8)</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7.62%</w:t>
            </w:r>
            <w:r>
              <w:rPr>
                <w:rFonts w:ascii="Arial" w:cs="Arial" w:eastAsia="Arial" w:hAnsi="Arial"/>
                <w:sz w:val="15"/>
                <w:szCs w:val="15"/>
                <w:color w:val="auto"/>
                <w:w w:val="92"/>
              </w:rPr>
              <w:t>(9)</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18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34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180" w:hanging="423"/>
        <w:spacing w:after="0" w:line="250"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$841.5 million as of March 31, 2015.</w:t>
      </w:r>
    </w:p>
    <w:p>
      <w:pPr>
        <w:ind w:left="620" w:right="20" w:hanging="423"/>
        <w:spacing w:after="0" w:line="265"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jc w:val="both"/>
        <w:ind w:left="620" w:right="220"/>
        <w:spacing w:after="0" w:line="255" w:lineRule="auto"/>
        <w:rPr>
          <w:rFonts w:ascii="Arial" w:cs="Arial" w:eastAsia="Arial" w:hAnsi="Arial"/>
          <w:sz w:val="17"/>
          <w:szCs w:val="17"/>
          <w:color w:val="auto"/>
        </w:rPr>
      </w:pPr>
      <w:r>
        <w:rPr>
          <w:rFonts w:ascii="Arial" w:cs="Arial" w:eastAsia="Arial" w:hAnsi="Arial"/>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March 31, 2015.</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440" w:hanging="423"/>
        <w:spacing w:after="0" w:line="29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three months ended March 31,</w:t>
      </w:r>
    </w:p>
    <w:p>
      <w:pPr>
        <w:ind w:left="620" w:right="380"/>
        <w:spacing w:after="0" w:line="261" w:lineRule="auto"/>
        <w:rPr>
          <w:rFonts w:ascii="Arial" w:cs="Arial" w:eastAsia="Arial" w:hAnsi="Arial"/>
          <w:sz w:val="16"/>
          <w:szCs w:val="16"/>
          <w:color w:val="auto"/>
        </w:rPr>
      </w:pPr>
      <w:r>
        <w:rPr>
          <w:rFonts w:ascii="Arial" w:cs="Arial" w:eastAsia="Arial" w:hAnsi="Arial"/>
          <w:sz w:val="18"/>
          <w:szCs w:val="18"/>
          <w:color w:val="auto"/>
        </w:rPr>
        <w:t>2015 annualized and assumes that the Incentive Fee is 17.5% for all relevant periods. However, the Incentive Fee payable to the Adviser is based on our performance and will not be paid unless we achieve certain goals.</w:t>
      </w:r>
    </w:p>
    <w:p>
      <w:pPr>
        <w:spacing w:after="0" w:line="89"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130" w:lineRule="exact"/>
        <w:rPr>
          <w:rFonts w:ascii="Arial" w:cs="Arial" w:eastAsia="Arial" w:hAnsi="Arial"/>
          <w:sz w:val="16"/>
          <w:szCs w:val="16"/>
          <w:color w:val="auto"/>
        </w:rPr>
      </w:pPr>
    </w:p>
    <w:p>
      <w:pPr>
        <w:ind w:left="620" w:right="240"/>
        <w:spacing w:after="0" w:line="259"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92" w:lineRule="exact"/>
        <w:rPr>
          <w:rFonts w:ascii="Arial" w:cs="Arial" w:eastAsia="Arial" w:hAnsi="Arial"/>
          <w:sz w:val="16"/>
          <w:szCs w:val="16"/>
          <w:color w:val="auto"/>
        </w:rPr>
      </w:pPr>
    </w:p>
    <w:p>
      <w:pPr>
        <w:ind w:left="620" w:right="240"/>
        <w:spacing w:after="0" w:line="297" w:lineRule="auto"/>
        <w:rPr>
          <w:rFonts w:ascii="Arial" w:cs="Arial" w:eastAsia="Arial" w:hAnsi="Arial"/>
          <w:sz w:val="16"/>
          <w:szCs w:val="16"/>
          <w:color w:val="auto"/>
        </w:rPr>
      </w:pPr>
      <w:r>
        <w:rPr>
          <w:rFonts w:ascii="Arial" w:cs="Arial" w:eastAsia="Arial" w:hAnsi="Arial"/>
          <w:sz w:val="16"/>
          <w:szCs w:val="16"/>
          <w:color w:val="auto"/>
        </w:rPr>
        <w:t>The second component, which we refer to as the Capital Gains Incentive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 and realize a capital gain.</w:t>
      </w:r>
    </w:p>
    <w:p>
      <w:pPr>
        <w:spacing w:after="0" w:line="63"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130" w:lineRule="exact"/>
        <w:rPr>
          <w:rFonts w:ascii="Arial" w:cs="Arial" w:eastAsia="Arial" w:hAnsi="Arial"/>
          <w:sz w:val="16"/>
          <w:szCs w:val="16"/>
          <w:color w:val="auto"/>
        </w:rPr>
      </w:pPr>
    </w:p>
    <w:p>
      <w:pPr>
        <w:ind w:left="620" w:right="200" w:hanging="423"/>
        <w:spacing w:after="0" w:line="25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payments on borrowed funds represents an estimate of our annualized interest expenses, based on our interest expense at March 31, 2015 under our credit facilities excluding fees (such as fees on undrawn amounts and amortization of upfront fees), and including the swap-adjusted interest expense related to our Convertible Senior Notes due 2019, or the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5" w:lineRule="exact"/>
        <w:rPr>
          <w:rFonts w:ascii="Arial" w:cs="Arial" w:eastAsia="Arial" w:hAnsi="Arial"/>
          <w:sz w:val="18"/>
          <w:szCs w:val="18"/>
          <w:color w:val="auto"/>
        </w:rPr>
      </w:pPr>
    </w:p>
    <w:p>
      <w:pPr>
        <w:ind w:left="620" w:right="420" w:hanging="423"/>
        <w:spacing w:after="0" w:line="281"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accrued excise taxes for the three months ending March 31, 2015 annualized.</w:t>
      </w:r>
    </w:p>
    <w:p>
      <w:pPr>
        <w:spacing w:after="0" w:line="2" w:lineRule="exact"/>
        <w:rPr>
          <w:rFonts w:ascii="Arial" w:cs="Arial" w:eastAsia="Arial" w:hAnsi="Arial"/>
          <w:sz w:val="16"/>
          <w:szCs w:val="16"/>
          <w:color w:val="auto"/>
        </w:rPr>
      </w:pPr>
    </w:p>
    <w:p>
      <w:pPr>
        <w:ind w:left="620" w:hanging="423"/>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3 years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200" w:type="dxa"/>
            <w:vAlign w:val="bottom"/>
          </w:tcPr>
          <w:p>
            <w:pPr>
              <w:spacing w:after="0"/>
              <w:rPr>
                <w:sz w:val="15"/>
                <w:szCs w:val="15"/>
                <w:color w:val="auto"/>
              </w:rPr>
            </w:pPr>
          </w:p>
        </w:tc>
        <w:tc>
          <w:tcPr>
            <w:tcW w:w="7960" w:type="dxa"/>
            <w:vAlign w:val="bottom"/>
            <w:tcBorders>
              <w:top w:val="single" w:sz="8" w:color="CCEEFF"/>
            </w:tcBorders>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 assuming a 5% annual</w:t>
            </w: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200" w:type="dxa"/>
            <w:vAlign w:val="bottom"/>
          </w:tcPr>
          <w:p>
            <w:pPr>
              <w:spacing w:after="0"/>
              <w:rPr>
                <w:sz w:val="20"/>
                <w:szCs w:val="20"/>
                <w:color w:val="auto"/>
              </w:rPr>
            </w:pPr>
          </w:p>
        </w:tc>
        <w:tc>
          <w:tcPr>
            <w:tcW w:w="796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98"/>
              </w:rPr>
              <w:t>return from realized capital gains</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6"/>
              </w:rPr>
              <w:t>$ 76</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3"/>
              </w:rPr>
              <w:t>$ 223</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7"/>
              </w:rPr>
              <w:t>$ 362</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3"/>
              </w:rPr>
              <w:t>$ 678</w:t>
            </w:r>
          </w:p>
        </w:tc>
        <w:tc>
          <w:tcPr>
            <w:tcW w:w="200" w:type="dxa"/>
            <w:vAlign w:val="bottom"/>
          </w:tcPr>
          <w:p>
            <w:pPr>
              <w:spacing w:after="0"/>
              <w:rPr>
                <w:sz w:val="20"/>
                <w:szCs w:val="20"/>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8160" w:type="dxa"/>
            <w:vAlign w:val="bottom"/>
            <w:gridSpan w:val="2"/>
          </w:tcPr>
          <w:p>
            <w:pPr>
              <w:jc w:val="right"/>
              <w:ind w:right="227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derived the selected consolidated financial data for the years ended December 31, 2014, 2013 and 2012 from our audited consolidated financial statements and related notes, which are included elsewhere in this prospectus. We derived the selected consolidated financial data for the year ended December 31, 2011 from our audited consolidated financial statements and related notes, which are not included in this prospectus. We derived the selected consolidated financial data for the three months ended March 31, 2015 and March 31, 2014 from our unaudited interim consolidated financial statements and related notes, which are included elsewhere in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March 31,</w:t>
            </w: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8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280" w:type="dxa"/>
            <w:vAlign w:val="bottom"/>
            <w:gridSpan w:val="4"/>
          </w:tcPr>
          <w:p>
            <w:pPr>
              <w:spacing w:after="0"/>
              <w:rPr>
                <w:sz w:val="20"/>
                <w:szCs w:val="20"/>
                <w:color w:val="auto"/>
              </w:rPr>
            </w:pPr>
            <w:r>
              <w:rPr>
                <w:rFonts w:ascii="Arial" w:cs="Arial" w:eastAsia="Arial" w:hAnsi="Arial"/>
                <w:sz w:val="18"/>
                <w:szCs w:val="18"/>
                <w:color w:val="auto"/>
              </w:rPr>
              <w:t>Net Investment Income (Loss) Before Income Taxes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Net Change in Unrealized Gain (Loss)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16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1,263.5</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653.9</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$1,373.8</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1,303.7</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1,039.2</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833.1</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$485.2</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395.9</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$532.2</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468.3</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464.5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$841.5</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835.4</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574.7</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$15.60</w:t>
            </w: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15.53</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15.52</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Data:</w:t>
            </w: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Number of portfolio companies at period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end</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Dividends declared per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2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income-producing securities at fair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(4)</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income-producing securities at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amortized cost</w:t>
            </w:r>
            <w:r>
              <w:rPr>
                <w:rFonts w:ascii="Arial" w:cs="Arial" w:eastAsia="Arial" w:hAnsi="Arial"/>
                <w:sz w:val="15"/>
                <w:szCs w:val="15"/>
                <w:color w:val="auto"/>
              </w:rPr>
              <w:t>(4)</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 debt investments as a</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percentage of principal</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fair value of debt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investments as a percentage of call</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price</w:t>
            </w:r>
          </w:p>
        </w:tc>
        <w:tc>
          <w:tcPr>
            <w:tcW w:w="2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 Generally Accepted Accounting Principles, or 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2014, 2013, 2012 and 2011 reflects the Adviser’s waiver of its right to receive a portion of the Management Fee prior to our initial public offering, or IPO. Following the IPO, the Adviser does not intend to waive its right to receive the full Management Fee and accordingly, we will be required to pay the full amount of the Management Fee. The Management Fee, excluding the effects of the waiver, would have been $18.3 million, $13.4 million, $8.9 million and $1.6 million for the years ended December 31, 2014, 2013, 2012 and 2011, respectively.</w:t>
      </w:r>
    </w:p>
    <w:p>
      <w:pPr>
        <w:spacing w:after="0" w:line="2" w:lineRule="exact"/>
        <w:rPr>
          <w:rFonts w:ascii="Arial" w:cs="Arial" w:eastAsia="Arial" w:hAnsi="Arial"/>
          <w:sz w:val="17"/>
          <w:szCs w:val="17"/>
          <w:color w:val="auto"/>
        </w:rPr>
      </w:pPr>
    </w:p>
    <w:p>
      <w:pPr>
        <w:ind w:left="460" w:right="10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16,638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20,787</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3,681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24,468</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15.60</w:t>
            </w:r>
          </w:p>
        </w:tc>
      </w:tr>
      <w:tr>
        <w:trPr>
          <w:trHeight w:val="350"/>
        </w:trPr>
        <w:tc>
          <w:tcPr>
            <w:tcW w:w="5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38,404</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15,288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15,999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12,230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30,684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23,116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29,433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21,242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(16,879)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(4,513)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4,106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18,603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27,294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25,348</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15.66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15.51</w:t>
            </w:r>
          </w:p>
        </w:tc>
      </w:tr>
      <w:tr>
        <w:trPr>
          <w:trHeight w:val="350"/>
        </w:trPr>
        <w:tc>
          <w:tcPr>
            <w:tcW w:w="5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Expenses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8,713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8,123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16,993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14,585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13,106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1,674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16,259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14,208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15,461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15.52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15.35</w:t>
            </w:r>
            <w:r>
              <w:rPr>
                <w:rFonts w:ascii="Arial" w:cs="Arial" w:eastAsia="Arial" w:hAnsi="Arial"/>
                <w:sz w:val="15"/>
                <w:szCs w:val="15"/>
                <w:color w:val="auto"/>
              </w:rPr>
              <w:t>(1)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15.29</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bl>
    <w:p>
      <w:pPr>
        <w:spacing w:after="0" w:line="214" w:lineRule="exact"/>
        <w:rPr>
          <w:sz w:val="20"/>
          <w:szCs w:val="20"/>
          <w:color w:val="auto"/>
        </w:rPr>
      </w:pPr>
    </w:p>
    <w:p>
      <w:pPr>
        <w:ind w:left="460" w:right="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2015,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March 31, 2015, we had $488.2 million of outstanding indebtedness, which had an annualized interest cost of 2.5% under the terms of our debt, excluding fees (such as fees on undrawn amounts and amortization of upfront fees) and giving effect to the swap-adjusted interest rate on our Convertible Senior Notes. As of March 31, 2015, the interest rate on our Convertible Senior Notes, as adjusted to give effect to the interest rate swap, was three-month London Interbank Offered Rate, or LIBOR, plus 286 basis points. For us to cover these annualized interest payments on indebtedness, we must achieve annual returns on our investments of at least 0.9%.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4"/>
              </w:rPr>
              <w:t>Assumed Return on Our Portfolio</w:t>
            </w:r>
          </w:p>
        </w:tc>
        <w:tc>
          <w:tcPr>
            <w:tcW w:w="720" w:type="dxa"/>
            <w:vAlign w:val="bottom"/>
          </w:tcPr>
          <w:p>
            <w:pPr>
              <w:spacing w:after="0"/>
              <w:rPr>
                <w:sz w:val="14"/>
                <w:szCs w:val="14"/>
                <w:color w:val="auto"/>
              </w:rPr>
            </w:pPr>
          </w:p>
        </w:tc>
      </w:tr>
      <w:tr>
        <w:trPr>
          <w:trHeight w:val="153"/>
        </w:trPr>
        <w:tc>
          <w:tcPr>
            <w:tcW w:w="6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7"/>
        </w:trPr>
        <w:tc>
          <w:tcPr>
            <w:tcW w:w="616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4"/>
                <w:szCs w:val="14"/>
                <w:color w:val="auto"/>
              </w:rPr>
            </w:pPr>
          </w:p>
        </w:tc>
        <w:tc>
          <w:tcPr>
            <w:tcW w:w="680" w:type="dxa"/>
            <w:vAlign w:val="bottom"/>
          </w:tcPr>
          <w:p>
            <w:pPr>
              <w:jc w:val="right"/>
              <w:ind w:right="142"/>
              <w:spacing w:after="0"/>
              <w:rPr>
                <w:sz w:val="20"/>
                <w:szCs w:val="20"/>
                <w:color w:val="auto"/>
              </w:rPr>
            </w:pPr>
            <w:r>
              <w:rPr>
                <w:rFonts w:ascii="Arial" w:cs="Arial" w:eastAsia="Arial" w:hAnsi="Arial"/>
                <w:sz w:val="14"/>
                <w:szCs w:val="14"/>
                <w:color w:val="auto"/>
              </w:rPr>
              <w:t>-5%</w:t>
            </w:r>
          </w:p>
        </w:tc>
        <w:tc>
          <w:tcPr>
            <w:tcW w:w="1120" w:type="dxa"/>
            <w:vAlign w:val="bottom"/>
            <w:gridSpan w:val="2"/>
          </w:tcPr>
          <w:p>
            <w:pPr>
              <w:jc w:val="right"/>
              <w:ind w:right="170"/>
              <w:spacing w:after="0"/>
              <w:rPr>
                <w:sz w:val="20"/>
                <w:szCs w:val="20"/>
                <w:color w:val="auto"/>
              </w:rPr>
            </w:pPr>
            <w:r>
              <w:rPr>
                <w:rFonts w:ascii="Arial" w:cs="Arial" w:eastAsia="Arial" w:hAnsi="Arial"/>
                <w:sz w:val="14"/>
                <w:szCs w:val="14"/>
                <w:color w:val="auto"/>
              </w:rPr>
              <w:t>0%</w:t>
            </w:r>
          </w:p>
        </w:tc>
        <w:tc>
          <w:tcPr>
            <w:tcW w:w="44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color w:val="auto"/>
              </w:rPr>
              <w:t>10%</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-9.61%</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as of March 31, 2015, (i) $1,373.8 million in total assets, (ii) $488.2 million in outstanding indebtedness, (iii) $841.5 million in net assets and (iv) annualized interest cost of 2.5%,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pre-IPO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2015, December 31, 2014 and December 31, 2013, we had elected to retain approximately $32 million, $31 million and $6 million of taxable income and capital gains, respectively, in order to provide us with additional liquidity and for the three months ended March 31, 2015 and the calendar years ended December 31, 2014 and December 31, 2013 we recorded a net expense of $0.3 million, $1.1 million and $0.2 million, respectively, for U.S. federal excise tax as a result. We can be expected to retain some income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relief order granted to us by the SEC permits us to do so or the investment is otherwise permitted under relevant SEC guidance. 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and requires stockholder consent to renew. If the Adviser resigns or is terminated, or if we do not obtain the requisite consents to renew the Adviser after an assignment, we may not be able to find a new investment adviser or hire internal management with similar expertise and ability to provide the same or equivalent services on</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2014, we are no longer an “emerging growth company,” as defined in the Jumpstart Our Business Startups Act of 2012. As a result, we are now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2014, certain dividend distributions we make to certain non-U.S. stockholders will be subject to U.S. withholding tax.”</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July 21, 2010, the Wall Street Reform and Consumer Protection Act, or the Dodd-Frank Act, was signed into law. Although passage of the Dodd-Frank Act has resulted in extensive rulemaking and regulatory changes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87"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Second-Lien and Mezzanine Debt. </w:t>
      </w:r>
      <w:r>
        <w:rPr>
          <w:rFonts w:ascii="Arial" w:cs="Arial" w:eastAsia="Arial" w:hAnsi="Arial"/>
          <w:sz w:val="18"/>
          <w:szCs w:val="18"/>
          <w:color w:val="auto"/>
        </w:rPr>
        <w:t>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interests, and any gains that we do realize on the disposition of any equity interests may not be sufficient to offset any other losses we experience.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31" w:lineRule="exact"/>
        <w:rPr>
          <w:sz w:val="20"/>
          <w:szCs w:val="20"/>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Second Amended and Restated Credit and Security Agreement between our wholly owned subsidiary, TPG SL SPV, LLC and Natixis, New York Branch and certain other lenders, which we refer to as the SPV Asset Facility, to form a CLO or other securitization vehicle in the future.</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assets. The debt of companies in financial reorganization will, in most cases, not pay current interest, may not accrue interest during reorganization and may be adversely affected by an erosion of the issuer’s fundamental value.</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officers or directors or their affiliates. These restrictions may limit the scope of investment opportunities that would otherwise be available to us.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relief order or in the limited circumstances otherwise currently permitted by regulatory guidance. See “Related-Party Transactions and Certain Relationships—Exemptive Relief” for more information on the terms of the exemptive relief order.</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78"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2014, certain dividend distributions we make to certain non-U.S. stockholders will be subject to U.S. withholding tax.</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2014. Further legislation will be required to make the exemption available with respect to such taxable years. We cannot assure you that Congress will extend the pass-through rules for taxable years commencing after December 31, 2014,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or PIK.</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70" w:lineRule="exact"/>
        <w:rPr>
          <w:sz w:val="20"/>
          <w:szCs w:val="20"/>
          <w:color w:val="auto"/>
        </w:rPr>
      </w:pPr>
    </w:p>
    <w:p>
      <w:pPr>
        <w:ind w:right="64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or PIK.”</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2014. See “Material U.S. Federal Income Tax Considerations—Regulated Investment Company Classification.”</w:t>
      </w:r>
    </w:p>
    <w:p>
      <w:pPr>
        <w:spacing w:after="0" w:line="19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or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June 30, 2015.</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right="120" w:firstLine="8"/>
        <w:spacing w:after="0" w:line="261"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500" w:firstLine="456"/>
        <w:spacing w:after="0" w:line="279" w:lineRule="auto"/>
        <w:rPr>
          <w:sz w:val="20"/>
          <w:szCs w:val="20"/>
          <w:color w:val="auto"/>
        </w:rPr>
      </w:pPr>
      <w:r>
        <w:rPr>
          <w:rFonts w:ascii="Arial" w:cs="Arial" w:eastAsia="Arial" w:hAnsi="Arial"/>
          <w:sz w:val="17"/>
          <w:szCs w:val="17"/>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May 26, 2015, the last reported closing sales price of our common stock on the NYSE was $18.28 per share, which represented a premium of approximately 17.2% to the net asset value per share reported by us as of March 31,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Price Range</w:t>
            </w:r>
          </w:p>
        </w:tc>
        <w:tc>
          <w:tcPr>
            <w:tcW w:w="260" w:type="dxa"/>
            <w:vAlign w:val="bottom"/>
            <w:vMerge w:val="restart"/>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High Sales</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82"/>
        </w:trPr>
        <w:tc>
          <w:tcPr>
            <w:tcW w:w="3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Net Asset</w:t>
            </w:r>
          </w:p>
        </w:tc>
        <w:tc>
          <w:tcPr>
            <w:tcW w:w="260" w:type="dxa"/>
            <w:vAlign w:val="bottom"/>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00" w:type="dxa"/>
            <w:vAlign w:val="bottom"/>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4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240" w:type="dxa"/>
            <w:vAlign w:val="bottom"/>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6"/>
              </w:rPr>
              <w:t>High</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150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15.51</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$16.00</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15.70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$23.90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15.66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$22.36</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$16.01</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42.8%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15.53</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$15.74</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15.60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$18.54</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$16.34</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6, 2015, our Board declared a dividend of $0.39 per share for the quarter ending June 30, 2015 to stockholders of record as of June 30, 2015. The dividend is expected to be paid on or about July 31, 2015. We anticipate that this dividend will be paid from income generated primarily by interest earned on our investment portfolio.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2015 and the years ended December 31, 2014 and 2013: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24, 2015</w:t>
      </w:r>
    </w:p>
    <w:p>
      <w:pPr>
        <w:spacing w:after="0" w:line="30"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26, 2014</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6,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4,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3, 2014</w:t>
      </w:r>
    </w:p>
    <w:p>
      <w:pPr>
        <w:spacing w:after="0" w:line="18"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 Declared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12, 2013</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30, 2013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30, 2013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p>
      <w:pPr>
        <w:spacing w:after="0" w:line="19"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Total Dividends Declared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Three Months Ended March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Dividend per Share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9"/>
              </w:rPr>
              <w:t>March 31, 2015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April 30, 2015</w:t>
            </w:r>
          </w:p>
        </w:tc>
        <w:tc>
          <w:tcPr>
            <w:tcW w:w="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Year Ended December 31, 2014</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2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Dividend per Share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89"/>
              </w:rPr>
              <w:t>March 31, 2014</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April 30, 2014</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2014</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July 31, 2014</w:t>
            </w: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September 30, 2014</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October 31, 2014</w:t>
            </w: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2014</w:t>
            </w:r>
          </w:p>
        </w:tc>
        <w:tc>
          <w:tcPr>
            <w:tcW w:w="58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January 30, 2015</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Year Ended December 31, 2013</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2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Dividend per Share</w:t>
            </w:r>
            <w:r>
              <w:rPr>
                <w:rFonts w:ascii="Arial" w:cs="Arial" w:eastAsia="Arial" w:hAnsi="Arial"/>
                <w:sz w:val="12"/>
                <w:szCs w:val="12"/>
                <w:b w:val="1"/>
                <w:bCs w:val="1"/>
                <w:color w:val="auto"/>
                <w:w w:val="91"/>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March 31, 2013</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May 6, 2013</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2013</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rPr>
              <w:t>July 31, 2013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September 30, 2013</w:t>
            </w:r>
          </w:p>
        </w:tc>
        <w:tc>
          <w:tcPr>
            <w:tcW w:w="580" w:type="dxa"/>
            <w:vAlign w:val="bottom"/>
          </w:tcPr>
          <w:p>
            <w:pPr>
              <w:spacing w:after="0"/>
              <w:rPr>
                <w:sz w:val="18"/>
                <w:szCs w:val="18"/>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October 31, 2013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2013</w:t>
            </w:r>
          </w:p>
        </w:tc>
        <w:tc>
          <w:tcPr>
            <w:tcW w:w="58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January 30, 2014</w:t>
            </w: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-1534160</wp:posOffset>
            </wp:positionV>
            <wp:extent cx="666369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-1242695</wp:posOffset>
            </wp:positionV>
            <wp:extent cx="66636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-454025</wp:posOffset>
            </wp:positionV>
            <wp:extent cx="666369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-162560</wp:posOffset>
            </wp:positionV>
            <wp:extent cx="666369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-736600</wp:posOffset>
            </wp:positionV>
            <wp:extent cx="666369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-1817370</wp:posOffset>
            </wp:positionV>
            <wp:extent cx="666369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-2486660</wp:posOffset>
            </wp:positionV>
            <wp:extent cx="666369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300"/>
          </w:cols>
          <w:pgMar w:left="240" w:top="459" w:right="239" w:bottom="1440" w:gutter="0" w:footer="0" w:header="0"/>
          <w:type w:val="continuous"/>
        </w:sectPr>
      </w:pPr>
    </w:p>
    <w:p>
      <w:pPr>
        <w:spacing w:after="0" w:line="4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2015 were derived from net investment income, determined on a tax basis. The dividends declared during the years ended December 31, 2014 and December 31, 2013, were derived from net investment income and long-term capital gains, determined on a tax basis.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5620" w:right="2200" w:hanging="5045"/>
        <w:spacing w:after="0" w:line="449" w:lineRule="auto"/>
        <w:tabs>
          <w:tab w:leader="none" w:pos="8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 52</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2015 and for the calendar years ended December 31, 2014 and 2013 for purposes of additional liquidity and we recorded a net expense of $0.3 million, $1.1 million and $0.2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November 3, 2014, our Board approved a stock repurchase plan,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2015, our core portfolio companies, which excludes certain investments that fall outside of our typical borrower profile, had weighted average annual revenue of $126 million and weighted average annual EBITDA of $32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our average investment size in each of our portfolio companies was approximately $38.0 million.</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no industry represented more than 16.2% of our total investment portfolio.</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March 31, 2015,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97.9% of our portfolio was invested in secured debt, including 90.1%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2015, the weighted average term on new investment commitments in new portfolio companies was 5.5 years.</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March 31, 2015, we had call protection on 93.9% of our debt investments, with weighted average call prices of 107.2% for the first year, 104.0% for the second year and 102.0% for the third year, in each case from the date of the initial investment. As of March 31, 2015, 96.5% of our debt investments bore interest at floating rates, subject to interest rate floors, which we believe helps act as a portfolio-wide hedge against inflation.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TSSP, with over $11 billion of assets under management,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is TPG’s special situations and credit platform. TSSP has extensive experience with highly complex, global public and private investments executed through primary originations, secondary market purchases and restructurings, and has a team of over 100 investment and operating professionals. Twenty six (26) of these personnel are dedicated to our business, including 19 investment professionals.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In 2014, the Adviser entered into a purchase agreement, the Adviser 10b5-1 Plan, in accordance with Rules 10b5-1 and 10b-18 under the Exchange Act, under which an agent for the Adviser, would buy up to $25 million in the aggregate of our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March 31, 2015, 96.5% bear interest at a floating rate, subject to interest rate floors. Interest on debt investments is generally payable quarterly or semiannually. Some of our investments provide for deferred interest payments or PIK interest. For the three months ended March 31, 2015, less than 3.0% of our total investment income was comprised of PIK interest.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current period changes in fair value of investments that are measured at fair value as a component of the net change in unrealized appreciation (depreciation) on investments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limited number of providers of capital to middle-market companies, combined with expected increases in required capital levels for financial institutions, reduces the capacity of traditional lenders to serve middle-market companies. Further, GE Capital, the largest non-bank lender in the U.S. middle market, recently announced its intention to sell nearly all of its non-captive finance assets. We believe that the exit of one of the largest middle market non-bank lender will likely create opportunities for the remaining non-bank lenders, including BDCs.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March 31, 2015, our portfolio consisted of 90.1% first-lien debt investments, 7.8% second-lien debt investments, 1.0% mezzanine debt investments and 1.1% equity and other investments. As of December 31, 2014, our portfolio consisted of 89.0% first-lien debt investments, 8.8% second-lien debt investments, 1.0% mezzanine debt investments, and 1.2% equity and other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As of March 31, 2015 and December 31, 2014, our weighted average total yield of debt and income producing securities at fair value (which includes interest income and amortization of fees and discounts) was 10.4% and 10.3%, respectively, and our weighted average total yield of debt and income producing securities at amortized cost (which includes interest income and amortization of fees and discounts) was 10.3% and 10.3%, respectively.</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March 31, 2015 and December 31, 2014, we had investments in 35 and 34 portfolio companies, respectively, with an aggregate fair value of $1,331.0 million and $1,263.5 million, respectively.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a net portfolio increase of $187.0 million aggregate principal amount.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a net portfolio increase of $487.5 million aggregate principal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2015 and 2014 and for the years ended December 31, 2014, 2013 and 2012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r>
      <w:tr>
        <w:trPr>
          <w:trHeight w:val="171"/>
        </w:trPr>
        <w:tc>
          <w:tcPr>
            <w:tcW w:w="48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Gross originations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267.8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1,120.1</w:t>
            </w:r>
          </w:p>
        </w:tc>
        <w:tc>
          <w:tcPr>
            <w:tcW w:w="3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897.5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1,071.7</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Syndications/sell downs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357.5</w:t>
            </w: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 new investment commitments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122.0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218.0</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681.3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497.9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603.9</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First-lien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395.0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173.4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Second-lien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Mezzanine</w:t>
            </w: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Number of new investment commitments in new portfolio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companies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 amount in new</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portfolio companies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33.7</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Weighted average term for new investment commitments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 new portfolio companies (in years)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Percentage of new debt investment commitments at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floating rates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Percentage of new debt investment commitments at fixed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rates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of new investment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rate investment commitments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198"/>
        </w:trPr>
        <w:tc>
          <w:tcPr>
            <w:tcW w:w="2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 investments sold 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paid down</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2015, December 31, 2014 and December 31, 2013, our investments consisted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 in millions)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First-lien debt investments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Second-lien debt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Mezzanine debt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Equity and other investments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420" w:type="dxa"/>
            <w:vAlign w:val="bottom"/>
            <w:gridSpan w:val="5"/>
          </w:tcPr>
          <w:p>
            <w:pPr>
              <w:jc w:val="center"/>
              <w:ind w:left="317"/>
              <w:spacing w:after="0"/>
              <w:rPr>
                <w:sz w:val="20"/>
                <w:szCs w:val="20"/>
                <w:color w:val="auto"/>
              </w:rPr>
            </w:pPr>
            <w:r>
              <w:rPr>
                <w:rFonts w:ascii="Arial" w:cs="Arial" w:eastAsia="Arial" w:hAnsi="Arial"/>
                <w:sz w:val="14"/>
                <w:szCs w:val="14"/>
                <w:b w:val="1"/>
                <w:bCs w:val="1"/>
                <w:color w:val="auto"/>
                <w:w w:val="94"/>
              </w:rPr>
              <w:t>March 31, 2015</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158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91"/>
              </w:rPr>
              <w:t>December 31, 2013</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6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320" w:type="dxa"/>
            <w:vAlign w:val="bottom"/>
          </w:tcPr>
          <w:p>
            <w:pPr>
              <w:spacing w:after="0"/>
              <w:rPr>
                <w:sz w:val="12"/>
                <w:szCs w:val="12"/>
                <w:color w:val="auto"/>
              </w:rPr>
            </w:pPr>
          </w:p>
        </w:tc>
        <w:tc>
          <w:tcPr>
            <w:tcW w:w="10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Amortized Cost</w:t>
            </w:r>
          </w:p>
        </w:tc>
        <w:tc>
          <w:tcPr>
            <w:tcW w:w="3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Fair Value</w:t>
            </w:r>
          </w:p>
        </w:tc>
        <w:tc>
          <w:tcPr>
            <w:tcW w:w="11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12"/>
                <w:szCs w:val="12"/>
                <w:color w:val="auto"/>
              </w:rPr>
            </w:pPr>
          </w:p>
        </w:tc>
      </w:tr>
      <w:tr>
        <w:trPr>
          <w:trHeight w:val="192"/>
        </w:trPr>
        <w:tc>
          <w:tcPr>
            <w:tcW w:w="1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1,199.2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jc w:val="center"/>
              <w:ind w:right="379"/>
              <w:spacing w:after="0" w:line="192"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88"/>
              </w:rPr>
              <w:t>1,206.4</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1,124.2</w:t>
            </w:r>
          </w:p>
        </w:tc>
        <w:tc>
          <w:tcPr>
            <w:tcW w:w="300" w:type="dxa"/>
            <w:vAlign w:val="bottom"/>
          </w:tcPr>
          <w:p>
            <w:pPr>
              <w:spacing w:after="0"/>
              <w:rPr>
                <w:sz w:val="16"/>
                <w:szCs w:val="16"/>
                <w:color w:val="auto"/>
              </w:rPr>
            </w:pPr>
          </w:p>
        </w:tc>
        <w:tc>
          <w:tcPr>
            <w:tcW w:w="340" w:type="dxa"/>
            <w:vAlign w:val="bottom"/>
            <w:tcBorders>
              <w:top w:val="single" w:sz="8" w:color="auto"/>
            </w:tcBorders>
          </w:tcPr>
          <w:p>
            <w:pPr>
              <w:jc w:val="center"/>
              <w:ind w:right="159"/>
              <w:spacing w:after="0" w:line="192"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1,127.2</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877.2</w:t>
            </w:r>
          </w:p>
        </w:tc>
        <w:tc>
          <w:tcPr>
            <w:tcW w:w="340" w:type="dxa"/>
            <w:vAlign w:val="bottom"/>
          </w:tcPr>
          <w:p>
            <w:pPr>
              <w:spacing w:after="0"/>
              <w:rPr>
                <w:sz w:val="16"/>
                <w:szCs w:val="16"/>
                <w:color w:val="auto"/>
              </w:rPr>
            </w:pPr>
          </w:p>
        </w:tc>
        <w:tc>
          <w:tcPr>
            <w:tcW w:w="660" w:type="dxa"/>
            <w:vAlign w:val="bottom"/>
            <w:tcBorders>
              <w:top w:val="single" w:sz="8" w:color="auto"/>
            </w:tcBorders>
          </w:tcPr>
          <w:p>
            <w:pPr>
              <w:jc w:val="center"/>
              <w:ind w:right="499"/>
              <w:spacing w:after="0" w:line="192"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w w:val="98"/>
              </w:rPr>
              <w:t>863.4</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103.2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104.7</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111.4</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111.1</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137.5</w:t>
            </w:r>
          </w:p>
        </w:tc>
        <w:tc>
          <w:tcPr>
            <w:tcW w:w="6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131.1</w:t>
            </w:r>
          </w:p>
        </w:tc>
      </w:tr>
      <w:tr>
        <w:trPr>
          <w:trHeight w:val="216"/>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14.1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13.0</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13.4</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8"/>
        </w:trPr>
        <w:tc>
          <w:tcPr>
            <w:tcW w:w="1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14.5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14.9</w:t>
            </w:r>
          </w:p>
        </w:tc>
        <w:tc>
          <w:tcPr>
            <w:tcW w:w="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1.8</w:t>
            </w:r>
          </w:p>
        </w:tc>
        <w:tc>
          <w:tcPr>
            <w:tcW w:w="6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r>
      <w:tr>
        <w:trPr>
          <w:trHeight w:val="212"/>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1,331.0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center"/>
              <w:ind w:right="379"/>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1,346.0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1,263.5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1,273.2</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1,016.5</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ind w:right="499"/>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997.3</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-719455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-445135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-153670</wp:posOffset>
            </wp:positionV>
            <wp:extent cx="72466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7100"/>
          </w:cols>
          <w:pgMar w:left="240" w:top="459" w:right="239" w:bottom="1440" w:gutter="0" w:footer="0" w:header="0"/>
          <w:type w:val="continuous"/>
        </w:sectPr>
      </w:pPr>
    </w:p>
    <w:p>
      <w:pPr>
        <w:spacing w:after="0" w:line="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shows the amortized cost of our performing and non-accrual investments as of March 31, 2015, December 31, 2014 and December 31,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4"/>
                <w:szCs w:val="14"/>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5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Non-accrual (1)</w:t>
            </w: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1,273.2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2015, December 31, 2014 and December 31, 2013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1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4"/>
              </w:rPr>
              <w:t>March 31, 2015</w:t>
            </w:r>
          </w:p>
        </w:tc>
        <w:tc>
          <w:tcPr>
            <w:tcW w:w="23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0"/>
              </w:rPr>
              <w:t>December 31, 2014</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2013</w:t>
            </w:r>
          </w:p>
        </w:tc>
      </w:tr>
      <w:tr>
        <w:trPr>
          <w:trHeight w:val="182"/>
        </w:trPr>
        <w:tc>
          <w:tcPr>
            <w:tcW w:w="4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w:t>
            </w:r>
          </w:p>
        </w:tc>
        <w:tc>
          <w:tcPr>
            <w:tcW w:w="9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producing securities</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10.4%</w:t>
            </w:r>
          </w:p>
        </w:tc>
        <w:tc>
          <w:tcPr>
            <w:tcW w:w="23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income producing securities</w:t>
            </w: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9.9%</w:t>
            </w:r>
          </w:p>
        </w:tc>
        <w:tc>
          <w:tcPr>
            <w:tcW w:w="2340" w:type="dxa"/>
            <w:vAlign w:val="bottom"/>
            <w:gridSpan w:val="2"/>
          </w:tcPr>
          <w:p>
            <w:pPr>
              <w:jc w:val="right"/>
              <w:ind w:right="102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w:t>
            </w: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investments</w:t>
            </w:r>
          </w:p>
        </w:tc>
        <w:tc>
          <w:tcPr>
            <w:tcW w:w="21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8.8%</w:t>
            </w:r>
          </w:p>
        </w:tc>
        <w:tc>
          <w:tcPr>
            <w:tcW w:w="23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March 31, 2015, December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2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Investment</w:t>
            </w:r>
          </w:p>
        </w:tc>
        <w:tc>
          <w:tcPr>
            <w:tcW w:w="340" w:type="dxa"/>
            <w:vAlign w:val="bottom"/>
          </w:tcPr>
          <w:p>
            <w:pPr>
              <w:spacing w:after="0"/>
              <w:rPr>
                <w:sz w:val="13"/>
                <w:szCs w:val="13"/>
                <w:color w:val="auto"/>
              </w:rPr>
            </w:pPr>
          </w:p>
        </w:tc>
        <w:tc>
          <w:tcPr>
            <w:tcW w:w="2520" w:type="dxa"/>
            <w:vAlign w:val="bottom"/>
            <w:gridSpan w:val="5"/>
          </w:tcPr>
          <w:p>
            <w:pPr>
              <w:jc w:val="right"/>
              <w:ind w:right="1220"/>
              <w:spacing w:after="0"/>
              <w:rPr>
                <w:sz w:val="20"/>
                <w:szCs w:val="20"/>
                <w:color w:val="auto"/>
              </w:rPr>
            </w:pPr>
            <w:r>
              <w:rPr>
                <w:rFonts w:ascii="Arial" w:cs="Arial" w:eastAsia="Arial" w:hAnsi="Arial"/>
                <w:sz w:val="13"/>
                <w:szCs w:val="13"/>
                <w:b w:val="1"/>
                <w:bCs w:val="1"/>
                <w:color w:val="auto"/>
              </w:rPr>
              <w:t>March 31, 2015</w:t>
            </w:r>
          </w:p>
        </w:tc>
        <w:tc>
          <w:tcPr>
            <w:tcW w:w="320" w:type="dxa"/>
            <w:vAlign w:val="bottom"/>
          </w:tcPr>
          <w:p>
            <w:pPr>
              <w:spacing w:after="0"/>
              <w:rPr>
                <w:sz w:val="13"/>
                <w:szCs w:val="13"/>
                <w:color w:val="auto"/>
              </w:rPr>
            </w:pPr>
          </w:p>
        </w:tc>
        <w:tc>
          <w:tcPr>
            <w:tcW w:w="2520" w:type="dxa"/>
            <w:vAlign w:val="bottom"/>
            <w:gridSpan w:val="4"/>
          </w:tcPr>
          <w:p>
            <w:pPr>
              <w:jc w:val="right"/>
              <w:ind w:right="1120"/>
              <w:spacing w:after="0"/>
              <w:rPr>
                <w:sz w:val="20"/>
                <w:szCs w:val="20"/>
                <w:color w:val="auto"/>
              </w:rPr>
            </w:pPr>
            <w:r>
              <w:rPr>
                <w:rFonts w:ascii="Arial" w:cs="Arial" w:eastAsia="Arial" w:hAnsi="Arial"/>
                <w:sz w:val="13"/>
                <w:szCs w:val="13"/>
                <w:b w:val="1"/>
                <w:bCs w:val="1"/>
                <w:color w:val="auto"/>
              </w:rPr>
              <w:t>December 31, 2014</w:t>
            </w:r>
          </w:p>
        </w:tc>
        <w:tc>
          <w:tcPr>
            <w:tcW w:w="340" w:type="dxa"/>
            <w:vAlign w:val="bottom"/>
          </w:tcPr>
          <w:p>
            <w:pPr>
              <w:spacing w:after="0"/>
              <w:rPr>
                <w:sz w:val="13"/>
                <w:szCs w:val="13"/>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December 31, 2013</w:t>
            </w:r>
          </w:p>
        </w:tc>
        <w:tc>
          <w:tcPr>
            <w:tcW w:w="0" w:type="dxa"/>
            <w:vAlign w:val="bottom"/>
          </w:tcPr>
          <w:p>
            <w:pPr>
              <w:spacing w:after="0"/>
              <w:rPr>
                <w:sz w:val="1"/>
                <w:szCs w:val="1"/>
                <w:color w:val="auto"/>
              </w:rPr>
            </w:pPr>
          </w:p>
        </w:tc>
      </w:tr>
      <w:tr>
        <w:trPr>
          <w:trHeight w:val="102"/>
        </w:trPr>
        <w:tc>
          <w:tcPr>
            <w:tcW w:w="2180" w:type="dxa"/>
            <w:vAlign w:val="bottom"/>
            <w:gridSpan w:val="2"/>
            <w:vMerge w:val="continue"/>
          </w:tcPr>
          <w:p>
            <w:pPr>
              <w:spacing w:after="0"/>
              <w:rPr>
                <w:sz w:val="8"/>
                <w:szCs w:val="8"/>
                <w:color w:val="auto"/>
              </w:rPr>
            </w:pPr>
          </w:p>
        </w:tc>
        <w:tc>
          <w:tcPr>
            <w:tcW w:w="1400" w:type="dxa"/>
            <w:vAlign w:val="bottom"/>
            <w:tcBorders>
              <w:top w:val="single" w:sz="8" w:color="auto"/>
            </w:tcBorders>
            <w:gridSpan w:val="4"/>
          </w:tcPr>
          <w:p>
            <w:pPr>
              <w:ind w:left="20"/>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420" w:type="dxa"/>
            <w:vAlign w:val="bottom"/>
          </w:tcPr>
          <w:p>
            <w:pPr>
              <w:spacing w:after="0"/>
              <w:rPr>
                <w:sz w:val="8"/>
                <w:szCs w:val="8"/>
                <w:color w:val="auto"/>
              </w:rPr>
            </w:pPr>
          </w:p>
        </w:tc>
        <w:tc>
          <w:tcPr>
            <w:tcW w:w="140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400" w:type="dxa"/>
            <w:vAlign w:val="bottom"/>
          </w:tcPr>
          <w:p>
            <w:pPr>
              <w:spacing w:after="0"/>
              <w:rPr>
                <w:sz w:val="8"/>
                <w:szCs w:val="8"/>
                <w:color w:val="auto"/>
              </w:rPr>
            </w:pPr>
          </w:p>
        </w:tc>
        <w:tc>
          <w:tcPr>
            <w:tcW w:w="1400" w:type="dxa"/>
            <w:vAlign w:val="bottom"/>
            <w:tcBorders>
              <w:top w:val="single" w:sz="8" w:color="auto"/>
            </w:tcBorders>
            <w:gridSpan w:val="3"/>
          </w:tcPr>
          <w:p>
            <w:pPr>
              <w:ind w:left="20"/>
              <w:spacing w:after="0" w:line="102" w:lineRule="exact"/>
              <w:rPr>
                <w:sz w:val="20"/>
                <w:szCs w:val="20"/>
                <w:color w:val="auto"/>
              </w:rPr>
            </w:pPr>
            <w:r>
              <w:rPr>
                <w:rFonts w:ascii="Arial" w:cs="Arial" w:eastAsia="Arial" w:hAnsi="Arial"/>
                <w:sz w:val="11"/>
                <w:szCs w:val="11"/>
                <w:b w:val="1"/>
                <w:bCs w:val="1"/>
                <w:color w:val="auto"/>
              </w:rPr>
              <w:t>Investments at Fair</w:t>
            </w:r>
          </w:p>
        </w:tc>
        <w:tc>
          <w:tcPr>
            <w:tcW w:w="10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Percentage of Total</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Performance Rating</w:t>
            </w: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gridSpan w:val="2"/>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4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4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 xml:space="preserve">Value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 in millions)</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Portfolio</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786.1</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59.1%</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904.3</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71.6%</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3"/>
        </w:trPr>
        <w:tc>
          <w:tcPr>
            <w:tcW w:w="19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470.0</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260.7</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34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116.4</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98.5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19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74.9</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7"/>
                <w:szCs w:val="17"/>
                <w:color w:val="auto"/>
              </w:rPr>
            </w:pPr>
          </w:p>
        </w:tc>
        <w:tc>
          <w:tcPr>
            <w:tcW w:w="10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80" w:type="dxa"/>
            <w:vAlign w:val="bottom"/>
            <w:gridSpan w:val="2"/>
          </w:tcPr>
          <w:p>
            <w:pPr>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1,331.0</w:t>
            </w:r>
          </w:p>
        </w:tc>
        <w:tc>
          <w:tcPr>
            <w:tcW w:w="3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1,263.5</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1,016.5</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2015 and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months ended March 31, 2015 and 2014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Net expenses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00" w:type="dxa"/>
            <w:vAlign w:val="bottom"/>
            <w:gridSpan w:val="2"/>
            <w:vMerge w:val="restart"/>
          </w:tcPr>
          <w:p>
            <w:pPr>
              <w:ind w:left="1380"/>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income</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$31.1 million for the three months ended March 31, 2014 to $34.3 million for the three months ended March 31, 2015, primarily due to the increase in the size of our investment portfolio. The average size of our investment portfolio increased from $1.1 billion during the three months ended March 31, 2014 to $1.3 billion during the three months ended March 31, 2015. In addition, accelerated amortization of upfront fees primarily from unscheduled paydowns decreased from $1.2 million for the three months ended March 31, 2014 to $0.3 million for the three months ended March 31, 2015. In addition, prepayment fees increased from $1.0 million for the three months ended March 31, 2014 to $1.7 million for the three months ended March 31, 2015. The accelerated amortization and prepayment fees primarily resulted from full paydowns on three portfolio investments during the three months ended March 31, 2014 and full paydowns on two portfolio investments during the three months ended March 31, 2015. Other income increased from $2.4 million for the three months ended March 31, 2014 to $3.4 million for the three months ended March 31, 2015, primarily due to higher syndication, amendment and agency fees earned during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Interest, including other debt financing expenses, increased from $3.8 million for the three months ended March 31, 2014 to $4.2 million for the three months ended March 31, 2015. This increase was primarily due to an increase in the average interest rate on our debt outstanding from 2.5% for the three months ended March 31, 2014 to 2.6% for the three months ended March 31, 2015. The increase in the average interest rate on our debt was offset by a decrease in the weighted average debt outstanding from $471 million for the three months ended March 31, 2014 to $422 million for the three months ended March 31, 2015.</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Management Fees (net of waivers) increased from $1.8 million for the three months ended March 31, 2014 to $5.0 million for the three months ended March 31, 2015. Management Fees increased from $4.2 million for the three months ended March 31, 2014 to $5.0 million for the three months ended March 31, 2015 due to the increase in total assets, which increased from an average of $1.1 billion for the three months ended March 31, 2014 to an average of $1.3 billion for the three months ended March 31, 2015. Management Fees waived were $2.4 million for the three months ended March 31, 2014. There were no management fees waived for the three months ended March 31, 2015.</w:t>
      </w:r>
    </w:p>
    <w:p>
      <w:pPr>
        <w:spacing w:after="0" w:line="17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Incentive Fees related to pre-Incentive Fee net investment income increased from $3.9 million for the three months ended March 31, 2014 to $4.5 million for the three months ended March 31, 2015. This increase resulted from an increase in the Incentive Fee rate from 15% through March 31, 2014 to 17.5% beginning April 1, 2014 as a result of the consummation of our IPO. Incentive Fees related to capital gains and losses decreased from $0.6 million for the three months ended March 31, 2014 to $0.5 million for the three months ended March 31, 2015 due to changes in unrealized gains and losses on our investments, realized gains on our investments and realized losses on foreign currency transactions.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Professional fees were $1.2 million for each of the three months ended March 31, 2014 and 2015, while other general and administrative fees increased from $0.9 million for the three months ended March 31, 2014 to $1.1 million for the three months ended March 31, 2015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2015 and 2014 we recorded a net expense of $0.3 million and $9 thousand, respectively, for U.S. federal excise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708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foreign currency transactions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Unrealized appreciation on foreign currency cash and forward contracts</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depreciation on interest rate swaps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7080" w:type="dxa"/>
            <w:vAlign w:val="bottom"/>
          </w:tcPr>
          <w:p>
            <w:pPr>
              <w:spacing w:after="0" w:line="205" w:lineRule="exact"/>
              <w:rPr>
                <w:sz w:val="20"/>
                <w:szCs w:val="20"/>
                <w:color w:val="auto"/>
              </w:rPr>
            </w:pPr>
            <w:r>
              <w:rPr>
                <w:rFonts w:ascii="Arial" w:cs="Arial" w:eastAsia="Arial" w:hAnsi="Arial"/>
                <w:sz w:val="18"/>
                <w:szCs w:val="18"/>
                <w:b w:val="1"/>
                <w:bCs w:val="1"/>
                <w:color w:val="auto"/>
                <w:w w:val="97"/>
              </w:rPr>
              <w:t>Net Change in Unrealized Gains on Foreign Currency Transactions and Interest Rate</w:t>
            </w: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700"/>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the three months ended March 31, 2015, we had net realized gains on investments of $0.3 million. For the three months ended March 31, 2014 we had net realized losses on investments of less than $0.1 million. For the three months ended March 31, 2015, we had net realized gains on interest rate swaps of $1.8 million. For the three months ended March 31, 2015, we had net realized gains on foreign currency transactions and foreign currency forward contracts of less than $0.1 million, primarily as a result of translating foreign currency related to our non-USD denominated investments. For the three months ended March 31, 2014 we had net realized losses on foreign currency forward contracts of $1.6 million primarily as a result of settling our foreign currency forward contracts. For the three months ended March 31, 2015, we had net realized losses of $0.1 million on foreign currency investments and net realized gains of $0.1 million on foreign currency borrowings. We did not have realized gains or losses on foreign currency investments or foreign currency borrowings for the three months ended March 31, 2014.</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three months ended March 31, 2015 we had $7.2 million in unrealized appreciation on 22 portfolio company investments, which was offset by $12.5 million in unrealized depreciation on 15 portfolio company investments. Unrealized appreciation resulted from an increase in fair market value, primarily due to a tightening spread environment and positive credit-related adjustments. Unrealized depreciation resulted from the reversal of prior period unrealized appreciation and in some instances negative credit-related adjustments.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March 31, 2014, we had $8.4 million in unrealized appreciation on 20 portfolio company investments which was partially offset by $4.5 million in unrealized depreciation on 13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three months ended March 31, 2015, we had unrealized appreciation on foreign currency borrowings of $7.2 million, primarily as a result of fluctuations in the GBP, SEK and EUR exchange rates. For the three months ended March 31, 2014, we had unrealized appreciation on foreign currency borrowings of $0.5 million, primarily as a result of fluctuations in the GBP and SEK exchange rates. For the three months ended March 31, 2015, we had unrealized depreciation on foreign currency cash and forward contracts of less than $0.1 million. For the three months ended March 31, 2014, we had unrealized appreciation on foreign currency forward contracts of $1.3 million. For the three months ended March 31, 2015, we had unrealized depreciation on interest rate swaps of $0.3 million due to fluctuations in interest rates. For the three months ended March 31, 2014, we did not have unrealized appreciation or depreciation on interest rate swaps.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2014, 2013 and 2012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2014, 2013 and 2012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2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Less: Net expenses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57.5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realized gains (losses) on investments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10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100" w:type="dxa"/>
            <w:vAlign w:val="bottom"/>
            <w:gridSpan w:val="2"/>
          </w:tcPr>
          <w:p>
            <w:pPr>
              <w:jc w:val="right"/>
              <w:ind w:right="108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120" w:type="dxa"/>
            <w:vAlign w:val="bottom"/>
          </w:tcPr>
          <w:p>
            <w:pPr>
              <w:spacing w:after="0"/>
              <w:rPr>
                <w:sz w:val="10"/>
                <w:szCs w:val="10"/>
                <w:color w:val="auto"/>
              </w:rPr>
            </w:pPr>
          </w:p>
        </w:tc>
        <w:tc>
          <w:tcPr>
            <w:tcW w:w="1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Dividend income</w:t>
            </w:r>
          </w:p>
        </w:tc>
        <w:tc>
          <w:tcPr>
            <w:tcW w:w="180" w:type="dxa"/>
            <w:vAlign w:val="bottom"/>
          </w:tcPr>
          <w:p>
            <w:pPr>
              <w:spacing w:after="0"/>
              <w:rPr>
                <w:sz w:val="18"/>
                <w:szCs w:val="18"/>
                <w:color w:val="auto"/>
              </w:rPr>
            </w:pPr>
          </w:p>
        </w:tc>
        <w:tc>
          <w:tcPr>
            <w:tcW w:w="15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$90.4 million for the year ended December 31, 2013 to $154.0 million for the year ended December 31, 2014, primarily due to the increase in the size of our investment portfolio. The average size of our investment portfolio increased from $0.8 billion during the year ended December 31, 2013 to $1.2 billion during the year ended December 31, 2014. In addition, accelerated amortization of upfront fees primarily from unscheduled paydowns increased from $3.0 million for the year ended December 31, 2013 to $12.5 million for the year ended December 31, 2014. In addition, prepayment fees increased from $3.0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These prepayment fees resulted from full or partial paydowns on portfolio investments. Dividend income was $1.2 million for the year ended December 31, 2012 due to the receipt of a dividend from a non-controlled, affiliated investment. There was no dividend income in the year ended December 31, 2013. Other income increased from $0.7 million for the year ended December 31, 2012 to $2.2 million for the year ended December 31, 2013, primarily due to higher syndication, amendment and agency fees earned during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2014, 2013 and 2012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tcPr>
          <w:p>
            <w:pPr>
              <w:jc w:val="right"/>
              <w:ind w:right="1080"/>
              <w:spacing w:after="0" w:line="142" w:lineRule="exact"/>
              <w:rPr>
                <w:sz w:val="20"/>
                <w:szCs w:val="20"/>
                <w:color w:val="auto"/>
              </w:rPr>
            </w:pPr>
            <w:r>
              <w:rPr>
                <w:rFonts w:ascii="Arial" w:cs="Arial" w:eastAsia="Arial" w:hAnsi="Arial"/>
                <w:sz w:val="14"/>
                <w:szCs w:val="14"/>
                <w:b w:val="1"/>
                <w:bCs w:val="1"/>
                <w:color w:val="auto"/>
                <w:w w:val="88"/>
              </w:rPr>
              <w:t>December 31, 2014</w:t>
            </w:r>
          </w:p>
        </w:tc>
        <w:tc>
          <w:tcPr>
            <w:tcW w:w="2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Incentive fees related to Pre-incentive fee net investment income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Directors’ fees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60" w:type="dxa"/>
            <w:vAlign w:val="bottom"/>
            <w:gridSpan w:val="2"/>
          </w:tcPr>
          <w:p>
            <w:pPr>
              <w:jc w:val="right"/>
              <w:ind w:right="106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1040" w:type="dxa"/>
            <w:vAlign w:val="bottom"/>
            <w:gridSpan w:val="3"/>
          </w:tcPr>
          <w:p>
            <w:pPr>
              <w:jc w:val="right"/>
              <w:ind w:right="306"/>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Interest,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increase in average debt outstanding was offset by a decrease in the average interest rate on our debt outstanding from 2.9% for the year ended December 31, 2012 to 2.7% for the year ended December 31,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Management Fees increased from $13.4 million for the year ended December 31, 2013 to $18.3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due to the increase in total assets, which increased from an average of $0.9 billion for the year ended December 31, 2013 to an average of $1.2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Management Fees waived decreased from $7.1 million for the year ended December 31, 2013 to $2.5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2014, as there were no management fees waived during the period April 1, 2014 through December 31, 2014.</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$0.6 billion for the year ended December 31, 2012 to an average of $0.9 billion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For the calendar years ended December 31, 2014, 2013 and 2012, we recorded a net expense of $1.1 million, $0.2 million and $0.1 million, respectively, for U.S. federal excise tax.</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2014,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3"/>
          </w:tcPr>
          <w:p>
            <w:pPr>
              <w:jc w:val="right"/>
              <w:ind w:right="88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forward contracts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8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8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6"/>
              </w:rPr>
              <w:t>Unrealized appreciation (depreciation) on foreign currency cash and forward contracts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interest rate swaps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66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6"/>
              </w:rPr>
              <w:t>Net Change in Unrealized Gains (Losses) on Foreign Currency Transactions and</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8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For the years ended December 31, 2014, 2013 and 2012, we had net realized gains on investments of $0.1 million, $1.1 million and $4.4 million, respectively. For the year ended December 31, 2014, we had net realized losses on foreign currency transactions of $0.4 million, primarily as a result of translating foreign currency related to one of our non-USD denominated investments. For the year ended December 31, 2014 we had net realized losses on foreign currency forward contracts of $1.6 million primarily as a result of settling our foreign currency forward contracts. For the year ended December 31, 2014, we had net realized gains on foreign currency borrowings of $0.2 million. For the year ended December 31, 2013 we had net realized gains on foreign currency transactions and foreign currency forward contracts of less than $0.1 million. For the year ended December 31, 2012 we did not have realized gains or losses on foreign currency transactions, foreign currency forward contracts or foreign currency borrowings.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market value, primarily due to a tightening spread environment during the six months ended June 30, 2014 and positive credit-related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adjustments. Unrealized depreciation for the year ended December 31, 2014 resulted from the reversal of prior period unrealized appreciation,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 widening spread environment during the six months ended December 31, 2014, and in some instances negative credit-related and energy-related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 company investments. For the year ended December 31, 2012 we had $9.2 million in unrealized appreciation on 13 portfolio company investments, which was partially offset by $2.0 million in unrealized depreciation on five portfolio company investments. Unrealized appreciation for the years ended December 31, 2013 and 2012 resulted from increases in fair market value, primarily due to a tightening spread environment and positive credit-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related adjustments. Unrealized depreciation for the years ended December 31, 2013 and 2012 primarily resulted from the reversal of prior period unrealized appreciation and in some instances negative credit-related adjustments.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 ended December 31, 2014, we had unrealized appreciation on foreign currency borrowings of $8.9 million, primarily as a result of fluctuations in the GBP, SEK and EUR exchange rates. For the years ended December 31, 2013 and 2012, we did not have unrealized appreciation or depreciation on foreign currency borrowings. For the year ended December 31, 2014 we had unrealized appreciation on foreign currency forward contracts of $1.3 million as a result of the reversal of prior period unrealized depreciation due to settling our foreign currency forward contracts. For the year ended December 31, 2013 we had unrealized depreciation on foreign currency forward contracts of $1.2 million. For the year ended December 31, 2014 we had unrealized appreciation on interest rate swaps of $1.0 million due to fluctuations in interest rates. For the years ended December 31, 2013 and 2012 we did not have unrealized appreciation or depreciation on interest rate swaps.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Cash Flow Realized Gross Internal Rate of Return</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Since we began investing in 2011 through March 31, 2015, our exited investments have resulted in an aggregate cash flow realized gross internal rate of return to us of 16.3% (based on cash invested of $904.0 million and total proceeds from these exited investments of $1,073.4 million). Eighty seven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necessary local currency under our Revolving Credit Facility to fund these investments. For the three months ended March 31, 2015, we had $7.2 million of unrealized gains on the translation of our non-U.S. dollar denominated debt into U.S. dollars; such amount approximates the corresponding unrealized losses on the translation of our non-U.S. dollar denominated investments into U.S. dollars for the three months ended March 31, 2015. See Note 2 for additional disclosure regarding our accounting for foreign currency. See Note 7 for additional disclosure regarding the amounts of outstanding debt denominated in each foreign currency at March 31, 2015.</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three months ended March 31, 2015, we entered into foreign currency forward contracts related to our non-USD denominated investments, which in total generated a realized gain of less than $0.1 million. As of March 31, 2015, we did not have any open foreign currency forward contracts. During the three months ended March 31, 2014, we settled our foreign currency forward contracts related to our investments in Jeeves Information Systems AB and Soho House Bond Ltd., which in total generated a realized loss of $1.6 million. We bear the costs incurred in connection with entering into, administering and settling derivative contracts. There can be no assurance any hedging strategy we employ will be successful.</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During the year ended December 31, 2014, we entered into foreign currency forward contracts related to our non-USD denominated investments, which in total generated an unrealized gain of $1.2 million and a realized loss of $1.6 million. As of December 31, 2014, we did not have any open foreign currency forward contracts.</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non- USD denominated investments, which in total generated an unrealized loss of $1.2 million and a realized gain of less than $0.1 million. Other than these foreign currency forward contracts and the interest rate swaps we entered into in connection with our Convertible Senior Notes, we did not enter into any other interest rate or other derivative agreements.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did not enter into any interest rate, foreign currency forward contracts or other derivative agreements.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2015 and December 31, 2014, our asset coverage ratio was 273.4% and 311.0%, respectively.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Cash and cash equivalents as of March 31, 2015, taken together with cash available under our credit facilities, is expected to be sufficient for our investing activities and to conduct our operations in the near term. As of March 31, 2015, we had approximately $445.3 million of availability on our Revolving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2015, we had $3.3 million in cash and cash equivalents, an increase of $0.9 million from December 31, 2014. During the three months ended March 31, 2015, we used $77.3 million in cash for operating activities, primarily as a result of funding portfolio investments of $139.3 million and other operating activity of $31.9 million, which was partially offset by proceeds from investments of $5.0 million, repayments on investments of $64.4 million, and an increase in net assets resulting from operations of $24.5 million. Lastly, cash provided by financing activities was $78.2 million during the period, primarily due to net borrowings of $244.4 million, partially offset by net repayments on debt of $147.8 million, debt issuance costs of $0.1 million and dividends paid of $18.3 million.</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 $19.6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7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net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 $14.3 million. Lastly, cash provided by financing activities was $131.3 million during the period, primarily due to proceeds from issuance of common stock of $56.9 million and net borrowings of $100.4 million, partially offset by debt issuance costs of $1.6 million and dividends paid of $24.4 million.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2015, we had $2.4 million of restricted cash pledged as collateral under our interest rate swap agreements, an increase of $0.1 million from December 31, 2014. As of March 31, 2015, we had $10.3 million of restricted cash in our wholly owned subsidiary TPG SL SPV, an increase of less than $0.1 million from December 31, 2014. The increase was primarily attributable to increased interest payments from additional investments contributed to TPG SL SPV.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During the year ended December 31, 2013, we delivered drawdown notices to our investors relating to the issuance of 3,713,053 shares of our common stock for aggregate proceeds of $57 million. Proceeds from the issuances were used in investing activities and for other general corporate purposes.</w:t>
      </w:r>
    </w:p>
    <w:p>
      <w:pPr>
        <w:spacing w:after="0" w:line="124"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During the three months ended March 31, 2014, we did not deliver any drawdown notices to our private phase investors. 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three months ended March 31, 2014 below and in the consolidated financial statements for the three months ended March 31, 2014.</w:t>
      </w:r>
    </w:p>
    <w:p>
      <w:pPr>
        <w:spacing w:after="0" w:line="17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March 31, 2015 no longer remain in effect.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three months ended March 31, 2015 and 2014, we issued 162,490 and 502,200 shares of our common stock, respectively, to investors who have not opted out of our dividend reinvestment plan for proceeds of $2.7 million and $7.8 million, respectively. During the years ended December 31, 2014 and 2013, we issued 1,361,850 and 1,730,042 shares of our common stock, respectively, to investors who have not opted out of our dividend reinvestment plan for proceeds of $22.6 million and $26.4 million, respectively. On May 1, 2015, we issued 41,441 shares of our common stock through our dividend reinvestment plan for proceeds of $0.7 million, which is not reflected in the number of shares issued for the three months ended March 31, 2015 in this section or the consolidated financial statements for the three months ended March 31, 2015.</w:t>
      </w:r>
    </w:p>
    <w:p>
      <w:pPr>
        <w:spacing w:after="0" w:line="178"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below our net asset value over a specified period, in accordance with the guidelines specified in Rule 10b-18 and Rule 10b5-1 of the Exchange Act.</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 As of March 31, 2015, no shares had been repurchased under the Company 10b5-1 Plan.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March 31, 2015, December 31, 2014 and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March 31, 2015</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Available (1)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SPV Asset Facility </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244,437</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445,318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112,061</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488,162</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445,318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485,223</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Available (1)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177,216</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466,189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177,216</w:t>
            </w: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111,923</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400" w:type="dxa"/>
            <w:vAlign w:val="bottom"/>
          </w:tcPr>
          <w:p>
            <w:pPr>
              <w:spacing w:after="0"/>
              <w:rPr>
                <w:sz w:val="10"/>
                <w:szCs w:val="10"/>
                <w:color w:val="auto"/>
              </w:rPr>
            </w:pPr>
          </w:p>
        </w:tc>
        <w:tc>
          <w:tcPr>
            <w:tcW w:w="136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0"/>
                <w:szCs w:val="10"/>
                <w:color w:val="auto"/>
              </w:rPr>
            </w:pPr>
          </w:p>
        </w:tc>
        <w:tc>
          <w:tcPr>
            <w:tcW w:w="11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8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0"/>
                <w:szCs w:val="10"/>
                <w:color w:val="auto"/>
              </w:rPr>
            </w:pPr>
          </w:p>
        </w:tc>
      </w:t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Available(1)</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Subscription Credit Facility </w:t>
            </w:r>
            <w:r>
              <w:rPr>
                <w:rFonts w:ascii="Arial" w:cs="Arial" w:eastAsia="Arial" w:hAnsi="Arial"/>
                <w:sz w:val="15"/>
                <w:szCs w:val="15"/>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77,767</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77,767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322,500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145,500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60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As of March 31, 2015, December 31, 2014 and December 31, 2013, we were in compliance with the terms of our debt arrangements. We intend to continue to utilize our credit facilities to fund investments and for other general corporate purposes.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60" w:hanging="325"/>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2015, we had outstanding debt denominated in Swedish Krona (SEK) of 203.1 million, Euro (EUR) of 28.1 million and Pound Sterling (GBP) of 21.0 million on our Revolving Credit Facility, included in the Outstanding Principal amount in the table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92"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On March 27, 2015, TPG SL SPV further amended the amended and restated credit and security agreement, which we refer to as the SPV Asset Facility. The second amended and restated credit and security agreement, among other things, reduced the applicable margin with respect to loans from LIBOR lenders from 2.75% to 2.35% and syndicated a portion of the outstanding loan previously held by affiliates of Natixis to two new lenders.</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 79</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our effective interest rate on the Convertible Senior Notes was three-month LIBOR plus 252.9 basis points. In January 2015, we closed out our existing interest rate swaps and simultaneously entered into new interest rate swaps, realizing a cash payment of $2.0 million and increasing pricing to three-month LIBOR plus 286 basis points.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we were in compliance with the terms of the Convertible Senior Notes Indenture.</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Convertible Senior Notes are accounted for in accordance with Accounting Standards Codification (“ASC” 470-20). Upon conversion of any of the Convertible Senior Notes, we intend to pay the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2015, December 31, 2014 and December 31, 2013, we had the following commitments to fund investments: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3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34.2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36.6</w:t>
            </w:r>
          </w:p>
        </w:tc>
      </w:tr>
      <w:tr>
        <w:trPr>
          <w:trHeight w:val="27"/>
        </w:trPr>
        <w:tc>
          <w:tcPr>
            <w:tcW w:w="4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55.0</w:t>
            </w:r>
          </w:p>
        </w:tc>
      </w:tr>
      <w:tr>
        <w:trPr>
          <w:trHeight w:val="20"/>
        </w:trPr>
        <w:tc>
          <w:tcPr>
            <w:tcW w:w="4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Unfunded commitments terminated upon the completion of our IPO, and hence as of December 31, 2014 no longer remain in effect.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2015, December 31, 2014 and December 31, 2013, we had outstanding commitments to fund investments totaling $34.4 million, $48.0 million and $55.0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3"/>
              </w:rPr>
              <w:t>Payments Due by Period</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w:t>
            </w:r>
          </w:p>
        </w:tc>
        <w:tc>
          <w:tcPr>
            <w:tcW w:w="3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359.</w:t>
            </w:r>
            <w:r>
              <w:rPr>
                <w:rFonts w:ascii="Arial" w:cs="Arial" w:eastAsia="Arial" w:hAnsi="Arial"/>
                <w:sz w:val="18"/>
                <w:szCs w:val="18"/>
                <w:u w:val="single" w:color="auto"/>
                <w:color w:val="auto"/>
                <w:w w:val="93"/>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3"/>
              </w:rPr>
              <w:t>Payments Due by Period</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w:t>
            </w:r>
          </w:p>
        </w:tc>
        <w:tc>
          <w:tcPr>
            <w:tcW w:w="3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SPV Asset</w:t>
            </w: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As of March 31, 2015, 96.5%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67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1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Change</w:t>
            </w:r>
          </w:p>
        </w:tc>
        <w:tc>
          <w:tcPr>
            <w:tcW w:w="5540" w:type="dxa"/>
            <w:vAlign w:val="bottom"/>
            <w:vMerge w:val="restart"/>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27.9</w:t>
            </w:r>
          </w:p>
        </w:tc>
        <w:tc>
          <w:tcPr>
            <w:tcW w:w="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14.6</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14.9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future, such as interest rate swap agreements, may also limit our ability to participate in the benefits of lower interest rates with respect to our portfolio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 and elsewhere in our filings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we apply the valuation policy approved by our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4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80"/>
          </w:cols>
          <w:pgMar w:left="24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2015. The report of our independent registered public accounting firm, KPMG LLP, on the senior securities table as of December 31, 2014 is attached as an exhibit to the registration statement of which this prospectus is a part.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Average Market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Value Per</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2015 (as of March 31, 2015) (Unaudited)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2,734.3</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3,110.3</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432.3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2015 (as of March 31, 2015) (Unaudited)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2,734.3</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2015, we have originated more than $3.6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March 31, 2015, our core portfolio companies, which exclude certain investments that fall outside of our typical borrower profile, had weighted average annual revenue of $126 million and weighted average annual EBITDA of $32 million.</w:t>
      </w:r>
    </w:p>
    <w:p>
      <w:pPr>
        <w:spacing w:after="0" w:line="17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March 31, 2015, based on fair value, our portfolio consisted of 90.1% first-lien debt investments, 7.8% second-lien debt investments, 1.0% mezzanine debt investments, and 1.1% equity and other investments. Approximately 96.5% of our debt investments as of March 31, 2015 are floating rate in nature, subject to interest rate floors, which we believe helps act as a portfolio-wide hedge against inflation. As of March 31, 2015 and December 31, 2014, we had investments in 35 and 34 portfolio companies, respectively. As of March 31, 2015, our average investment size in each of our portfolio companies was approximately $38.0 million. We expect that no single investment will represent more than 15% of our total investment portfolio.</w:t>
      </w:r>
    </w:p>
    <w:p>
      <w:pPr>
        <w:spacing w:after="0" w:line="169"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As of March 31, 2015, our portfolio was invested across 18 different industries. The largest industries in our portfolio as of March 31, 2015 were healthcare and pharmaceuticals, business services, and financial services, which represented, as a percentage of our portfolio, 16.2%, 10.5% and 10.3%, respectively, based on fair value. See “Portfolio Companies” for more information on our portfolio as of March 31, 2015.</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March 31, 2015.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 The members of the Investment Review Committee are Joshua Easterly, Michael Fishman, Alan Waxman and David Stiepleman.</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TPG is a leading global private investment firm founded in 1992 with $67 billion of assets under management as of March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400 professionals.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amount of uninvested capital held by funds of private equity firms, estimated by Preqin Ltd., an alternative assets industry data and research company, at $1.24 trillion as of March 2015, will continue to drive deal activity. We expect that private equity firms will continue to pursue acquisitions and to seek to leverage their equity investments with secured loans provided by companies such as ours.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134620</wp:posOffset>
            </wp:positionV>
            <wp:extent cx="2967355" cy="269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6735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15240</wp:posOffset>
            </wp:positionV>
            <wp:extent cx="2701290" cy="15347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01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19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investment opportunities that have more attractive risk-adjusted return characteristics than by relying solely on origination flow from investment banks or other intermediaries.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20" w:hanging="446"/>
        <w:spacing w:after="0" w:line="255"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20" w:hanging="446"/>
        <w:spacing w:after="0" w:line="31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60" w:hanging="446"/>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3,900 investment opportunities our Investment Team reviewed since our inception through March 31, 2015.</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Carefully constructed, existing portfolio consisting of predominantly senior, floating rate loans across a broad range of industries and borrowers</w:t>
      </w:r>
      <w:r>
        <w:rPr>
          <w:rFonts w:ascii="Arial" w:cs="Arial" w:eastAsia="Arial" w:hAnsi="Arial"/>
          <w:sz w:val="16"/>
          <w:szCs w:val="16"/>
          <w:color w:val="auto"/>
        </w:rPr>
        <w:t>. Since</w:t>
      </w:r>
      <w:r>
        <w:rPr>
          <w:rFonts w:ascii="Arial" w:cs="Arial" w:eastAsia="Arial" w:hAnsi="Arial"/>
          <w:sz w:val="16"/>
          <w:szCs w:val="16"/>
          <w:i w:val="1"/>
          <w:iCs w:val="1"/>
          <w:color w:val="auto"/>
        </w:rPr>
        <w:t xml:space="preserve"> </w:t>
      </w:r>
      <w:r>
        <w:rPr>
          <w:rFonts w:ascii="Arial" w:cs="Arial" w:eastAsia="Arial" w:hAnsi="Arial"/>
          <w:sz w:val="16"/>
          <w:szCs w:val="16"/>
          <w:color w:val="auto"/>
        </w:rPr>
        <w:t>we began investing in 2011, we have invested approximately $2.5 billion. As of March 31, 2015, we had a portfolio of investments in 35 portfolio companies totaling $1,331.0 million that we believe exhibits strong credit quality and broad industry composition. As of March 31, 2015, approximately 96.5% of our debt investments bore interest at floating rates, subject to interest rate floors, and 90.1% of the fair value of our portfolio was invested in first-lien debt investments. We believe this portfolio will allow us to generate meaningful investment income, and consequently dividend income, for our stockholders.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4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For these investments, the Adviser prepares a bi-monthly asset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2" w:lineRule="exact"/>
        <w:rPr>
          <w:sz w:val="20"/>
          <w:szCs w:val="20"/>
          <w:color w:val="auto"/>
        </w:rPr>
      </w:pPr>
    </w:p>
    <w:p>
      <w:pPr>
        <w:ind w:left="900" w:right="6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 See “Management” and “Related-Party Transactions and Certain Relationships.”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8"/>
          <w:szCs w:val="18"/>
          <w:color w:val="auto"/>
        </w:rPr>
      </w:pPr>
    </w:p>
    <w:p>
      <w:pPr>
        <w:ind w:left="1480" w:right="40" w:hanging="446"/>
        <w:spacing w:after="0" w:line="25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“Last out” first-lien loans. </w:t>
      </w:r>
      <w:r>
        <w:rPr>
          <w:rFonts w:ascii="Arial" w:cs="Arial" w:eastAsia="Arial" w:hAnsi="Arial"/>
          <w:sz w:val="18"/>
          <w:szCs w:val="18"/>
          <w:color w:val="auto"/>
        </w:rPr>
        <w:t>“Last out” first-lien loans have a secondary priority behind super-senior “first out” first-lien loans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59" w:lineRule="auto"/>
        <w:rPr>
          <w:sz w:val="20"/>
          <w:szCs w:val="20"/>
          <w:color w:val="auto"/>
        </w:rPr>
      </w:pPr>
      <w:r>
        <w:rPr>
          <w:rFonts w:ascii="Arial" w:cs="Arial" w:eastAsia="Arial" w:hAnsi="Arial"/>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2" w:lineRule="exact"/>
        <w:rPr>
          <w:sz w:val="20"/>
          <w:szCs w:val="20"/>
          <w:color w:val="auto"/>
        </w:rPr>
      </w:pPr>
    </w:p>
    <w:p>
      <w:pPr>
        <w:ind w:left="1480" w:hanging="446"/>
        <w:spacing w:after="0" w:line="312"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“Mezzanine” debt. </w:t>
      </w:r>
      <w:r>
        <w:rPr>
          <w:rFonts w:ascii="Arial" w:cs="Arial" w:eastAsia="Arial" w:hAnsi="Arial"/>
          <w:sz w:val="18"/>
          <w:szCs w:val="18"/>
          <w:color w:val="auto"/>
        </w:rPr>
        <w:t>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As of March 31, 2015 and December 31, 2014, we had made investments with an aggregate fair value of $1,331.0 million and $1,263.5 million, respectively, in 35 and 34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2015 and December 31,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4"/>
              </w:rPr>
              <w:t>March 31, 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(1)</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$ 1,206.4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104.7</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$ 1,346.0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380" w:type="dxa"/>
            <w:vAlign w:val="bottom"/>
          </w:tcPr>
          <w:p>
            <w:pPr>
              <w:spacing w:after="0"/>
              <w:rPr>
                <w:sz w:val="10"/>
                <w:szCs w:val="10"/>
                <w:color w:val="auto"/>
              </w:rPr>
            </w:pPr>
          </w:p>
        </w:tc>
        <w:tc>
          <w:tcPr>
            <w:tcW w:w="11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(1)</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$ 1,127.2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111.1</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$ 1,273.2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1,263.5</w:t>
            </w: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840"/>
          </w:cols>
          <w:pgMar w:left="240" w:top="459" w:right="8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2015 and December 31,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2015</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6.4%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3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Metals and mining</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8.1%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March 31, 2015 and December 31,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4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2015</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5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Midwest</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12.4%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Northeast</w:t>
            </w:r>
          </w:p>
        </w:tc>
        <w:tc>
          <w:tcPr>
            <w:tcW w:w="4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South</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23.8%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w:t>
            </w:r>
          </w:p>
        </w:tc>
        <w:tc>
          <w:tcPr>
            <w:tcW w:w="4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200" w:type="dxa"/>
            <w:vAlign w:val="bottom"/>
            <w:gridSpan w:val="3"/>
          </w:tcPr>
          <w:p>
            <w:pPr>
              <w:jc w:val="right"/>
              <w:ind w:right="520"/>
              <w:spacing w:after="0"/>
              <w:rPr>
                <w:sz w:val="20"/>
                <w:szCs w:val="20"/>
                <w:color w:val="auto"/>
              </w:rPr>
            </w:pPr>
            <w:r>
              <w:rPr>
                <w:rFonts w:ascii="Arial" w:cs="Arial" w:eastAsia="Arial" w:hAnsi="Arial"/>
                <w:sz w:val="18"/>
                <w:szCs w:val="18"/>
                <w:color w:val="auto"/>
              </w:rPr>
              <w:t>2.2%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5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580" w:type="dxa"/>
            <w:vAlign w:val="bottom"/>
            <w:vMerge w:val="restart"/>
          </w:tcPr>
          <w:p>
            <w:pPr>
              <w:jc w:val="right"/>
              <w:ind w:right="613"/>
              <w:spacing w:after="0"/>
              <w:rPr>
                <w:sz w:val="20"/>
                <w:szCs w:val="20"/>
                <w:color w:val="auto"/>
              </w:rPr>
            </w:pPr>
            <w:r>
              <w:rPr>
                <w:rFonts w:ascii="Arial" w:cs="Arial" w:eastAsia="Arial" w:hAnsi="Arial"/>
                <w:sz w:val="18"/>
                <w:szCs w:val="18"/>
                <w:color w:val="auto"/>
              </w:rPr>
              <w:t>102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color w:val="auto"/>
              </w:rPr>
              <w:t>($ in millions)</w:t>
            </w:r>
          </w:p>
        </w:tc>
        <w:tc>
          <w:tcPr>
            <w:tcW w:w="1880" w:type="dxa"/>
            <w:vAlign w:val="bottom"/>
            <w:gridSpan w:val="3"/>
          </w:tcPr>
          <w:p>
            <w:pPr>
              <w:ind w:left="920"/>
              <w:spacing w:after="0"/>
              <w:rPr>
                <w:sz w:val="20"/>
                <w:szCs w:val="20"/>
                <w:color w:val="auto"/>
              </w:rPr>
            </w:pPr>
            <w:r>
              <w:rPr>
                <w:rFonts w:ascii="Arial" w:cs="Arial" w:eastAsia="Arial" w:hAnsi="Arial"/>
                <w:sz w:val="14"/>
                <w:szCs w:val="14"/>
                <w:b w:val="1"/>
                <w:bCs w:val="1"/>
                <w:color w:val="auto"/>
                <w:w w:val="94"/>
              </w:rPr>
              <w:t>March 31, 2015</w:t>
            </w:r>
          </w:p>
        </w:tc>
        <w:tc>
          <w:tcPr>
            <w:tcW w:w="2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March 31, 2015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We either originated or purchased in the secondary market the loans and securities in our current portfolio.</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Automotive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Heartland Automotive Holdings, LLC</w:t>
      </w:r>
      <w:r>
        <w:rPr>
          <w:rFonts w:ascii="Arial" w:cs="Arial" w:eastAsia="Arial" w:hAnsi="Arial"/>
          <w:sz w:val="14"/>
          <w:szCs w:val="14"/>
          <w:color w:val="auto"/>
        </w:rPr>
        <w:t>(3)</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Beverage, food and tobacco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Value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260" w:type="dxa"/>
            <w:vAlign w:val="bottom"/>
            <w:vMerge w:val="restart"/>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274320</wp:posOffset>
            </wp:positionV>
            <wp:extent cx="724662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-8255</wp:posOffset>
            </wp:positionV>
            <wp:extent cx="72466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w w:val="94"/>
              </w:rPr>
              <w:t>First-lien loan ($32,826 par, due 6/2017)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9.75%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8/28/2012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32,383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29,872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040" w:type="dxa"/>
            <w:vAlign w:val="bottom"/>
          </w:tcPr>
          <w:p>
            <w:pPr>
              <w:spacing w:after="0"/>
              <w:rPr>
                <w:sz w:val="20"/>
                <w:szCs w:val="20"/>
                <w:color w:val="auto"/>
              </w:rPr>
            </w:pPr>
            <w:r>
              <w:rPr>
                <w:rFonts w:ascii="Arial" w:cs="Arial" w:eastAsia="Arial" w:hAnsi="Arial"/>
                <w:sz w:val="18"/>
                <w:szCs w:val="18"/>
                <w:color w:val="auto"/>
              </w:rPr>
              <w:t>($4,278 par, due 6/2017)</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10.75%</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8/28/2012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3,778</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33,650</w:t>
            </w:r>
          </w:p>
        </w:tc>
        <w:tc>
          <w:tcPr>
            <w:tcW w:w="24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-145415</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940" w:space="220"/>
            <w:col w:w="8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($64,098 par, due 3/2020)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3/3/2014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62,856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Arial" w:cs="Arial" w:eastAsia="Arial" w:hAnsi="Arial"/>
                <w:sz w:val="18"/>
                <w:szCs w:val="18"/>
                <w:color w:val="auto"/>
                <w:w w:val="98"/>
              </w:rPr>
              <w:t>Great Atlantic &amp; Pacific Tea Co. Inc.</w:t>
            </w:r>
            <w:r>
              <w:rPr>
                <w:rFonts w:ascii="Arial" w:cs="Arial" w:eastAsia="Arial" w:hAnsi="Arial"/>
                <w:sz w:val="15"/>
                <w:szCs w:val="15"/>
                <w:color w:val="auto"/>
                <w:w w:val="98"/>
              </w:rPr>
              <w:t>(3)</w:t>
            </w:r>
          </w:p>
        </w:tc>
        <w:tc>
          <w:tcPr>
            <w:tcW w:w="3180" w:type="dxa"/>
            <w:vAlign w:val="bottom"/>
            <w:vMerge w:val="restart"/>
          </w:tcPr>
          <w:p>
            <w:pPr>
              <w:ind w:left="140"/>
              <w:spacing w:after="0"/>
              <w:rPr>
                <w:sz w:val="20"/>
                <w:szCs w:val="20"/>
                <w:color w:val="auto"/>
              </w:rPr>
            </w:pPr>
            <w:r>
              <w:rPr>
                <w:rFonts w:ascii="Arial" w:cs="Arial" w:eastAsia="Arial" w:hAnsi="Arial"/>
                <w:sz w:val="18"/>
                <w:szCs w:val="18"/>
                <w:color w:val="auto"/>
                <w:w w:val="94"/>
              </w:rPr>
              <w:t>First-lien loan ($22,574 par, due 9/2019)</w:t>
            </w: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9.85%</w:t>
            </w: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9/17/2014</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22,231</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22,405</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3020" w:type="dxa"/>
            <w:vAlign w:val="bottom"/>
          </w:tcPr>
          <w:p>
            <w:pPr>
              <w:ind w:left="180"/>
              <w:spacing w:after="0"/>
              <w:rPr>
                <w:sz w:val="20"/>
                <w:szCs w:val="20"/>
                <w:color w:val="auto"/>
              </w:rPr>
            </w:pPr>
            <w:r>
              <w:rPr>
                <w:rFonts w:ascii="Arial" w:cs="Arial" w:eastAsia="Arial" w:hAnsi="Arial"/>
                <w:sz w:val="15"/>
                <w:szCs w:val="15"/>
                <w:color w:val="auto"/>
              </w:rPr>
              <w:t>(4)</w:t>
            </w:r>
          </w:p>
        </w:tc>
        <w:tc>
          <w:tcPr>
            <w:tcW w:w="3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85,087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020" w:type="dxa"/>
            <w:vAlign w:val="bottom"/>
          </w:tcPr>
          <w:p>
            <w:pPr>
              <w:ind w:left="360"/>
              <w:spacing w:after="0"/>
              <w:rPr>
                <w:sz w:val="20"/>
                <w:szCs w:val="20"/>
                <w:color w:val="auto"/>
              </w:rPr>
            </w:pPr>
            <w:r>
              <w:rPr>
                <w:rFonts w:ascii="Arial" w:cs="Arial" w:eastAsia="Arial" w:hAnsi="Arial"/>
                <w:sz w:val="18"/>
                <w:szCs w:val="18"/>
                <w:b w:val="1"/>
                <w:bCs w:val="1"/>
                <w:color w:val="auto"/>
              </w:rPr>
              <w:t>Business services</w:t>
            </w:r>
          </w:p>
        </w:tc>
        <w:tc>
          <w:tcPr>
            <w:tcW w:w="3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($62,915 par, due 4/2018)</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4/11/2013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61,394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(3)(4)(5)</w:t>
            </w:r>
          </w:p>
        </w:tc>
        <w:tc>
          <w:tcPr>
            <w:tcW w:w="3180" w:type="dxa"/>
            <w:vAlign w:val="bottom"/>
          </w:tcPr>
          <w:p>
            <w:pPr>
              <w:ind w:left="140"/>
              <w:spacing w:after="0"/>
              <w:rPr>
                <w:sz w:val="20"/>
                <w:szCs w:val="20"/>
                <w:color w:val="auto"/>
              </w:rPr>
            </w:pPr>
            <w:r>
              <w:rPr>
                <w:rFonts w:ascii="Arial" w:cs="Arial" w:eastAsia="Arial" w:hAnsi="Arial"/>
                <w:sz w:val="18"/>
                <w:szCs w:val="18"/>
                <w:color w:val="auto"/>
                <w:w w:val="94"/>
              </w:rPr>
              <w:t>First-lien loan ($29,376 par, due 6/2019)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6/30/2014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28,793</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28,984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First-lien loan ($29,659 par, due 9/2018)</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8.75%</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9/12/2013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29,230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020" w:type="dxa"/>
            <w:vAlign w:val="bottom"/>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(3)(4)</w:t>
            </w:r>
          </w:p>
        </w:tc>
        <w:tc>
          <w:tcPr>
            <w:tcW w:w="3180" w:type="dxa"/>
            <w:vAlign w:val="bottom"/>
          </w:tcPr>
          <w:p>
            <w:pPr>
              <w:ind w:left="140"/>
              <w:spacing w:after="0" w:line="201" w:lineRule="exact"/>
              <w:rPr>
                <w:sz w:val="20"/>
                <w:szCs w:val="20"/>
                <w:color w:val="auto"/>
              </w:rPr>
            </w:pPr>
            <w:r>
              <w:rPr>
                <w:rFonts w:ascii="Arial" w:cs="Arial" w:eastAsia="Arial" w:hAnsi="Arial"/>
                <w:sz w:val="18"/>
                <w:szCs w:val="18"/>
                <w:color w:val="auto"/>
              </w:rPr>
              <w:t>First-lien loan ($17,143 par,</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due 12/2019)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12/30/2014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16,737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16,862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136,154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138,815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3020" w:type="dxa"/>
            <w:vAlign w:val="bottom"/>
          </w:tcPr>
          <w:p>
            <w:pPr>
              <w:ind w:left="360"/>
              <w:spacing w:after="0"/>
              <w:rPr>
                <w:sz w:val="20"/>
                <w:szCs w:val="20"/>
                <w:color w:val="auto"/>
              </w:rPr>
            </w:pPr>
            <w:r>
              <w:rPr>
                <w:rFonts w:ascii="Arial" w:cs="Arial" w:eastAsia="Arial" w:hAnsi="Arial"/>
                <w:sz w:val="18"/>
                <w:szCs w:val="18"/>
                <w:b w:val="1"/>
                <w:bCs w:val="1"/>
                <w:color w:val="auto"/>
              </w:rPr>
              <w:t>Chemicals</w:t>
            </w:r>
          </w:p>
        </w:tc>
        <w:tc>
          <w:tcPr>
            <w:tcW w:w="3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(3)(4)</w:t>
            </w:r>
          </w:p>
        </w:tc>
        <w:tc>
          <w:tcPr>
            <w:tcW w:w="3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First-lien loan ($19,900 par,</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10/2019)</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10/31/2014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19,246</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4"/>
                <w:szCs w:val="24"/>
                <w:color w:val="auto"/>
              </w:rPr>
            </w:pPr>
          </w:p>
        </w:tc>
        <w:tc>
          <w:tcPr>
            <w:tcW w:w="3180" w:type="dxa"/>
            <w:vAlign w:val="bottom"/>
          </w:tcPr>
          <w:p>
            <w:pPr>
              <w:ind w:left="2560"/>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2"/>
            <w:vMerge w:val="continue"/>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($27,590</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9/2018)</w:t>
            </w: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9/30/2013</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   27,080</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   27,590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MyAlarm Center,</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(3)(4)</w:t>
            </w:r>
          </w:p>
        </w:tc>
        <w:tc>
          <w:tcPr>
            <w:tcW w:w="1960" w:type="dxa"/>
            <w:vAlign w:val="bottom"/>
            <w:gridSpan w:val="2"/>
          </w:tcPr>
          <w:p>
            <w:pPr>
              <w:spacing w:after="0"/>
              <w:rPr>
                <w:sz w:val="20"/>
                <w:szCs w:val="20"/>
                <w:color w:val="auto"/>
              </w:rPr>
            </w:pPr>
            <w:r>
              <w:rPr>
                <w:rFonts w:ascii="Arial" w:cs="Arial" w:eastAsia="Arial" w:hAnsi="Arial"/>
                <w:sz w:val="18"/>
                <w:szCs w:val="18"/>
                <w:color w:val="auto"/>
              </w:rPr>
              <w:t>($63,859 par,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due 1/2018)</w:t>
            </w: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1/9/2014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63,074</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63,375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MyAlarm Center, LLC</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16.25%</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loan ($4,887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(incl. 4.25%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7/2018)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4,851</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APX Group Inc.</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Senior notes 8.75%</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($10,000 par,</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due 12/2020)</w:t>
            </w: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12/11/2014</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9,225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740" w:type="dxa"/>
            <w:vAlign w:val="bottom"/>
            <w:gridSpan w:val="2"/>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line="203" w:lineRule="exact"/>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p>
        </w:tc>
        <w:tc>
          <w:tcPr>
            <w:tcW w:w="1460" w:type="dxa"/>
            <w:vAlign w:val="bottom"/>
          </w:tcPr>
          <w:p>
            <w:pPr>
              <w:ind w:left="440"/>
              <w:spacing w:after="0" w:line="203" w:lineRule="exact"/>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($39,684 par,</w:t>
            </w:r>
          </w:p>
        </w:tc>
        <w:tc>
          <w:tcPr>
            <w:tcW w:w="0" w:type="dxa"/>
            <w:vAlign w:val="bottom"/>
          </w:tcPr>
          <w:p>
            <w:pPr>
              <w:spacing w:after="0"/>
              <w:rPr>
                <w:sz w:val="1"/>
                <w:szCs w:val="1"/>
                <w:color w:val="auto"/>
              </w:rPr>
            </w:pPr>
          </w:p>
        </w:tc>
      </w:tr>
      <w:tr>
        <w:trPr>
          <w:trHeight w:val="230"/>
        </w:trPr>
        <w:tc>
          <w:tcPr>
            <w:tcW w:w="3300" w:type="dxa"/>
            <w:vAlign w:val="bottom"/>
            <w:vMerge w:val="restart"/>
          </w:tcPr>
          <w:p>
            <w:pPr>
              <w:spacing w:after="0"/>
              <w:rPr>
                <w:sz w:val="20"/>
                <w:szCs w:val="20"/>
                <w:color w:val="auto"/>
              </w:rPr>
            </w:pPr>
            <w:r>
              <w:rPr>
                <w:rFonts w:ascii="Arial" w:cs="Arial" w:eastAsia="Arial" w:hAnsi="Arial"/>
                <w:sz w:val="18"/>
                <w:szCs w:val="18"/>
                <w:color w:val="auto"/>
              </w:rPr>
              <w:t>PayLease, LLC</w:t>
            </w:r>
            <w:r>
              <w:rPr>
                <w:rFonts w:ascii="Arial" w:cs="Arial" w:eastAsia="Arial" w:hAnsi="Arial"/>
                <w:sz w:val="15"/>
                <w:szCs w:val="15"/>
                <w:color w:val="auto"/>
              </w:rPr>
              <w:t>(3)</w:t>
            </w:r>
          </w:p>
        </w:tc>
        <w:tc>
          <w:tcPr>
            <w:tcW w:w="1460" w:type="dxa"/>
            <w:vAlign w:val="bottom"/>
          </w:tcPr>
          <w:p>
            <w:pPr>
              <w:ind w:left="440"/>
              <w:spacing w:after="0"/>
              <w:rPr>
                <w:sz w:val="20"/>
                <w:szCs w:val="20"/>
                <w:color w:val="auto"/>
              </w:rPr>
            </w:pPr>
            <w:r>
              <w:rPr>
                <w:rFonts w:ascii="Arial" w:cs="Arial" w:eastAsia="Arial" w:hAnsi="Arial"/>
                <w:sz w:val="18"/>
                <w:szCs w:val="18"/>
                <w:color w:val="auto"/>
                <w:w w:val="94"/>
              </w:rPr>
              <w:t>due 12/2017)</w:t>
            </w:r>
          </w:p>
        </w:tc>
        <w:tc>
          <w:tcPr>
            <w:tcW w:w="0" w:type="dxa"/>
            <w:vAlign w:val="bottom"/>
          </w:tcPr>
          <w:p>
            <w:pPr>
              <w:spacing w:after="0"/>
              <w:rPr>
                <w:sz w:val="1"/>
                <w:szCs w:val="1"/>
                <w:color w:val="auto"/>
              </w:rPr>
            </w:pPr>
          </w:p>
        </w:tc>
      </w:tr>
      <w:tr>
        <w:trPr>
          <w:trHeight w:val="229"/>
        </w:trPr>
        <w:tc>
          <w:tcPr>
            <w:tcW w:w="3300" w:type="dxa"/>
            <w:vAlign w:val="bottom"/>
            <w:vMerge w:val="continue"/>
          </w:tcPr>
          <w:p>
            <w:pPr>
              <w:spacing w:after="0"/>
              <w:rPr>
                <w:sz w:val="19"/>
                <w:szCs w:val="19"/>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($33,000 par,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due 3/2020)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Rogue Wave Holdings,</w:t>
            </w:r>
          </w:p>
        </w:tc>
        <w:tc>
          <w:tcPr>
            <w:tcW w:w="1460" w:type="dxa"/>
            <w:vAlign w:val="bottom"/>
          </w:tcPr>
          <w:p>
            <w:pPr>
              <w:ind w:left="440"/>
              <w:spacing w:after="0"/>
              <w:rPr>
                <w:sz w:val="20"/>
                <w:szCs w:val="20"/>
                <w:color w:val="auto"/>
              </w:rPr>
            </w:pPr>
            <w:r>
              <w:rPr>
                <w:rFonts w:ascii="Arial" w:cs="Arial" w:eastAsia="Arial" w:hAnsi="Arial"/>
                <w:sz w:val="18"/>
                <w:szCs w:val="18"/>
                <w:color w:val="auto"/>
                <w:w w:val="92"/>
              </w:rPr>
              <w:t>First-lien loan</w:t>
            </w: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(3)(4)(6)</w:t>
            </w:r>
          </w:p>
        </w:tc>
        <w:tc>
          <w:tcPr>
            <w:tcW w:w="1460" w:type="dxa"/>
            <w:vAlign w:val="bottom"/>
          </w:tcPr>
          <w:p>
            <w:pPr>
              <w:ind w:left="440"/>
              <w:spacing w:after="0"/>
              <w:rPr>
                <w:sz w:val="20"/>
                <w:szCs w:val="20"/>
                <w:color w:val="auto"/>
              </w:rPr>
            </w:pPr>
            <w:r>
              <w:rPr>
                <w:rFonts w:ascii="Arial" w:cs="Arial" w:eastAsia="Arial" w:hAnsi="Arial"/>
                <w:sz w:val="18"/>
                <w:szCs w:val="18"/>
                <w:color w:val="auto"/>
                <w:w w:val="93"/>
              </w:rPr>
              <w:t>($65,628 par,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w w:val="94"/>
              </w:rPr>
              <w:t>due 12/2018)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39,082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40,080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93"/>
              </w:rPr>
              <w:t>(incl. 2.50%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3/6/2015</w:t>
            </w:r>
          </w:p>
        </w:tc>
        <w:tc>
          <w:tcPr>
            <w:tcW w:w="860" w:type="dxa"/>
            <w:vAlign w:val="bottom"/>
          </w:tcPr>
          <w:p>
            <w:pPr>
              <w:jc w:val="right"/>
              <w:spacing w:after="0"/>
              <w:rPr>
                <w:sz w:val="20"/>
                <w:szCs w:val="20"/>
                <w:color w:val="auto"/>
              </w:rPr>
            </w:pPr>
            <w:r>
              <w:rPr>
                <w:rFonts w:ascii="Arial" w:cs="Arial" w:eastAsia="Arial" w:hAnsi="Arial"/>
                <w:sz w:val="18"/>
                <w:szCs w:val="18"/>
                <w:color w:val="auto"/>
              </w:rPr>
              <w:t>32,247</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32,240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11/21/2012</w:t>
            </w:r>
          </w:p>
        </w:tc>
        <w:tc>
          <w:tcPr>
            <w:tcW w:w="860" w:type="dxa"/>
            <w:vAlign w:val="bottom"/>
          </w:tcPr>
          <w:p>
            <w:pPr>
              <w:jc w:val="right"/>
              <w:spacing w:after="0"/>
              <w:rPr>
                <w:sz w:val="20"/>
                <w:szCs w:val="20"/>
                <w:color w:val="auto"/>
              </w:rPr>
            </w:pPr>
            <w:r>
              <w:rPr>
                <w:rFonts w:ascii="Arial" w:cs="Arial" w:eastAsia="Arial" w:hAnsi="Arial"/>
                <w:sz w:val="18"/>
                <w:szCs w:val="18"/>
                <w:color w:val="auto"/>
              </w:rPr>
              <w:t>64,573</w:t>
            </w:r>
          </w:p>
        </w:tc>
        <w:tc>
          <w:tcPr>
            <w:tcW w:w="3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64,972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135,902</w:t>
            </w:r>
          </w:p>
        </w:tc>
        <w:tc>
          <w:tcPr>
            <w:tcW w:w="3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137,292</w:t>
            </w:r>
          </w:p>
        </w:tc>
        <w:tc>
          <w:tcPr>
            <w:tcW w:w="3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-1423035</wp:posOffset>
            </wp:positionV>
            <wp:extent cx="7246620" cy="420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-582295</wp:posOffset>
            </wp:positionV>
            <wp:extent cx="7246620" cy="420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ectPr>
          <w:pgSz w:w="11900" w:h="16838" w:orient="portrait"/>
          <w:cols w:equalWidth="0" w:num="2">
            <w:col w:w="4860" w:space="720"/>
            <w:col w:w="5840"/>
          </w:cols>
          <w:pgMar w:left="240" w:top="459" w:right="239" w:bottom="1440" w:gutter="0" w:footer="0" w:header="0"/>
          <w:type w:val="continuous"/>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0" w:type="dxa"/>
            <w:vAlign w:val="bottom"/>
          </w:tcPr>
          <w:p>
            <w:pPr>
              <w:spacing w:after="0"/>
              <w:rPr>
                <w:sz w:val="1"/>
                <w:szCs w:val="1"/>
                <w:color w:val="auto"/>
              </w:rPr>
            </w:pPr>
          </w:p>
        </w:tc>
      </w:tr>
      <w:tr>
        <w:trPr>
          <w:trHeight w:val="185"/>
        </w:trPr>
        <w:tc>
          <w:tcPr>
            <w:tcW w:w="3740" w:type="dxa"/>
            <w:vAlign w:val="bottom"/>
            <w:gridSpan w:val="3"/>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b w:val="1"/>
                <w:bCs w:val="1"/>
                <w:color w:val="auto"/>
              </w:rPr>
              <w:t>Healthcare and pharmaceuticals</w:t>
            </w:r>
          </w:p>
        </w:tc>
        <w:tc>
          <w:tcPr>
            <w:tcW w:w="2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Aesynt Incorporated</w:t>
            </w:r>
            <w:r>
              <w:rPr>
                <w:rFonts w:ascii="Arial" w:cs="Arial" w:eastAsia="Arial" w:hAnsi="Arial"/>
                <w:sz w:val="15"/>
                <w:szCs w:val="15"/>
                <w:color w:val="auto"/>
              </w:rPr>
              <w:t>(3)(4)(6)</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($34,344 par,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5/2019)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Global Healthcare Exchange,</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w:t>
            </w:r>
          </w:p>
        </w:tc>
        <w:tc>
          <w:tcPr>
            <w:tcW w:w="1760" w:type="dxa"/>
            <w:vAlign w:val="bottom"/>
          </w:tcPr>
          <w:p>
            <w:pPr>
              <w:spacing w:after="0"/>
              <w:rPr>
                <w:sz w:val="20"/>
                <w:szCs w:val="20"/>
                <w:color w:val="auto"/>
              </w:rPr>
            </w:pPr>
            <w:r>
              <w:rPr>
                <w:rFonts w:ascii="Arial" w:cs="Arial" w:eastAsia="Arial" w:hAnsi="Arial"/>
                <w:sz w:val="18"/>
                <w:szCs w:val="18"/>
                <w:color w:val="auto"/>
              </w:rPr>
              <w:t>($46,134 par,</w:t>
            </w:r>
          </w:p>
        </w:tc>
        <w:tc>
          <w:tcPr>
            <w:tcW w:w="0" w:type="dxa"/>
            <w:vAlign w:val="bottom"/>
          </w:tcPr>
          <w:p>
            <w:pPr>
              <w:spacing w:after="0"/>
              <w:rPr>
                <w:sz w:val="1"/>
                <w:szCs w:val="1"/>
                <w:color w:val="auto"/>
              </w:rPr>
            </w:pPr>
          </w:p>
        </w:tc>
      </w:tr>
      <w:tr>
        <w:trPr>
          <w:trHeight w:val="23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(3)(5)</w:t>
            </w:r>
          </w:p>
        </w:tc>
        <w:tc>
          <w:tcPr>
            <w:tcW w:w="1760" w:type="dxa"/>
            <w:vAlign w:val="bottom"/>
          </w:tcPr>
          <w:p>
            <w:pPr>
              <w:spacing w:after="0"/>
              <w:rPr>
                <w:sz w:val="20"/>
                <w:szCs w:val="20"/>
                <w:color w:val="auto"/>
              </w:rPr>
            </w:pPr>
            <w:r>
              <w:rPr>
                <w:rFonts w:ascii="Arial" w:cs="Arial" w:eastAsia="Arial" w:hAnsi="Arial"/>
                <w:sz w:val="18"/>
                <w:szCs w:val="18"/>
                <w:color w:val="auto"/>
              </w:rPr>
              <w:t>due 3/2020)</w:t>
            </w:r>
          </w:p>
        </w:tc>
        <w:tc>
          <w:tcPr>
            <w:tcW w:w="0" w:type="dxa"/>
            <w:vAlign w:val="bottom"/>
          </w:tcPr>
          <w:p>
            <w:pPr>
              <w:spacing w:after="0"/>
              <w:rPr>
                <w:sz w:val="1"/>
                <w:szCs w:val="1"/>
                <w:color w:val="auto"/>
              </w:rPr>
            </w:pPr>
          </w:p>
        </w:tc>
      </w:tr>
      <w:tr>
        <w:trPr>
          <w:trHeight w:val="229"/>
        </w:trPr>
        <w:tc>
          <w:tcPr>
            <w:tcW w:w="3740" w:type="dxa"/>
            <w:vAlign w:val="bottom"/>
            <w:gridSpan w:val="3"/>
            <w:vMerge w:val="continue"/>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(EUR 28,224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par, due 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94"/>
              </w:rPr>
              <w:t>First-lien revolving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(EUR 300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9/2019)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($68,948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5/2018)</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p>
        </w:tc>
        <w:tc>
          <w:tcPr>
            <w:tcW w:w="1760" w:type="dxa"/>
            <w:vAlign w:val="bottom"/>
          </w:tcPr>
          <w:p>
            <w:pPr>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($33,281 par, due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First-lien revolving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loan ($2,000 par,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due 12/2017)</w:t>
            </w: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372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Value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280" w:type="dxa"/>
            <w:vAlign w:val="bottom"/>
            <w:vMerge w:val="restart"/>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-8255</wp:posOffset>
            </wp:positionV>
            <wp:extent cx="72466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5/8/2014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33,542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   33,485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47"/>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8.50%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3/11/2014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45,076</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45,272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93"/>
              </w:rPr>
              <w:t>(incl. 3.00%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9/30/2014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34,051</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29,252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11.50%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9/30/2014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662"/>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11/9/2012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67,846</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69,637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48"/>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12/28/2012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32,771</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33,448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648"/>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12/28/2012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3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215,466</w:t>
            </w:r>
          </w:p>
        </w:tc>
        <w:tc>
          <w:tcPr>
            <w:tcW w:w="3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213,332</w:t>
            </w:r>
          </w:p>
        </w:tc>
        <w:tc>
          <w:tcPr>
            <w:tcW w:w="30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-2666365</wp:posOffset>
            </wp:positionV>
            <wp:extent cx="7246620" cy="420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-1826260</wp:posOffset>
            </wp:positionV>
            <wp:extent cx="7246620"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-985520</wp:posOffset>
            </wp:positionV>
            <wp:extent cx="724662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-145415</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500" w:space="200"/>
            <w:col w:w="57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(3)(4)</w:t>
            </w:r>
          </w:p>
        </w:tc>
        <w:tc>
          <w:tcPr>
            <w:tcW w:w="21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Second-lien loan</w:t>
            </w: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 par, due</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2/2020)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8.75%</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IRG Sports &amp; Entertainment, LLC</w:t>
            </w:r>
            <w:r>
              <w:rPr>
                <w:rFonts w:ascii="Arial" w:cs="Arial" w:eastAsia="Arial" w:hAnsi="Arial"/>
                <w:sz w:val="15"/>
                <w:szCs w:val="15"/>
                <w:color w:val="auto"/>
              </w:rPr>
              <w:t>(3)(4)</w:t>
            </w:r>
          </w:p>
        </w:tc>
        <w:tc>
          <w:tcPr>
            <w:tcW w:w="2120" w:type="dxa"/>
            <w:vAlign w:val="bottom"/>
          </w:tcPr>
          <w:p>
            <w:pPr>
              <w:spacing w:after="0"/>
              <w:rPr>
                <w:sz w:val="17"/>
                <w:szCs w:val="17"/>
                <w:color w:val="auto"/>
              </w:rPr>
            </w:pPr>
          </w:p>
        </w:tc>
        <w:tc>
          <w:tcPr>
            <w:tcW w:w="136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12.00%</w:t>
            </w: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w w:val="95"/>
              </w:rPr>
              <w:t>First-lien loan ($44,201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(incl. 5.00%</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par, due 9/2019)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PIK)</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9/30/2014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41,720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40,444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2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Second-lien bond (GBP</w:t>
            </w: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20,375 par,</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10/2018)</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9.13%</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9/20/2013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84,906</w:t>
            </w:r>
          </w:p>
        </w:tc>
        <w:tc>
          <w:tcPr>
            <w:tcW w:w="30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82,278</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Human Resource Support Services</w:t>
            </w:r>
          </w:p>
        </w:tc>
        <w:tc>
          <w:tcPr>
            <w:tcW w:w="2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(3)(6)</w:t>
            </w:r>
          </w:p>
        </w:tc>
        <w:tc>
          <w:tcPr>
            <w:tcW w:w="2120" w:type="dxa"/>
            <w:vAlign w:val="bottom"/>
          </w:tcPr>
          <w:p>
            <w:pPr>
              <w:ind w:left="340"/>
              <w:spacing w:after="0" w:line="201" w:lineRule="exact"/>
              <w:rPr>
                <w:sz w:val="20"/>
                <w:szCs w:val="20"/>
                <w:color w:val="auto"/>
              </w:rPr>
            </w:pPr>
            <w:r>
              <w:rPr>
                <w:rFonts w:ascii="Arial" w:cs="Arial" w:eastAsia="Arial" w:hAnsi="Arial"/>
                <w:sz w:val="18"/>
                <w:szCs w:val="18"/>
                <w:color w:val="auto"/>
                <w:w w:val="95"/>
              </w:rPr>
              <w:t>First-lien loan ($55,000</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par, due 3/2021)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9.75%</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3/30/2015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54,354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54,175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60" w:type="dxa"/>
            <w:vAlign w:val="bottom"/>
          </w:tcPr>
          <w:p>
            <w:pPr>
              <w:jc w:val="right"/>
              <w:ind w:right="950"/>
              <w:spacing w:after="0"/>
              <w:rPr>
                <w:sz w:val="20"/>
                <w:szCs w:val="20"/>
                <w:color w:val="auto"/>
              </w:rPr>
            </w:pPr>
            <w:r>
              <w:rPr>
                <w:rFonts w:ascii="Arial" w:cs="Arial" w:eastAsia="Arial" w:hAnsi="Arial"/>
                <w:sz w:val="18"/>
                <w:szCs w:val="18"/>
                <w:color w:val="auto"/>
                <w:w w:val="99"/>
              </w:rPr>
              <w:t>106</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2"/>
            <w:vMerge w:val="continue"/>
          </w:tcPr>
          <w:p>
            <w:pPr>
              <w:spacing w:after="0"/>
              <w:rPr>
                <w:sz w:val="15"/>
                <w:szCs w:val="15"/>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Insurance</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Infogix, Inc.</w:t>
            </w:r>
            <w:r>
              <w:rPr>
                <w:rFonts w:ascii="Arial" w:cs="Arial" w:eastAsia="Arial" w:hAnsi="Arial"/>
                <w:sz w:val="15"/>
                <w:szCs w:val="15"/>
                <w:color w:val="auto"/>
              </w:rPr>
              <w:t>(3)(4)</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($34,950</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6/2017)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6/1/2012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34,588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34,775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revolving loan</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($2,202 par,</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6/1/2012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(3)(4)(6)</w:t>
            </w:r>
          </w:p>
        </w:tc>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($64,838</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10/2020)</w:t>
            </w: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10/31/2014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64,189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37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Internet Services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Highwinds Capital,</w:t>
            </w:r>
          </w:p>
        </w:tc>
        <w:tc>
          <w:tcPr>
            <w:tcW w:w="2160" w:type="dxa"/>
            <w:vAlign w:val="bottom"/>
          </w:tcPr>
          <w:p>
            <w:pPr>
              <w:ind w:left="440"/>
              <w:spacing w:after="0" w:line="201" w:lineRule="exact"/>
              <w:rPr>
                <w:sz w:val="20"/>
                <w:szCs w:val="20"/>
                <w:color w:val="auto"/>
              </w:rPr>
            </w:pPr>
            <w:r>
              <w:rPr>
                <w:rFonts w:ascii="Arial" w:cs="Arial" w:eastAsia="Arial" w:hAnsi="Arial"/>
                <w:sz w:val="18"/>
                <w:szCs w:val="18"/>
                <w:color w:val="auto"/>
                <w:w w:val="92"/>
              </w:rPr>
              <w:t>First-lien loan ($54,038</w:t>
            </w:r>
          </w:p>
        </w:tc>
        <w:tc>
          <w:tcPr>
            <w:tcW w:w="0" w:type="dxa"/>
            <w:vAlign w:val="bottom"/>
          </w:tcPr>
          <w:p>
            <w:pPr>
              <w:spacing w:after="0"/>
              <w:rPr>
                <w:sz w:val="1"/>
                <w:szCs w:val="1"/>
                <w:color w:val="auto"/>
              </w:rPr>
            </w:pPr>
          </w:p>
        </w:tc>
      </w:tr>
      <w:tr>
        <w:trPr>
          <w:trHeight w:val="226"/>
        </w:trPr>
        <w:tc>
          <w:tcPr>
            <w:tcW w:w="3300" w:type="dxa"/>
            <w:vAlign w:val="bottom"/>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w:t>
            </w:r>
          </w:p>
        </w:tc>
        <w:tc>
          <w:tcPr>
            <w:tcW w:w="2160" w:type="dxa"/>
            <w:vAlign w:val="bottom"/>
          </w:tcPr>
          <w:p>
            <w:pPr>
              <w:ind w:left="440"/>
              <w:spacing w:after="0"/>
              <w:rPr>
                <w:sz w:val="20"/>
                <w:szCs w:val="20"/>
                <w:color w:val="auto"/>
              </w:rPr>
            </w:pPr>
            <w:r>
              <w:rPr>
                <w:rFonts w:ascii="Arial" w:cs="Arial" w:eastAsia="Arial" w:hAnsi="Arial"/>
                <w:sz w:val="18"/>
                <w:szCs w:val="18"/>
                <w:color w:val="auto"/>
              </w:rPr>
              <w:t>par, due 7/2018)</w:t>
            </w:r>
          </w:p>
        </w:tc>
        <w:tc>
          <w:tcPr>
            <w:tcW w:w="0" w:type="dxa"/>
            <w:vAlign w:val="bottom"/>
          </w:tcPr>
          <w:p>
            <w:pPr>
              <w:spacing w:after="0"/>
              <w:rPr>
                <w:sz w:val="1"/>
                <w:szCs w:val="1"/>
                <w:color w:val="auto"/>
              </w:rPr>
            </w:pPr>
          </w:p>
        </w:tc>
      </w:tr>
      <w:tr>
        <w:trPr>
          <w:trHeight w:val="220"/>
        </w:trPr>
        <w:tc>
          <w:tcPr>
            <w:tcW w:w="3300" w:type="dxa"/>
            <w:vAlign w:val="bottom"/>
          </w:tcPr>
          <w:p>
            <w:pPr>
              <w:ind w:left="360"/>
              <w:spacing w:after="0"/>
              <w:rPr>
                <w:sz w:val="20"/>
                <w:szCs w:val="20"/>
                <w:color w:val="auto"/>
              </w:rPr>
            </w:pPr>
            <w:r>
              <w:rPr>
                <w:rFonts w:ascii="Arial" w:cs="Arial" w:eastAsia="Arial" w:hAnsi="Arial"/>
                <w:sz w:val="18"/>
                <w:szCs w:val="18"/>
                <w:b w:val="1"/>
                <w:bCs w:val="1"/>
                <w:color w:val="auto"/>
              </w:rPr>
              <w:t>Manufacturing</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2160" w:type="dxa"/>
            <w:vAlign w:val="bottom"/>
          </w:tcPr>
          <w:p>
            <w:pPr>
              <w:ind w:left="440"/>
              <w:spacing w:after="0"/>
              <w:rPr>
                <w:sz w:val="20"/>
                <w:szCs w:val="20"/>
                <w:color w:val="auto"/>
              </w:rPr>
            </w:pPr>
            <w:r>
              <w:rPr>
                <w:rFonts w:ascii="Arial" w:cs="Arial" w:eastAsia="Arial" w:hAnsi="Arial"/>
                <w:sz w:val="18"/>
                <w:szCs w:val="18"/>
                <w:color w:val="auto"/>
              </w:rPr>
              <w:t>First-lien loan (SEK</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160" w:type="dxa"/>
            <w:vAlign w:val="bottom"/>
          </w:tcPr>
          <w:p>
            <w:pPr>
              <w:ind w:left="440"/>
              <w:spacing w:after="0"/>
              <w:rPr>
                <w:sz w:val="20"/>
                <w:szCs w:val="20"/>
                <w:color w:val="auto"/>
              </w:rPr>
            </w:pPr>
            <w:r>
              <w:rPr>
                <w:rFonts w:ascii="Arial" w:cs="Arial" w:eastAsia="Arial" w:hAnsi="Arial"/>
                <w:sz w:val="18"/>
                <w:szCs w:val="18"/>
                <w:color w:val="auto"/>
              </w:rPr>
              <w:t>200,499 par, due</w:t>
            </w:r>
          </w:p>
        </w:tc>
        <w:tc>
          <w:tcPr>
            <w:tcW w:w="0" w:type="dxa"/>
            <w:vAlign w:val="bottom"/>
          </w:tcPr>
          <w:p>
            <w:pPr>
              <w:spacing w:after="0"/>
              <w:rPr>
                <w:sz w:val="1"/>
                <w:szCs w:val="1"/>
                <w:color w:val="auto"/>
              </w:rPr>
            </w:pPr>
          </w:p>
        </w:tc>
      </w:tr>
      <w:tr>
        <w:trPr>
          <w:trHeight w:val="230"/>
        </w:trPr>
        <w:tc>
          <w:tcPr>
            <w:tcW w:w="33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Metals and mining</w:t>
            </w:r>
          </w:p>
        </w:tc>
        <w:tc>
          <w:tcPr>
            <w:tcW w:w="2160" w:type="dxa"/>
            <w:vAlign w:val="bottom"/>
          </w:tcPr>
          <w:p>
            <w:pPr>
              <w:ind w:left="440"/>
              <w:spacing w:after="0"/>
              <w:rPr>
                <w:sz w:val="20"/>
                <w:szCs w:val="20"/>
                <w:color w:val="auto"/>
              </w:rPr>
            </w:pPr>
            <w:r>
              <w:rPr>
                <w:rFonts w:ascii="Arial" w:cs="Arial" w:eastAsia="Arial" w:hAnsi="Arial"/>
                <w:sz w:val="18"/>
                <w:szCs w:val="18"/>
                <w:color w:val="auto"/>
              </w:rPr>
              <w:t>3/2019)</w:t>
            </w:r>
          </w:p>
        </w:tc>
        <w:tc>
          <w:tcPr>
            <w:tcW w:w="0" w:type="dxa"/>
            <w:vAlign w:val="bottom"/>
          </w:tcPr>
          <w:p>
            <w:pPr>
              <w:spacing w:after="0"/>
              <w:rPr>
                <w:sz w:val="1"/>
                <w:szCs w:val="1"/>
                <w:color w:val="auto"/>
              </w:rPr>
            </w:pPr>
          </w:p>
        </w:tc>
      </w:tr>
      <w:tr>
        <w:trPr>
          <w:trHeight w:val="215"/>
        </w:trPr>
        <w:tc>
          <w:tcPr>
            <w:tcW w:w="33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2160" w:type="dxa"/>
            <w:vAlign w:val="bottom"/>
          </w:tcPr>
          <w:p>
            <w:pPr>
              <w:ind w:left="440"/>
              <w:spacing w:after="0"/>
              <w:rPr>
                <w:sz w:val="20"/>
                <w:szCs w:val="20"/>
                <w:color w:val="auto"/>
              </w:rPr>
            </w:pPr>
            <w:r>
              <w:rPr>
                <w:rFonts w:ascii="Arial" w:cs="Arial" w:eastAsia="Arial" w:hAnsi="Arial"/>
                <w:sz w:val="18"/>
                <w:szCs w:val="18"/>
                <w:color w:val="auto"/>
                <w:w w:val="92"/>
              </w:rPr>
              <w:t>First-lien loan ($19,773</w:t>
            </w:r>
          </w:p>
        </w:tc>
        <w:tc>
          <w:tcPr>
            <w:tcW w:w="0" w:type="dxa"/>
            <w:vAlign w:val="bottom"/>
          </w:tcPr>
          <w:p>
            <w:pPr>
              <w:spacing w:after="0"/>
              <w:rPr>
                <w:sz w:val="1"/>
                <w:szCs w:val="1"/>
                <w:color w:val="auto"/>
              </w:rPr>
            </w:pPr>
          </w:p>
        </w:tc>
      </w:tr>
      <w:tr>
        <w:trPr>
          <w:trHeight w:val="230"/>
        </w:trPr>
        <w:tc>
          <w:tcPr>
            <w:tcW w:w="33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Office products</w:t>
            </w:r>
          </w:p>
        </w:tc>
        <w:tc>
          <w:tcPr>
            <w:tcW w:w="2160" w:type="dxa"/>
            <w:vAlign w:val="bottom"/>
          </w:tcPr>
          <w:p>
            <w:pPr>
              <w:ind w:left="440"/>
              <w:spacing w:after="0"/>
              <w:rPr>
                <w:sz w:val="20"/>
                <w:szCs w:val="20"/>
                <w:color w:val="auto"/>
              </w:rPr>
            </w:pPr>
            <w:r>
              <w:rPr>
                <w:rFonts w:ascii="Arial" w:cs="Arial" w:eastAsia="Arial" w:hAnsi="Arial"/>
                <w:sz w:val="18"/>
                <w:szCs w:val="18"/>
                <w:color w:val="auto"/>
              </w:rPr>
              <w:t>par, due 11/2019)</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283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420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9.00%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3/7/2014</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53,332</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53,468</w:t>
            </w: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878"/>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8.75%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6/5/2013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30,495</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23,074</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48"/>
        </w:trPr>
        <w:tc>
          <w:tcPr>
            <w:tcW w:w="740" w:type="dxa"/>
            <w:vAlign w:val="bottom"/>
          </w:tcPr>
          <w:p>
            <w:pPr>
              <w:jc w:val="right"/>
              <w:ind w:right="90"/>
              <w:spacing w:after="0"/>
              <w:rPr>
                <w:sz w:val="20"/>
                <w:szCs w:val="20"/>
                <w:color w:val="auto"/>
              </w:rPr>
            </w:pPr>
            <w:r>
              <w:rPr>
                <w:rFonts w:ascii="Arial" w:cs="Arial" w:eastAsia="Arial" w:hAnsi="Arial"/>
                <w:sz w:val="18"/>
                <w:szCs w:val="18"/>
                <w:color w:val="auto"/>
                <w:w w:val="88"/>
              </w:rPr>
              <w:t>10.50%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11/21/2013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17,604</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21,009</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17" w:lineRule="exact"/>
        <w:rPr>
          <w:sz w:val="20"/>
          <w:szCs w:val="20"/>
          <w:color w:val="auto"/>
        </w:rPr>
      </w:pPr>
    </w:p>
    <w:p>
      <w:pPr>
        <w:sectPr>
          <w:pgSz w:w="11900" w:h="16838" w:orient="portrait"/>
          <w:cols w:equalWidth="0" w:num="2">
            <w:col w:w="5460" w:space="640"/>
            <w:col w:w="5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Ecommerce Industries,</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($37,358</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5"/>
                <w:szCs w:val="15"/>
                <w:color w:val="auto"/>
              </w:rPr>
              <w:t>(3)(4)(6)</w:t>
            </w: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3/2019)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37,074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37,122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200" w:type="dxa"/>
            <w:vAlign w:val="bottom"/>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Milagro Exploration, LLC</w:t>
            </w:r>
            <w:r>
              <w:rPr>
                <w:rFonts w:ascii="Arial" w:cs="Arial" w:eastAsia="Arial" w:hAnsi="Arial"/>
                <w:sz w:val="15"/>
                <w:szCs w:val="15"/>
                <w:color w:val="auto"/>
              </w:rPr>
              <w:t>(3)(4)</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($62,464</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3200" w:type="dxa"/>
            <w:vAlign w:val="bottom"/>
            <w:shd w:val="clear" w:color="auto" w:fill="CCEEFF"/>
          </w:tcPr>
          <w:p>
            <w:pPr>
              <w:spacing w:after="0"/>
              <w:rPr>
                <w:sz w:val="21"/>
                <w:szCs w:val="21"/>
                <w:color w:val="auto"/>
              </w:rPr>
            </w:pP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9/2017)</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61,802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(3)(4)(8)</w:t>
            </w:r>
          </w:p>
        </w:tc>
        <w:tc>
          <w:tcPr>
            <w:tcW w:w="2320" w:type="dxa"/>
            <w:vAlign w:val="bottom"/>
          </w:tcPr>
          <w:p>
            <w:pPr>
              <w:spacing w:after="0"/>
              <w:rPr>
                <w:sz w:val="17"/>
                <w:szCs w:val="17"/>
                <w:color w:val="auto"/>
              </w:rPr>
            </w:pPr>
          </w:p>
        </w:tc>
        <w:tc>
          <w:tcPr>
            <w:tcW w:w="13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13.00%</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00" w:type="dxa"/>
            <w:vAlign w:val="bottom"/>
          </w:tcPr>
          <w:p>
            <w:pPr>
              <w:spacing w:after="0"/>
              <w:rPr>
                <w:sz w:val="18"/>
                <w:szCs w:val="18"/>
                <w:color w:val="auto"/>
              </w:rPr>
            </w:pPr>
          </w:p>
        </w:tc>
        <w:tc>
          <w:tcPr>
            <w:tcW w:w="2320" w:type="dxa"/>
            <w:vAlign w:val="bottom"/>
          </w:tcPr>
          <w:p>
            <w:pPr>
              <w:ind w:left="540"/>
              <w:spacing w:after="0"/>
              <w:rPr>
                <w:sz w:val="20"/>
                <w:szCs w:val="20"/>
                <w:color w:val="auto"/>
              </w:rPr>
            </w:pPr>
            <w:r>
              <w:rPr>
                <w:rFonts w:ascii="Arial" w:cs="Arial" w:eastAsia="Arial" w:hAnsi="Arial"/>
                <w:sz w:val="18"/>
                <w:szCs w:val="18"/>
                <w:color w:val="auto"/>
                <w:w w:val="95"/>
              </w:rPr>
              <w:t>First-lien loan ($42,568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(incl. 1.50%</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3200" w:type="dxa"/>
            <w:vAlign w:val="bottom"/>
          </w:tcPr>
          <w:p>
            <w:pPr>
              <w:spacing w:after="0"/>
              <w:rPr>
                <w:sz w:val="21"/>
                <w:szCs w:val="21"/>
                <w:color w:val="auto"/>
              </w:rPr>
            </w:pPr>
          </w:p>
        </w:tc>
        <w:tc>
          <w:tcPr>
            <w:tcW w:w="2320" w:type="dxa"/>
            <w:vAlign w:val="bottom"/>
          </w:tcPr>
          <w:p>
            <w:pPr>
              <w:ind w:left="540"/>
              <w:spacing w:after="0"/>
              <w:rPr>
                <w:sz w:val="20"/>
                <w:szCs w:val="20"/>
                <w:color w:val="auto"/>
              </w:rPr>
            </w:pPr>
            <w:r>
              <w:rPr>
                <w:rFonts w:ascii="Arial" w:cs="Arial" w:eastAsia="Arial" w:hAnsi="Arial"/>
                <w:sz w:val="18"/>
                <w:szCs w:val="18"/>
                <w:color w:val="auto"/>
              </w:rPr>
              <w:t>par, due 6/2018)</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6/4/2014</w:t>
            </w:r>
          </w:p>
        </w:tc>
        <w:tc>
          <w:tcPr>
            <w:tcW w:w="860" w:type="dxa"/>
            <w:vAlign w:val="bottom"/>
          </w:tcPr>
          <w:p>
            <w:pPr>
              <w:jc w:val="right"/>
              <w:spacing w:after="0"/>
              <w:rPr>
                <w:sz w:val="20"/>
                <w:szCs w:val="20"/>
                <w:color w:val="auto"/>
              </w:rPr>
            </w:pPr>
            <w:r>
              <w:rPr>
                <w:rFonts w:ascii="Arial" w:cs="Arial" w:eastAsia="Arial" w:hAnsi="Arial"/>
                <w:sz w:val="18"/>
                <w:szCs w:val="18"/>
                <w:color w:val="auto"/>
              </w:rPr>
              <w:t>41,835</w:t>
            </w:r>
          </w:p>
        </w:tc>
        <w:tc>
          <w:tcPr>
            <w:tcW w:w="3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40,865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7"/>
        </w:trPr>
        <w:tc>
          <w:tcPr>
            <w:tcW w:w="3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102,858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3200" w:type="dxa"/>
            <w:vAlign w:val="bottom"/>
          </w:tcPr>
          <w:p>
            <w:pPr>
              <w:ind w:left="360"/>
              <w:spacing w:after="0"/>
              <w:rPr>
                <w:sz w:val="20"/>
                <w:szCs w:val="20"/>
                <w:color w:val="auto"/>
              </w:rPr>
            </w:pPr>
            <w:r>
              <w:rPr>
                <w:rFonts w:ascii="Arial" w:cs="Arial" w:eastAsia="Arial" w:hAnsi="Arial"/>
                <w:sz w:val="18"/>
                <w:szCs w:val="18"/>
                <w:b w:val="1"/>
                <w:bCs w:val="1"/>
                <w:color w:val="auto"/>
              </w:rPr>
              <w:t>Retail</w:t>
            </w: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(3)(4)</w:t>
            </w:r>
          </w:p>
        </w:tc>
        <w:tc>
          <w:tcPr>
            <w:tcW w:w="2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5"/>
              </w:rPr>
              <w:t>First-lien loan ($42,000</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spacing w:after="0"/>
              <w:rPr>
                <w:sz w:val="20"/>
                <w:szCs w:val="20"/>
                <w:color w:val="auto"/>
              </w:rPr>
            </w:pPr>
          </w:p>
        </w:tc>
        <w:tc>
          <w:tcPr>
            <w:tcW w:w="2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 due 10/2019)</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10/10/2014</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41,179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41,685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365"/>
        </w:trPr>
        <w:tc>
          <w:tcPr>
            <w:tcW w:w="3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Arial" w:cs="Arial" w:eastAsia="Arial" w:hAnsi="Arial"/>
                <w:sz w:val="18"/>
                <w:szCs w:val="18"/>
                <w:color w:val="auto"/>
                <w:w w:val="99"/>
              </w:rPr>
              <w:t>107</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6"/>
              </w:rPr>
              <w:t>Value</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(Par amounts in</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6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Transportation</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 ($8,000</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par, due 1/2019)</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4.50%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3/17/2015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7,440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7,387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($62,500 par,</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9.50%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10/2/2013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61,406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Debt Investments</w:t>
            </w: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vMerge w:val="continue"/>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1,324,521</w:t>
            </w:r>
          </w:p>
        </w:tc>
        <w:tc>
          <w:tcPr>
            <w:tcW w:w="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1,316,527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Equity and Other Investments Business services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Non-Voting Preferred</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Healthcare and pharmaceuticals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 Class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 (598 shares)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 Class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(196 shares)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(5)</w:t>
            </w:r>
          </w:p>
        </w:tc>
        <w:tc>
          <w:tcPr>
            <w:tcW w:w="19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(1,980 shares)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12/28/2012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Common Shares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Class B (2,953,020</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12/28/2012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Hotel, gaming, and leisure</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IRG Sports &amp; Entertainment, LLC</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Metals and mining</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Metalico, Inc.</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11/21/2013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Oil, gas and consumable fuels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w:t>
            </w: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Member Units</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(8)</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(933 units)</w:t>
            </w: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b w:val="1"/>
                <w:bCs w:val="1"/>
                <w:color w:val="auto"/>
              </w:rPr>
              <w:t>Other</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(5)(7)</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Product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11/17/2014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Total Equity and Other Investments</w:t>
            </w: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21,516</w:t>
            </w:r>
          </w:p>
        </w:tc>
        <w:tc>
          <w:tcPr>
            <w:tcW w:w="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14,466</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$ 1,346,037</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$ 1,330,993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vMerge w:val="restart"/>
          </w:tcPr>
          <w:p>
            <w:pPr>
              <w:ind w:left="1480"/>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0" w:hanging="452"/>
        <w:spacing w:after="0" w:line="25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8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right="6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the syndication.</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have the power to exercise control over management or policies of such portfolio company (including through a management agreement). Transactions during the three months ended March 31, 2015 in which the issuer was an Affiliated Person of and was deemed to Control a portfolio company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6"/>
              </w:rPr>
              <w:t>Fair Value at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5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Gain/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Additions (a)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2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00" w:type="dxa"/>
            <w:vAlign w:val="bottom"/>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45,370</w:t>
            </w:r>
          </w:p>
        </w:tc>
        <w:tc>
          <w:tcPr>
            <w:tcW w:w="3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45,370</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5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2017 annual meeting of stockholders.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538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TSLX in April 2011 and became Co-Chief Executive Officer in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Mr. Fishman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Vice President and Chief Compliance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 and Secretary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a Vice President and Chief Compliance Officer of TSLX. Since 2014, Ms. Gordon has been a Managing Director and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TSLX.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and an M.B.A. from New York University’s Stern School of Business.</w:t>
      </w:r>
    </w:p>
    <w:p>
      <w:pPr>
        <w:spacing w:after="0" w:line="18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a Vice President and Secretary of TSLX. Previously, Ms. Mello also served as Chief Compliance Officer of TSLX. Since 2012,</w:t>
      </w:r>
      <w:r>
        <w:rPr>
          <w:rFonts w:ascii="Arial" w:cs="Arial" w:eastAsia="Arial" w:hAnsi="Arial"/>
          <w:sz w:val="18"/>
          <w:szCs w:val="18"/>
          <w:b w:val="1"/>
          <w:bCs w:val="1"/>
          <w:color w:val="auto"/>
        </w:rPr>
        <w:t xml:space="preserve"> </w:t>
      </w:r>
      <w:r>
        <w:rPr>
          <w:rFonts w:ascii="Arial" w:cs="Arial" w:eastAsia="Arial" w:hAnsi="Arial"/>
          <w:sz w:val="18"/>
          <w:szCs w:val="18"/>
          <w:color w:val="auto"/>
        </w:rPr>
        <w:t>Ms. Mello has been the General Counsel and a 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TSLX.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Financial Officer and Chief Risk Officer of TSSP</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since both of them are employed by the Adviser. See “—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Board has met three times in 2015, four times in 2014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8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four times in 2015, held nine meetings in 2014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2015. The Nominating and Corporate Governance Committee was formed in connection with our IPO in March 2014 and did not hold a meeting in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the NYSE corporate governance rules. Mr. Ross serves as Chairman. The Compensation Committee was formed in connection with our IPO in March 2014 and did not hold a meeting in 2014. The Compensation Committee will meet one time each year and at additional times as necessary to carry out its responsibilities.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2014.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TSLX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fee of $7,500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2014, we also reimbursed directors for certain out-of-pocket expenses each Independent Director incurred in connection with the fulfillment of his duties as an Independent Director.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Fees Earned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or Paid in Cash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John Ross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119,625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the Investment Review Committee are Joshua Easterly, Michael Fishman, Alan Waxman and David Stiepleman.</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Investment Advisory Agreement, we pay the Adviser the Management Fee and may also pay the Incentive Fees.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For the year ended December 31, 2014, Management Fees were $18.3 million, of which $2.5 million were waived. For the three months ended March 31, 2015, Management Fees were $5.0 million.</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has not waived its right to receive the full Management Fee and accordingly, we will be required to continue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100" w:hanging="446"/>
        <w:spacing w:after="0" w:line="28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64"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1"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 For the three months ended March 31, 2015, Incentive Fees were $5.0 million, of which $4.5 million were realized and payable to the Adviser.</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2014, we incurred expenses of $2.7 million for administrative services payable under the terms of the Administration Agreement. For the three months ended March 31, 2015, we incurred expenses of $0.9 million for administrative services payable under the terms of the Administration Agreement.</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extended subject to required approvals. The Administration Agreement may be terminated by either party without penalty on 60 days’ written notice to the other party. See “Risk Factors—Risks Related to Our Business and Structure—We are dependent upon management personnel of the Adviser, TSSP, TPG and their affiliates for our future success.”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3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3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2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24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5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3, 2015,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2014.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2,772,892 shares, or 5.1%, of our common stock as of May 26, 2015.</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entered into a purchase agreement, the Adviser 10b5-1 Plan, in accordance with Rules 10b5-1 and 10b-18 under the Exchange Act, under which Goldman, Sachs &amp; Co., as agent for the Adviser, would buy up to $25 million in the aggregate of our common stock during the period beginning April 23, 2014 and ending on the earlier of the date on which all the capital committed to the Adviser 10b5-1 Plan had been exhausted or December 31, 2014, subject to certain conditions. The Adviser 10b5-1 Plan expired in accordance with its terms on December 31, 2014. During the year ended December 31, 2014, 300 shares were purchased under the Adviser 10b5-1 Plan.</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with our investment strategies and policies;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26, 2015,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percentage ownership is based on 54,001,289 shares of common stock outstanding as of May 26, 2015.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4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17,926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36,366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Alan Kirshenbaum </w:t>
            </w:r>
            <w:r>
              <w:rPr>
                <w:rFonts w:ascii="Arial" w:cs="Arial" w:eastAsia="Arial" w:hAnsi="Arial"/>
                <w:sz w:val="15"/>
                <w:szCs w:val="15"/>
                <w:color w:val="auto"/>
              </w:rPr>
              <w:t>(4)</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8,361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Officers as a Group (12 persons) </w:t>
            </w:r>
            <w:r>
              <w:rPr>
                <w:rFonts w:ascii="Arial" w:cs="Arial" w:eastAsia="Arial" w:hAnsi="Arial"/>
                <w:sz w:val="15"/>
                <w:szCs w:val="15"/>
                <w:color w:val="auto"/>
              </w:rPr>
              <w:t>(5)(6)</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2,896,755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(7)</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7,258,761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(8)</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4,850,990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(9)</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3,868,413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(10)</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3,488,476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Silver Creek Group </w:t>
            </w:r>
            <w:r>
              <w:rPr>
                <w:rFonts w:ascii="Arial" w:cs="Arial" w:eastAsia="Arial" w:hAnsi="Arial"/>
                <w:sz w:val="15"/>
                <w:szCs w:val="15"/>
                <w:color w:val="auto"/>
              </w:rPr>
              <w:t>(11)</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3,178,051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TPG Funds </w:t>
            </w:r>
            <w:r>
              <w:rPr>
                <w:rFonts w:ascii="Arial" w:cs="Arial" w:eastAsia="Arial" w:hAnsi="Arial"/>
                <w:sz w:val="15"/>
                <w:szCs w:val="15"/>
                <w:color w:val="auto"/>
              </w:rPr>
              <w:t>(6)</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2,772,958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hanging="452"/>
        <w:spacing w:after="0" w:line="26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3"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Easterly is a director and our Co-Chief Executive Officer and a TPG and TPG Special Situations Partners, or TSSP, Partner. TPG and TSSP are affiliated with Tarrant and Group Advisors (both as defined below). The common stock held by Mr. Easterly includes 6,996 shares indirectly beneficially owned by Mr. Easterly (through his limited partnership interest in TSL Equity Partners, L.P., which is a member of TSL Advisers, LLC, or TSL Advisers). Mr. Easterly disclaims beneficial ownership of the shares that are or may be beneficially owned by Tarrant, Group Advisors or any of its affiliates.</w:t>
      </w:r>
    </w:p>
    <w:p>
      <w:pPr>
        <w:spacing w:after="0" w:line="3" w:lineRule="exact"/>
        <w:rPr>
          <w:rFonts w:ascii="Arial" w:cs="Arial" w:eastAsia="Arial" w:hAnsi="Arial"/>
          <w:sz w:val="18"/>
          <w:szCs w:val="18"/>
          <w:color w:val="auto"/>
        </w:rPr>
      </w:pPr>
    </w:p>
    <w:p>
      <w:pPr>
        <w:ind w:left="460" w:right="30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Fishman a director and our Co-Chief Executive Officer and is employed by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our Chief Financial Officer.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right="20" w:hanging="452"/>
        <w:spacing w:after="0" w:line="255"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2,772,892 shares of common stock, or the TSLX Shares, held by TSL Advisers; and (ii) 66 shares of common stock held by Tarrant Advisors, Inc., a Texas corporation, or Tarrant, and, together with TSL Advisers, the TPG Funds.</w:t>
      </w:r>
    </w:p>
    <w:p>
      <w:pPr>
        <w:spacing w:after="0" w:line="82" w:lineRule="exact"/>
        <w:rPr>
          <w:rFonts w:ascii="Arial" w:cs="Arial" w:eastAsia="Arial" w:hAnsi="Arial"/>
          <w:sz w:val="18"/>
          <w:szCs w:val="18"/>
          <w:color w:val="auto"/>
        </w:rPr>
      </w:pPr>
    </w:p>
    <w:p>
      <w:pPr>
        <w:jc w:val="both"/>
        <w:ind w:left="460" w:right="44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Messrs. Bonderman, Coulter and Waxman. Any decision or determination by the board of directors of TSSP HoldCo Management requires unanimous approval of the directors in attendance once a quorum is established.</w:t>
      </w:r>
    </w:p>
    <w:p>
      <w:pPr>
        <w:spacing w:after="0" w:line="78"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TSLX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8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2,348,300 of the TSLX Shares, or the Tarrant TSLX Shares, and, together with the 66 shares of common stock held directly by Tarrant, the Tarrant Shares. The principal business of Tarrant Capital is serving as the sole ultimate general partner, managing member or similar entity of related entities (including Equity Partners) engaged in making or recommending investments in securities of public and private companies.</w:t>
      </w:r>
    </w:p>
    <w:p>
      <w:pPr>
        <w:spacing w:after="0" w:line="85" w:lineRule="exact"/>
        <w:rPr>
          <w:rFonts w:ascii="Arial" w:cs="Arial" w:eastAsia="Arial" w:hAnsi="Arial"/>
          <w:sz w:val="18"/>
          <w:szCs w:val="18"/>
          <w:color w:val="auto"/>
        </w:rPr>
      </w:pPr>
    </w:p>
    <w:p>
      <w:pPr>
        <w:ind w:left="460"/>
        <w:spacing w:after="0" w:line="276" w:lineRule="auto"/>
        <w:rPr>
          <w:rFonts w:ascii="Arial" w:cs="Arial" w:eastAsia="Arial" w:hAnsi="Arial"/>
          <w:sz w:val="18"/>
          <w:szCs w:val="18"/>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TSLX Shares. TSL Advisers is required to vote all proxies in respect of the TSLX Shares proportionately in accordance with such instructions. Equity Partners is required to solicit voting instructions from its limited partners in respect of their indirect interests in the TSLX Shares. Equity Partners is required to instruct TSL Advisers to vote proxies in respect of its TSLX Shares proportionately in accordance with such instructions.</w:t>
      </w:r>
    </w:p>
    <w:p>
      <w:pPr>
        <w:spacing w:after="0" w:line="64" w:lineRule="exact"/>
        <w:rPr>
          <w:rFonts w:ascii="Arial" w:cs="Arial" w:eastAsia="Arial" w:hAnsi="Arial"/>
          <w:sz w:val="18"/>
          <w:szCs w:val="18"/>
          <w:color w:val="auto"/>
        </w:rPr>
      </w:pPr>
    </w:p>
    <w:p>
      <w:pPr>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Capital and Group Advisors, each of Messrs. Bonderman and Coulter may be deemed to beneficially own the TSLX Shares and the Tarrant Shares. Also, because Messrs. Bonderman and Coulter are members of the board of directors of TSSP HoldCo Management, each of Messrs. Bonderman and Coulter may be deemed to beneficially own the TSLX Shares. Messrs. Bonderman and Coulter disclaim beneficial ownership of the TSL Shares and the Tarrant Shares except to the extent of their pecuniary interest therein. Because Mr. Waxman is a member of the board of directors of TSSP HoldCo Management, he may be deemed to beneficially own the TSLX Shares. Mr. Waxman disclaims beneficial ownership of the TSLX Shares except to the extent of his pecuniary interest therein. The address of Group Advisors, Tarrant Capital and Messrs. Bonderman, Coulter and Waxman is c/o TPG Global, LLC, 301 Commerce Street, Suite 3300, Fort Worth, TX 76102.</w:t>
      </w:r>
    </w:p>
    <w:p>
      <w:pPr>
        <w:spacing w:after="0" w:line="83" w:lineRule="exact"/>
        <w:rPr>
          <w:sz w:val="20"/>
          <w:szCs w:val="20"/>
          <w:color w:val="auto"/>
        </w:rPr>
      </w:pPr>
    </w:p>
    <w:p>
      <w:pPr>
        <w:ind w:left="460" w:right="280" w:hanging="452"/>
        <w:spacing w:after="0" w:line="277"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13, 2015 by FMR LLC, Edward C. Johnson 3d and Abigail P. Johnson and a Form 13F filed with the SEC on May 14, 2015 by FMR LLC. FMR LLC has (i) sole power to vote 165,641 shares and (ii) sole power to dispose of 4,850,990 shares. Edward C. Johnson 3d has sole power to dispose of 4,850,990 shares. Abigail P. Johnson has sole power to dispose of 4,850,990 shares.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Edward C. Johnson 3d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Edward C. Johnson 3d and Abigail P. Johnson is 245 Summer Street, Boston, MA 02210.</w:t>
      </w:r>
    </w:p>
    <w:p>
      <w:pPr>
        <w:spacing w:after="0" w:line="77"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80" w:hanging="452"/>
        <w:spacing w:after="0" w:line="276"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3,488,476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right="8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13, 2015 by Silver Creek Capital Management LLC, Silver Creek Advisory Partners LLC, Silver Creek Special Opportunities Fund III, L.P., Silver Creek Special Opportunities Fund Cayman III, L.P, Silver Creek Credit Opportunities II Master Fund A, L.P. and Silver Creek Credit Opportunities III Master Fund B, L.P. (collectively, the Silver Creek Group). The address of each of the Silver Creek Group entities is 1301 Fifth Avenue, 40th Floor, Seattle, WA 98101.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May 26, 2015.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Dollar Range of</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Owned </w:t>
            </w:r>
            <w:r>
              <w:rPr>
                <w:rFonts w:ascii="Arial" w:cs="Arial" w:eastAsia="Arial" w:hAnsi="Arial"/>
                <w:sz w:val="12"/>
                <w:szCs w:val="12"/>
                <w:b w:val="1"/>
                <w:bCs w:val="1"/>
                <w:color w:val="auto"/>
                <w:w w:val="92"/>
              </w:rPr>
              <w:t>(1)(2)</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bl>
    <w:p>
      <w:pPr>
        <w:spacing w:after="0" w:line="22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26, 2015, multiplied by the closing sale price of our common stock as reported on the NYSE as of May 26, 2015.</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80"/>
          </w:cols>
          <w:pgMar w:left="24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2015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92" w:lineRule="exact"/>
        <w:rPr>
          <w:sz w:val="20"/>
          <w:szCs w:val="20"/>
          <w:color w:val="auto"/>
        </w:rPr>
      </w:pPr>
    </w:p>
    <w:p>
      <w:pPr>
        <w:ind w:left="900" w:right="100" w:hanging="325"/>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2014.</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2014. Further legislation is required to make the exemption available with respect to taxable years that commence after December 31, 2014. We cannot assure you that Congress will enact an extension or that any such extension will apply to all dividends that we distribute with respect to taxable years commencing after December 31, 2014.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firstLine="8"/>
        <w:spacing w:after="0" w:line="288" w:lineRule="auto"/>
        <w:tabs>
          <w:tab w:leader="none" w:pos="3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00"/>
          </w:cols>
          <w:pgMar w:left="240" w:top="460"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54,001,289 shares are outstanding as of May 7, 2015, and 100,000,000 shares of preferred stock, par value $0.01 per share, of which no shares are outstanding as of May 7, 2015.</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7,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 Our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Outstanding Exclusive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Amount Held by Us or for</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54,001,289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60" w:right="3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our asset coverage was 273.4% and 311.0%,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See “Related-Party Transactions and Certain Relationships—Exemptive Relief” for more information on the terms of the exemptive relief order.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8"/>
          <w:szCs w:val="18"/>
          <w:color w:val="auto"/>
        </w:rPr>
      </w:pPr>
    </w:p>
    <w:p>
      <w:pPr>
        <w:ind w:left="1480" w:right="180" w:hanging="446"/>
        <w:spacing w:after="0" w:line="264"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Mello, TPG Specialty Lending, Inc., 345 California Street, Suite 3300, San Francisco, CA 94104, Attention: TSLX Investor Relations, or by emailing us at IRTSL@tpg.com.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20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86"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345 California Street, Suite 3300 San Francisco, CA 94104,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TSLX Investor Relations, or by emailing us at IRTSL@tpg.com.</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w:t>
      </w:r>
    </w:p>
    <w:p>
      <w:pPr>
        <w:spacing w:after="0" w:line="18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2014 and 2013, and for each of the years in the three-year period ended December 31, 2014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 as of December 31, 2014 and 2013</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Operations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Schedules of Investments as of December 31, 2014 and 2013</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Changes in Net Assets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Consolidated Statements of Cash Flows for the Years Ended December 31, 2014, 2013 and 2012</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Balance Sheets as of March 31, 2015 and December 31, 2014</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F-43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Operations for the Three Months Ended March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Schedules of Investments as of March 31, 2015 and December 31, 2014</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Consolidated Statements of Changes in Net Assets for the Three Months Ended March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Three Months Ended March 31, 2015 and 2014</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We also have audited TPG Specialty Lending, Inc.’s internal control over financial reporting as of December 31, 2014, based on criteria established in Internal Control—Integrated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balance sheets of TPG Specialty Lending, Inc. (and subsidiaries), including the consolidated schedules of investments, as of December 31, 2014 and 2013, and the related consolidated statements of operations, changes in net assets, and cash flows for each of the years in the three-year period ended December 31, 2014, in conformity with U.S. generally accepted accounting principles. Also in our opinion, TPG Specialty Lending, Inc. maintained, in all material respects, effective internal control over financial reporting as of December 31, 2014, based on criteria established in Internal Control – Integrated Framework (1992) issued by the Committee of Sponsoring Organizations of the Treadway Commission (COSO).</w:t>
      </w:r>
    </w:p>
    <w:p>
      <w:pPr>
        <w:spacing w:after="0" w:line="19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$1,225,672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1,221,875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$47,580 and $0, respectively)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$1,273,252 and $997,298, respectively)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1,263,511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395,864</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468,326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53,798,357 and 37,027,022 shares issued, respectively;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and 53,797,358 and 37,026,023 shares outstanding,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 2013</w:t>
            </w:r>
          </w:p>
        </w:tc>
        <w:tc>
          <w:tcPr>
            <w:tcW w:w="400" w:type="dxa"/>
            <w:vAlign w:val="bottom"/>
          </w:tcPr>
          <w:p>
            <w:pPr>
              <w:spacing w:after="0"/>
              <w:rPr>
                <w:sz w:val="14"/>
                <w:szCs w:val="14"/>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w:t>
            </w:r>
          </w:p>
        </w:tc>
        <w:tc>
          <w:tcPr>
            <w:tcW w:w="4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5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151,020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90,374</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46,402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9,162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2,233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cash and cash equivalents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160,183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47,046</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2,994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3,137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163,320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Interest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15,078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10,469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18,296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13,376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11,790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3,691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Directors’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general and administrative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2,434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60,165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42,045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26,640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 waived (Note 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(2,464)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(7,135)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Net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57,701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 Before Income Taxes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105,619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57,700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Income taxes, including excise taxes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1,144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199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104,475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57,501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b w:val="1"/>
                <w:bCs w:val="1"/>
                <w:color w:val="auto"/>
              </w:rPr>
              <w:t>Unrealized and Realized Gains (Losses)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(22,950)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9,630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(5,945)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Translation of assets and liabilities in foreign currencies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8,909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rate swaps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1,020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forward contracts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(17,722)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8,386</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1,061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Foreign currency transactions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(1,703)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Total Unrealized and 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(19,425)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11,566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85,050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66,983</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39,595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Earnings per common share—basic and diluted</w:t>
            </w:r>
            <w:r>
              <w:rPr>
                <w:rFonts w:ascii="Arial" w:cs="Arial" w:eastAsia="Arial" w:hAnsi="Arial"/>
                <w:sz w:val="12"/>
                <w:szCs w:val="12"/>
                <w:color w:val="auto"/>
              </w:rPr>
              <w:t>(1)</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1.68</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common stock outstanding—basic and diluted</w:t>
            </w:r>
            <w:r>
              <w:rPr>
                <w:rFonts w:ascii="Arial" w:cs="Arial" w:eastAsia="Arial" w:hAnsi="Arial"/>
                <w:sz w:val="12"/>
                <w:szCs w:val="12"/>
                <w:color w:val="auto"/>
              </w:rPr>
              <w:t>(1)</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50,509,692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34,635,208</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20,541,475</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400" w:hanging="332"/>
        <w:spacing w:after="0" w:line="253" w:lineRule="auto"/>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As further described in Note 9, the indicated amounts for the year ended December 31, 2012 have been retroactively adjusted for the stock split which was effected in the form of a stock dividend.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5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($32,826 par, due 6/2017)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32,340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30,447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($4,500 par, due 6/2017)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80" w:type="dxa"/>
            <w:vAlign w:val="bottom"/>
          </w:tcPr>
          <w:p>
            <w:pPr>
              <w:jc w:val="right"/>
              <w:spacing w:after="0"/>
              <w:rPr>
                <w:sz w:val="20"/>
                <w:szCs w:val="20"/>
                <w:color w:val="auto"/>
              </w:rPr>
            </w:pPr>
            <w:r>
              <w:rPr>
                <w:rFonts w:ascii="Arial" w:cs="Arial" w:eastAsia="Arial" w:hAnsi="Arial"/>
                <w:sz w:val="14"/>
                <w:szCs w:val="14"/>
                <w:color w:val="auto"/>
              </w:rPr>
              <w:t>4,421</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4,097</w:t>
            </w:r>
          </w:p>
        </w:tc>
        <w:tc>
          <w:tcPr>
            <w:tcW w:w="3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34,544</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($64,399 par, due 3/2020)</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3/3/2014</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63,102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63,111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2580" w:type="dxa"/>
            <w:vAlign w:val="bottom"/>
            <w:gridSpan w:val="2"/>
          </w:tcPr>
          <w:p>
            <w:pPr>
              <w:spacing w:after="0"/>
              <w:rPr>
                <w:sz w:val="20"/>
                <w:szCs w:val="20"/>
                <w:color w:val="auto"/>
              </w:rPr>
            </w:pPr>
            <w:r>
              <w:rPr>
                <w:rFonts w:ascii="Arial" w:cs="Arial" w:eastAsia="Arial" w:hAnsi="Arial"/>
                <w:sz w:val="14"/>
                <w:szCs w:val="14"/>
                <w:color w:val="auto"/>
              </w:rPr>
              <w:t>First-lien loan ($22,787 par, due 9/2019)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9/17/2014</w:t>
            </w:r>
          </w:p>
        </w:tc>
        <w:tc>
          <w:tcPr>
            <w:tcW w:w="680" w:type="dxa"/>
            <w:vAlign w:val="bottom"/>
          </w:tcPr>
          <w:p>
            <w:pPr>
              <w:jc w:val="right"/>
              <w:spacing w:after="0"/>
              <w:rPr>
                <w:sz w:val="20"/>
                <w:szCs w:val="20"/>
                <w:color w:val="auto"/>
              </w:rPr>
            </w:pPr>
            <w:r>
              <w:rPr>
                <w:rFonts w:ascii="Arial" w:cs="Arial" w:eastAsia="Arial" w:hAnsi="Arial"/>
                <w:sz w:val="14"/>
                <w:szCs w:val="14"/>
                <w:color w:val="auto"/>
              </w:rPr>
              <w:t>22,426</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22,274</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85,528</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85,385</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($63,933 par, due 4/2018)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62,282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63,933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(3)(5)</w:t>
            </w: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($16,418 par, due 6/2019)</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6/30/2014</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16,077</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16,003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($29,659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9/12/2013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29,204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29,506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($16,071 par,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due 12/2019)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12/30/2014</w:t>
            </w:r>
          </w:p>
        </w:tc>
        <w:tc>
          <w:tcPr>
            <w:tcW w:w="680" w:type="dxa"/>
            <w:vAlign w:val="bottom"/>
          </w:tcPr>
          <w:p>
            <w:pPr>
              <w:jc w:val="right"/>
              <w:spacing w:after="0"/>
              <w:rPr>
                <w:sz w:val="20"/>
                <w:szCs w:val="20"/>
                <w:color w:val="auto"/>
              </w:rPr>
            </w:pPr>
            <w:r>
              <w:rPr>
                <w:rFonts w:ascii="Arial" w:cs="Arial" w:eastAsia="Arial" w:hAnsi="Arial"/>
                <w:sz w:val="14"/>
                <w:szCs w:val="14"/>
                <w:color w:val="auto"/>
              </w:rPr>
              <w:t>15,628</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15,621</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125,063</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($19,950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10/31/2014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19,267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18,753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Communications</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IPC Systems,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($17,000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5/2021)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16,935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Containers and packaging</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($39,240 par, due 2/2018)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38,984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40,025</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($28,125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27,576</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27,914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Electronics</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($61,861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tcPr>
          <w:p>
            <w:pPr>
              <w:jc w:val="right"/>
              <w:spacing w:after="0"/>
              <w:rPr>
                <w:sz w:val="20"/>
                <w:szCs w:val="20"/>
                <w:color w:val="auto"/>
              </w:rPr>
            </w:pPr>
            <w:r>
              <w:rPr>
                <w:rFonts w:ascii="Arial" w:cs="Arial" w:eastAsia="Arial" w:hAnsi="Arial"/>
                <w:sz w:val="14"/>
                <w:szCs w:val="14"/>
                <w:color w:val="auto"/>
              </w:rPr>
              <w:t>61,013</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60,893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16.25%</w:t>
            </w: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Mezzanine loan ($4,887 par,</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4.25%</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4,520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APX Group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bond 6.375%</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($5,000 par, due 12/2019)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6.38%</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12/12/2014</w:t>
            </w:r>
          </w:p>
        </w:tc>
        <w:tc>
          <w:tcPr>
            <w:tcW w:w="740" w:type="dxa"/>
            <w:vAlign w:val="bottom"/>
          </w:tcPr>
          <w:p>
            <w:pPr>
              <w:jc w:val="right"/>
              <w:spacing w:after="0"/>
              <w:rPr>
                <w:sz w:val="20"/>
                <w:szCs w:val="20"/>
                <w:color w:val="auto"/>
              </w:rPr>
            </w:pPr>
            <w:r>
              <w:rPr>
                <w:rFonts w:ascii="Arial" w:cs="Arial" w:eastAsia="Arial" w:hAnsi="Arial"/>
                <w:sz w:val="14"/>
                <w:szCs w:val="14"/>
                <w:color w:val="auto"/>
              </w:rPr>
              <w:t>4,727</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4,788</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bond 8.75%</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($10,000 par, due 12/2020)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79,155</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78,645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Financial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($40,243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39,585</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40,544</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($66,470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11/21/2012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65,344</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104,929</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106,515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($34,563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5/8/2014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33,714</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33,526</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($46,250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45,139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11.50%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(EUR 28,014</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3.00%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33,761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32,373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 300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30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($69,405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11/9/2012</w:t>
            </w:r>
          </w:p>
        </w:tc>
        <w:tc>
          <w:tcPr>
            <w:tcW w:w="740" w:type="dxa"/>
            <w:vAlign w:val="bottom"/>
          </w:tcPr>
          <w:p>
            <w:pPr>
              <w:jc w:val="right"/>
              <w:spacing w:after="0"/>
              <w:rPr>
                <w:sz w:val="20"/>
                <w:szCs w:val="20"/>
                <w:color w:val="auto"/>
              </w:rPr>
            </w:pPr>
            <w:r>
              <w:rPr>
                <w:rFonts w:ascii="Arial" w:cs="Arial" w:eastAsia="Arial" w:hAnsi="Arial"/>
                <w:sz w:val="14"/>
                <w:szCs w:val="14"/>
                <w:color w:val="auto"/>
              </w:rPr>
              <w:t>68,221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68,885</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($33,750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33,192</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33,834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1,933</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2,005</w:t>
            </w:r>
          </w:p>
        </w:tc>
        <w:tc>
          <w:tcPr>
            <w:tcW w:w="3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216,205</w:t>
            </w: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215,989</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($10,000</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2/15/2013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9,931</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9,913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12.00%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($43,653 par,</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5.00%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41,073</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40,161</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bond (GBP</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13,750 par, 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9/20/2013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22,565</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73,830</w:t>
            </w:r>
          </w:p>
        </w:tc>
        <w:tc>
          <w:tcPr>
            <w:tcW w:w="30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72,639</w:t>
            </w:r>
          </w:p>
        </w:tc>
        <w:tc>
          <w:tcPr>
            <w:tcW w:w="300" w:type="dxa"/>
            <w:vAlign w:val="bottom"/>
            <w:vMerge w:val="continue"/>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Amortized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Insurance</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($35,438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6/2017)</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35,034</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35,260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($2,010 par, due 6/2017)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1,961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1,985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($65,000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10/2020)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10/31/2014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64,363</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64,025</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101,358</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101,270</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Internet Services</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($41,401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3/7/2014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40,931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40,859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Manufacturing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(SEK 203,140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6/5/2013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30,897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25,690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($19,973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11/21/2013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17,699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21,321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Office products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($35,390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35,090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34,868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($62,857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9/4/2014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62,130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61,457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(3)(4)(7)</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13.00%</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($39,505 par,</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1.50%</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6/2018)</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6/4/2014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38,706</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37,381</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100,836</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98,838</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Specialty Retail</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($42,000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41,149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41,370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Transportation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($62,500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61,428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Debt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1,251,749</w:t>
            </w:r>
          </w:p>
        </w:tc>
        <w:tc>
          <w:tcPr>
            <w:tcW w:w="3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1,248,618</w:t>
            </w:r>
          </w:p>
        </w:tc>
        <w:tc>
          <w:tcPr>
            <w:tcW w:w="300" w:type="dxa"/>
            <w:vAlign w:val="bottom"/>
            <w:vMerge w:val="continue"/>
          </w:tcPr>
          <w:p>
            <w:pPr>
              <w:spacing w:after="0"/>
              <w:rPr>
                <w:sz w:val="14"/>
                <w:szCs w:val="14"/>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and Other Investments Business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9/12/2013</w:t>
            </w:r>
          </w:p>
        </w:tc>
        <w:tc>
          <w:tcPr>
            <w:tcW w:w="720" w:type="dxa"/>
            <w:vAlign w:val="bottom"/>
          </w:tcPr>
          <w:p>
            <w:pPr>
              <w:jc w:val="right"/>
              <w:spacing w:after="0"/>
              <w:rPr>
                <w:sz w:val="20"/>
                <w:szCs w:val="20"/>
                <w:color w:val="auto"/>
              </w:rPr>
            </w:pPr>
            <w:r>
              <w:rPr>
                <w:rFonts w:ascii="Arial" w:cs="Arial" w:eastAsia="Arial" w:hAnsi="Arial"/>
                <w:sz w:val="14"/>
                <w:szCs w:val="14"/>
                <w:color w:val="auto"/>
              </w:rPr>
              <w:t>780</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932</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(598 shares)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tcPr>
          <w:p>
            <w:pPr>
              <w:jc w:val="right"/>
              <w:spacing w:after="0"/>
              <w:rPr>
                <w:sz w:val="20"/>
                <w:szCs w:val="20"/>
                <w:color w:val="auto"/>
              </w:rPr>
            </w:pPr>
            <w:r>
              <w:rPr>
                <w:rFonts w:ascii="Arial" w:cs="Arial" w:eastAsia="Arial" w:hAnsi="Arial"/>
                <w:sz w:val="14"/>
                <w:szCs w:val="14"/>
                <w:color w:val="auto"/>
              </w:rPr>
              <w:t>467</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467</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(196 shares)</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192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9/30/2014</w:t>
            </w:r>
          </w:p>
        </w:tc>
        <w:tc>
          <w:tcPr>
            <w:tcW w:w="720" w:type="dxa"/>
            <w:vAlign w:val="bottom"/>
          </w:tcPr>
          <w:p>
            <w:pPr>
              <w:jc w:val="right"/>
              <w:spacing w:after="0"/>
              <w:rPr>
                <w:sz w:val="20"/>
                <w:szCs w:val="20"/>
                <w:color w:val="auto"/>
              </w:rPr>
            </w:pPr>
            <w:r>
              <w:rPr>
                <w:rFonts w:ascii="Arial" w:cs="Arial" w:eastAsia="Arial" w:hAnsi="Arial"/>
                <w:sz w:val="14"/>
                <w:szCs w:val="14"/>
                <w:color w:val="auto"/>
              </w:rPr>
              <w:t>877</w:t>
            </w:r>
          </w:p>
        </w:tc>
        <w:tc>
          <w:tcPr>
            <w:tcW w:w="3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840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SRS Parent Corp.</w:t>
            </w:r>
          </w:p>
        </w:tc>
        <w:tc>
          <w:tcPr>
            <w:tcW w:w="20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Common Shares Class A</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(1,980 shares)</w:t>
            </w: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12/28/2012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1,980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1,099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B</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(2,953,020 shares)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12/28/2012</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 Sports &amp; Entertainment, LLC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9/30/2014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ind w:left="280"/>
              <w:spacing w:after="0"/>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Metalico, Inc.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11/21/2013</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1,343</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(7)</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8,874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Other</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CLO Tranche F</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5.98%</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11/17/2014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5,531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5,526</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Equity and Other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21,503</w:t>
            </w:r>
          </w:p>
        </w:tc>
        <w:tc>
          <w:tcPr>
            <w:tcW w:w="1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14,893</w:t>
            </w:r>
          </w:p>
        </w:tc>
        <w:tc>
          <w:tcPr>
            <w:tcW w:w="320" w:type="dxa"/>
            <w:vAlign w:val="bottom"/>
            <w:vMerge w:val="continue"/>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1,273,252</w:t>
            </w:r>
          </w:p>
        </w:tc>
        <w:tc>
          <w:tcPr>
            <w:tcW w:w="1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  1,263,511</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Unless otherwise indicated, the Company’s portfolio companies are domiciled in the United States. Certain portfolio company investments are subject to contractual restrictions on sales.</w:t>
      </w:r>
    </w:p>
    <w:p>
      <w:pPr>
        <w:spacing w:after="0" w:line="1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right="40" w:hanging="332"/>
        <w:spacing w:after="0" w:line="229"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Additions(a)</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Reductions(b)</w:t>
            </w: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Gain/(Losses)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Mississippi Resources, LLC</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(5,944)</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ind w:left="88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(5,944)</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Schedule of Investments as of December 31, 2013</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amounts)</w:t>
      </w:r>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Debt Investments</w:t>
            </w:r>
          </w:p>
        </w:tc>
        <w:tc>
          <w:tcPr>
            <w:tcW w:w="2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Aerospace and defense</w:t>
            </w: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MSC Software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($53,452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Automotive</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11/2017)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($36,733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6/2017)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revolving loan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($4,611 par, due 6/2017)</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Sage Automotive Interiors,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($21,553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Beverage, food and tobacco</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($44,394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Business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($67,933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4/2018)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Aptean Holdings, Inc. f/k/a Consona Holdings,Inc.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Beyond Trust Software Holding Group, Inc.</w:t>
            </w:r>
            <w:r>
              <w:rPr>
                <w:rFonts w:ascii="Arial" w:cs="Arial" w:eastAsia="Arial" w:hAnsi="Arial"/>
                <w:sz w:val="12"/>
                <w:szCs w:val="12"/>
                <w:color w:val="auto"/>
              </w:rPr>
              <w:t>(3)(6)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($42,500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12/2019)</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($29,659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Construction and building</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4"/>
                <w:szCs w:val="14"/>
                <w:color w:val="auto"/>
              </w:rPr>
              <w:t>Mannington Mills, Inc.</w:t>
            </w:r>
            <w:r>
              <w:rPr>
                <w:rFonts w:ascii="Arial" w:cs="Arial" w:eastAsia="Arial" w:hAnsi="Arial"/>
                <w:sz w:val="12"/>
                <w:szCs w:val="12"/>
                <w:color w:val="auto"/>
              </w:rPr>
              <w:t>(3)(4)</w:t>
            </w:r>
          </w:p>
        </w:tc>
        <w:tc>
          <w:tcPr>
            <w:tcW w:w="1980" w:type="dxa"/>
            <w:vAlign w:val="bottom"/>
            <w:gridSpan w:val="2"/>
            <w:vMerge w:val="restart"/>
          </w:tcPr>
          <w:p>
            <w:pPr>
              <w:ind w:left="220"/>
              <w:spacing w:after="0"/>
              <w:rPr>
                <w:sz w:val="20"/>
                <w:szCs w:val="20"/>
                <w:color w:val="auto"/>
              </w:rPr>
            </w:pPr>
            <w:r>
              <w:rPr>
                <w:rFonts w:ascii="Arial" w:cs="Arial" w:eastAsia="Arial" w:hAnsi="Arial"/>
                <w:sz w:val="14"/>
                <w:szCs w:val="14"/>
                <w:color w:val="auto"/>
              </w:rPr>
              <w:t>Second-lien loan ($47,430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Containers and packaging</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par, due 3/2017)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($46,560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Education</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2/2018)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Campus Management,Inc.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Financial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($42,479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974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7246620" cy="197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1974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246620" cy="946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946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300" w:type="dxa"/>
            <w:vAlign w:val="bottom"/>
            <w:vMerge w:val="restart"/>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12/23/2011</w:t>
            </w:r>
          </w:p>
        </w:tc>
        <w:tc>
          <w:tcPr>
            <w:tcW w:w="660" w:type="dxa"/>
            <w:vAlign w:val="bottom"/>
          </w:tcPr>
          <w:p>
            <w:pPr>
              <w:jc w:val="right"/>
              <w:spacing w:after="0"/>
              <w:rPr>
                <w:sz w:val="20"/>
                <w:szCs w:val="20"/>
                <w:color w:val="auto"/>
              </w:rPr>
            </w:pPr>
            <w:r>
              <w:rPr>
                <w:rFonts w:ascii="Arial" w:cs="Arial" w:eastAsia="Arial" w:hAnsi="Arial"/>
                <w:sz w:val="14"/>
                <w:szCs w:val="14"/>
                <w:color w:val="auto"/>
              </w:rPr>
              <w:t>$   52,828</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$ 53,720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36,002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36,182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4,500</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4,528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12/31/2012</w:t>
            </w:r>
          </w:p>
        </w:tc>
        <w:tc>
          <w:tcPr>
            <w:tcW w:w="660" w:type="dxa"/>
            <w:vAlign w:val="bottom"/>
          </w:tcPr>
          <w:p>
            <w:pPr>
              <w:jc w:val="right"/>
              <w:spacing w:after="0"/>
              <w:rPr>
                <w:sz w:val="20"/>
                <w:szCs w:val="20"/>
                <w:color w:val="auto"/>
              </w:rPr>
            </w:pPr>
            <w:r>
              <w:rPr>
                <w:rFonts w:ascii="Arial" w:cs="Arial" w:eastAsia="Arial" w:hAnsi="Arial"/>
                <w:sz w:val="14"/>
                <w:szCs w:val="14"/>
                <w:color w:val="auto"/>
              </w:rPr>
              <w:t>21,336</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21,445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61,838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62,155</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8/31/2011</w:t>
            </w:r>
          </w:p>
        </w:tc>
        <w:tc>
          <w:tcPr>
            <w:tcW w:w="660" w:type="dxa"/>
            <w:vAlign w:val="bottom"/>
          </w:tcPr>
          <w:p>
            <w:pPr>
              <w:jc w:val="right"/>
              <w:spacing w:after="0"/>
              <w:rPr>
                <w:sz w:val="20"/>
                <w:szCs w:val="20"/>
                <w:color w:val="auto"/>
              </w:rPr>
            </w:pPr>
            <w:r>
              <w:rPr>
                <w:rFonts w:ascii="Arial" w:cs="Arial" w:eastAsia="Arial" w:hAnsi="Arial"/>
                <w:sz w:val="14"/>
                <w:szCs w:val="14"/>
                <w:color w:val="auto"/>
              </w:rPr>
              <w:t>43,837</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45,837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4/11/2013</w:t>
            </w:r>
          </w:p>
        </w:tc>
        <w:tc>
          <w:tcPr>
            <w:tcW w:w="660" w:type="dxa"/>
            <w:vAlign w:val="bottom"/>
          </w:tcPr>
          <w:p>
            <w:pPr>
              <w:jc w:val="right"/>
              <w:spacing w:after="0"/>
              <w:rPr>
                <w:sz w:val="20"/>
                <w:szCs w:val="20"/>
                <w:color w:val="auto"/>
              </w:rPr>
            </w:pPr>
            <w:r>
              <w:rPr>
                <w:rFonts w:ascii="Arial" w:cs="Arial" w:eastAsia="Arial" w:hAnsi="Arial"/>
                <w:sz w:val="14"/>
                <w:szCs w:val="14"/>
                <w:color w:val="auto"/>
              </w:rPr>
              <w:t>65,762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66,405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8/13/2012</w:t>
            </w:r>
          </w:p>
        </w:tc>
        <w:tc>
          <w:tcPr>
            <w:tcW w:w="660" w:type="dxa"/>
            <w:vAlign w:val="bottom"/>
          </w:tcPr>
          <w:p>
            <w:pPr>
              <w:jc w:val="right"/>
              <w:spacing w:after="0"/>
              <w:rPr>
                <w:sz w:val="20"/>
                <w:szCs w:val="20"/>
                <w:color w:val="auto"/>
              </w:rPr>
            </w:pPr>
            <w:r>
              <w:rPr>
                <w:rFonts w:ascii="Arial" w:cs="Arial" w:eastAsia="Arial" w:hAnsi="Arial"/>
                <w:sz w:val="14"/>
                <w:szCs w:val="14"/>
                <w:color w:val="auto"/>
              </w:rPr>
              <w:t>29,279</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29,477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12/18/2013</w:t>
            </w:r>
          </w:p>
        </w:tc>
        <w:tc>
          <w:tcPr>
            <w:tcW w:w="660" w:type="dxa"/>
            <w:vAlign w:val="bottom"/>
          </w:tcPr>
          <w:p>
            <w:pPr>
              <w:jc w:val="right"/>
              <w:spacing w:after="0"/>
              <w:rPr>
                <w:sz w:val="20"/>
                <w:szCs w:val="20"/>
                <w:color w:val="auto"/>
              </w:rPr>
            </w:pPr>
            <w:r>
              <w:rPr>
                <w:rFonts w:ascii="Arial" w:cs="Arial" w:eastAsia="Arial" w:hAnsi="Arial"/>
                <w:sz w:val="14"/>
                <w:szCs w:val="14"/>
                <w:color w:val="auto"/>
              </w:rPr>
              <w:t>41,462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41,437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82"/>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660" w:type="dxa"/>
            <w:vAlign w:val="bottom"/>
          </w:tcPr>
          <w:p>
            <w:pPr>
              <w:jc w:val="right"/>
              <w:spacing w:after="0"/>
              <w:rPr>
                <w:sz w:val="20"/>
                <w:szCs w:val="20"/>
                <w:color w:val="auto"/>
              </w:rPr>
            </w:pPr>
            <w:r>
              <w:rPr>
                <w:rFonts w:ascii="Arial" w:cs="Arial" w:eastAsia="Arial" w:hAnsi="Arial"/>
                <w:sz w:val="14"/>
                <w:szCs w:val="14"/>
                <w:color w:val="auto"/>
              </w:rPr>
              <w:t>29,105</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29,202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165,608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166,521</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85"/>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14.00%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2.00%</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3/2/2012</w:t>
            </w:r>
          </w:p>
        </w:tc>
        <w:tc>
          <w:tcPr>
            <w:tcW w:w="660" w:type="dxa"/>
            <w:vAlign w:val="bottom"/>
          </w:tcPr>
          <w:p>
            <w:pPr>
              <w:jc w:val="right"/>
              <w:spacing w:after="0"/>
              <w:rPr>
                <w:sz w:val="20"/>
                <w:szCs w:val="20"/>
                <w:color w:val="auto"/>
              </w:rPr>
            </w:pPr>
            <w:r>
              <w:rPr>
                <w:rFonts w:ascii="Arial" w:cs="Arial" w:eastAsia="Arial" w:hAnsi="Arial"/>
                <w:sz w:val="14"/>
                <w:szCs w:val="14"/>
                <w:color w:val="auto"/>
              </w:rPr>
              <w:t>46,545</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51,817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2/8/2013</w:t>
            </w:r>
          </w:p>
        </w:tc>
        <w:tc>
          <w:tcPr>
            <w:tcW w:w="660" w:type="dxa"/>
            <w:vAlign w:val="bottom"/>
          </w:tcPr>
          <w:p>
            <w:pPr>
              <w:jc w:val="right"/>
              <w:spacing w:after="0"/>
              <w:rPr>
                <w:sz w:val="20"/>
                <w:szCs w:val="20"/>
                <w:color w:val="auto"/>
              </w:rPr>
            </w:pPr>
            <w:r>
              <w:rPr>
                <w:rFonts w:ascii="Arial" w:cs="Arial" w:eastAsia="Arial" w:hAnsi="Arial"/>
                <w:sz w:val="14"/>
                <w:szCs w:val="14"/>
                <w:color w:val="auto"/>
              </w:rPr>
              <w:t>46,164</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47,142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660" w:type="dxa"/>
            <w:vAlign w:val="bottom"/>
          </w:tcPr>
          <w:p>
            <w:pPr>
              <w:jc w:val="right"/>
              <w:spacing w:after="0"/>
              <w:rPr>
                <w:sz w:val="20"/>
                <w:szCs w:val="20"/>
                <w:color w:val="auto"/>
              </w:rPr>
            </w:pPr>
            <w:r>
              <w:rPr>
                <w:rFonts w:ascii="Arial" w:cs="Arial" w:eastAsia="Arial" w:hAnsi="Arial"/>
                <w:sz w:val="14"/>
                <w:szCs w:val="14"/>
                <w:color w:val="auto"/>
              </w:rPr>
              <w:t>28,931</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29,032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41,597</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42,372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ectPr>
          <w:pgSz w:w="11900" w:h="16838" w:orient="portrait"/>
          <w:cols w:equalWidth="0" w:num="2">
            <w:col w:w="6360" w:space="220"/>
            <w:col w:w="4800"/>
          </w:cols>
          <w:pgMar w:left="240" w:top="460" w:right="27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9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0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First-lien loan ($76,337 par,</w:t>
            </w: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spacing w:after="0"/>
              <w:rPr>
                <w:sz w:val="15"/>
                <w:szCs w:val="15"/>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11/21/2012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74,752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75,764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116,349</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118,136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($71,634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11/9/2012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70,120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71,097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($35,625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34,782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35,625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12/2017)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106,902</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108,722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AMF Bowling Worldwide,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($14,813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6/2018)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7/2/2013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13,687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14,821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loan ($10,000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2/2020)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2/15/2013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9,923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10,250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Mandalay Baseball Properties, LLC</w:t>
            </w:r>
            <w:r>
              <w:rPr>
                <w:rFonts w:ascii="Arial" w:cs="Arial" w:eastAsia="Arial" w:hAnsi="Arial"/>
                <w:sz w:val="12"/>
                <w:szCs w:val="12"/>
                <w:color w:val="auto"/>
              </w:rPr>
              <w:t>(3)(4)</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($34,886 par,</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(incl. 4.50%</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3/2017)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34,303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35,758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bond (GBP 7,000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10/2018)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9.13%</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9/20/2013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11,200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11,913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69,113</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72,742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Pai Group,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($34,737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10.50%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5/8/2013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33,979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34,141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SumTotal Systems, LLC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($7,483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6.25%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7,405</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7,371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Second-lien loan ($12,000</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par, due 5/2019)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11,932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11,790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53,316</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53,302</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($31,888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6/2017)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31,433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31,808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($850 par, due 6/2017)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32,215</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32,646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Manufacturing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(SEK 177,161</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6/2018)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26,486</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27,170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Metals and mining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($35,650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11/2019)</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11/21/2013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33,523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33,841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6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Office products</w:t>
            </w:r>
          </w:p>
        </w:tc>
        <w:tc>
          <w:tcPr>
            <w:tcW w:w="2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($19,936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10/2016)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10/17/2011</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19,764</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20,086</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Global Geophysical</w:t>
            </w:r>
            <w:r>
              <w:rPr>
                <w:rFonts w:ascii="Arial" w:cs="Arial" w:eastAsia="Arial" w:hAnsi="Arial"/>
                <w:sz w:val="12"/>
                <w:szCs w:val="12"/>
                <w:color w:val="auto"/>
              </w:rPr>
              <w:t>(3)(4)</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($40,883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9/2016)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39,617</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40,065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Transportation</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Second-lien loan ($52,500</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par, due 10/2019)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10/2/2013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51,482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51,713</w:t>
            </w:r>
          </w:p>
        </w:tc>
        <w:tc>
          <w:tcPr>
            <w:tcW w:w="3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994,518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1,014,647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Investments</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Business services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780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SRS Parent Corp.</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(1,980 shares)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1,024</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(2,953,020 shares)</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2,000</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1,024</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Equity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997,298</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1,016,451</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176.9%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332"/>
        <w:spacing w:after="0" w:line="230"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3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37"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2012</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57,501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28,029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234,419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287,692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22,566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26,438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9,194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(26,997)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(2,773)</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267,116</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306,711</w:t>
            </w: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574,696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173,092</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60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Undistributed Net Investment Income Included in Net Assets at the End of</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the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85,050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66,983</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39,595</w:t>
            </w:r>
          </w:p>
        </w:tc>
        <w:tc>
          <w:tcPr>
            <w:tcW w:w="0" w:type="dxa"/>
            <w:vAlign w:val="bottom"/>
          </w:tcPr>
          <w:p>
            <w:pPr>
              <w:spacing w:after="0"/>
              <w:rPr>
                <w:sz w:val="1"/>
                <w:szCs w:val="1"/>
                <w:color w:val="auto"/>
              </w:rPr>
            </w:pPr>
          </w:p>
        </w:tc>
      </w:tr>
      <w:tr>
        <w:trPr>
          <w:trHeight w:val="185"/>
        </w:trPr>
        <w:tc>
          <w:tcPr>
            <w:tcW w:w="61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6"/>
              </w:rPr>
              <w:t>Adjustments to reconcile increase in net assets resulting from operations to net cash</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used in operating activities: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change in unrealized (gains) losses on investments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28,895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(9,630)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(7,211)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 in unrealized (gains) losses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realized gains on investments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(1,061)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realized gains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amortization of discount on securities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(19,627)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(6,728)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Accretion of discount on Convertible Senior Notes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investments, net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(974,824)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(602,988)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(760,668)</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Proceeds from investments, net</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100,656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46,390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119,126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on investments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620,671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214,293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190,594</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Paid-in-kind interest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(2,748)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(2,749)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Interest receivable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(2,579)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receivable paid-in-kind</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(12,443)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(6,292)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Management fees 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Incentive fees payable to affiliate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2,083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3,706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31,972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1,324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(148,831)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(289,631)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(430,099)</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1,108,097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902,000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1,332,688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Payments on debt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(1,135,388)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(801,569)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(1,155,852)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234,419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56,857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287,692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(10,968)</w:t>
            </w:r>
          </w:p>
        </w:tc>
        <w:tc>
          <w:tcPr>
            <w:tcW w:w="0" w:type="dxa"/>
            <w:vAlign w:val="bottom"/>
          </w:tcPr>
          <w:p>
            <w:pPr>
              <w:spacing w:after="0"/>
              <w:rPr>
                <w:sz w:val="1"/>
                <w:szCs w:val="1"/>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448,232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(158,354)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18,133</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3,471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161,825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143,692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161,825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paid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Excise taxes paid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199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declared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81,326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55,385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29,770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Reinvestment of dividends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22,566</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26,438</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9,194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Subscription receivable from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The Company is currently assessing the additional disclosure requirements, if any, of ASU 2014-15. ASU 2014-15 is effective for the annual period ending after December 31, 2016 and for annual periods and interim periods thereafter, with early adoption permitted.</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2014-09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The guidance in this ASU supersedes the revenue recognition requirements in Topic 605, Revenue Recognition. Under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 entity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2014, 2013 and 2012, the Company incurred expenses of $2.7 million, $1.4 million and $1.0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For the years ended December 31, 2014, 2013 and 2012, Management Fees were $18.3 million, $13.4 million, and $8.9 million, respectively. F-20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For the years ended December 31, 2014, 2013, and 2012, Management Fees of $2.5 million, $7.1 million, and $3.7 million, respectively,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80" w:hanging="446"/>
        <w:spacing w:after="0" w:line="25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97" w:lineRule="exact"/>
        <w:rPr>
          <w:rFonts w:ascii="Arial" w:cs="Arial" w:eastAsia="Arial" w:hAnsi="Arial"/>
          <w:sz w:val="18"/>
          <w:szCs w:val="18"/>
          <w:color w:val="auto"/>
        </w:rPr>
      </w:pPr>
    </w:p>
    <w:p>
      <w:pPr>
        <w:ind w:left="900" w:right="20"/>
        <w:spacing w:after="0" w:line="254"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7" w:lineRule="exact"/>
        <w:rPr>
          <w:rFonts w:ascii="Arial" w:cs="Arial" w:eastAsia="Arial" w:hAnsi="Arial"/>
          <w:sz w:val="18"/>
          <w:szCs w:val="18"/>
          <w:color w:val="auto"/>
        </w:rPr>
      </w:pPr>
    </w:p>
    <w:p>
      <w:pPr>
        <w:ind w:left="900"/>
        <w:spacing w:after="0" w:line="255" w:lineRule="auto"/>
        <w:rPr>
          <w:rFonts w:ascii="Arial" w:cs="Arial" w:eastAsia="Arial" w:hAnsi="Arial"/>
          <w:sz w:val="18"/>
          <w:szCs w:val="18"/>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now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2014, Incentive Fees were $17.8 million, comprised of fees related to pre-incentive fee net investment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$20.8 million offset by ($2.9) million of incentive fees related to capital gains and losses attributable to unrealized losses on investments and realized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foreign exchange transactions. For the year ended December 31, 2013, Incentive Fees were $11.8 million, comprised of fees related to pre-incentive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investment income of $10.4 million and $1.4 million of incentive fees related to capital gains and losses. For the year ended December 31, 2012,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were $7.0 million, comprised of fees related to pre-incentive fee net investment income of $5.3 million and $1.7 million of incentive fees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gains and losses.</w:t>
      </w:r>
    </w:p>
    <w:p>
      <w:pPr>
        <w:spacing w:after="0" w:line="21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above,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2014, the Adviser entered into a purchase agreement (the “Adviser 10b5-1 Plan”), in accordance with Rules 10b5-1 and 10b-18 under the Securities Exchange Act of 1934, as amended (the “Exchange Act”), under which an agent for the Adviser would buy up to $25 million in the aggregate of the Company’s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1,124,246</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111,121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111,408</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21,502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14,893</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131,082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137,482</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1,016,451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77"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460"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Automotive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Business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240" w:type="dxa"/>
            <w:vAlign w:val="bottom"/>
          </w:tcPr>
          <w:p>
            <w:pPr>
              <w:spacing w:after="0"/>
              <w:rPr>
                <w:sz w:val="18"/>
                <w:szCs w:val="18"/>
                <w:color w:val="auto"/>
              </w:rPr>
            </w:pP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Education</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Financial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5.9%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Insurance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Manufacturing</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Office products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Transportation</w:t>
            </w:r>
          </w:p>
        </w:tc>
        <w:tc>
          <w:tcPr>
            <w:tcW w:w="124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2014 generally had terms of approximately two months or less.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40"/>
          </w:cols>
          <w:pgMar w:left="240" w:top="459" w:right="3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During the year ended December 31, 2014, the Company entered into foreign currency forward contracts related to its non-USD investments. The Company did not have any open foreign currency forward contracts as of December 31,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5"/>
              </w:rPr>
              <w:t>Foreign Currency Forward</w:t>
            </w: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w w:val="98"/>
              </w:rPr>
              <w:t>Amount (in ‘000s)</w:t>
            </w: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Settlement Date</w:t>
            </w:r>
          </w:p>
        </w:tc>
        <w:tc>
          <w:tcPr>
            <w:tcW w:w="1600" w:type="dxa"/>
            <w:vAlign w:val="bottom"/>
            <w:gridSpan w:val="3"/>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20"/>
                <w:szCs w:val="20"/>
                <w:color w:val="auto"/>
              </w:rPr>
            </w:pPr>
            <w:r>
              <w:rPr>
                <w:rFonts w:ascii="Arial" w:cs="Arial" w:eastAsia="Arial" w:hAnsi="Arial"/>
                <w:sz w:val="14"/>
                <w:szCs w:val="14"/>
                <w:b w:val="1"/>
                <w:bCs w:val="1"/>
                <w:color w:val="auto"/>
              </w:rPr>
              <w:t>Contracts</w:t>
            </w:r>
          </w:p>
        </w:tc>
        <w:tc>
          <w:tcPr>
            <w:tcW w:w="23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and Transaction</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Settlement Date</w:t>
            </w:r>
          </w:p>
        </w:tc>
        <w:tc>
          <w:tcPr>
            <w:tcW w:w="10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Swedish Krona (SEK)</w:t>
            </w:r>
          </w:p>
        </w:tc>
        <w:tc>
          <w:tcPr>
            <w:tcW w:w="2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January 24, 2014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7"/>
              </w:rPr>
              <w:t>(28,440)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0"/>
              </w:rPr>
              <w:t>(29,366)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7"/>
              </w:rPr>
              <w:t>Pound Sterling (GBP)</w:t>
            </w:r>
          </w:p>
        </w:tc>
        <w:tc>
          <w:tcPr>
            <w:tcW w:w="2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January 24, 2014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7,000 sold</w:t>
            </w:r>
          </w:p>
        </w:tc>
        <w:tc>
          <w:tcPr>
            <w:tcW w:w="14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8"/>
                <w:szCs w:val="18"/>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(39,714)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The swap transactions mature on December 15, 2019. For the year ended December 31, 2014, the Company recognized $1.0 million in unrealized appreciation on derivatives in the consolidated statement of operations related to the swap transactions. As of December 31, 2014, the swap transactions had a fair value of $1.0 million, which is included in receivable on interest rate swaps on the Company’s consolidated balance sheet.</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year ended December 31, 2014, the Company received $2.6 million and paid $1.6 million related to the quarterly settlements of its interest rate swaps. This net amount is a reduction to interest expense in the Company’s consolidated statements of operations.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2014, $2.3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tcPr>
          <w:p>
            <w:pPr>
              <w:jc w:val="center"/>
              <w:ind w:left="182"/>
              <w:spacing w:after="0"/>
              <w:rPr>
                <w:sz w:val="20"/>
                <w:szCs w:val="20"/>
                <w:color w:val="auto"/>
              </w:rPr>
            </w:pPr>
            <w:r>
              <w:rPr>
                <w:rFonts w:ascii="Arial" w:cs="Arial" w:eastAsia="Arial" w:hAnsi="Arial"/>
                <w:sz w:val="14"/>
                <w:szCs w:val="14"/>
                <w:b w:val="1"/>
                <w:bCs w:val="1"/>
                <w:color w:val="auto"/>
                <w:w w:val="94"/>
              </w:rPr>
              <w:t>Fair Value Hierarchy at December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1,059,336</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1,124,246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50,158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61,250</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9,368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14,893</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129,037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1,263,511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130,057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1,264,531</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180"/>
              <w:spacing w:after="0"/>
              <w:rPr>
                <w:sz w:val="20"/>
                <w:szCs w:val="20"/>
                <w:color w:val="auto"/>
              </w:rPr>
            </w:pPr>
            <w:r>
              <w:rPr>
                <w:rFonts w:ascii="Arial" w:cs="Arial" w:eastAsia="Arial" w:hAnsi="Arial"/>
                <w:sz w:val="14"/>
                <w:szCs w:val="14"/>
                <w:b w:val="1"/>
                <w:bCs w:val="1"/>
                <w:color w:val="auto"/>
              </w:rPr>
              <w:t>Fair Value Hierarchy at December 31, 2013</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Level 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34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854,972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33,952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gridSpan w:val="2"/>
          </w:tcPr>
          <w:p>
            <w:pPr>
              <w:spacing w:after="0"/>
              <w:rPr>
                <w:sz w:val="20"/>
                <w:szCs w:val="20"/>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1,015,207</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2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Mezzanine</w:t>
            </w: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Equity and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103,530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770,732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4,640</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(94,952)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(473,178)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(113,148)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(586,326)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15,357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1,059,336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1,134,474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1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51,270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of Level 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$ 854,972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103,530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Net Change in Unrealized</w:t>
            </w:r>
          </w:p>
        </w:tc>
        <w:tc>
          <w:tcPr>
            <w:tcW w:w="180" w:type="dxa"/>
            <w:vAlign w:val="bottom"/>
          </w:tcPr>
          <w:p>
            <w:pPr>
              <w:spacing w:after="0"/>
              <w:rPr>
                <w:sz w:val="14"/>
                <w:szCs w:val="14"/>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December 31, 2014 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 2013 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Pr>
          <w:p>
            <w:pPr>
              <w:spacing w:after="0"/>
              <w:rPr>
                <w:sz w:val="14"/>
                <w:szCs w:val="14"/>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(5,629)</w:t>
            </w:r>
          </w:p>
        </w:tc>
        <w:tc>
          <w:tcPr>
            <w:tcW w:w="180" w:type="dxa"/>
            <w:vAlign w:val="bottom"/>
          </w:tcPr>
          <w:p>
            <w:pPr>
              <w:spacing w:after="0"/>
              <w:rPr>
                <w:sz w:val="18"/>
                <w:szCs w:val="18"/>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r>
      <w:tr>
        <w:trPr>
          <w:trHeight w:val="27"/>
        </w:trPr>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9,358</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8.00%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1,059,336</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15.35% (10.86%)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10.97%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61,250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10.97% (10.97%)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20.78%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20.78% (20.78%)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Comparable</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7.9x — 13.0x</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Flow or Black</w:t>
            </w:r>
          </w:p>
        </w:tc>
        <w:tc>
          <w:tcPr>
            <w:tcW w:w="1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multiple,</w:t>
            </w:r>
          </w:p>
        </w:tc>
        <w:tc>
          <w:tcPr>
            <w:tcW w:w="164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 Option</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(10.4x) or 14.4%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21"/>
                <w:szCs w:val="21"/>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5"/>
              </w:rPr>
              <w:t>December 31, 2013</w:t>
            </w: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0"/>
                <w:szCs w:val="10"/>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Unobservable</w:t>
            </w:r>
          </w:p>
        </w:tc>
        <w:tc>
          <w:tcPr>
            <w:tcW w:w="16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Input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5.50%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854,972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9.32%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103,530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9.87% (9.59%)</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Weighted</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Average Cost of</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12.1% —</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1,805</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Capital (WACC)</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15.3% (14.0%)</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December 31, 2014 and 2013, approximates their carrying value as the outstanding balances are callable at carrying value.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 of the Company’s Convertible Senior Notes, which is categorized as Level 2 within the fair value hierarchy, as of December 31, 2014, was $112.2 million, based on broker quotes received by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2014 and 2013, the Company’s asset coverage was 311.0% and 232.9%,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177,216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466,189</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$ 511,468</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2013</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SPV Asset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77,767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77,500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$ 145,500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20" w:hanging="452"/>
        <w:spacing w:after="0" w:line="261"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2014, 2013 and 2012,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Pr>
          <w:p>
            <w:pPr>
              <w:spacing w:after="0"/>
              <w:rPr>
                <w:sz w:val="14"/>
                <w:szCs w:val="14"/>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December 31, 2013</w:t>
            </w:r>
          </w:p>
        </w:tc>
        <w:tc>
          <w:tcPr>
            <w:tcW w:w="22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2014, the Company had outstanding debt denominated in Swedish Krona (SEK) of 205.8 million, Euro (EUR) of 28.1 million and Pound Sterling (GBP) of 14.1 million on its Revolving Credit Facility, included in the Outstanding Principal amount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December 31, 2014, the Company’s effective interest rate on the Convertible Senior Notes was three-month LIBOR plus 252.9 basis points. See Note 5 for further information related to the Company’s interest rate swaps.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2014,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 ended December 31, 2014, the Company received $2.6 million and paid $1.6 million related to the quarterly settlement of its interest rate swaps. This net amount is a reduction to interest expense in the Company’s consolidated statements of operations. Please see Note 5 for further information about the Company’s interest rate swaps.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the components of the carrying value of the Convertible Senior Notes and the stated interest rate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2014 was three-month LIBOR plus 252.9 basis points. Please see Note 5 for further information about the Company’s interest rate swaps.</w:t>
      </w:r>
    </w:p>
    <w:p>
      <w:pPr>
        <w:spacing w:after="0" w:line="12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December 31, 2013,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2014 and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2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Unfunded capital commitments terminated upon the completion of the Company’s IPO.</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366"/>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Shares Issued</w:t>
            </w:r>
          </w:p>
        </w:tc>
        <w:tc>
          <w:tcPr>
            <w:tcW w:w="6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w w:val="99"/>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2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40" w:type="dxa"/>
            <w:vAlign w:val="bottom"/>
            <w:gridSpan w:val="2"/>
          </w:tcPr>
          <w:p>
            <w:pPr>
              <w:jc w:val="right"/>
              <w:ind w:right="1899"/>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2"/>
          </w:tcPr>
          <w:p>
            <w:pPr>
              <w:jc w:val="right"/>
              <w:ind w:right="34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 Issued</w:t>
            </w:r>
            <w:r>
              <w:rPr>
                <w:rFonts w:ascii="Arial" w:cs="Arial" w:eastAsia="Arial" w:hAnsi="Arial"/>
                <w:sz w:val="12"/>
                <w:szCs w:val="12"/>
                <w:b w:val="1"/>
                <w:bCs w:val="1"/>
                <w:color w:val="auto"/>
                <w:w w:val="89"/>
              </w:rPr>
              <w:t>(1)</w:t>
            </w:r>
          </w:p>
        </w:tc>
        <w:tc>
          <w:tcPr>
            <w:tcW w:w="6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September 26, 2013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6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28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2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0" w:hanging="452"/>
        <w:spacing w:after="0" w:line="277"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2014 and 2013.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0"/>
                <w:szCs w:val="10"/>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February 13, 2014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March 31, 2014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May 1, 2014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410,183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June 30, 2014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August 1, 2014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September 30, 2014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November 3, 2014</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3"/>
            <w:vMerge w:val="restart"/>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Record Date</w:t>
            </w:r>
          </w:p>
        </w:tc>
        <w:tc>
          <w:tcPr>
            <w:tcW w:w="240" w:type="dxa"/>
            <w:vAlign w:val="bottom"/>
            <w:gridSpan w:val="2"/>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right"/>
              <w:ind w:right="1140"/>
              <w:spacing w:after="0" w:line="119" w:lineRule="exact"/>
              <w:rPr>
                <w:sz w:val="20"/>
                <w:szCs w:val="20"/>
                <w:color w:val="auto"/>
              </w:rPr>
            </w:pPr>
            <w:r>
              <w:rPr>
                <w:rFonts w:ascii="Arial" w:cs="Arial" w:eastAsia="Arial" w:hAnsi="Arial"/>
                <w:sz w:val="13"/>
                <w:szCs w:val="13"/>
                <w:b w:val="1"/>
                <w:bCs w:val="1"/>
                <w:color w:val="auto"/>
              </w:rPr>
              <w:t>Date</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r>
              <w:rPr>
                <w:rFonts w:ascii="Arial" w:cs="Arial" w:eastAsia="Arial" w:hAnsi="Arial"/>
                <w:sz w:val="12"/>
                <w:szCs w:val="12"/>
                <w:b w:val="1"/>
                <w:bCs w:val="1"/>
                <w:color w:val="auto"/>
                <w:w w:val="94"/>
              </w:rPr>
              <w:t>(1)</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Shares Issued</w:t>
            </w:r>
          </w:p>
        </w:tc>
        <w:tc>
          <w:tcPr>
            <w:tcW w:w="480" w:type="dxa"/>
            <w:vAlign w:val="bottom"/>
            <w:tcBorders>
              <w:bottom w:val="single" w:sz="8" w:color="CCEEFF"/>
            </w:tcBorders>
            <w:gridSpan w:val="2"/>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2012</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4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March 31, 2013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May 7,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June 30, 2013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August 6, 2013</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September 30, 2013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November 5,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479,534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1,730,042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Company’s Board of Directors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Unless extended or terminated by the Board of Directors, the Company 10b5-1 Plan will be in effect through the earlier of May 4, 2015 or such time as the approved $50 million repurchase amount has been fully utilized, subject to certain conditions. On February 20, 2015, the Company’s Board of Directors authorized the extension of the termination date of the Company 10b5-1 Plan from May 4, 2015 to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no shares had been repurchased under the Company 10b5-1 Plan.</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8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5"/>
              </w:rPr>
              <w:t>December 31, 2014</w:t>
            </w:r>
          </w:p>
        </w:tc>
        <w:tc>
          <w:tcPr>
            <w:tcW w:w="540" w:type="dxa"/>
            <w:vAlign w:val="bottom"/>
          </w:tcPr>
          <w:p>
            <w:pPr>
              <w:spacing w:after="0"/>
              <w:rPr>
                <w:sz w:val="12"/>
                <w:szCs w:val="12"/>
                <w:color w:val="auto"/>
              </w:rPr>
            </w:pPr>
          </w:p>
        </w:tc>
        <w:tc>
          <w:tcPr>
            <w:tcW w:w="2360" w:type="dxa"/>
            <w:vAlign w:val="bottom"/>
            <w:gridSpan w:val="3"/>
          </w:tcPr>
          <w:p>
            <w:pPr>
              <w:jc w:val="center"/>
              <w:ind w:right="108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2012</w:t>
            </w:r>
          </w:p>
        </w:tc>
        <w:tc>
          <w:tcPr>
            <w:tcW w:w="100" w:type="dxa"/>
            <w:vAlign w:val="bottom"/>
          </w:tcPr>
          <w:p>
            <w:pPr>
              <w:spacing w:after="0"/>
              <w:rPr>
                <w:sz w:val="12"/>
                <w:szCs w:val="12"/>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outstanding—basic and diluted</w:t>
            </w:r>
            <w:r>
              <w:rPr>
                <w:rFonts w:ascii="Arial" w:cs="Arial" w:eastAsia="Arial" w:hAnsi="Arial"/>
                <w:sz w:val="15"/>
                <w:szCs w:val="15"/>
                <w:color w:val="auto"/>
              </w:rPr>
              <w:t>(1)</w:t>
            </w:r>
          </w:p>
        </w:tc>
        <w:tc>
          <w:tcPr>
            <w:tcW w:w="28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50,509,692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34,635,208</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20,541,475</w:t>
            </w: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2014 was less than the conversion price for the Convertible Senior Notes outstanding as of December 31,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2014</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Dividend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May 6,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August 4, 2014</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2014</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November 3,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2013</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Dividend per Share</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2013</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long-term capital gains, determined on a tax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2014, 2013 and 2012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December 31, 2014</w:t>
            </w:r>
          </w:p>
        </w:tc>
        <w:tc>
          <w:tcPr>
            <w:tcW w:w="140" w:type="dxa"/>
            <w:vAlign w:val="bottom"/>
          </w:tcPr>
          <w:p>
            <w:pPr>
              <w:spacing w:after="0"/>
              <w:rPr>
                <w:sz w:val="14"/>
                <w:szCs w:val="14"/>
                <w:color w:val="auto"/>
              </w:rPr>
            </w:pP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Capital Gains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1,776</w:t>
            </w:r>
          </w:p>
        </w:tc>
      </w:tr>
      <w:tr>
        <w:trPr>
          <w:trHeight w:val="27"/>
        </w:trPr>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81,326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29,770</w:t>
            </w:r>
          </w:p>
        </w:tc>
      </w:tr>
      <w:tr>
        <w:trPr>
          <w:trHeight w:val="20"/>
        </w:trPr>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77"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the years ended December 31, 2014, 2013 and 2012, 78.85%, 91.52% and 78.08% of ordinary income qualified as interest related dividend which is exempt from U.S. withholding tax applicable to non U.S. shareholders.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2014, 2013 and 2012, to taxable income at December 31, 2014,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December 31, 2014</w:t>
            </w:r>
          </w:p>
        </w:tc>
        <w:tc>
          <w:tcPr>
            <w:tcW w:w="140" w:type="dxa"/>
            <w:vAlign w:val="bottom"/>
          </w:tcPr>
          <w:p>
            <w:pPr>
              <w:spacing w:after="0"/>
              <w:rPr>
                <w:sz w:val="14"/>
                <w:szCs w:val="14"/>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2012</w:t>
            </w:r>
          </w:p>
        </w:tc>
      </w:tr>
      <w:tr>
        <w:trPr>
          <w:trHeight w:val="182"/>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85,050</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17,722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(7,211)</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income (expense) for tax</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purposes, not book</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r>
      <w:tr>
        <w:trPr>
          <w:trHeight w:val="223"/>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Taxable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14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w:t>
      </w:r>
    </w:p>
    <w:p>
      <w:pPr>
        <w:spacing w:after="0" w:line="17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The Company neither has any uncertain tax positions that met the recognition or measurement criteria of ASC 740-10-25, </w:t>
      </w:r>
      <w:r>
        <w:rPr>
          <w:rFonts w:ascii="Arial" w:cs="Arial" w:eastAsia="Arial" w:hAnsi="Arial"/>
          <w:sz w:val="17"/>
          <w:szCs w:val="17"/>
          <w:i w:val="1"/>
          <w:iCs w:val="1"/>
          <w:color w:val="auto"/>
        </w:rPr>
        <w:t>Income Taxes</w:t>
      </w:r>
      <w:r>
        <w:rPr>
          <w:rFonts w:ascii="Arial" w:cs="Arial" w:eastAsia="Arial" w:hAnsi="Arial"/>
          <w:sz w:val="17"/>
          <w:szCs w:val="17"/>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2014 and 2013, approximates their amortized cost.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2014,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Per Share Data</w:t>
            </w: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ind w:left="1100"/>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asset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beginning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15.19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14.71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0.01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investment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7"/>
                <w:szCs w:val="17"/>
                <w:color w:val="auto"/>
              </w:rPr>
              <w:t>2.07</w:t>
            </w:r>
          </w:p>
        </w:tc>
        <w:tc>
          <w:tcPr>
            <w:tcW w:w="14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(0.44)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2"/>
                <w:szCs w:val="2"/>
                <w:color w:val="auto"/>
              </w:rPr>
              <w:t>income (loss)</w:t>
            </w: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gridSpan w:val="2"/>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gridSpan w:val="2"/>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realized and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unrealized gain (loss)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from operations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Issuance of common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stock, net of offering</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costs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Dividends declared</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net investment income</w:t>
            </w:r>
            <w:r>
              <w:rPr>
                <w:rFonts w:ascii="Arial" w:cs="Arial" w:eastAsia="Arial" w:hAnsi="Arial"/>
                <w:sz w:val="14"/>
                <w:szCs w:val="14"/>
                <w:color w:val="auto"/>
              </w:rPr>
              <w:t>(2)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Dividends declared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from realized gains</w:t>
            </w:r>
            <w:r>
              <w:rPr>
                <w:rFonts w:ascii="Arial" w:cs="Arial" w:eastAsia="Arial" w:hAnsi="Arial"/>
                <w:sz w:val="14"/>
                <w:szCs w:val="14"/>
                <w:color w:val="auto"/>
              </w:rPr>
              <w:t>(2)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(0.02)</w:t>
            </w:r>
          </w:p>
        </w:tc>
        <w:tc>
          <w:tcPr>
            <w:tcW w:w="1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7"/>
                <w:szCs w:val="17"/>
                <w:color w:val="auto"/>
              </w:rPr>
              <w:t>(0.11)</w:t>
            </w:r>
          </w:p>
        </w:tc>
        <w:tc>
          <w:tcPr>
            <w:tcW w:w="12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Total increase in</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assets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14.70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40" w:type="dxa"/>
            <w:vAlign w:val="bottom"/>
          </w:tcPr>
          <w:p>
            <w:pPr>
              <w:ind w:left="340"/>
              <w:spacing w:after="0" w:line="186" w:lineRule="exact"/>
              <w:rPr>
                <w:sz w:val="20"/>
                <w:szCs w:val="20"/>
                <w:color w:val="auto"/>
              </w:rPr>
            </w:pPr>
            <w:r>
              <w:rPr>
                <w:rFonts w:ascii="Arial" w:cs="Arial" w:eastAsia="Arial" w:hAnsi="Arial"/>
                <w:sz w:val="17"/>
                <w:szCs w:val="17"/>
                <w:b w:val="1"/>
                <w:bCs w:val="1"/>
                <w:color w:val="auto"/>
              </w:rPr>
              <w:t>Net Asset Value,</w:t>
            </w: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40" w:type="dxa"/>
            <w:vAlign w:val="bottom"/>
          </w:tcPr>
          <w:p>
            <w:pPr>
              <w:ind w:left="500"/>
              <w:spacing w:after="0"/>
              <w:rPr>
                <w:sz w:val="20"/>
                <w:szCs w:val="20"/>
                <w:color w:val="auto"/>
              </w:rPr>
            </w:pPr>
            <w:r>
              <w:rPr>
                <w:rFonts w:ascii="Arial" w:cs="Arial" w:eastAsia="Arial" w:hAnsi="Arial"/>
                <w:sz w:val="17"/>
                <w:szCs w:val="17"/>
                <w:b w:val="1"/>
                <w:bCs w:val="1"/>
                <w:color w:val="auto"/>
              </w:rPr>
              <w:t>End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15.52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15.19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14.71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Per share market</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value at end of period</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16.82</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Total return based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vMerge w:val="restart"/>
          </w:tcPr>
          <w:p>
            <w:pPr>
              <w:jc w:val="right"/>
              <w:ind w:right="440"/>
              <w:spacing w:after="0"/>
              <w:rPr>
                <w:sz w:val="20"/>
                <w:szCs w:val="20"/>
                <w:color w:val="auto"/>
              </w:rPr>
            </w:pPr>
            <w:r>
              <w:rPr>
                <w:rFonts w:ascii="Arial" w:cs="Arial" w:eastAsia="Arial" w:hAnsi="Arial"/>
                <w:sz w:val="17"/>
                <w:szCs w:val="17"/>
                <w:color w:val="auto"/>
              </w:rPr>
              <w:t>14.7%</w:t>
            </w:r>
          </w:p>
        </w:tc>
        <w:tc>
          <w:tcPr>
            <w:tcW w:w="140" w:type="dxa"/>
            <w:vAlign w:val="bottom"/>
          </w:tcPr>
          <w:p>
            <w:pPr>
              <w:spacing w:after="0"/>
              <w:rPr>
                <w:sz w:val="16"/>
                <w:szCs w:val="16"/>
                <w:color w:val="auto"/>
              </w:rPr>
            </w:pPr>
          </w:p>
        </w:tc>
        <w:tc>
          <w:tcPr>
            <w:tcW w:w="14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restart"/>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tcPr>
          <w:p>
            <w:pPr>
              <w:ind w:left="160"/>
              <w:spacing w:after="0"/>
              <w:rPr>
                <w:sz w:val="20"/>
                <w:szCs w:val="20"/>
                <w:color w:val="auto"/>
              </w:rPr>
            </w:pPr>
            <w:r>
              <w:rPr>
                <w:rFonts w:ascii="Arial" w:cs="Arial" w:eastAsia="Arial" w:hAnsi="Arial"/>
                <w:sz w:val="2"/>
                <w:szCs w:val="2"/>
                <w:color w:val="auto"/>
              </w:rPr>
              <w:t>on market value</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gridSpan w:val="2"/>
          </w:tcPr>
          <w:p>
            <w:pPr>
              <w:jc w:val="right"/>
              <w:ind w:right="1143"/>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Total return based on</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asset value</w:t>
            </w:r>
            <w:r>
              <w:rPr>
                <w:rFonts w:ascii="Arial" w:cs="Arial" w:eastAsia="Arial" w:hAnsi="Arial"/>
                <w:sz w:val="14"/>
                <w:szCs w:val="14"/>
                <w:color w:val="auto"/>
              </w:rPr>
              <w:t>(4)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n.m.</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Shares Outstanding,</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End of Period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53,797,358</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37,026,023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31,582,954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11,770,514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66,676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December 31, 2011</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Ratios / Supplemental Data</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w w:val="93"/>
              </w:rPr>
              <w:t>Ratio of net expenses to average net 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Ratio of net investment income (loss) to</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average net assets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rPr>
              <w:t>Portfolio turnover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53.2%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27.0%</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7"/>
                <w:szCs w:val="17"/>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assets, end of period</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835,405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574,696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479,803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173,092</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50"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right="20" w:hanging="452"/>
        <w:spacing w:after="0" w:line="261"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$45,657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820" w:type="dxa"/>
            <w:vAlign w:val="bottom"/>
            <w:gridSpan w:val="5"/>
          </w:tcPr>
          <w:p>
            <w:pPr>
              <w:ind w:left="1120"/>
              <w:spacing w:after="0"/>
              <w:rPr>
                <w:sz w:val="20"/>
                <w:szCs w:val="20"/>
                <w:color w:val="auto"/>
              </w:rPr>
            </w:pPr>
            <w:r>
              <w:rPr>
                <w:rFonts w:ascii="Arial" w:cs="Arial" w:eastAsia="Arial" w:hAnsi="Arial"/>
                <w:sz w:val="18"/>
                <w:szCs w:val="18"/>
                <w:color w:val="auto"/>
                <w:w w:val="96"/>
              </w:rPr>
              <w:t>$ 15,094</w:t>
            </w:r>
          </w:p>
        </w:tc>
        <w:tc>
          <w:tcPr>
            <w:tcW w:w="50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$15,288</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$16,224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$ 30,684</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$23,116</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320" w:type="dxa"/>
            <w:vAlign w:val="bottom"/>
            <w:gridSpan w:val="6"/>
          </w:tcPr>
          <w:p>
            <w:pPr>
              <w:ind w:left="1120"/>
              <w:spacing w:after="0"/>
              <w:rPr>
                <w:sz w:val="20"/>
                <w:szCs w:val="20"/>
                <w:color w:val="auto"/>
              </w:rPr>
            </w:pPr>
            <w:r>
              <w:rPr>
                <w:rFonts w:ascii="Arial" w:cs="Arial" w:eastAsia="Arial" w:hAnsi="Arial"/>
                <w:sz w:val="18"/>
                <w:szCs w:val="18"/>
                <w:color w:val="auto"/>
              </w:rPr>
              <w:t>$(16,879)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(4,513)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$ 13,805</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$18,603</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$27,294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15.53</w:t>
            </w:r>
          </w:p>
        </w:tc>
        <w:tc>
          <w:tcPr>
            <w:tcW w:w="5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15.66</w:t>
            </w:r>
          </w:p>
        </w:tc>
        <w:tc>
          <w:tcPr>
            <w:tcW w:w="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377"/>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$27,569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2320" w:type="dxa"/>
            <w:vAlign w:val="bottom"/>
            <w:gridSpan w:val="6"/>
          </w:tcPr>
          <w:p>
            <w:pPr>
              <w:jc w:val="right"/>
              <w:ind w:right="500"/>
              <w:spacing w:after="0"/>
              <w:rPr>
                <w:sz w:val="20"/>
                <w:szCs w:val="20"/>
                <w:color w:val="auto"/>
              </w:rPr>
            </w:pPr>
            <w:r>
              <w:rPr>
                <w:rFonts w:ascii="Arial" w:cs="Arial" w:eastAsia="Arial" w:hAnsi="Arial"/>
                <w:sz w:val="18"/>
                <w:szCs w:val="18"/>
                <w:color w:val="auto"/>
              </w:rPr>
              <w:t>$10,576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8,713</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7,696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$16,993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14,585</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12,817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4,063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1,674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$21,056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16,259</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14,208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15.52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15.35</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350"/>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7,277</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6,637</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4,711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$10,892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7,917</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1,568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5,664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$12,460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13,581</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15.19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15.12</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r>
    </w:tbl>
    <w:p>
      <w:pPr>
        <w:spacing w:after="0" w:line="214" w:lineRule="exact"/>
        <w:rPr>
          <w:sz w:val="20"/>
          <w:szCs w:val="20"/>
          <w:color w:val="auto"/>
        </w:rPr>
      </w:pPr>
    </w:p>
    <w:p>
      <w:pPr>
        <w:ind w:left="460" w:right="180" w:hanging="452"/>
        <w:spacing w:after="0" w:line="277"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$1,295,328 and $1,225,672,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1,285,623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$50,709 and $47,580,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45,370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$1,346,037 and $1,273,252,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1,330,993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1,373,759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485,223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5,007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53,960,847 and 53,798,357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53,959,848 and 53,797,358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810,422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841,530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1,373,759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6"/>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32,879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3,377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36,256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37,730</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4,950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Incentive fees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5,007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Directors’ fees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16,638</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21,092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20,787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080"/>
              <w:spacing w:after="0"/>
              <w:rPr>
                <w:sz w:val="20"/>
                <w:szCs w:val="20"/>
                <w:color w:val="auto"/>
              </w:rPr>
            </w:pPr>
            <w:r>
              <w:rPr>
                <w:rFonts w:ascii="Arial" w:cs="Arial" w:eastAsia="Arial" w:hAnsi="Arial"/>
                <w:sz w:val="18"/>
                <w:szCs w:val="18"/>
                <w:color w:val="auto"/>
              </w:rPr>
              <w:t>(5,907)</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7,215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700"/>
              <w:spacing w:after="0"/>
              <w:rPr>
                <w:sz w:val="20"/>
                <w:szCs w:val="20"/>
                <w:color w:val="auto"/>
              </w:rPr>
            </w:pPr>
            <w:r>
              <w:rPr>
                <w:rFonts w:ascii="Arial" w:cs="Arial" w:eastAsia="Arial" w:hAnsi="Arial"/>
                <w:sz w:val="18"/>
                <w:szCs w:val="18"/>
                <w:color w:val="auto"/>
              </w:rPr>
              <w:t>Total net change in unrealized gains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Foreign currency transactions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realized gains (losses)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060"/>
              <w:spacing w:after="0"/>
              <w:rPr>
                <w:sz w:val="20"/>
                <w:szCs w:val="20"/>
                <w:color w:val="auto"/>
              </w:rPr>
            </w:pPr>
            <w:r>
              <w:rPr>
                <w:rFonts w:ascii="Arial" w:cs="Arial" w:eastAsia="Arial" w:hAnsi="Arial"/>
                <w:sz w:val="18"/>
                <w:szCs w:val="18"/>
                <w:b w:val="1"/>
                <w:bCs w:val="1"/>
                <w:color w:val="auto"/>
              </w:rPr>
              <w:t>Total Unrealized and Realized Gains</w:t>
            </w:r>
          </w:p>
        </w:tc>
        <w:tc>
          <w:tcPr>
            <w:tcW w:w="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24,468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53,902,074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41,539,083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March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3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($32,826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8/28/2012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32,383</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$ 29,872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($4,278 par, due 6/2017)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10.75%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4,207</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3,778</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36,590</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33,650</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($64,098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6.25%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62,816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($22,574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9/2019)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9.85%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9/17/2014</w:t>
            </w:r>
          </w:p>
        </w:tc>
        <w:tc>
          <w:tcPr>
            <w:tcW w:w="660" w:type="dxa"/>
            <w:vAlign w:val="bottom"/>
          </w:tcPr>
          <w:p>
            <w:pPr>
              <w:jc w:val="right"/>
              <w:spacing w:after="0"/>
              <w:rPr>
                <w:sz w:val="20"/>
                <w:szCs w:val="20"/>
                <w:color w:val="auto"/>
              </w:rPr>
            </w:pPr>
            <w:r>
              <w:rPr>
                <w:rFonts w:ascii="Arial" w:cs="Arial" w:eastAsia="Arial" w:hAnsi="Arial"/>
                <w:sz w:val="14"/>
                <w:szCs w:val="14"/>
                <w:color w:val="auto"/>
              </w:rPr>
              <w:t>22,231</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22,405</w:t>
            </w:r>
          </w:p>
        </w:tc>
        <w:tc>
          <w:tcPr>
            <w:tcW w:w="4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85,087</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85,221</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($62,915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4/2018)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4/11/2013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63,387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(3)(4)(5)</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($29,376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6/2019)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6/30/2014</w:t>
            </w:r>
          </w:p>
        </w:tc>
        <w:tc>
          <w:tcPr>
            <w:tcW w:w="660" w:type="dxa"/>
            <w:vAlign w:val="bottom"/>
          </w:tcPr>
          <w:p>
            <w:pPr>
              <w:jc w:val="right"/>
              <w:spacing w:after="0"/>
              <w:rPr>
                <w:sz w:val="20"/>
                <w:szCs w:val="20"/>
                <w:color w:val="auto"/>
              </w:rPr>
            </w:pPr>
            <w:r>
              <w:rPr>
                <w:rFonts w:ascii="Arial" w:cs="Arial" w:eastAsia="Arial" w:hAnsi="Arial"/>
                <w:sz w:val="14"/>
                <w:szCs w:val="14"/>
                <w:color w:val="auto"/>
              </w:rPr>
              <w:t>28,793</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28,984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($29,659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29,582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($17,143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12/30/2014</w:t>
            </w:r>
          </w:p>
        </w:tc>
        <w:tc>
          <w:tcPr>
            <w:tcW w:w="660" w:type="dxa"/>
            <w:vAlign w:val="bottom"/>
          </w:tcPr>
          <w:p>
            <w:pPr>
              <w:jc w:val="right"/>
              <w:spacing w:after="0"/>
              <w:rPr>
                <w:sz w:val="20"/>
                <w:szCs w:val="20"/>
                <w:color w:val="auto"/>
              </w:rPr>
            </w:pPr>
            <w:r>
              <w:rPr>
                <w:rFonts w:ascii="Arial" w:cs="Arial" w:eastAsia="Arial" w:hAnsi="Arial"/>
                <w:sz w:val="14"/>
                <w:szCs w:val="14"/>
                <w:color w:val="auto"/>
              </w:rPr>
              <w:t>16,737</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16,862</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136,154</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138,815</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($19,900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10/2019)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10/31/2014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17,562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($27,590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27,590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Electronics</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($63,859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1/9/2014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63,375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MyAlarm Center, LLC</w:t>
            </w:r>
          </w:p>
        </w:tc>
        <w:tc>
          <w:tcPr>
            <w:tcW w:w="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16.25%</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Mezzanine loan ($4,887</w:t>
            </w: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8"/>
              </w:rPr>
              <w:t>(incl. 4.25%</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par, due 7/2018)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1/9/2014</w:t>
            </w:r>
          </w:p>
        </w:tc>
        <w:tc>
          <w:tcPr>
            <w:tcW w:w="660" w:type="dxa"/>
            <w:vAlign w:val="bottom"/>
          </w:tcPr>
          <w:p>
            <w:pPr>
              <w:jc w:val="right"/>
              <w:spacing w:after="0"/>
              <w:rPr>
                <w:sz w:val="20"/>
                <w:szCs w:val="20"/>
                <w:color w:val="auto"/>
              </w:rPr>
            </w:pPr>
            <w:r>
              <w:rPr>
                <w:rFonts w:ascii="Arial" w:cs="Arial" w:eastAsia="Arial" w:hAnsi="Arial"/>
                <w:sz w:val="14"/>
                <w:szCs w:val="14"/>
                <w:color w:val="auto"/>
              </w:rPr>
              <w:t>4,851</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4,862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APX Group Inc.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Senior notes 8.75%</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($10,000 par, due 12/2020)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12/11/2014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8,608</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9,225</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76,533</w:t>
            </w:r>
          </w:p>
        </w:tc>
        <w:tc>
          <w:tcPr>
            <w:tcW w:w="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77,462</w:t>
            </w:r>
          </w:p>
        </w:tc>
        <w:tc>
          <w:tcPr>
            <w:tcW w:w="400" w:type="dxa"/>
            <w:vAlign w:val="bottom"/>
            <w:vMerge w:val="continue"/>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4"/>
                <w:szCs w:val="14"/>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Financial services</w:t>
            </w:r>
          </w:p>
        </w:tc>
        <w:tc>
          <w:tcPr>
            <w:tcW w:w="3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($39,684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8.00%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   39,082</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$ 40,080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PayLease, LLC</w:t>
            </w:r>
            <w:r>
              <w:rPr>
                <w:rFonts w:ascii="Arial" w:cs="Arial" w:eastAsia="Arial" w:hAnsi="Arial"/>
                <w:sz w:val="12"/>
                <w:szCs w:val="12"/>
                <w:color w:val="auto"/>
              </w:rPr>
              <w:t>(3)</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($33,000 par,</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2.50%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3/6/2015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32,247</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32,240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($65,628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11/21/2012</w:t>
            </w:r>
          </w:p>
        </w:tc>
        <w:tc>
          <w:tcPr>
            <w:tcW w:w="660" w:type="dxa"/>
            <w:vAlign w:val="bottom"/>
          </w:tcPr>
          <w:p>
            <w:pPr>
              <w:jc w:val="right"/>
              <w:spacing w:after="0"/>
              <w:rPr>
                <w:sz w:val="20"/>
                <w:szCs w:val="20"/>
                <w:color w:val="auto"/>
              </w:rPr>
            </w:pPr>
            <w:r>
              <w:rPr>
                <w:rFonts w:ascii="Arial" w:cs="Arial" w:eastAsia="Arial" w:hAnsi="Arial"/>
                <w:sz w:val="14"/>
                <w:szCs w:val="14"/>
                <w:color w:val="auto"/>
              </w:rPr>
              <w:t>64,573</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64,972</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135,902</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137,292</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Healthcare and pharmaceuticals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($34,344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5/2019)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5/8/2014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33,542</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33,485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($46,134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3/2020)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3/11/2014</w:t>
            </w:r>
          </w:p>
        </w:tc>
        <w:tc>
          <w:tcPr>
            <w:tcW w:w="660" w:type="dxa"/>
            <w:vAlign w:val="bottom"/>
          </w:tcPr>
          <w:p>
            <w:pPr>
              <w:jc w:val="right"/>
              <w:spacing w:after="0"/>
              <w:rPr>
                <w:sz w:val="20"/>
                <w:szCs w:val="20"/>
                <w:color w:val="auto"/>
              </w:rPr>
            </w:pPr>
            <w:r>
              <w:rPr>
                <w:rFonts w:ascii="Arial" w:cs="Arial" w:eastAsia="Arial" w:hAnsi="Arial"/>
                <w:sz w:val="14"/>
                <w:szCs w:val="14"/>
                <w:color w:val="auto"/>
              </w:rPr>
              <w:t>45,076</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45,272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(EUR 28,224</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3.00%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par, due 9/2019)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34,051</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29,252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(EUR 300 par, due 9/2019)</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11.50%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tcPr>
          <w:p>
            <w:pPr>
              <w:jc w:val="right"/>
              <w:spacing w:after="0"/>
              <w:rPr>
                <w:sz w:val="20"/>
                <w:szCs w:val="20"/>
                <w:color w:val="auto"/>
              </w:rPr>
            </w:pPr>
            <w:r>
              <w:rPr>
                <w:rFonts w:ascii="Arial" w:cs="Arial" w:eastAsia="Arial" w:hAnsi="Arial"/>
                <w:sz w:val="14"/>
                <w:szCs w:val="14"/>
                <w:color w:val="auto"/>
              </w:rPr>
              <w:t>242</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228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($68,948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spacing w:after="0"/>
              <w:rPr>
                <w:sz w:val="15"/>
                <w:szCs w:val="15"/>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5/2018)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11/9/2012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67,846</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69,637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($33,281 par,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32,771</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33,448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($2,000 par, due 12/2017)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215,466</w:t>
            </w:r>
          </w:p>
        </w:tc>
        <w:tc>
          <w:tcPr>
            <w:tcW w:w="40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213,332</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Second-lien loan ($10,000</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par, due 2/2020)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8.75%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2/15/2013</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10,075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($44,201 par,</w:t>
            </w: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8"/>
              </w:rPr>
              <w:t>(incl. 5.00%</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9/2019)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PIK)</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41,720</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40,444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388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Second-lien bond (GBP</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20,375 par, due 10/2018)</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9.13%</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9/20/2013</w:t>
            </w:r>
          </w:p>
        </w:tc>
        <w:tc>
          <w:tcPr>
            <w:tcW w:w="660" w:type="dxa"/>
            <w:vAlign w:val="bottom"/>
          </w:tcPr>
          <w:p>
            <w:pPr>
              <w:jc w:val="right"/>
              <w:spacing w:after="0"/>
              <w:rPr>
                <w:sz w:val="20"/>
                <w:szCs w:val="20"/>
                <w:color w:val="auto"/>
              </w:rPr>
            </w:pPr>
            <w:r>
              <w:rPr>
                <w:rFonts w:ascii="Arial" w:cs="Arial" w:eastAsia="Arial" w:hAnsi="Arial"/>
                <w:sz w:val="14"/>
                <w:szCs w:val="14"/>
                <w:color w:val="auto"/>
              </w:rPr>
              <w:t>33,252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31,759</w:t>
            </w:r>
          </w:p>
        </w:tc>
        <w:tc>
          <w:tcPr>
            <w:tcW w:w="40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84,906</w:t>
            </w:r>
          </w:p>
        </w:tc>
        <w:tc>
          <w:tcPr>
            <w:tcW w:w="400" w:type="dxa"/>
            <w:vAlign w:val="bottom"/>
            <w:tcBorders>
              <w:lef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82,278</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56"/>
        </w:trPr>
        <w:tc>
          <w:tcPr>
            <w:tcW w:w="38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Saba Software, Inc.</w:t>
            </w:r>
            <w:r>
              <w:rPr>
                <w:rFonts w:ascii="Arial" w:cs="Arial" w:eastAsia="Arial" w:hAnsi="Arial"/>
                <w:sz w:val="12"/>
                <w:szCs w:val="12"/>
                <w:color w:val="auto"/>
              </w:rPr>
              <w:t>(3)(6)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($55,000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3/2021)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9.75%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3/30/2015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54,354</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54,175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($34,950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10.00%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34,588</w:t>
            </w:r>
          </w:p>
        </w:tc>
        <w:tc>
          <w:tcPr>
            <w:tcW w:w="1360" w:type="dxa"/>
            <w:vAlign w:val="bottom"/>
            <w:tcBorders>
              <w:lef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34,775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revolving loan</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($2,202 par, due 6/2017)</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11.00%</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6/1/2012</w:t>
            </w:r>
          </w:p>
        </w:tc>
        <w:tc>
          <w:tcPr>
            <w:tcW w:w="660" w:type="dxa"/>
            <w:vAlign w:val="bottom"/>
          </w:tcPr>
          <w:p>
            <w:pPr>
              <w:jc w:val="right"/>
              <w:spacing w:after="0"/>
              <w:rPr>
                <w:sz w:val="20"/>
                <w:szCs w:val="20"/>
                <w:color w:val="auto"/>
              </w:rPr>
            </w:pPr>
            <w:r>
              <w:rPr>
                <w:rFonts w:ascii="Arial" w:cs="Arial" w:eastAsia="Arial" w:hAnsi="Arial"/>
                <w:sz w:val="14"/>
                <w:szCs w:val="14"/>
                <w:color w:val="auto"/>
              </w:rPr>
              <w:t>2,159</w:t>
            </w:r>
          </w:p>
        </w:tc>
        <w:tc>
          <w:tcPr>
            <w:tcW w:w="1360" w:type="dxa"/>
            <w:vAlign w:val="bottom"/>
            <w:gridSpan w:val="3"/>
          </w:tcPr>
          <w:p>
            <w:pPr>
              <w:jc w:val="right"/>
              <w:ind w:right="400"/>
              <w:spacing w:after="0"/>
              <w:rPr>
                <w:sz w:val="20"/>
                <w:szCs w:val="20"/>
                <w:color w:val="auto"/>
              </w:rPr>
            </w:pPr>
            <w:r>
              <w:rPr>
                <w:rFonts w:ascii="Arial" w:cs="Arial" w:eastAsia="Arial" w:hAnsi="Arial"/>
                <w:sz w:val="14"/>
                <w:szCs w:val="14"/>
                <w:color w:val="auto"/>
              </w:rPr>
              <w:t>2,177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3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First-lien loan ($64,838 par,</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10/2020)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9"/>
              </w:rPr>
              <w:t>10/31/2014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64,222</w:t>
            </w:r>
          </w:p>
        </w:tc>
        <w:tc>
          <w:tcPr>
            <w:tcW w:w="40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64,189</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100,969</w:t>
            </w:r>
          </w:p>
        </w:tc>
        <w:tc>
          <w:tcPr>
            <w:tcW w:w="40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101,141</w:t>
            </w:r>
          </w:p>
        </w:tc>
        <w:tc>
          <w:tcPr>
            <w:tcW w:w="400" w:type="dxa"/>
            <w:vAlign w:val="bottom"/>
            <w:vMerge w:val="continue"/>
          </w:tcPr>
          <w:p>
            <w:pPr>
              <w:spacing w:after="0"/>
              <w:rPr>
                <w:sz w:val="13"/>
                <w:szCs w:val="13"/>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9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Internet Services</w:t>
            </w:r>
          </w:p>
        </w:tc>
        <w:tc>
          <w:tcPr>
            <w:tcW w:w="3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($54,038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7/2018)</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9.00%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3/7/2014</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53,332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53,468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Manufacturing</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(SEK</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200,499 par, due 3/2019)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8.75%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6/5/2013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30,495</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23,074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Metals and mining</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($19,773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11/2019)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11/21/2013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17,604</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21,009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Office products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($37,358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3/2019)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7.25%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37,074</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37,122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($62,464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9/2017)</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9/4/2014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61,802</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61,993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(3)(4)(8)</w:t>
            </w:r>
          </w:p>
        </w:tc>
        <w:tc>
          <w:tcPr>
            <w:tcW w:w="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13.00%</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First-lien loan ($42,568 par,</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(incl. 1.50%</w:t>
            </w: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due 6/2018)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PIK)</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6/4/2014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41,835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40,865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103,637</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102,858</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Retail</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($42,000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10/2019)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8.25%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10/10/2014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41,179</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41,685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Transportation</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Carrix, Inc.</w:t>
            </w:r>
            <w:r>
              <w:rPr>
                <w:rFonts w:ascii="Arial" w:cs="Arial" w:eastAsia="Arial" w:hAnsi="Arial"/>
                <w:sz w:val="12"/>
                <w:szCs w:val="12"/>
                <w:color w:val="auto"/>
              </w:rPr>
              <w:t>(3)</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First-lien loan ($8,000 par,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due 1/2019)</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4.50%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3/17/2015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7,440</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7,387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Second-lien loan ($62,500</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par, due 10/2019)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10/2/2013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61,473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61,406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 Debt Investments</w:t>
            </w: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1,324,521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1,316,527</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and Other Investments</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Business services</w:t>
            </w: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Non-Voting Preferred Units</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(774,099 units)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9/12/2013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942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Shares Class A</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(598 shares)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515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Shares Class B</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(196 shares)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3/11/2014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151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Warrants</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9/30/2014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spacing w:after="0" w:line="130" w:lineRule="exact"/>
              <w:rPr>
                <w:sz w:val="20"/>
                <w:szCs w:val="20"/>
                <w:color w:val="auto"/>
              </w:rPr>
            </w:pPr>
            <w:r>
              <w:rPr>
                <w:rFonts w:ascii="Arial" w:cs="Arial" w:eastAsia="Arial" w:hAnsi="Arial"/>
                <w:sz w:val="14"/>
                <w:szCs w:val="14"/>
                <w:color w:val="auto"/>
              </w:rPr>
              <w:t>SRS Parent Corp.</w:t>
            </w:r>
          </w:p>
        </w:tc>
        <w:tc>
          <w:tcPr>
            <w:tcW w:w="2280" w:type="dxa"/>
            <w:vAlign w:val="bottom"/>
            <w:gridSpan w:val="3"/>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8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Shares Class A</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(1,980 shares)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12/28/2012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1,134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Shares Class B</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22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(2,953,020 shares)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12/28/2012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3,481</w:t>
            </w: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2,556</w:t>
            </w:r>
          </w:p>
        </w:tc>
        <w:tc>
          <w:tcPr>
            <w:tcW w:w="4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3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IRG Sports &amp; Entertainment, LLC</w:t>
            </w:r>
          </w:p>
        </w:tc>
        <w:tc>
          <w:tcPr>
            <w:tcW w:w="2280" w:type="dxa"/>
            <w:vAlign w:val="bottom"/>
            <w:gridSpan w:val="3"/>
          </w:tcPr>
          <w:p>
            <w:pPr>
              <w:ind w:left="320"/>
              <w:spacing w:after="0"/>
              <w:rPr>
                <w:sz w:val="20"/>
                <w:szCs w:val="20"/>
                <w:color w:val="auto"/>
              </w:rPr>
            </w:pPr>
            <w:r>
              <w:rPr>
                <w:rFonts w:ascii="Arial" w:cs="Arial" w:eastAsia="Arial" w:hAnsi="Arial"/>
                <w:sz w:val="14"/>
                <w:szCs w:val="14"/>
                <w:color w:val="auto"/>
              </w:rPr>
              <w:t>Warrants</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9/30/2014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1,494</w:t>
            </w: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762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40" w:type="dxa"/>
            <w:vAlign w:val="bottom"/>
            <w:tcBorders>
              <w:top w:val="single" w:sz="8" w:color="auto"/>
            </w:tcBorders>
          </w:tcPr>
          <w:p>
            <w:pPr>
              <w:ind w:left="280"/>
              <w:spacing w:after="0" w:line="123" w:lineRule="exact"/>
              <w:rPr>
                <w:sz w:val="20"/>
                <w:szCs w:val="20"/>
                <w:color w:val="auto"/>
              </w:rPr>
            </w:pPr>
            <w:r>
              <w:rPr>
                <w:rFonts w:ascii="Arial" w:cs="Arial" w:eastAsia="Arial" w:hAnsi="Arial"/>
                <w:sz w:val="14"/>
                <w:szCs w:val="14"/>
                <w:b w:val="1"/>
                <w:bCs w:val="1"/>
                <w:color w:val="auto"/>
              </w:rPr>
              <w:t>Metals and mining</w:t>
            </w:r>
          </w:p>
        </w:tc>
        <w:tc>
          <w:tcPr>
            <w:tcW w:w="20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660" w:type="dxa"/>
            <w:vAlign w:val="bottom"/>
            <w:gridSpan w:val="3"/>
          </w:tcPr>
          <w:p>
            <w:pPr>
              <w:spacing w:after="0" w:line="145" w:lineRule="exact"/>
              <w:rPr>
                <w:sz w:val="20"/>
                <w:szCs w:val="20"/>
                <w:color w:val="auto"/>
              </w:rPr>
            </w:pPr>
            <w:r>
              <w:rPr>
                <w:rFonts w:ascii="Arial" w:cs="Arial" w:eastAsia="Arial" w:hAnsi="Arial"/>
                <w:sz w:val="14"/>
                <w:szCs w:val="14"/>
                <w:color w:val="auto"/>
              </w:rPr>
              <w:t>Metalico, Inc.</w:t>
            </w:r>
          </w:p>
        </w:tc>
        <w:tc>
          <w:tcPr>
            <w:tcW w:w="1700" w:type="dxa"/>
            <w:vAlign w:val="bottom"/>
          </w:tcPr>
          <w:p>
            <w:pPr>
              <w:spacing w:after="0" w:line="145" w:lineRule="exact"/>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gridSpan w:val="3"/>
          </w:tcPr>
          <w:p>
            <w:pPr>
              <w:spacing w:after="0" w:line="14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(8)</w:t>
            </w:r>
          </w:p>
        </w:tc>
        <w:tc>
          <w:tcPr>
            <w:tcW w:w="1700" w:type="dxa"/>
            <w:vAlign w:val="bottom"/>
          </w:tcPr>
          <w:p>
            <w:pPr>
              <w:spacing w:after="0" w:line="149" w:lineRule="exact"/>
              <w:rPr>
                <w:sz w:val="20"/>
                <w:szCs w:val="20"/>
                <w:color w:val="auto"/>
              </w:rPr>
            </w:pPr>
            <w:r>
              <w:rPr>
                <w:rFonts w:ascii="Arial" w:cs="Arial" w:eastAsia="Arial" w:hAnsi="Arial"/>
                <w:sz w:val="14"/>
                <w:szCs w:val="14"/>
                <w:color w:val="auto"/>
                <w:w w:val="98"/>
              </w:rPr>
              <w:t>Class A Member Units (933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700" w:type="dxa"/>
            <w:vAlign w:val="bottom"/>
          </w:tcPr>
          <w:p>
            <w:pPr>
              <w:spacing w:after="0"/>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64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660" w:type="dxa"/>
            <w:vAlign w:val="bottom"/>
            <w:gridSpan w:val="3"/>
          </w:tcPr>
          <w:p>
            <w:pPr>
              <w:spacing w:after="0"/>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(5)(7)</w:t>
            </w:r>
          </w:p>
        </w:tc>
        <w:tc>
          <w:tcPr>
            <w:tcW w:w="1700" w:type="dxa"/>
            <w:vAlign w:val="bottom"/>
          </w:tcPr>
          <w:p>
            <w:pPr>
              <w:spacing w:after="0"/>
              <w:rPr>
                <w:sz w:val="20"/>
                <w:szCs w:val="20"/>
                <w:color w:val="auto"/>
              </w:rPr>
            </w:pPr>
            <w:r>
              <w:rPr>
                <w:rFonts w:ascii="Arial" w:cs="Arial" w:eastAsia="Arial" w:hAnsi="Arial"/>
                <w:sz w:val="14"/>
                <w:szCs w:val="14"/>
                <w:color w:val="auto"/>
              </w:rPr>
              <w:t>Structured Product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946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Interest</w:t>
            </w:r>
          </w:p>
        </w:tc>
        <w:tc>
          <w:tcPr>
            <w:tcW w:w="300" w:type="dxa"/>
            <w:vAlign w:val="bottom"/>
            <w:vMerge w:val="restart"/>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11/21/2013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149</w:t>
            </w:r>
          </w:p>
        </w:tc>
        <w:tc>
          <w:tcPr>
            <w:tcW w:w="3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6/4/2014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8,874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4,505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82"/>
        </w:trPr>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5.98%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11/17/2014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5,544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5,552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360" w:space="220"/>
            <w:col w:w="48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shd w:val="clear" w:color="auto" w:fill="CCEEFF"/>
          </w:tcPr>
          <w:p>
            <w:pPr>
              <w:ind w:left="300"/>
              <w:spacing w:after="0" w:line="136" w:lineRule="exact"/>
              <w:rPr>
                <w:sz w:val="20"/>
                <w:szCs w:val="20"/>
                <w:color w:val="auto"/>
              </w:rPr>
            </w:pPr>
            <w:r>
              <w:rPr>
                <w:rFonts w:ascii="Arial" w:cs="Arial" w:eastAsia="Arial" w:hAnsi="Arial"/>
                <w:sz w:val="14"/>
                <w:szCs w:val="14"/>
                <w:b w:val="1"/>
                <w:bCs w:val="1"/>
                <w:color w:val="auto"/>
              </w:rPr>
              <w:t>Total Equity and Other Investments</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21,516</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4"/>
                <w:szCs w:val="14"/>
                <w:color w:val="auto"/>
              </w:rPr>
              <w:t>14,466</w:t>
            </w:r>
          </w:p>
        </w:tc>
        <w:tc>
          <w:tcPr>
            <w:tcW w:w="10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6"/>
              </w:rPr>
              <w:t>$ 1,346,037</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$ 1,330,993</w:t>
            </w:r>
          </w:p>
        </w:tc>
        <w:tc>
          <w:tcPr>
            <w:tcW w:w="300" w:type="dxa"/>
            <w:vAlign w:val="bottom"/>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158.2%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Unless otherwise indicated, the Company’s portfolio companies are domiciled in the United States. Certain portfolio company investments are subject to contractual restrictions on sales.</w:t>
      </w:r>
    </w:p>
    <w:p>
      <w:pPr>
        <w:spacing w:after="0" w:line="1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1"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Contains a variable rate structure. Bears interest at a rate determined by three-month LIBOR.</w:t>
      </w:r>
    </w:p>
    <w:p>
      <w:pPr>
        <w:ind w:left="340" w:right="40" w:hanging="332"/>
        <w:spacing w:after="0" w:line="229" w:lineRule="auto"/>
        <w:tabs>
          <w:tab w:leader="none" w:pos="3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2015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Realized</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Additions</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Gain/</w:t>
            </w: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Gain/(Loss)</w:t>
            </w: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6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Mississippi</w:t>
            </w:r>
          </w:p>
        </w:tc>
        <w:tc>
          <w:tcPr>
            <w:tcW w:w="352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Resources, LLC</w:t>
            </w: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605</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45,370</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3,220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w:t>
            </w:r>
          </w:p>
        </w:tc>
        <w:tc>
          <w:tcPr>
            <w:tcW w:w="200" w:type="dxa"/>
            <w:vAlign w:val="bottom"/>
          </w:tcPr>
          <w:p>
            <w:pPr>
              <w:spacing w:after="0"/>
              <w:rPr>
                <w:sz w:val="13"/>
                <w:szCs w:val="13"/>
                <w:color w:val="auto"/>
              </w:rPr>
            </w:pPr>
          </w:p>
        </w:tc>
        <w:tc>
          <w:tcPr>
            <w:tcW w:w="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605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85"/>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45,370</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1,417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($32,826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32,340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$ 30,447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($4,500 par, due 6/2017)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4,421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4,097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34,544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($64,399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3/2020)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63,102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63,111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($22,787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9/2019)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9/17/2014</w:t>
            </w:r>
          </w:p>
        </w:tc>
        <w:tc>
          <w:tcPr>
            <w:tcW w:w="660" w:type="dxa"/>
            <w:vAlign w:val="bottom"/>
          </w:tcPr>
          <w:p>
            <w:pPr>
              <w:jc w:val="right"/>
              <w:spacing w:after="0"/>
              <w:rPr>
                <w:sz w:val="20"/>
                <w:szCs w:val="20"/>
                <w:color w:val="auto"/>
              </w:rPr>
            </w:pPr>
            <w:r>
              <w:rPr>
                <w:rFonts w:ascii="Arial" w:cs="Arial" w:eastAsia="Arial" w:hAnsi="Arial"/>
                <w:sz w:val="14"/>
                <w:szCs w:val="14"/>
                <w:color w:val="auto"/>
              </w:rPr>
              <w:t>22,426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22,274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85,385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($63,933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4/2018)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4/11/2013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62,282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63,933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(3)(4)(5)</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($16,418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6/2019)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6/30/2014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16,077</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16,003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($29,659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9/12/2013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29,204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29,506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($16,071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12/2019)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12/30/2014</w:t>
            </w:r>
          </w:p>
        </w:tc>
        <w:tc>
          <w:tcPr>
            <w:tcW w:w="660" w:type="dxa"/>
            <w:vAlign w:val="bottom"/>
          </w:tcPr>
          <w:p>
            <w:pPr>
              <w:jc w:val="right"/>
              <w:spacing w:after="0"/>
              <w:rPr>
                <w:sz w:val="20"/>
                <w:szCs w:val="20"/>
                <w:color w:val="auto"/>
              </w:rPr>
            </w:pPr>
            <w:r>
              <w:rPr>
                <w:rFonts w:ascii="Arial" w:cs="Arial" w:eastAsia="Arial" w:hAnsi="Arial"/>
                <w:sz w:val="14"/>
                <w:szCs w:val="14"/>
                <w:color w:val="auto"/>
              </w:rPr>
              <w:t>15,628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15,621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125,063</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472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($19,950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10/31/2014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19,267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18,753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Communications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IPC Systems,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($17,000</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5/2021)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16,935</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17,680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Containers and packaging</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($39,240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2/2018)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38,984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($28,125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27,576</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27,914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7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Electronics</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($61,861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1/9/2014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61,013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60,893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4720" w:type="dxa"/>
            <w:vAlign w:val="bottom"/>
            <w:gridSpan w:val="2"/>
          </w:tcPr>
          <w:p>
            <w:pPr>
              <w:spacing w:after="0" w:line="130" w:lineRule="exact"/>
              <w:rPr>
                <w:sz w:val="20"/>
                <w:szCs w:val="20"/>
                <w:color w:val="auto"/>
              </w:rPr>
            </w:pPr>
            <w:r>
              <w:rPr>
                <w:rFonts w:ascii="Arial" w:cs="Arial" w:eastAsia="Arial" w:hAnsi="Arial"/>
                <w:sz w:val="14"/>
                <w:szCs w:val="14"/>
                <w:color w:val="auto"/>
              </w:rPr>
              <w:t>MyAlarm Center, LLC</w:t>
            </w: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16.25%</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Mezzanine loan ($4,887 par,</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4.25%</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7/2018)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1/9/2014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4,849</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4,520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8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APX Group Inc.</w:t>
            </w:r>
          </w:p>
        </w:tc>
        <w:tc>
          <w:tcPr>
            <w:tcW w:w="20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First-lien bond 6.375%</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($5,000 par, due 12/2019)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12/12/2014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4,727</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4,788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bond 8.75%</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($10,000 par, due 12/2020)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12/11/2014</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8,566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8,444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78,645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Financial services</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($40,243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39,585</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40,544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($66,470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12/2018)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11/21/2012</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65,344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65,971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106,515</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Healthcare and pharmaceuticals</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($34,563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5/8/2014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33,714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33,526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($46,250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3/2020)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45,149</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45,139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11.50%</w:t>
            </w: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(EUR 28,014</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3.00%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par, due 9/2019)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33,761</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32,373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(EUR 300 par, due 9/2019)</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11.50%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235</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227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Mediware Information Systems,</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($69,405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r>
              <w:rPr>
                <w:rFonts w:ascii="Arial" w:cs="Arial" w:eastAsia="Arial" w:hAnsi="Arial"/>
                <w:sz w:val="12"/>
                <w:szCs w:val="12"/>
                <w:color w:val="auto"/>
              </w:rPr>
              <w:t>(3)(4)(6)</w:t>
            </w: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11/9/2012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68,221</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68,885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($33,750 par,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due 12/2017)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33,192</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33,834</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($2,000 par, due 12/2017)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2,005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216,205</w:t>
            </w:r>
          </w:p>
        </w:tc>
        <w:tc>
          <w:tcPr>
            <w:tcW w:w="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215,989</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loan ($10,000</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par, due 2/2020)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2/15/2013</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9,931</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9,913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($43,653 par,</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5.00%</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9/2019)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41,073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40,161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bond (GBP</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13,750 par, due 10/2018)</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9.13%</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9/20/2013</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22,565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72,639</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0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($35,438 par,</w:t>
            </w: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6/2017)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6/1/2012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35,034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35,260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0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color w:val="auto"/>
              </w:rPr>
              <w:t>($2,010 par, due 6/2017)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11.00%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6/1/2012</w:t>
            </w: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1,961</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1,985</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4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2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4"/>
              </w:rPr>
              <w:t>First-lien loan ($65,000 par,</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10/2020)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6"/>
              </w:rPr>
              <w:t>10/31/2014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64,025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101,358</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101,270</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Internet Services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($41,401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7/2018)</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9.00%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3/7/2014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40,931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40,859</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Manufacturing</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(SEK</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203,140 par, due 3/2019)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6/5/2013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30,897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25,690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Metals and mining</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($19,973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11/2019)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11/21/2013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17,699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21,321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Office products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($35,390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3/2019)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35,090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34,868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($62,857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9/2017)</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9/4/2014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62,130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61,457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4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(3)(4)(8)</w:t>
            </w: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13.00%</w:t>
            </w: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($39,505 par,</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8"/>
              </w:rPr>
              <w:t>(incl. 1.50%</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6/2018)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6/4/2014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38,706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37,381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100,836</w:t>
            </w:r>
          </w:p>
        </w:tc>
        <w:tc>
          <w:tcPr>
            <w:tcW w:w="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98,838</w:t>
            </w:r>
          </w:p>
        </w:tc>
        <w:tc>
          <w:tcPr>
            <w:tcW w:w="30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Retail</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($42,000 par,</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due 10/2019)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8.25%</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10/10/2014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41,149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41,370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Transportation</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Second-lien loan ($62,500</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par, due 10/2019)</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10/2/2013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61,428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61,250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1,251,749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1,248,618</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and Other Investments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Business services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932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40" w:type="dxa"/>
            <w:vAlign w:val="bottom"/>
            <w:gridSpan w:val="2"/>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(598 shares)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467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(196 shares)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3/11/2014</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Warrants</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9/30/2014</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840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SRS Parent Corp.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A</w:t>
            </w: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(1,980 shares)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6"/>
              </w:rPr>
              <w:t>12/28/2012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1,099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B</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color w:val="auto"/>
              </w:rPr>
              <w:t>(2,953,020 shares)</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12/28/2012</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2,554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464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 Sports &amp; Entertainment, LLC</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9/30/2014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1,494</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Cost</w:t>
            </w:r>
            <w:r>
              <w:rPr>
                <w:rFonts w:ascii="Arial" w:cs="Arial" w:eastAsia="Arial" w:hAnsi="Arial"/>
                <w:sz w:val="12"/>
                <w:szCs w:val="12"/>
                <w:b w:val="1"/>
                <w:bCs w:val="1"/>
                <w:color w:val="auto"/>
                <w:w w:val="96"/>
              </w:rPr>
              <w:t>(2)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96"/>
        </w:trPr>
        <w:tc>
          <w:tcPr>
            <w:tcW w:w="4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Metals and mining</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Metalico, Inc.</w:t>
            </w: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Warrants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11/21/2013</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1,343</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3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6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(8)</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Class A Member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Units (933 units)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6/4/2014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8,874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4,254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Other</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(5)(7)</w:t>
            </w: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Structured Product</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5.98%</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11/17/2014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5,531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5,526</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Equity and Other Investments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14,893</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1,273,252</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1,263,511</w:t>
            </w:r>
          </w:p>
        </w:tc>
        <w:tc>
          <w:tcPr>
            <w:tcW w:w="300" w:type="dxa"/>
            <w:vAlign w:val="bottom"/>
            <w:vMerge w:val="continue"/>
          </w:tcPr>
          <w:p>
            <w:pPr>
              <w:spacing w:after="0"/>
              <w:rPr>
                <w:sz w:val="13"/>
                <w:szCs w:val="13"/>
                <w:color w:val="auto"/>
              </w:rPr>
            </w:pPr>
          </w:p>
        </w:tc>
        <w:tc>
          <w:tcPr>
            <w:tcW w:w="10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332"/>
        <w:spacing w:after="0" w:line="230"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Unless otherwise indicated, the Company’s portfolio companies are domiciled in the United States. As of December 31, 2014, the Company does not “control” any of the portfolio companies nor are any of its portfolio companies considered to be “affiliates” (see Note 4). Certain portfolio company investments are subject to contractual restrictions on sales.</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Contains a variable rate structure. Bears interest at a rate determined by three-month LIBOR.</w:t>
      </w:r>
    </w:p>
    <w:p>
      <w:pPr>
        <w:ind w:left="340" w:right="40" w:hanging="332"/>
        <w:spacing w:after="0" w:line="229"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62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Additions</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Reductions</w:t>
            </w:r>
          </w:p>
        </w:tc>
        <w:tc>
          <w:tcPr>
            <w:tcW w:w="1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Gain/(Loss)</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(Losses)</w:t>
            </w: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Mississippi Resources, LLC</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w w:val="88"/>
              </w:rPr>
              <w:t>47,580</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w w:val="88"/>
              </w:rPr>
              <w:t>47,580</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(5,944)</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20,787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1,560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24,468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216,634</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(21,044)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(19,717)</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230,059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835,405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841,530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804,755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 End of the Period</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6,818</w:t>
            </w:r>
          </w:p>
        </w:tc>
        <w:tc>
          <w:tcPr>
            <w:tcW w:w="1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183"/>
        </w:trPr>
        <w:tc>
          <w:tcPr>
            <w:tcW w:w="7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24,468</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25,348</w:t>
            </w:r>
          </w:p>
        </w:tc>
        <w:tc>
          <w:tcPr>
            <w:tcW w:w="0" w:type="dxa"/>
            <w:vAlign w:val="bottom"/>
          </w:tcPr>
          <w:p>
            <w:pPr>
              <w:spacing w:after="0"/>
              <w:rPr>
                <w:sz w:val="1"/>
                <w:szCs w:val="1"/>
                <w:color w:val="auto"/>
              </w:rPr>
            </w:pPr>
          </w:p>
        </w:tc>
      </w:tr>
      <w:tr>
        <w:trPr>
          <w:trHeight w:val="185"/>
        </w:trPr>
        <w:tc>
          <w:tcPr>
            <w:tcW w:w="75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 cash used in</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5,302</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(3,944)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unrealized gains on foreign currency transactions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(7,215)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353</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(265)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realized losses on foreign currency transactions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1,609</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(1,852)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(1,754)</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(4,434)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742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Accretion of discount on Convertible Senior Notes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138</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of investments, net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(139,319)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(325,289)</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5,000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50,035</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64,394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103,567</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(935)</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(1,090)</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(4,003)</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(94)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382</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(948)</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1,390</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(1,357)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(23,277)</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7,817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(77,254)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(151,519)</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244,387</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487,378</w:t>
            </w: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Payments on debt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(147,826)</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(517,042)</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(109)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40" w:type="dxa"/>
            <w:vAlign w:val="bottom"/>
          </w:tcPr>
          <w:p>
            <w:pPr>
              <w:spacing w:after="0"/>
              <w:rPr>
                <w:sz w:val="17"/>
                <w:szCs w:val="17"/>
                <w:color w:val="auto"/>
              </w:rPr>
            </w:pPr>
          </w:p>
        </w:tc>
        <w:tc>
          <w:tcPr>
            <w:tcW w:w="2320" w:type="dxa"/>
            <w:vAlign w:val="bottom"/>
            <w:gridSpan w:val="2"/>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216,634</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(18,282)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17"/>
        </w:trPr>
        <w:tc>
          <w:tcPr>
            <w:tcW w:w="7540" w:type="dxa"/>
            <w:vAlign w:val="bottom"/>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78,170</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Increase in Cash and Cash Equivalents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916</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25,333</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w:t>
            </w:r>
          </w:p>
        </w:tc>
        <w:tc>
          <w:tcPr>
            <w:tcW w:w="1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3,329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28,804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paid during the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2,673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2,781</w:t>
            </w:r>
          </w:p>
        </w:tc>
        <w:tc>
          <w:tcPr>
            <w:tcW w:w="0" w:type="dxa"/>
            <w:vAlign w:val="bottom"/>
          </w:tcPr>
          <w:p>
            <w:pPr>
              <w:spacing w:after="0"/>
              <w:rPr>
                <w:sz w:val="1"/>
                <w:szCs w:val="1"/>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Excise taxes paid during the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1,200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Dividends declared during the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21,044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19,717</w:t>
            </w:r>
          </w:p>
        </w:tc>
        <w:tc>
          <w:tcPr>
            <w:tcW w:w="0" w:type="dxa"/>
            <w:vAlign w:val="bottom"/>
          </w:tcPr>
          <w:p>
            <w:pPr>
              <w:spacing w:after="0"/>
              <w:rPr>
                <w:sz w:val="1"/>
                <w:szCs w:val="1"/>
                <w:color w:val="auto"/>
              </w:rPr>
            </w:pPr>
          </w:p>
        </w:tc>
      </w:tr>
      <w:tr>
        <w:trPr>
          <w:trHeight w:val="216"/>
        </w:trPr>
        <w:tc>
          <w:tcPr>
            <w:tcW w:w="7540" w:type="dxa"/>
            <w:vAlign w:val="bottom"/>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2,701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7,794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2014, which was filed with the Securities and Exchange Commission (“SEC”), on February 24, 2015.</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59" w:right="2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August 2014, the Financial Accounting Standards Board issued Accounting Standards Update 2014–15 (“ASU 2014-15”),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Statements—Going Concern (Subtopic 205 – 40): Disclosure of Uncertainties About an Entity’s Ability to Continue as a Going Concern</w:t>
      </w:r>
      <w:r>
        <w:rPr>
          <w:rFonts w:ascii="Arial" w:cs="Arial" w:eastAsia="Arial" w:hAnsi="Arial"/>
          <w:sz w:val="18"/>
          <w:szCs w:val="18"/>
          <w:color w:val="auto"/>
        </w:rPr>
        <w: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40"/>
          </w:cols>
          <w:pgMar w:left="240" w:top="459" w:right="3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2014-09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 In April 2015, the FASB issued a proposal to defer the effective date of this guidance for an additional year. If approved by the FASB, this guidance would become effective for public companies for interim and annual periods beginning after December 15, 2017, with early adoption permitted for interim and annual periods beginning after December 15,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For the three months ended March 31, 2015, and 2014, the Company incurred expenses of $0.9 million and $0.6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2015 and 2014, Management Fees were $5.0 million and $4.2 million, respectively.</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the three months ended March 31, 2015, no Management Fees were waived. For the three months ended March 31, 2014, $2.5 million of Management Fees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84" w:lineRule="exact"/>
        <w:rPr>
          <w:rFonts w:ascii="Arial" w:cs="Arial" w:eastAsia="Arial" w:hAnsi="Arial"/>
          <w:sz w:val="17"/>
          <w:szCs w:val="17"/>
          <w:color w:val="auto"/>
        </w:rPr>
      </w:pPr>
    </w:p>
    <w:p>
      <w:pPr>
        <w:ind w:left="900" w:right="20"/>
        <w:spacing w:after="0" w:line="271" w:lineRule="auto"/>
        <w:rPr>
          <w:rFonts w:ascii="Arial" w:cs="Arial" w:eastAsia="Arial" w:hAnsi="Arial"/>
          <w:sz w:val="17"/>
          <w:szCs w:val="17"/>
          <w:color w:val="auto"/>
        </w:rPr>
      </w:pPr>
      <w:r>
        <w:rPr>
          <w:rFonts w:ascii="Arial" w:cs="Arial" w:eastAsia="Arial" w:hAnsi="Arial"/>
          <w:sz w:val="17"/>
          <w:szCs w:val="17"/>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rFonts w:ascii="Arial" w:cs="Arial" w:eastAsia="Arial" w:hAnsi="Arial"/>
          <w:sz w:val="17"/>
          <w:szCs w:val="17"/>
          <w:color w:val="auto"/>
        </w:rPr>
      </w:pPr>
    </w:p>
    <w:p>
      <w:pPr>
        <w:ind w:left="900"/>
        <w:spacing w:after="0" w:line="264" w:lineRule="auto"/>
        <w:rPr>
          <w:rFonts w:ascii="Arial" w:cs="Arial" w:eastAsia="Arial" w:hAnsi="Arial"/>
          <w:sz w:val="17"/>
          <w:szCs w:val="17"/>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sz w:val="20"/>
          <w:szCs w:val="20"/>
          <w:color w:val="auto"/>
        </w:rPr>
      </w:pPr>
    </w:p>
    <w:p>
      <w:pPr>
        <w:ind w:left="900" w:right="20" w:hanging="446"/>
        <w:spacing w:after="0" w:line="289" w:lineRule="auto"/>
        <w:tabs>
          <w:tab w:leader="none" w:pos="9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For the three months ended March 31, 2015, Incentive Fees were $5.0 million, of which $4.5 million were realized and payable to the Adviser. For the three months ended March 31, 2014, Incentive Fees were $4.5 million, of which $3.9 million were realized and payable to the Adviser.</w:t>
      </w:r>
    </w:p>
    <w:p>
      <w:pPr>
        <w:spacing w:after="0" w:line="14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1,206,404</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104,659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103,240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13,459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21,515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7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1,346,037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1,330,993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(15,044)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Amortized Cost </w:t>
            </w:r>
            <w:r>
              <w:rPr>
                <w:rFonts w:ascii="Arial" w:cs="Arial" w:eastAsia="Arial" w:hAnsi="Arial"/>
                <w:sz w:val="12"/>
                <w:szCs w:val="12"/>
                <w:b w:val="1"/>
                <w:bCs w:val="1"/>
                <w:color w:val="auto"/>
              </w:rPr>
              <w:t>(1)</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1,124,246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111,408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21,502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14,893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76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1,263,511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6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2015 and December 31,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2015</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6.4%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3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Metals and mining</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8.1%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Retail</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2015 and December 31,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2015</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12.4%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South</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23.8%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2.2%</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three months ended March 31, 2015, the Company entered into foreign currency forward contracts related to its non-USD investments. The Company did not have any open foreign currency forward contracts as of March 31, 2015.</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During the three months ended March 31, 2015, the Company received $1.3 million and paid $0.9 million related to the quarterly settlements of its interest rate swaps. This net amount is a reduction to interest expense in the Company’s consolidated statements of operations.</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three months ended March 31, 2015, the Company recognized $0.4 million in unrealized depreciation on derivatives in the consolidated statement of operations related to the swap transactions. As of March 31, 2015, the swap transactions had a fair value of $0.7 million, which is included in receivable on interest rate swaps on the Company’s consolidated balance sheet.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2015, $2.4 million of cash is pledged as collateral under the Company’s derivative instruments and is included in restricted cash as a component of other assets on the Company’s consolidated balance sheet.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80"/>
          </w:cols>
          <w:pgMar w:left="240" w:top="460" w:right="2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2015 and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w w:val="98"/>
              </w:rPr>
              <w:t>Fair Value Hierarchy at March 31, 2015</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$1,132,567</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$1,199,200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41,834</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61,406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103,240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14,466</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$123,244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$1,207,749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$1,330,993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lef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123,911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1,207,749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1,331,660</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Fair Value Hierarchy at December 31, 2014</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5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6"/>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50,158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61,250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14,893</w:t>
            </w: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$129,037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$1,134,474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$ 1,263,511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130,057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1,134,474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1,264,531</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11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300" w:type="dxa"/>
            <w:vAlign w:val="bottom"/>
          </w:tcPr>
          <w:p>
            <w:pPr>
              <w:spacing w:after="0"/>
              <w:rPr>
                <w:sz w:val="10"/>
                <w:szCs w:val="10"/>
                <w:color w:val="auto"/>
              </w:rPr>
            </w:pPr>
          </w:p>
        </w:tc>
        <w:tc>
          <w:tcPr>
            <w:tcW w:w="10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Mezzanine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3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$1,059,336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Purchases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121,413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(47,344)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Paid-in-kind interest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realized losses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1,132,567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61,406</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1,207,749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F-67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First-lien</w:t>
            </w:r>
          </w:p>
        </w:tc>
        <w:tc>
          <w:tcPr>
            <w:tcW w:w="220" w:type="dxa"/>
            <w:vAlign w:val="bottom"/>
          </w:tcPr>
          <w:p>
            <w:pPr>
              <w:spacing w:after="0"/>
              <w:rPr>
                <w:sz w:val="10"/>
                <w:szCs w:val="10"/>
                <w:color w:val="auto"/>
              </w:rPr>
            </w:pPr>
          </w:p>
        </w:tc>
        <w:tc>
          <w:tcPr>
            <w:tcW w:w="9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4"/>
              </w:rPr>
              <w:t>Second-lien</w:t>
            </w:r>
          </w:p>
        </w:tc>
        <w:tc>
          <w:tcPr>
            <w:tcW w:w="280" w:type="dxa"/>
            <w:vAlign w:val="bottom"/>
          </w:tcPr>
          <w:p>
            <w:pPr>
              <w:spacing w:after="0"/>
              <w:rPr>
                <w:sz w:val="10"/>
                <w:szCs w:val="10"/>
                <w:color w:val="auto"/>
              </w:rPr>
            </w:pPr>
          </w:p>
        </w:tc>
        <w:tc>
          <w:tcPr>
            <w:tcW w:w="122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debt</w:t>
            </w: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debt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investments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$ 854,972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$ 103,531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257,098</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(51,642)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(102,989)</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542</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2,907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4,204</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Transfers into (out of) of Level 3</w:t>
            </w:r>
          </w:p>
        </w:tc>
        <w:tc>
          <w:tcPr>
            <w:tcW w:w="1260" w:type="dxa"/>
            <w:vAlign w:val="bottom"/>
          </w:tcPr>
          <w:p>
            <w:pPr>
              <w:spacing w:after="0"/>
              <w:rPr>
                <w:sz w:val="19"/>
                <w:szCs w:val="19"/>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$ 962,577</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$ 169,427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1,139,008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Net Change in Unrealized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March 31, 2015 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March 31, 2014 on</w:t>
            </w: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March 31, 2015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2,908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8"/>
                <w:szCs w:val="18"/>
                <w:color w:val="auto"/>
              </w:rPr>
            </w:pPr>
          </w:p>
        </w:tc>
        <w:tc>
          <w:tcPr>
            <w:tcW w:w="2460" w:type="dxa"/>
            <w:vAlign w:val="bottom"/>
            <w:gridSpan w:val="2"/>
          </w:tcPr>
          <w:p>
            <w:pPr>
              <w:jc w:val="right"/>
              <w:ind w:right="260"/>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(2,196)</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6,026</w:t>
            </w: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2015</w:t>
            </w:r>
          </w:p>
        </w:tc>
        <w:tc>
          <w:tcPr>
            <w:tcW w:w="1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Unobservable</w:t>
            </w:r>
          </w:p>
        </w:tc>
        <w:tc>
          <w:tcPr>
            <w:tcW w:w="17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9"/>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Input</w:t>
            </w:r>
          </w:p>
        </w:tc>
        <w:tc>
          <w:tcPr>
            <w:tcW w:w="17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1,132,567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7.54%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15.61% (10.63%)</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61,406</w:t>
            </w: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1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Market yield</w:t>
            </w:r>
          </w:p>
        </w:tc>
        <w:tc>
          <w:tcPr>
            <w:tcW w:w="17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10.93% —</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10.93% (10.93%)</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19.64% —</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19.64% (19.64%)</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8,914</w:t>
            </w: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16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Comparable</w:t>
            </w:r>
          </w:p>
        </w:tc>
        <w:tc>
          <w:tcPr>
            <w:tcW w:w="17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9.0x — 13.1x</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multiple,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(11.9x) or 12.0%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Flow or Black</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Option Model</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Includes $54.2 million of first-lien debt investments which, due to the proximity of the transactions relative to the measurement date, were valued using the cost of the investments.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1,059,336</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8.00%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Decrease</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15.35% (10.86%)</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61,250</w:t>
            </w: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166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Market yield</w:t>
            </w: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10.97% —</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10.97% (10.97%)</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20.78% —</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20.78% (20.78%)</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9,368</w:t>
            </w: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166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Comparable</w:t>
            </w: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7.9x — 13.0x</w:t>
            </w:r>
          </w:p>
        </w:tc>
        <w:tc>
          <w:tcPr>
            <w:tcW w:w="1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multiple,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(10.4x) or 14.4%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Flow or Black</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 Option</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40" w:hanging="452"/>
        <w:spacing w:after="0" w:line="277"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fair value of the Company’s SPV Asset Facility and Revolving Credit Facility, which are categorized as Level 3 within the fair value hierarchy, as of March 31, 2015 and December 31, 2014, approximates their carrying value as the outstanding balances are callable at carrying value. The fair value of the Company’s Convertible Senior Notes, which is categorized as Level 2 within the fair value hierarchy, as of March 31, 2015, was $116.2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2015 and December 31, 2014, the Company’s asset coverage was 273.4% and 311.0%,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26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Available</w:t>
            </w:r>
            <w:r>
              <w:rPr>
                <w:rFonts w:ascii="Arial" w:cs="Arial" w:eastAsia="Arial" w:hAnsi="Arial"/>
                <w:sz w:val="12"/>
                <w:szCs w:val="12"/>
                <w:b w:val="1"/>
                <w:bCs w:val="1"/>
                <w:color w:val="auto"/>
                <w:w w:val="89"/>
              </w:rPr>
              <w:t>(1)</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128,725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244,437</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445,318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244,437</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112,061</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488,162</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4"/>
              </w:rPr>
              <w:t>$ 445,318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485,223</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December 31, 2014</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26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Available</w:t>
            </w:r>
            <w:r>
              <w:rPr>
                <w:rFonts w:ascii="Arial" w:cs="Arial" w:eastAsia="Arial" w:hAnsi="Arial"/>
                <w:sz w:val="12"/>
                <w:szCs w:val="12"/>
                <w:b w:val="1"/>
                <w:bCs w:val="1"/>
                <w:color w:val="auto"/>
                <w:w w:val="89"/>
              </w:rPr>
              <w:t>(1)</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106,725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177,216</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466,189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177,216</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398,941</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4"/>
              </w:rPr>
              <w:t>$ 511,468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395,864</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2015 and 2014, the components of interest expense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2014</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Commitment fees</w:t>
            </w:r>
          </w:p>
        </w:tc>
        <w:tc>
          <w:tcPr>
            <w:tcW w:w="120" w:type="dxa"/>
            <w:vAlign w:val="bottom"/>
          </w:tcPr>
          <w:p>
            <w:pPr>
              <w:spacing w:after="0"/>
              <w:rPr>
                <w:sz w:val="18"/>
                <w:szCs w:val="18"/>
                <w:color w:val="auto"/>
              </w:rPr>
            </w:pPr>
          </w:p>
        </w:tc>
        <w:tc>
          <w:tcPr>
            <w:tcW w:w="2540" w:type="dxa"/>
            <w:vAlign w:val="bottom"/>
            <w:gridSpan w:val="2"/>
          </w:tcPr>
          <w:p>
            <w:pPr>
              <w:jc w:val="right"/>
              <w:ind w:right="136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0" w:type="dxa"/>
            <w:vAlign w:val="bottom"/>
          </w:tcPr>
          <w:p>
            <w:pPr>
              <w:spacing w:after="0"/>
              <w:rPr>
                <w:sz w:val="18"/>
                <w:szCs w:val="18"/>
                <w:color w:val="auto"/>
              </w:rPr>
            </w:pPr>
          </w:p>
        </w:tc>
        <w:tc>
          <w:tcPr>
            <w:tcW w:w="2540" w:type="dxa"/>
            <w:vAlign w:val="bottom"/>
            <w:gridSpan w:val="2"/>
          </w:tcPr>
          <w:p>
            <w:pPr>
              <w:jc w:val="right"/>
              <w:ind w:right="136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2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54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421.5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471.0</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0" w:type="dxa"/>
            <w:vAlign w:val="bottom"/>
          </w:tcPr>
          <w:p>
            <w:pPr>
              <w:spacing w:after="0"/>
              <w:rPr>
                <w:sz w:val="20"/>
                <w:szCs w:val="20"/>
                <w:color w:val="auto"/>
              </w:rPr>
            </w:pPr>
          </w:p>
        </w:tc>
        <w:tc>
          <w:tcPr>
            <w:tcW w:w="2540" w:type="dxa"/>
            <w:vAlign w:val="bottom"/>
            <w:gridSpan w:val="2"/>
          </w:tcPr>
          <w:p>
            <w:pPr>
              <w:jc w:val="right"/>
              <w:ind w:right="12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2015, the Company had outstanding debt denominated in Swedish Krona (SEK) of 203.1 million, Euro (EUR) of 28.1 million and Pound Sterling (GBP) of 21.0 million on its Revolving Credit Facility, included in the Outstanding Principal amount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modified pricing for Natixis to cost of funds + 2.25%;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March 27, 2015, TPG SL SPV further amended the amended and restated credit and security agreement (as amended, SPV Asset Facility). The second amended and restated credit and security agreement, among other things:</w:t>
      </w:r>
    </w:p>
    <w:p>
      <w:pPr>
        <w:spacing w:after="0" w:line="76"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reduced the applicable margin with respect to loans from LIBOR lenders from 2.75% to 2.35%;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syndicated a portion of the outstanding loan previously held by affiliates of Natixis to two new lenders.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2015 and December 31, 2014, TPG SL SPV had $360.8 million and $334.0 million, respectively, in investments at fair value, and $128.8 million and $108.8 million, respectively, in liabilities, including the outstanding borrowings, on its balance sheet. As of March 31, 2015 and December 31, 2014, TPG SL SPV had $10.3 million and $10.2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60"/>
          </w:cols>
          <w:pgMar w:left="240" w:top="460" w:right="2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March 31, 2015, the Company’s effective interest rate on the Convertible Senior Notes was three-month LIBOR plus 286 basis points. See Note 5 for further information related to the Company’s interest rate swaps.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2015,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three months ended March 31, 2015, the Company received $1.3 million and paid $0.9 million related to the quarterly settlement of its interest rate swaps. This net amount is a reduction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2015,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3 month LIBOR plus 286 basis points. Please see Note 5 for further information about the Company’s interest rate swaps.</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2015,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and December 31, 2014,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March 31, 2015 and December 31, 2014,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March 31, 2015</w:t>
            </w:r>
          </w:p>
        </w:tc>
        <w:tc>
          <w:tcPr>
            <w:tcW w:w="6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6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20" w:type="dxa"/>
            <w:vAlign w:val="bottom"/>
          </w:tcPr>
          <w:p>
            <w:pPr>
              <w:spacing w:after="0"/>
              <w:rPr>
                <w:sz w:val="19"/>
                <w:szCs w:val="19"/>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1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34,350</w:t>
            </w:r>
          </w:p>
        </w:tc>
        <w:tc>
          <w:tcPr>
            <w:tcW w:w="10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20" w:type="dxa"/>
            <w:vAlign w:val="bottom"/>
            <w:shd w:val="clear" w:color="auto" w:fill="CCEEFF"/>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160" w:type="dxa"/>
            <w:vAlign w:val="bottom"/>
            <w:gridSpan w:val="2"/>
          </w:tcPr>
          <w:p>
            <w:pPr>
              <w:jc w:val="right"/>
              <w:ind w:right="1367"/>
              <w:spacing w:after="0"/>
              <w:rPr>
                <w:sz w:val="20"/>
                <w:szCs w:val="20"/>
                <w:color w:val="auto"/>
              </w:rPr>
            </w:pPr>
            <w:r>
              <w:rPr>
                <w:rFonts w:ascii="Arial" w:cs="Arial" w:eastAsia="Arial" w:hAnsi="Arial"/>
                <w:sz w:val="18"/>
                <w:szCs w:val="18"/>
                <w:color w:val="auto"/>
              </w:rPr>
              <w:t>F-75</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2015,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three months ended March 31, 2014, the Company issued 4,234,501 shares and received proceeds of $65 million related to capital drawdowns delivered pursuant to the Subscription Agreement.</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2015 and 2014.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4"/>
                <w:szCs w:val="14"/>
                <w:b w:val="1"/>
                <w:bCs w:val="1"/>
                <w:color w:val="auto"/>
              </w:rPr>
              <w:t>March 31, 2015</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0"/>
                <w:szCs w:val="10"/>
                <w:color w:val="auto"/>
              </w:rPr>
            </w:pPr>
          </w:p>
        </w:tc>
        <w:tc>
          <w:tcPr>
            <w:tcW w:w="16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Record Date</w:t>
            </w:r>
          </w:p>
        </w:tc>
        <w:tc>
          <w:tcPr>
            <w:tcW w:w="16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2040" w:type="dxa"/>
            <w:vAlign w:val="bottom"/>
            <w:gridSpan w:val="2"/>
          </w:tcPr>
          <w:p>
            <w:pPr>
              <w:jc w:val="right"/>
              <w:ind w:right="1160"/>
              <w:spacing w:after="0" w:line="119" w:lineRule="exact"/>
              <w:rPr>
                <w:sz w:val="20"/>
                <w:szCs w:val="20"/>
                <w:color w:val="auto"/>
              </w:rPr>
            </w:pPr>
            <w:r>
              <w:rPr>
                <w:rFonts w:ascii="Arial" w:cs="Arial" w:eastAsia="Arial" w:hAnsi="Arial"/>
                <w:sz w:val="13"/>
                <w:szCs w:val="13"/>
                <w:b w:val="1"/>
                <w:bCs w:val="1"/>
                <w:color w:val="auto"/>
              </w:rPr>
              <w:t>Date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Shares Issued</w:t>
            </w:r>
          </w:p>
        </w:tc>
        <w:tc>
          <w:tcPr>
            <w:tcW w:w="5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December 31, 2014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 2015</w:t>
            </w:r>
          </w:p>
        </w:tc>
        <w:tc>
          <w:tcPr>
            <w:tcW w:w="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20" w:type="dxa"/>
            <w:vAlign w:val="bottom"/>
            <w:gridSpan w:val="2"/>
            <w:vMerge w:val="restart"/>
          </w:tcPr>
          <w:p>
            <w:pPr>
              <w:ind w:left="420"/>
              <w:spacing w:after="0"/>
              <w:rPr>
                <w:sz w:val="20"/>
                <w:szCs w:val="20"/>
                <w:color w:val="auto"/>
              </w:rPr>
            </w:pPr>
            <w:r>
              <w:rPr>
                <w:rFonts w:ascii="Arial" w:cs="Arial" w:eastAsia="Arial" w:hAnsi="Arial"/>
                <w:sz w:val="18"/>
                <w:szCs w:val="18"/>
                <w:color w:val="auto"/>
              </w:rPr>
              <w:t>F-76</w:t>
            </w: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96"/>
              </w:rPr>
              <w:t>March 31, 2014</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0"/>
                <w:szCs w:val="10"/>
                <w:color w:val="auto"/>
              </w:rPr>
            </w:pPr>
          </w:p>
        </w:tc>
        <w:tc>
          <w:tcPr>
            <w:tcW w:w="16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216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Date</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Issued</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February 13, 2014</w:t>
            </w:r>
          </w:p>
        </w:tc>
        <w:tc>
          <w:tcPr>
            <w:tcW w:w="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June 30, 2015 or such time as the approved $50 million repurchase amount has been fully utilized, subject to certain conditions.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2015, no shares had been repurchased under the Company 10b5-1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March 31, 2015</w:t>
            </w:r>
          </w:p>
        </w:tc>
        <w:tc>
          <w:tcPr>
            <w:tcW w:w="1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8"/>
              </w:rPr>
              <w:t>March 31, 2014</w:t>
            </w:r>
          </w:p>
        </w:tc>
        <w:tc>
          <w:tcPr>
            <w:tcW w:w="100" w:type="dxa"/>
            <w:vAlign w:val="bottom"/>
            <w:tcBorders>
              <w:bottom w:val="single" w:sz="8" w:color="CCEEFF"/>
            </w:tcBorders>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in net assets resulting from operations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100" w:type="dxa"/>
            <w:vAlign w:val="bottom"/>
            <w:shd w:val="clear" w:color="auto" w:fill="CCEEFF"/>
          </w:tcPr>
          <w:p>
            <w:pPr>
              <w:spacing w:after="0"/>
              <w:rPr>
                <w:sz w:val="18"/>
                <w:szCs w:val="18"/>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outstanding—basic and diluted</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53,902,074</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41,539,083</w:t>
            </w:r>
          </w:p>
        </w:tc>
        <w:tc>
          <w:tcPr>
            <w:tcW w:w="100" w:type="dxa"/>
            <w:vAlign w:val="bottom"/>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per common share—basic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r>
      <w:tr>
        <w:trPr>
          <w:trHeight w:val="365"/>
        </w:trPr>
        <w:tc>
          <w:tcPr>
            <w:tcW w:w="3780" w:type="dxa"/>
            <w:vAlign w:val="bottom"/>
          </w:tcPr>
          <w:p>
            <w:pPr>
              <w:spacing w:after="0"/>
              <w:rPr>
                <w:sz w:val="24"/>
                <w:szCs w:val="24"/>
                <w:color w:val="auto"/>
              </w:rPr>
            </w:pPr>
          </w:p>
        </w:tc>
        <w:tc>
          <w:tcPr>
            <w:tcW w:w="1140" w:type="dxa"/>
            <w:vAlign w:val="bottom"/>
            <w:gridSpan w:val="2"/>
          </w:tcPr>
          <w:p>
            <w:pPr>
              <w:jc w:val="right"/>
              <w:ind w:right="345"/>
              <w:spacing w:after="0"/>
              <w:rPr>
                <w:sz w:val="20"/>
                <w:szCs w:val="20"/>
                <w:color w:val="auto"/>
              </w:rPr>
            </w:pPr>
            <w:r>
              <w:rPr>
                <w:rFonts w:ascii="Arial" w:cs="Arial" w:eastAsia="Arial" w:hAnsi="Arial"/>
                <w:sz w:val="18"/>
                <w:szCs w:val="18"/>
                <w:color w:val="auto"/>
              </w:rPr>
              <w:t>F-77</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2015 was less than the conversion price for the Convertible Senior Notes outstanding as of March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7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Record Date</w:t>
            </w:r>
          </w:p>
        </w:tc>
        <w:tc>
          <w:tcPr>
            <w:tcW w:w="17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620" w:type="dxa"/>
            <w:vAlign w:val="bottom"/>
            <w:tcBorders>
              <w:top w:val="single" w:sz="8" w:color="CCEEFF"/>
            </w:tcBorders>
            <w:shd w:val="clear" w:color="auto" w:fill="CCEEFF"/>
          </w:tcPr>
          <w:p>
            <w:pPr>
              <w:jc w:val="right"/>
              <w:ind w:right="3070"/>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9"/>
              </w:rPr>
              <w:t>March 31, 2015</w:t>
            </w:r>
          </w:p>
        </w:tc>
        <w:tc>
          <w:tcPr>
            <w:tcW w:w="3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April 30, 2015</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620" w:type="dxa"/>
            <w:vAlign w:val="bottom"/>
            <w:vMerge w:val="restart"/>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62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Record Date</w:t>
            </w:r>
          </w:p>
        </w:tc>
        <w:tc>
          <w:tcPr>
            <w:tcW w:w="3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Payment Date</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4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March 31, 2014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April 30, 2014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three months ended March 31, 2015 and 2014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three months ended March 31, 2015 and 2014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217"/>
              <w:spacing w:after="0"/>
              <w:rPr>
                <w:sz w:val="20"/>
                <w:szCs w:val="20"/>
                <w:color w:val="auto"/>
              </w:rPr>
            </w:pPr>
            <w:r>
              <w:rPr>
                <w:rFonts w:ascii="Arial" w:cs="Arial" w:eastAsia="Arial" w:hAnsi="Arial"/>
                <w:sz w:val="14"/>
                <w:szCs w:val="14"/>
                <w:b w:val="1"/>
                <w:bCs w:val="1"/>
                <w:color w:val="auto"/>
              </w:rPr>
              <w:t>March 31, 2015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Capital Gains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the three months ended March 31, 2015 and 2014, 75.9% and 84.0% of ordinary income qualified as interest related dividend which is exempt from U.S. withholding tax applicable to non U.S.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reconciles increase in net assets resulting from operations for the three months ended March 31, 2015 and 2014 to taxable income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2014</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(5,715)</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income for tax purposes, not book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 expenses not currently deductible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r>
      <w:tr>
        <w:trPr>
          <w:trHeight w:val="223"/>
        </w:trPr>
        <w:tc>
          <w:tcPr>
            <w:tcW w:w="4840" w:type="dxa"/>
            <w:vAlign w:val="bottom"/>
          </w:tcPr>
          <w:p>
            <w:pPr>
              <w:ind w:left="720"/>
              <w:spacing w:after="0"/>
              <w:rPr>
                <w:sz w:val="20"/>
                <w:szCs w:val="20"/>
                <w:color w:val="auto"/>
              </w:rPr>
            </w:pPr>
            <w:r>
              <w:rPr>
                <w:rFonts w:ascii="Arial" w:cs="Arial" w:eastAsia="Arial" w:hAnsi="Arial"/>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w:t>
            </w:r>
          </w:p>
        </w:tc>
        <w:tc>
          <w:tcPr>
            <w:tcW w:w="14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During the three months ended March 31, 2015, permanent differences were principally related to $1.7 million of recharacterization of prepayment penalties for tax purposes between ordinary income and capital gains, $1.9 million attributable to derivative reclassifications, and $0.3 million attributable to accrued U.S. federal excise taxes. 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w:t>
      </w:r>
    </w:p>
    <w:p>
      <w:pPr>
        <w:spacing w:after="0" w:line="18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The Company neither has any uncertain tax positions that met the recognition or measurement criteria of ASC 740-10-25, </w:t>
      </w:r>
      <w:r>
        <w:rPr>
          <w:rFonts w:ascii="Arial" w:cs="Arial" w:eastAsia="Arial" w:hAnsi="Arial"/>
          <w:sz w:val="17"/>
          <w:szCs w:val="17"/>
          <w:i w:val="1"/>
          <w:iCs w:val="1"/>
          <w:color w:val="auto"/>
        </w:rPr>
        <w:t>Income Taxes</w:t>
      </w:r>
      <w:r>
        <w:rPr>
          <w:rFonts w:ascii="Arial" w:cs="Arial" w:eastAsia="Arial" w:hAnsi="Arial"/>
          <w:sz w:val="17"/>
          <w:szCs w:val="17"/>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March 31, 2015 and December 31, 2014,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three months ended March 31, 2015 and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2014</w:t>
            </w: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15.53</w:t>
            </w:r>
          </w:p>
        </w:tc>
        <w:tc>
          <w:tcPr>
            <w:tcW w:w="7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CEEFF"/>
          </w:tcPr>
          <w:p>
            <w:pPr>
              <w:spacing w:after="0"/>
              <w:rPr>
                <w:sz w:val="18"/>
                <w:szCs w:val="18"/>
                <w:color w:val="auto"/>
              </w:rPr>
            </w:pP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 offering</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costs</w:t>
            </w:r>
            <w:r>
              <w:rPr>
                <w:rFonts w:ascii="Arial" w:cs="Arial" w:eastAsia="Arial" w:hAnsi="Arial"/>
                <w:sz w:val="15"/>
                <w:szCs w:val="15"/>
                <w:color w:val="auto"/>
              </w:rPr>
              <w:t>(1)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 investment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r>
              <w:rPr>
                <w:rFonts w:ascii="Arial" w:cs="Arial" w:eastAsia="Arial" w:hAnsi="Arial"/>
                <w:sz w:val="15"/>
                <w:szCs w:val="15"/>
                <w:color w:val="auto"/>
              </w:rPr>
              <w:t>(2)</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(0.39)</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Total increase (decrease) in net assets</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53,959,848</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51,887,708</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Ratio of net investment income to average</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net assets</w:t>
            </w:r>
            <w:r>
              <w:rPr>
                <w:rFonts w:ascii="Arial" w:cs="Arial" w:eastAsia="Arial" w:hAnsi="Arial"/>
                <w:sz w:val="15"/>
                <w:szCs w:val="15"/>
                <w:color w:val="auto"/>
              </w:rPr>
              <w:t>(5)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w:t>
            </w:r>
            <w:r>
              <w:rPr>
                <w:rFonts w:ascii="Arial" w:cs="Arial" w:eastAsia="Arial" w:hAnsi="Arial"/>
                <w:sz w:val="15"/>
                <w:szCs w:val="15"/>
                <w:color w:val="auto"/>
              </w:rPr>
              <w:t>(5)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841,530</w:t>
            </w:r>
          </w:p>
        </w:tc>
        <w:tc>
          <w:tcPr>
            <w:tcW w:w="7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804,755</w:t>
            </w:r>
          </w:p>
        </w:tc>
        <w:tc>
          <w:tcPr>
            <w:tcW w:w="200" w:type="dxa"/>
            <w:vAlign w:val="bottom"/>
          </w:tcPr>
          <w:p>
            <w:pPr>
              <w:spacing w:after="0"/>
              <w:rPr>
                <w:sz w:val="20"/>
                <w:szCs w:val="20"/>
                <w:color w:val="auto"/>
              </w:rPr>
            </w:pPr>
          </w:p>
        </w:tc>
      </w:tr>
    </w:tbl>
    <w:p>
      <w:pPr>
        <w:spacing w:after="0" w:line="214"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hanging="452"/>
        <w:spacing w:after="0" w:line="250"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60"/>
          </w:cols>
          <w:pgMar w:left="240" w:top="459" w:right="29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1006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2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TPG SPECIALTY LENDING, INC.</w:t>
            </w:r>
          </w:p>
        </w:tc>
        <w:tc>
          <w:tcPr>
            <w:tcW w:w="12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5"/>
              </w:rPr>
              <w:t>PART C</w:t>
            </w:r>
          </w:p>
        </w:tc>
        <w:tc>
          <w:tcPr>
            <w:tcW w:w="126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4"/>
              </w:rPr>
              <w:t>Other Information</w:t>
            </w:r>
          </w:p>
        </w:tc>
        <w:tc>
          <w:tcPr>
            <w:tcW w:w="1260" w:type="dxa"/>
            <w:vAlign w:val="bottom"/>
          </w:tcPr>
          <w:p>
            <w:pPr>
              <w:spacing w:after="0"/>
              <w:rPr>
                <w:sz w:val="24"/>
                <w:szCs w:val="24"/>
                <w:color w:val="auto"/>
              </w:rPr>
            </w:pPr>
          </w:p>
        </w:tc>
      </w:tr>
      <w:tr>
        <w:trPr>
          <w:trHeight w:val="338"/>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60" w:type="dxa"/>
            <w:vAlign w:val="bottom"/>
          </w:tcPr>
          <w:p>
            <w:pPr>
              <w:spacing w:after="0"/>
              <w:rPr>
                <w:sz w:val="24"/>
                <w:szCs w:val="24"/>
                <w:color w:val="auto"/>
              </w:rPr>
            </w:pPr>
          </w:p>
        </w:tc>
      </w:tr>
      <w:tr>
        <w:trPr>
          <w:trHeight w:val="32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(1) Financial Statements</w:t>
            </w:r>
          </w:p>
        </w:tc>
        <w:tc>
          <w:tcPr>
            <w:tcW w:w="1260" w:type="dxa"/>
            <w:vAlign w:val="bottom"/>
          </w:tcPr>
          <w:p>
            <w:pPr>
              <w:spacing w:after="0"/>
              <w:rPr>
                <w:sz w:val="24"/>
                <w:szCs w:val="24"/>
                <w:color w:val="auto"/>
              </w:rPr>
            </w:pPr>
          </w:p>
        </w:tc>
      </w:tr>
      <w:tr>
        <w:trPr>
          <w:trHeight w:val="324"/>
        </w:trPr>
        <w:tc>
          <w:tcPr>
            <w:tcW w:w="10060" w:type="dxa"/>
            <w:vAlign w:val="bottom"/>
            <w:gridSpan w:val="14"/>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60" w:type="dxa"/>
            <w:vAlign w:val="bottom"/>
          </w:tcPr>
          <w:p>
            <w:pPr>
              <w:spacing w:after="0"/>
              <w:rPr>
                <w:sz w:val="24"/>
                <w:szCs w:val="24"/>
                <w:color w:val="auto"/>
              </w:rPr>
            </w:pPr>
          </w:p>
        </w:tc>
      </w:tr>
      <w:tr>
        <w:trPr>
          <w:trHeight w:val="445"/>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60" w:type="dxa"/>
            <w:vAlign w:val="bottom"/>
          </w:tcPr>
          <w:p>
            <w:pPr>
              <w:spacing w:after="0"/>
              <w:rPr>
                <w:sz w:val="24"/>
                <w:szCs w:val="24"/>
                <w:color w:val="auto"/>
              </w:rPr>
            </w:pPr>
          </w:p>
        </w:tc>
      </w:tr>
      <w:tr>
        <w:trPr>
          <w:trHeight w:val="190"/>
        </w:trPr>
        <w:tc>
          <w:tcPr>
            <w:tcW w:w="10060" w:type="dxa"/>
            <w:vAlign w:val="bottom"/>
            <w:gridSpan w:val="14"/>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 as of December 31, 2014 and 2013</w:t>
              </w:r>
            </w:hyperlink>
          </w:p>
        </w:tc>
        <w:tc>
          <w:tcPr>
            <w:tcW w:w="540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Operations for the Years Ended December 31, 2014, 2013 and 2012</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Schedules of Investments as of December 31, 2014 and 2013</w:t>
              </w:r>
            </w:hyperlink>
          </w:p>
        </w:tc>
        <w:tc>
          <w:tcPr>
            <w:tcW w:w="316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Changes in Net Assets for the Years Ended December 31, 2014, 2013 and 2012</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0">
              <w:r>
                <w:rPr>
                  <w:rFonts w:ascii="Arial" w:cs="Arial" w:eastAsia="Arial" w:hAnsi="Arial"/>
                  <w:sz w:val="18"/>
                  <w:szCs w:val="18"/>
                  <w:color w:val="0000EE"/>
                  <w:w w:val="99"/>
                </w:rPr>
                <w:t>Consolidated Statements of Cash Flows for the Years Ended December 31, 2014, 2013 and 2012</w:t>
              </w:r>
            </w:hyperlink>
          </w:p>
        </w:tc>
        <w:tc>
          <w:tcPr>
            <w:tcW w:w="23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310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438"/>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260" w:type="dxa"/>
            <w:vAlign w:val="bottom"/>
          </w:tcPr>
          <w:p>
            <w:pPr>
              <w:spacing w:after="0"/>
              <w:rPr>
                <w:sz w:val="24"/>
                <w:szCs w:val="24"/>
                <w:color w:val="auto"/>
              </w:rPr>
            </w:pPr>
          </w:p>
        </w:tc>
      </w:tr>
      <w:tr>
        <w:trPr>
          <w:trHeight w:val="190"/>
        </w:trPr>
        <w:tc>
          <w:tcPr>
            <w:tcW w:w="10060" w:type="dxa"/>
            <w:vAlign w:val="bottom"/>
            <w:gridSpan w:val="14"/>
          </w:tcPr>
          <w:p>
            <w:pPr>
              <w:spacing w:after="0" w:line="190" w:lineRule="exact"/>
              <w:rPr>
                <w:rFonts w:ascii="Arial" w:cs="Arial" w:eastAsia="Arial" w:hAnsi="Arial"/>
                <w:sz w:val="18"/>
                <w:szCs w:val="18"/>
                <w:color w:val="0000EE"/>
              </w:rPr>
            </w:pPr>
            <w:hyperlink w:anchor="page230">
              <w:r>
                <w:rPr>
                  <w:rFonts w:ascii="Arial" w:cs="Arial" w:eastAsia="Arial" w:hAnsi="Arial"/>
                  <w:sz w:val="18"/>
                  <w:szCs w:val="18"/>
                  <w:color w:val="0000EE"/>
                </w:rPr>
                <w:t>Consolidated Balance Sheets as of March 31, 2015 and December 31, 2014</w:t>
              </w:r>
            </w:hyperlink>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F-43</w:t>
            </w:r>
          </w:p>
        </w:tc>
      </w:tr>
      <w:tr>
        <w:trPr>
          <w:trHeight w:val="20"/>
        </w:trPr>
        <w:tc>
          <w:tcPr>
            <w:tcW w:w="544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Operations for the Three Months Ended March 31, 2015 and 2014</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Schedules of Investments as of March 31, 2015 and December 31, 2014</w:t>
              </w:r>
            </w:hyperlink>
          </w:p>
        </w:tc>
        <w:tc>
          <w:tcPr>
            <w:tcW w:w="326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20"/>
        </w:trPr>
        <w:tc>
          <w:tcPr>
            <w:tcW w:w="6180" w:type="dxa"/>
            <w:vAlign w:val="bottom"/>
            <w:gridSpan w:val="7"/>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0060" w:type="dxa"/>
            <w:vAlign w:val="bottom"/>
            <w:gridSpan w:val="14"/>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Consolidated Statements of Changes in Net Assets for the Three Months Ended March 31, 2015 and 2014</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Three Months Ended March 31, 2015 and 2014</w:t>
              </w:r>
            </w:hyperlink>
          </w:p>
        </w:tc>
        <w:tc>
          <w:tcPr>
            <w:tcW w:w="242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42">
              <w:r>
                <w:rPr>
                  <w:rFonts w:ascii="Arial" w:cs="Arial" w:eastAsia="Arial" w:hAnsi="Arial"/>
                  <w:sz w:val="18"/>
                  <w:szCs w:val="18"/>
                  <w:color w:val="0000EE"/>
                  <w:w w:val="89"/>
                </w:rPr>
                <w:t>Notes to Consolidated Financial Statements</w:t>
              </w:r>
            </w:hyperlink>
          </w:p>
        </w:tc>
        <w:tc>
          <w:tcPr>
            <w:tcW w:w="3700" w:type="dxa"/>
            <w:vAlign w:val="bottom"/>
            <w:tcBorders>
              <w:top w:val="single" w:sz="8" w:color="0000EE"/>
            </w:tcBorders>
            <w:gridSpan w:val="7"/>
          </w:tcPr>
          <w:p>
            <w:pPr>
              <w:spacing w:after="0"/>
              <w:rPr>
                <w:sz w:val="17"/>
                <w:szCs w:val="17"/>
                <w:color w:val="auto"/>
              </w:rPr>
            </w:pPr>
          </w:p>
        </w:tc>
        <w:tc>
          <w:tcPr>
            <w:tcW w:w="320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jc w:val="both"/>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80" w:hanging="872"/>
        <w:spacing w:after="0" w:line="277" w:lineRule="auto"/>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 (1)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46"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ind w:left="880" w:hanging="872"/>
        <w:spacing w:after="0"/>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880" w:right="60" w:hanging="879"/>
        <w:spacing w:after="0" w:line="286" w:lineRule="auto"/>
        <w:tabs>
          <w:tab w:leader="none" w:pos="86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57" w:lineRule="exact"/>
        <w:rPr>
          <w:sz w:val="20"/>
          <w:szCs w:val="20"/>
          <w:color w:val="auto"/>
        </w:rPr>
      </w:pPr>
    </w:p>
    <w:p>
      <w:pPr>
        <w:jc w:val="both"/>
        <w:ind w:left="880" w:right="180" w:hanging="879"/>
        <w:spacing w:after="0" w:line="342" w:lineRule="auto"/>
        <w:tabs>
          <w:tab w:leader="none" w:pos="86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880" w:hanging="879"/>
        <w:spacing w:after="0" w:line="264" w:lineRule="auto"/>
        <w:tabs>
          <w:tab w:leader="none" w:pos="86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jc w:val="both"/>
        <w:ind w:left="880" w:right="40" w:hanging="879"/>
        <w:spacing w:after="0" w:line="312" w:lineRule="auto"/>
        <w:tabs>
          <w:tab w:leader="none" w:pos="860" w:val="left"/>
        </w:tabs>
        <w:rPr>
          <w:sz w:val="20"/>
          <w:szCs w:val="20"/>
          <w:color w:val="auto"/>
        </w:rPr>
      </w:pPr>
      <w:r>
        <w:rPr>
          <w:rFonts w:ascii="Arial" w:cs="Arial" w:eastAsia="Arial" w:hAnsi="Arial"/>
          <w:sz w:val="16"/>
          <w:szCs w:val="16"/>
          <w:color w:val="auto"/>
        </w:rPr>
        <w:t>(k)(8)</w:t>
      </w:r>
      <w:r>
        <w:rPr>
          <w:sz w:val="20"/>
          <w:szCs w:val="20"/>
          <w:color w:val="auto"/>
        </w:rPr>
        <w:tab/>
      </w:r>
      <w:r>
        <w:rPr>
          <w:rFonts w:ascii="Arial" w:cs="Arial" w:eastAsia="Arial" w:hAnsi="Arial"/>
          <w:sz w:val="16"/>
          <w:szCs w:val="16"/>
          <w:color w:val="auto"/>
        </w:rPr>
        <w:t>Amendment No. 1 dated July 17, 2013 to 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9,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40" w:right="100" w:hanging="839"/>
        <w:spacing w:after="0" w:line="286" w:lineRule="auto"/>
        <w:tabs>
          <w:tab w:leader="none" w:pos="820" w:val="left"/>
        </w:tabs>
        <w:rPr>
          <w:sz w:val="20"/>
          <w:szCs w:val="20"/>
          <w:color w:val="auto"/>
        </w:rPr>
      </w:pPr>
      <w:r>
        <w:rPr>
          <w:rFonts w:ascii="Arial" w:cs="Arial" w:eastAsia="Arial" w:hAnsi="Arial"/>
          <w:sz w:val="17"/>
          <w:szCs w:val="17"/>
          <w:color w:val="auto"/>
        </w:rPr>
        <w:t>(k)(9)</w:t>
      </w:r>
      <w:r>
        <w:rPr>
          <w:sz w:val="20"/>
          <w:szCs w:val="20"/>
          <w:color w:val="auto"/>
        </w:rPr>
        <w:tab/>
      </w:r>
      <w:r>
        <w:rPr>
          <w:rFonts w:ascii="Arial" w:cs="Arial" w:eastAsia="Arial" w:hAnsi="Arial"/>
          <w:sz w:val="17"/>
          <w:szCs w:val="17"/>
          <w:color w:val="auto"/>
        </w:rPr>
        <w:t>Amended and Restated Revolving Credit and Security Agreement, dated as of January 21, 2014, among TPG SL SPV, LLC, as Borrower, the Lenders from Time to Time Parties Hereto, Natixis, New York Branch, as Facility Agent and State Street Bank and Trust Company, as Collateral Agent (incorporated by reference to Exhibit 10.18 to the Company’s Annual Report on Form 10-K filed on March 4, 2014)</w:t>
      </w:r>
    </w:p>
    <w:p>
      <w:pPr>
        <w:spacing w:after="0" w:line="57" w:lineRule="exact"/>
        <w:rPr>
          <w:sz w:val="20"/>
          <w:szCs w:val="20"/>
          <w:color w:val="auto"/>
        </w:rPr>
      </w:pPr>
    </w:p>
    <w:p>
      <w:pPr>
        <w:ind w:left="840" w:hanging="839"/>
        <w:spacing w:after="0" w:line="264" w:lineRule="auto"/>
        <w:tabs>
          <w:tab w:leader="none" w:pos="820" w:val="left"/>
        </w:tabs>
        <w:rPr>
          <w:sz w:val="20"/>
          <w:szCs w:val="20"/>
          <w:color w:val="auto"/>
        </w:rPr>
      </w:pPr>
      <w:r>
        <w:rPr>
          <w:rFonts w:ascii="Arial" w:cs="Arial" w:eastAsia="Arial" w:hAnsi="Arial"/>
          <w:sz w:val="18"/>
          <w:szCs w:val="18"/>
          <w:color w:val="auto"/>
        </w:rPr>
        <w:t>(k)(10)</w:t>
      </w:r>
      <w:r>
        <w:rPr>
          <w:sz w:val="20"/>
          <w:szCs w:val="20"/>
          <w:color w:val="auto"/>
        </w:rPr>
        <w:tab/>
      </w:r>
      <w:r>
        <w:rPr>
          <w:rFonts w:ascii="Arial" w:cs="Arial" w:eastAsia="Arial" w:hAnsi="Arial"/>
          <w:sz w:val="18"/>
          <w:szCs w:val="18"/>
          <w:color w:val="auto"/>
        </w:rPr>
        <w:t>Amended and Restated Master Sale and Contribution Agreement by and between TPG Specialty Lending, Inc., as the Originator and TPG SL SPV, LLC, as the Buyer, dated as of January 21, 2014 (incorporated by reference to Exhibit 10.19 to the Company’s Annual Report on Form 10-K filed on March 4, 2014)</w:t>
      </w:r>
    </w:p>
    <w:p>
      <w:pPr>
        <w:spacing w:after="0" w:line="73" w:lineRule="exact"/>
        <w:rPr>
          <w:sz w:val="20"/>
          <w:szCs w:val="20"/>
          <w:color w:val="auto"/>
        </w:rPr>
      </w:pPr>
    </w:p>
    <w:p>
      <w:pPr>
        <w:ind w:left="840" w:hanging="839"/>
        <w:spacing w:after="0" w:line="286" w:lineRule="auto"/>
        <w:tabs>
          <w:tab w:leader="none" w:pos="820" w:val="left"/>
        </w:tabs>
        <w:rPr>
          <w:sz w:val="20"/>
          <w:szCs w:val="20"/>
          <w:color w:val="auto"/>
        </w:rPr>
      </w:pPr>
      <w:r>
        <w:rPr>
          <w:rFonts w:ascii="Arial" w:cs="Arial" w:eastAsia="Arial" w:hAnsi="Arial"/>
          <w:sz w:val="17"/>
          <w:szCs w:val="17"/>
          <w:color w:val="auto"/>
        </w:rPr>
        <w:t>(k)(11)</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40" w:hanging="839"/>
        <w:spacing w:after="0" w:line="312" w:lineRule="auto"/>
        <w:tabs>
          <w:tab w:leader="none" w:pos="820" w:val="left"/>
        </w:tabs>
        <w:rPr>
          <w:sz w:val="20"/>
          <w:szCs w:val="20"/>
          <w:color w:val="auto"/>
        </w:rPr>
      </w:pPr>
      <w:r>
        <w:rPr>
          <w:rFonts w:ascii="Arial" w:cs="Arial" w:eastAsia="Arial" w:hAnsi="Arial"/>
          <w:sz w:val="16"/>
          <w:szCs w:val="16"/>
          <w:color w:val="auto"/>
        </w:rPr>
        <w:t>(k)(12)</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40" w:right="140" w:hanging="839"/>
        <w:spacing w:after="0" w:line="264" w:lineRule="auto"/>
        <w:tabs>
          <w:tab w:leader="none" w:pos="820" w:val="left"/>
        </w:tabs>
        <w:rPr>
          <w:sz w:val="20"/>
          <w:szCs w:val="20"/>
          <w:color w:val="auto"/>
        </w:rPr>
      </w:pPr>
      <w:r>
        <w:rPr>
          <w:rFonts w:ascii="Arial" w:cs="Arial" w:eastAsia="Arial" w:hAnsi="Arial"/>
          <w:sz w:val="18"/>
          <w:szCs w:val="18"/>
          <w:color w:val="auto"/>
        </w:rPr>
        <w:t>(k)(13)</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840" w:right="320" w:hanging="839"/>
        <w:spacing w:after="0" w:line="286" w:lineRule="auto"/>
        <w:tabs>
          <w:tab w:leader="none" w:pos="820" w:val="left"/>
        </w:tabs>
        <w:rPr>
          <w:sz w:val="20"/>
          <w:szCs w:val="20"/>
          <w:color w:val="auto"/>
        </w:rPr>
      </w:pPr>
      <w:r>
        <w:rPr>
          <w:rFonts w:ascii="Arial" w:cs="Arial" w:eastAsia="Arial" w:hAnsi="Arial"/>
          <w:sz w:val="17"/>
          <w:szCs w:val="17"/>
          <w:color w:val="auto"/>
        </w:rPr>
        <w:t>(k)(14)</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840" w:right="20" w:hanging="839"/>
        <w:spacing w:after="0" w:line="264" w:lineRule="auto"/>
        <w:tabs>
          <w:tab w:leader="none" w:pos="820" w:val="left"/>
        </w:tabs>
        <w:rPr>
          <w:sz w:val="20"/>
          <w:szCs w:val="20"/>
          <w:color w:val="auto"/>
        </w:rPr>
      </w:pPr>
      <w:r>
        <w:rPr>
          <w:rFonts w:ascii="Arial" w:cs="Arial" w:eastAsia="Arial" w:hAnsi="Arial"/>
          <w:sz w:val="18"/>
          <w:szCs w:val="18"/>
          <w:color w:val="auto"/>
        </w:rPr>
        <w:t>(k)(15)</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ind w:left="840" w:right="40" w:hanging="839"/>
        <w:spacing w:after="0" w:line="286" w:lineRule="auto"/>
        <w:tabs>
          <w:tab w:leader="none" w:pos="820" w:val="left"/>
        </w:tabs>
        <w:rPr>
          <w:sz w:val="20"/>
          <w:szCs w:val="20"/>
          <w:color w:val="auto"/>
        </w:rPr>
      </w:pPr>
      <w:r>
        <w:rPr>
          <w:rFonts w:ascii="Arial" w:cs="Arial" w:eastAsia="Arial" w:hAnsi="Arial"/>
          <w:sz w:val="17"/>
          <w:szCs w:val="17"/>
          <w:color w:val="auto"/>
        </w:rPr>
        <w:t>(k)(16)</w:t>
      </w:r>
      <w:r>
        <w:rPr>
          <w:sz w:val="20"/>
          <w:szCs w:val="20"/>
          <w:color w:val="auto"/>
        </w:rPr>
        <w:tab/>
      </w:r>
      <w:r>
        <w:rPr>
          <w:rFonts w:ascii="Arial" w:cs="Arial" w:eastAsia="Arial" w:hAnsi="Arial"/>
          <w:sz w:val="17"/>
          <w:szCs w:val="17"/>
          <w:color w:val="auto"/>
        </w:rPr>
        <w:t>Second Amended and Restated Credit and Security Agreement, dated as of March 27, 2015, among TPG SL SPV, LLC, as Borrower, the Lenders from Time to Time Parties Hereto, Natixis, New York Branch, as Facility Agent and State Street Bank and Trust Company, as Collateral Agent (incorporated by reference to Exhibit 10.1 to the Company’s Current Report on Form 8-K filed on March 30, 2015)</w:t>
      </w:r>
    </w:p>
    <w:p>
      <w:pPr>
        <w:spacing w:after="0" w:line="57" w:lineRule="exact"/>
        <w:rPr>
          <w:sz w:val="20"/>
          <w:szCs w:val="20"/>
          <w:color w:val="auto"/>
        </w:rPr>
      </w:pPr>
    </w:p>
    <w:p>
      <w:pPr>
        <w:ind w:left="840" w:hanging="832"/>
        <w:spacing w:after="0"/>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(included in Exhibit (l))</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27, 2015</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16, 2015 (1)</w:t>
      </w:r>
    </w:p>
    <w:p>
      <w:pPr>
        <w:spacing w:after="0" w:line="117" w:lineRule="exact"/>
        <w:rPr>
          <w:sz w:val="20"/>
          <w:szCs w:val="20"/>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40" w:hanging="832"/>
        <w:spacing w:after="0"/>
        <w:tabs>
          <w:tab w:leader="none" w:pos="8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40" w:right="140" w:hanging="839"/>
        <w:spacing w:after="0" w:line="277" w:lineRule="auto"/>
        <w:tabs>
          <w:tab w:leader="none" w:pos="8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Code of Ethics of TPG Specialty Lending, Inc. (incorporated by reference to Exhibit (r)(1) to Pre-Effective Amendment No. 4 to the Company’s Registration Statement on Form N-2 filed on March 17,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59" w:right="2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320"/>
              <w:spacing w:after="0"/>
              <w:rPr>
                <w:sz w:val="20"/>
                <w:szCs w:val="20"/>
                <w:color w:val="auto"/>
              </w:rPr>
            </w:pPr>
            <w:r>
              <w:rPr>
                <w:rFonts w:ascii="Arial" w:cs="Arial" w:eastAsia="Arial" w:hAnsi="Arial"/>
                <w:sz w:val="18"/>
                <w:szCs w:val="18"/>
                <w:color w:val="auto"/>
                <w:w w:val="97"/>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32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320"/>
              <w:spacing w:after="0"/>
              <w:rPr>
                <w:sz w:val="20"/>
                <w:szCs w:val="20"/>
                <w:color w:val="auto"/>
              </w:rPr>
            </w:pPr>
            <w:r>
              <w:rPr>
                <w:rFonts w:ascii="Arial" w:cs="Arial" w:eastAsia="Arial" w:hAnsi="Arial"/>
                <w:sz w:val="18"/>
                <w:szCs w:val="18"/>
                <w:color w:val="auto"/>
                <w:w w:val="97"/>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32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 No.</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 No.</w:t>
            </w:r>
          </w:p>
        </w:tc>
      </w:tr>
      <w:tr>
        <w:trPr>
          <w:trHeight w:val="230"/>
        </w:trPr>
        <w:tc>
          <w:tcPr>
            <w:tcW w:w="72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 to the Company’s Registration Statement on Form N-2 filed on July 25, 2014)</w:t>
            </w:r>
          </w:p>
        </w:tc>
      </w:tr>
    </w:tbl>
    <w:p>
      <w:pPr>
        <w:spacing w:after="0" w:line="107"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24,850.00(1)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700,000.00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20,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20" w:hanging="440"/>
        <w:spacing w:after="0" w:line="264"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480" w:right="100" w:hanging="567"/>
        <w:spacing w:after="0" w:line="290" w:lineRule="auto"/>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hanging="567"/>
        <w:spacing w:after="0" w:line="279" w:lineRule="auto"/>
        <w:tabs>
          <w:tab w:leader="none" w:pos="1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920" w:right="6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920" w:right="700" w:hanging="440"/>
        <w:spacing w:after="0" w:line="277" w:lineRule="auto"/>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480" w:right="80" w:hanging="567"/>
        <w:spacing w:after="0" w:line="312" w:lineRule="auto"/>
        <w:tabs>
          <w:tab w:leader="none" w:pos="148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4" w:lineRule="auto"/>
        <w:tabs>
          <w:tab w:leader="none" w:pos="14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the State of New York on the 28th day of May,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 the Board of Directors</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May 28,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Michael Fishman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46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2015, with respect to the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and the effectiveness of internal control over financial reporting as of December 31, 2014, and our report dated April 16, 2015 on the consolidated senior securities schedule of the Company, included herein, and to the references to our firm under the headings “Senior Securities”, and “Experts” in the prospectus.</w:t>
      </w:r>
    </w:p>
    <w:p>
      <w:pPr>
        <w:spacing w:after="0" w:line="2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ectPr>
          <w:pgSz w:w="11900" w:h="16838" w:orient="portrait"/>
          <w:cols w:equalWidth="0" w:num="1">
            <w:col w:w="11420"/>
          </w:cols>
          <w:pgMar w:left="240" w:top="121" w:right="239" w:bottom="1440" w:gutter="0" w:footer="0" w:header="0"/>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831840" cy="19983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May 28, 2015</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ectPr>
          <w:pgSz w:w="11900" w:h="16838" w:orient="portrait"/>
          <w:cols w:equalWidth="0" w:num="1">
            <w:col w:w="11360"/>
          </w:cols>
          <w:pgMar w:left="240" w:top="1440" w:right="299" w:bottom="1440" w:gutter="0" w:footer="0" w:header="0"/>
        </w:sectPr>
      </w:pPr>
    </w:p>
    <w:p>
      <w:pPr>
        <w:spacing w:after="0" w:line="23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Statement on Form N-2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April 16,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333-203450</w:t>
      </w:r>
    </w:p>
    <w:p>
      <w:pPr>
        <w:spacing w:after="0" w:line="200" w:lineRule="exact"/>
        <w:rPr>
          <w:sz w:val="20"/>
          <w:szCs w:val="20"/>
          <w:color w:val="auto"/>
        </w:rPr>
      </w:pPr>
    </w:p>
    <w:p>
      <w:pPr>
        <w:sectPr>
          <w:pgSz w:w="11900" w:h="16838" w:orient="portrait"/>
          <w:cols w:equalWidth="0" w:num="2">
            <w:col w:w="980" w:space="460"/>
            <w:col w:w="9920"/>
          </w:cols>
          <w:pgMar w:left="240" w:top="1440" w:right="29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in its letter dated May 14, 2015 with respect to the above-referenced Registration Statement on Form N-2 filed on April 16, 2015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as defined in Amendment No.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17" w:lineRule="exact"/>
        <w:rPr>
          <w:sz w:val="20"/>
          <w:szCs w:val="20"/>
          <w:color w:val="auto"/>
        </w:rPr>
      </w:pPr>
    </w:p>
    <w:p>
      <w:pPr>
        <w:ind w:right="300" w:firstLine="8"/>
        <w:spacing w:after="0" w:line="282" w:lineRule="auto"/>
        <w:tabs>
          <w:tab w:leader="none" w:pos="1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The General Instructions to Form N-2 state that the purpose of the prospectus is to provide essential information in a way that helps investors make informed decisions.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308600" cy="1117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308600" cy="11176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General Instructions further require the prospectus to be clear, concise and understandable. In several locations it appears that you unnecessarily repeat information. As one example, you discuss your December 16, 2014 exemptive relief on pages 8, 28, 40, 56, 125, and 167. While this information is important to investors, its repetition increases the length of your disclosure without a commensurate increase in investor understanding. Please review your document to ensure it is appropriately concise.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Company acknowledges the Staff’s comment and has revised disclosure throughout Amendment No. 1 in response, including the requested disclosure.</w:t>
      </w:r>
    </w:p>
    <w:p>
      <w:pPr>
        <w:spacing w:after="0" w:line="275"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We note references throughout your filing to your 10b5-1 plans. Please:</w:t>
      </w:r>
    </w:p>
    <w:p>
      <w:pPr>
        <w:spacing w:after="0" w:line="130" w:lineRule="exact"/>
        <w:rPr>
          <w:rFonts w:ascii="Arial" w:cs="Arial" w:eastAsia="Arial" w:hAnsi="Arial"/>
          <w:sz w:val="18"/>
          <w:szCs w:val="18"/>
          <w:b w:val="1"/>
          <w:bCs w:val="1"/>
          <w:color w:val="auto"/>
        </w:rPr>
      </w:pPr>
    </w:p>
    <w:p>
      <w:pPr>
        <w:ind w:left="440" w:hanging="324"/>
        <w:spacing w:after="0"/>
        <w:tabs>
          <w:tab w:leader="none" w:pos="440" w:val="left"/>
        </w:tabs>
        <w:numPr>
          <w:ilvl w:val="1"/>
          <w:numId w:val="198"/>
        </w:numPr>
        <w:rPr>
          <w:rFonts w:ascii="Arial" w:cs="Arial" w:eastAsia="Arial" w:hAnsi="Arial"/>
          <w:sz w:val="18"/>
          <w:szCs w:val="18"/>
          <w:color w:val="auto"/>
        </w:rPr>
      </w:pPr>
      <w:r>
        <w:rPr>
          <w:rFonts w:ascii="Arial" w:cs="Arial" w:eastAsia="Arial" w:hAnsi="Arial"/>
          <w:sz w:val="18"/>
          <w:szCs w:val="18"/>
          <w:b w:val="1"/>
          <w:bCs w:val="1"/>
          <w:color w:val="auto"/>
        </w:rPr>
        <w:t>File copies of these plans as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respectfully advises the Staff that, consistent with the practice of other business development companies with respect to their stock repurchase plans, the Company does not consider the Company 10b5-1 Plan to be a material agreement that is required to be filed as an exhibit to the Registration Statement. In addition, the Company respectfully notes that it was not a party to the Adviser 10b5-1 Plan, which is no longer in effect following its termination on December 31, 2014.</w:t>
      </w:r>
    </w:p>
    <w:p>
      <w:pPr>
        <w:spacing w:after="0" w:line="331" w:lineRule="exact"/>
        <w:rPr>
          <w:sz w:val="20"/>
          <w:szCs w:val="20"/>
          <w:color w:val="auto"/>
        </w:rPr>
      </w:pPr>
    </w:p>
    <w:p>
      <w:pPr>
        <w:ind w:left="460" w:right="5140" w:hanging="344"/>
        <w:spacing w:after="0" w:line="378" w:lineRule="auto"/>
        <w:tabs>
          <w:tab w:leader="none" w:pos="436"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 xml:space="preserve">Clarify the relationships, if any, between the Company and Goldman Sachs; </w:t>
      </w:r>
      <w:r>
        <w:rPr>
          <w:rFonts w:ascii="Arial" w:cs="Arial" w:eastAsia="Arial" w:hAnsi="Arial"/>
          <w:sz w:val="18"/>
          <w:szCs w:val="18"/>
          <w:u w:val="single" w:color="auto"/>
          <w:color w:val="auto"/>
        </w:rPr>
        <w:t>Response:</w:t>
      </w:r>
    </w:p>
    <w:p>
      <w:pPr>
        <w:ind w:right="200" w:firstLine="456"/>
        <w:spacing w:after="0" w:line="312" w:lineRule="auto"/>
        <w:rPr>
          <w:sz w:val="20"/>
          <w:szCs w:val="20"/>
          <w:color w:val="auto"/>
        </w:rPr>
      </w:pPr>
      <w:r>
        <w:rPr>
          <w:rFonts w:ascii="Arial" w:cs="Arial" w:eastAsia="Arial" w:hAnsi="Arial"/>
          <w:sz w:val="16"/>
          <w:szCs w:val="16"/>
          <w:color w:val="auto"/>
        </w:rPr>
        <w:t>In addition to serving as agent under the Company 10b5-1 Plan, the Company engages Goldman Sachs (or its affiliates) from time to time to perform certain activities usually performed by investment banks, such as serving as underwriter or initial purchaser for the Company’s securities on an occasional basis, as a member of the syndicate under the Company’s Revolving Credit Facility and as a broker in secondary market portfolio transactions.</w:t>
      </w:r>
    </w:p>
    <w:p>
      <w:pPr>
        <w:spacing w:after="0" w:line="291" w:lineRule="exact"/>
        <w:rPr>
          <w:sz w:val="20"/>
          <w:szCs w:val="20"/>
          <w:color w:val="auto"/>
        </w:rPr>
      </w:pPr>
    </w:p>
    <w:p>
      <w:pPr>
        <w:ind w:left="460" w:right="5460" w:hanging="344"/>
        <w:spacing w:after="0" w:line="378" w:lineRule="auto"/>
        <w:tabs>
          <w:tab w:leader="none" w:pos="436"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 xml:space="preserve">Tell us how, and where, the plans were previously disclosed to investors; </w:t>
      </w:r>
      <w:r>
        <w:rPr>
          <w:rFonts w:ascii="Arial" w:cs="Arial" w:eastAsia="Arial" w:hAnsi="Arial"/>
          <w:sz w:val="18"/>
          <w:szCs w:val="18"/>
          <w:u w:val="single" w:color="auto"/>
          <w:color w:val="auto"/>
        </w:rPr>
        <w:t>Response:</w:t>
      </w:r>
    </w:p>
    <w:p>
      <w:pPr>
        <w:jc w:val="both"/>
        <w:ind w:firstLine="456"/>
        <w:spacing w:after="0" w:line="286" w:lineRule="auto"/>
        <w:rPr>
          <w:sz w:val="20"/>
          <w:szCs w:val="20"/>
          <w:color w:val="auto"/>
        </w:rPr>
      </w:pPr>
      <w:r>
        <w:rPr>
          <w:rFonts w:ascii="Arial" w:cs="Arial" w:eastAsia="Arial" w:hAnsi="Arial"/>
          <w:sz w:val="17"/>
          <w:szCs w:val="17"/>
          <w:color w:val="auto"/>
        </w:rPr>
        <w:t>The Company respectfully advises the Staff that the Adviser 10b5-1 Plan was initially disclosed to investors in the registration statement relating to the Company’s initial public offering in March 2014 and in each of its subsequent offering documents, its periodic reports through its Annual Report on Form 10-K for the year ended December 31, 2014 filed on February 24, 2015 and its 2015 Annual Proxy Statement on Schedule 14A.</w:t>
      </w:r>
    </w:p>
    <w:p>
      <w:pPr>
        <w:sectPr>
          <w:pgSz w:w="11900" w:h="16838" w:orient="portrait"/>
          <w:cols w:equalWidth="0" w:num="1">
            <w:col w:w="11400"/>
          </w:cols>
          <w:pgMar w:left="240" w:top="274" w:right="2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The Company 10b5-1 Plan was disclosed to investors in each of the Company’s periodic reports following approval of the plan by the Company’s board of directors, including in a Current Report on Form 8-K filed on November 4, 2014, and in its 2015 Annual Proxy Statement on Schedule 14A. In addition, the Company notified its investors of the Company 10b5-1 Plan in accordance with Section 23(c)(1) of the 1940 Act.</w:t>
      </w:r>
    </w:p>
    <w:p>
      <w:pPr>
        <w:spacing w:after="0" w:line="310" w:lineRule="exact"/>
        <w:rPr>
          <w:sz w:val="20"/>
          <w:szCs w:val="20"/>
          <w:color w:val="auto"/>
        </w:rPr>
      </w:pPr>
    </w:p>
    <w:p>
      <w:pPr>
        <w:ind w:left="440" w:right="80" w:hanging="324"/>
        <w:spacing w:after="0" w:line="282"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Disclose with particularity in the Summary the conditions under which shares are purchased and sold under the existing plan and the purpose of the plan;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response to the Staff’s comment, with respect to the Company 10b5-1 Plan, the Company has revised the disclosure beginning on page 8 and will also include the purpose of the plan in such disclosure in its future periodic reports. The Company respectfully advises the Staff that because the Adviser 10b5-1 Plan terminated in accordance with its terms on December 31, 2014 and that only 300 shares were purchased under the Plan, the Company does not believe that discussion of the Adviser 10b5-1 Plan is appropriate in the Summary.</w:t>
      </w:r>
    </w:p>
    <w:p>
      <w:pPr>
        <w:spacing w:after="0" w:line="331" w:lineRule="exact"/>
        <w:rPr>
          <w:sz w:val="20"/>
          <w:szCs w:val="20"/>
          <w:color w:val="auto"/>
        </w:rPr>
      </w:pPr>
    </w:p>
    <w:p>
      <w:pPr>
        <w:ind w:left="460" w:right="60" w:hanging="344"/>
        <w:spacing w:after="0" w:line="378" w:lineRule="auto"/>
        <w:tabs>
          <w:tab w:leader="none" w:pos="436"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Confirm that you have presented, and will continue to present, the disclosure required by Item 703 of Regulation S-K in your periodic reports; </w:t>
      </w:r>
      <w:r>
        <w:rPr>
          <w:rFonts w:ascii="Arial" w:cs="Arial" w:eastAsia="Arial" w:hAnsi="Arial"/>
          <w:sz w:val="18"/>
          <w:szCs w:val="18"/>
          <w:u w:val="single" w:color="auto"/>
          <w:color w:val="auto"/>
        </w:rPr>
        <w:t>Response:</w:t>
      </w:r>
    </w:p>
    <w:p>
      <w:pPr>
        <w:ind w:right="60" w:firstLine="456"/>
        <w:spacing w:after="0" w:line="286" w:lineRule="auto"/>
        <w:rPr>
          <w:sz w:val="20"/>
          <w:szCs w:val="20"/>
          <w:color w:val="auto"/>
        </w:rPr>
      </w:pPr>
      <w:r>
        <w:rPr>
          <w:rFonts w:ascii="Arial" w:cs="Arial" w:eastAsia="Arial" w:hAnsi="Arial"/>
          <w:sz w:val="17"/>
          <w:szCs w:val="17"/>
          <w:color w:val="auto"/>
        </w:rPr>
        <w:t>The Company respectfully confirms that it has presented, and will continue to present, the disclosure required by Item 703 of Regulation S-K in its periodic reports. The Company reported the 300 shares purchased by the Adviser through the Adviser 10b5-1 Plan in its Annual Report on Form 10-K for the year ended December 31, 2014 filed on February 24, 2015. No shares have been purchased to date under the Company 10b5-1 Plan.</w:t>
      </w:r>
    </w:p>
    <w:p>
      <w:pPr>
        <w:spacing w:after="0" w:line="310" w:lineRule="exact"/>
        <w:rPr>
          <w:sz w:val="20"/>
          <w:szCs w:val="20"/>
          <w:color w:val="auto"/>
        </w:rPr>
      </w:pPr>
    </w:p>
    <w:p>
      <w:pPr>
        <w:ind w:left="440" w:hanging="324"/>
        <w:spacing w:after="0" w:line="282" w:lineRule="auto"/>
        <w:tabs>
          <w:tab w:leader="none" w:pos="44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Tell us whether the adviser, fund affiliates, or any other significant parties have engaged in any hedging activity with respect to fund shares and represent that there will be no such hedging activity going forward;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respectfully advises the Staff that the Adviser has not engaged and, to the knowledge of the Company, no fund affiliates or any other significant parties have engaged, in any hedging activity with respect to the shares purchased under the Adviser 10b5-1 Plan. The Company respectfully informs the Staff that the Adviser and its affiliates do not intend to hedge such shares, and confirms to the Staff that any such hedging activity would only be conducted in accordance with applicable securities laws.</w:t>
      </w:r>
    </w:p>
    <w:p>
      <w:pPr>
        <w:spacing w:after="0" w:line="331" w:lineRule="exact"/>
        <w:rPr>
          <w:sz w:val="20"/>
          <w:szCs w:val="20"/>
          <w:color w:val="auto"/>
        </w:rPr>
      </w:pPr>
    </w:p>
    <w:p>
      <w:pPr>
        <w:ind w:left="440" w:hanging="324"/>
        <w:spacing w:after="0"/>
        <w:tabs>
          <w:tab w:leader="none" w:pos="440" w:val="left"/>
        </w:tabs>
        <w:numPr>
          <w:ilvl w:val="0"/>
          <w:numId w:val="204"/>
        </w:numPr>
        <w:rPr>
          <w:rFonts w:ascii="Arial" w:cs="Arial" w:eastAsia="Arial" w:hAnsi="Arial"/>
          <w:sz w:val="16"/>
          <w:szCs w:val="16"/>
          <w:color w:val="auto"/>
        </w:rPr>
      </w:pPr>
      <w:r>
        <w:rPr>
          <w:rFonts w:ascii="Arial" w:cs="Arial" w:eastAsia="Arial" w:hAnsi="Arial"/>
          <w:sz w:val="16"/>
          <w:szCs w:val="16"/>
          <w:b w:val="1"/>
          <w:bCs w:val="1"/>
          <w:color w:val="auto"/>
        </w:rPr>
        <w:t>Explain to us how the plans comply with the anti-manipulation provisions of the federal securities laws, including, as applicable, Regulation M;</w:t>
      </w:r>
    </w:p>
    <w:p>
      <w:pPr>
        <w:sectPr>
          <w:pgSz w:w="11900" w:h="16838" w:orient="portrait"/>
          <w:cols w:equalWidth="0" w:num="1">
            <w:col w:w="11420"/>
          </w:cols>
          <w:pgMar w:left="240" w:top="274"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Company respectfully advises the Staff that the Company 10b5-1 Plan complies and the Adviser 10b5-1 Plan complied with the conditions required under the safe harbor provided by Rule 10b-18 of the Exchange Act for issuer and affiliate purchases of securities, including (i) effecting the purchases through one broker-dealer, (ii) requiring that any purchases not be the opening purchase or be effected prior to the close of trading as provided in the Rule, (iii) effecting purchases at the purchase price provided in the Rule, and (iv) limiting volume so as not to exceed 25% of the average daily trading volume for the security. The Company 10b5-1 Plan provides, and the Adviser 10b5-1 Plan provided, for suspension of any purchases under the Plans during any equity distribution by the Company in compliance with Regulation M.</w:t>
      </w:r>
    </w:p>
    <w:p>
      <w:pPr>
        <w:spacing w:after="0" w:line="323" w:lineRule="exact"/>
        <w:rPr>
          <w:sz w:val="20"/>
          <w:szCs w:val="20"/>
          <w:color w:val="auto"/>
        </w:rPr>
      </w:pPr>
    </w:p>
    <w:p>
      <w:pPr>
        <w:ind w:left="440" w:hanging="324"/>
        <w:spacing w:after="0"/>
        <w:tabs>
          <w:tab w:leader="none" w:pos="440"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If the shares repurchased pursuant to the plans may be resold, explain the potential impact on your share price in your Risk Factor disclosure.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respectfully advises the Staff that it intends to hold any shares purchased under the Company 10b5-1 Plan as treasury stock and not resell such shares. As discussed above, only 300 shares were purchased under the Adviser 10b5-1 Plan, and the Company does not believe any resale of those 300 shares by the Adviser would result in a material risk of potential impact on the Company’s share price.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After reviewing your response, we may have further comment.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acknowledges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this Prospectus, page iii</w:t>
      </w:r>
    </w:p>
    <w:p>
      <w:pPr>
        <w:spacing w:after="0" w:line="117" w:lineRule="exact"/>
        <w:rPr>
          <w:sz w:val="20"/>
          <w:szCs w:val="20"/>
          <w:color w:val="auto"/>
        </w:rPr>
      </w:pPr>
    </w:p>
    <w:p>
      <w:pPr>
        <w:ind w:right="280" w:firstLine="8"/>
        <w:spacing w:after="0" w:line="266" w:lineRule="auto"/>
        <w:tabs>
          <w:tab w:leader="none" w:pos="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investors should “carefully read [the] prospectus ... together with any exhibits and the additional information described under “Available Information” ... before [they] make an investment decision.” Please revise this statement to avoid the implication that investors are required to “carefully read” information that is not part of your prospectus.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 iii.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page 1</w:t>
      </w:r>
    </w:p>
    <w:p>
      <w:pPr>
        <w:spacing w:after="0" w:line="117" w:lineRule="exact"/>
        <w:rPr>
          <w:sz w:val="20"/>
          <w:szCs w:val="20"/>
          <w:color w:val="auto"/>
        </w:rPr>
      </w:pPr>
    </w:p>
    <w:p>
      <w:pPr>
        <w:ind w:left="180" w:hanging="172"/>
        <w:spacing w:after="0"/>
        <w:tabs>
          <w:tab w:leader="none" w:pos="18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On page one you state that your “core portfolio companies, which exclude certain investments that fall outside of [y]our typical borrower profile</w:t>
      </w:r>
    </w:p>
    <w:p>
      <w:pPr>
        <w:spacing w:after="0" w:line="50" w:lineRule="exact"/>
        <w:rPr>
          <w:rFonts w:ascii="Arial" w:cs="Arial" w:eastAsia="Arial" w:hAnsi="Arial"/>
          <w:sz w:val="16"/>
          <w:szCs w:val="16"/>
          <w:b w:val="1"/>
          <w:bCs w:val="1"/>
          <w:color w:val="auto"/>
        </w:rPr>
      </w:pPr>
    </w:p>
    <w:p>
      <w:pPr>
        <w:ind w:right="22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 Please disclose the value of investments that fall outside of your typical borrower profile. If material, revise disclosure elsewhere to discuss the reason(s) why these investments were made and the risks involved.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Company respectfully advises the Staff that the fair value of the investments excluded from the Company’s “core portfolio companies” was approximately $118 million and that these investments fit the investment criteria of the Company but generally had significantly larger revenues and/or EBITDA than the Company’s typical borrower. The Company respectfully advises the Staff that it believes that the risks of these investments are not materially different than the risks involved with investments in the Company’s other portfolio companies and that the Company does not believe that the fair value of these investments is material to investors or that the understanding of investors would be aided by such disclosure.</w:t>
      </w:r>
    </w:p>
    <w:p>
      <w:pPr>
        <w:sectPr>
          <w:pgSz w:w="11900" w:h="16838" w:orient="portrait"/>
          <w:cols w:equalWidth="0" w:num="1">
            <w:col w:w="11400"/>
          </w:cols>
          <w:pgMar w:left="240" w:top="274" w:right="2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firstLine="8"/>
        <w:spacing w:after="0" w:line="261" w:lineRule="auto"/>
        <w:tabs>
          <w:tab w:leader="none" w:pos="1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Starting on page eight you present a bulleted list of over 45 Risk Factors. Some of these items, such as “we may incur significant costs as a result of being a public company” and “we may experience fluctuations in our quarterly results” appear generic in nature and would apply to most companies. We suggest you review this list to reference only the most material risks you face and use the disclosure starting on page 22 to provide more comprehensive disclosure.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pages 9 and 10.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Fees and Expenses, page 16</w:t>
      </w:r>
    </w:p>
    <w:p>
      <w:pPr>
        <w:spacing w:after="0" w:line="117" w:lineRule="exact"/>
        <w:rPr>
          <w:sz w:val="20"/>
          <w:szCs w:val="20"/>
          <w:color w:val="auto"/>
        </w:rPr>
      </w:pPr>
    </w:p>
    <w:p>
      <w:pPr>
        <w:ind w:right="40" w:firstLine="8"/>
        <w:spacing w:after="0" w:line="282" w:lineRule="auto"/>
        <w:tabs>
          <w:tab w:leader="none" w:pos="1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use actual expenses where appropriate. In this regard we note references to “an estimate of [y]our annualized interest expenses” in footnote seven.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As disclosed in the first paragraph on page 15 and consistent with similar disclosure by other business development companies, the Company respectfully advises the Staff that the expenses shown in the fee table are based on an annualized version of the Company’s actual expenses and capital structure as of the most recently completed three-month period, as adjusted by certain assumptions disclosed on pages 15 and 16 that the Company believes will assist investors in understanding the costs and expenses that they will bear, directly or indirectly, as investors in the Company.</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Consistent with this approach and as disclosed in footnote 7 on page 16, the Company calculates an estimate of its interest payments on borrowed funds based on the applicable interest rates on the Company’s borrowings as of the most recently completed calendar quarter and assuming that the Company’s total borrowings are equal to 0.70x of the Company’s total net assets. The Company believes this assumption provides a more accurate estimate of the Company’s interest expense over the next twelve months than using historical interest expense. This is because the Company’s debt-to-equity ratio was lower in 2014 following the Company’s initial public offering than is expected to be the case in the future, resulting in lower interest expense during 2014 than the Company expects in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22</w:t>
      </w:r>
    </w:p>
    <w:p>
      <w:pPr>
        <w:spacing w:after="0" w:line="117" w:lineRule="exact"/>
        <w:rPr>
          <w:sz w:val="20"/>
          <w:szCs w:val="20"/>
          <w:color w:val="auto"/>
        </w:rPr>
      </w:pPr>
    </w:p>
    <w:p>
      <w:pPr>
        <w:ind w:right="200" w:firstLine="8"/>
        <w:spacing w:after="0" w:line="282" w:lineRule="auto"/>
        <w:tabs>
          <w:tab w:leader="none" w:pos="1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page 46 risk factor “Sales of substantial amounts ...” If applicable, please disclose the sale of any shares purchased pursuant to the 10b5-1 plans.</w:t>
      </w:r>
    </w:p>
    <w:p>
      <w:pPr>
        <w:sectPr>
          <w:pgSz w:w="11900" w:h="16838" w:orient="portrait"/>
          <w:cols w:equalWidth="0" w:num="1">
            <w:col w:w="11420"/>
          </w:cols>
          <w:pgMar w:left="240" w:top="274"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further discussed in the Company’s response to comment #2 above, the Company does not believe any resale by the Adviser of the 300 shares purchased under the Adviser 10b5-1 Plan would result in a material risk of potential impact on the Company’s share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Conditions and Results of Operations, page 54</w:t>
      </w:r>
    </w:p>
    <w:p>
      <w:pPr>
        <w:spacing w:after="0" w:line="117" w:lineRule="exact"/>
        <w:rPr>
          <w:sz w:val="20"/>
          <w:szCs w:val="20"/>
          <w:color w:val="auto"/>
        </w:rPr>
      </w:pPr>
    </w:p>
    <w:p>
      <w:pPr>
        <w:jc w:val="both"/>
        <w:ind w:right="160" w:firstLine="8"/>
        <w:spacing w:after="0" w:line="266" w:lineRule="auto"/>
        <w:tabs>
          <w:tab w:leader="none" w:pos="1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provide an “Overview” and “Market Trends” discussion starting on page 54. However these sections do not inform investors of the significant events, trends and uncertainties that management views as the most critical to the Company’s revenues, financial position, liquidity and results of operations. For example we note:</w:t>
      </w:r>
    </w:p>
    <w:p>
      <w:pPr>
        <w:spacing w:after="0" w:line="81" w:lineRule="exact"/>
        <w:rPr>
          <w:rFonts w:ascii="Arial" w:cs="Arial" w:eastAsia="Arial" w:hAnsi="Arial"/>
          <w:sz w:val="18"/>
          <w:szCs w:val="18"/>
          <w:b w:val="1"/>
          <w:bCs w:val="1"/>
          <w:color w:val="auto"/>
        </w:rPr>
      </w:pPr>
    </w:p>
    <w:p>
      <w:pPr>
        <w:ind w:left="440" w:right="100" w:hanging="324"/>
        <w:spacing w:after="0" w:line="282" w:lineRule="auto"/>
        <w:tabs>
          <w:tab w:leader="none" w:pos="440" w:val="left"/>
        </w:tabs>
        <w:numPr>
          <w:ilvl w:val="1"/>
          <w:numId w:val="211"/>
        </w:numPr>
        <w:rPr>
          <w:rFonts w:ascii="Arial" w:cs="Arial" w:eastAsia="Arial" w:hAnsi="Arial"/>
          <w:sz w:val="18"/>
          <w:szCs w:val="18"/>
          <w:color w:val="auto"/>
        </w:rPr>
      </w:pPr>
      <w:r>
        <w:rPr>
          <w:rFonts w:ascii="Arial" w:cs="Arial" w:eastAsia="Arial" w:hAnsi="Arial"/>
          <w:sz w:val="18"/>
          <w:szCs w:val="18"/>
          <w:b w:val="1"/>
          <w:bCs w:val="1"/>
          <w:color w:val="auto"/>
        </w:rPr>
        <w:t>The table on page 61 suggests the interest rate on investments that were sold or repaid in 2014 was 10.2% while reinvestments are being made at 9.6% on a weighted average basis. What is causing this decline and how will it impact you?</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respectfully informs the Staff that changes in the Company’s net investment income are primarily driven by the spread between the payments it receives from its investments in its portfolio companies against the Company’s cost of funding, rather than by changes in interest rates. As noted on page 57, the Company’s investment portfolio primarily consists of floating rate loans, and the Company’s credit facilities and its Convertible Senior Notes, after taking into account the effect of the interest rate swaps the Company entered into in connection with the Notes, all bear interest at floating rates. Similar to many other business development companies, macro trends in base interest rates like LIBOR may affect the Company’s net investment income over the long term. However, because the Company generally originates loans to a small number of portfolio companies each quarter, and those investments also vary in size, the Company’s results in any given period—including the interest rate on investments that were sold or repaid in a period compared to the interest rate of new investments made during that period—often are idiosyncratic, and reflect the characteristics of the particular portfolio companies that the Company invested in or exited during the period and not any trends in the Company’s business.</w:t>
      </w:r>
    </w:p>
    <w:p>
      <w:pPr>
        <w:spacing w:after="0" w:line="18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addition to interest income, the Company’s net investment income is also driven by prepayment and other fees, which also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described on page 57. As noted above, generally a small but varied number of portfolio companies make prepayments in any quarter, meaning that changes in the amount of prepayment fees received can vary significantly between periods and can vary without regard to underlying credit trends.</w:t>
      </w:r>
    </w:p>
    <w:p>
      <w:pPr>
        <w:sectPr>
          <w:pgSz w:w="11900" w:h="16838" w:orient="portrait"/>
          <w:cols w:equalWidth="0" w:num="1">
            <w:col w:w="11400"/>
          </w:cols>
          <w:pgMar w:left="240" w:top="274" w:right="2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Company agrees to add additional disclosure on interest rate, credit spread and prepayment trends to the market trends discussion in the Key Components of Our Results of Operations section on page 59 in line with the above in its future annual and quarterly reports.</w:t>
      </w:r>
    </w:p>
    <w:p>
      <w:pPr>
        <w:spacing w:after="0" w:line="291" w:lineRule="exact"/>
        <w:rPr>
          <w:sz w:val="20"/>
          <w:szCs w:val="20"/>
          <w:color w:val="auto"/>
        </w:rPr>
      </w:pPr>
    </w:p>
    <w:p>
      <w:pPr>
        <w:jc w:val="both"/>
        <w:ind w:left="440" w:hanging="324"/>
        <w:spacing w:after="0" w:line="266" w:lineRule="auto"/>
        <w:tabs>
          <w:tab w:leader="none" w:pos="44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Your disclosure page 60 references $518 million aggregate principal amounts in exits and repayments without breaking out the dollar amounts, discussing trends in exits or repayments, or addressing the impact these had on your results of operations. Also, are your investments repaying because they are refinancing or are repayments being made from operating cash flows?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respectfully notes its response to the first bullet in this comment #8 regarding trends in exits and repayments and sources of such repayments. The Company respectfully refers the Staff to pages 64 and 68 for the Company’s discussion of the impact of exits and repayments on its results of operations through prepayment and other fees it receives as investment income. For the reasons discussed above, the Company respectfully advises the Staff that it believes that breaking out the dollar amounts for each of exits and repayments separately would not provide its investors with additional meaningful information about the Company’s results of operations.</w:t>
      </w:r>
    </w:p>
    <w:p>
      <w:pPr>
        <w:spacing w:after="0" w:line="333" w:lineRule="exact"/>
        <w:rPr>
          <w:sz w:val="20"/>
          <w:szCs w:val="20"/>
          <w:color w:val="auto"/>
        </w:rPr>
      </w:pPr>
    </w:p>
    <w:p>
      <w:pPr>
        <w:ind w:left="440" w:right="200" w:hanging="324"/>
        <w:spacing w:after="0" w:line="313" w:lineRule="auto"/>
        <w:tabs>
          <w:tab w:leader="none" w:pos="440"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The disclosure on page 64 states that you recognized $21 million in prepayment fees as investment income without addressing the underlying causes of the $18 million increase or whether this level of prepayment may be impacted by interest rate policy decisions.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respectfully notes its response to the first bullet in this comment #8 and confirms to the Staff that it will add the additional disclosure described above in its future annual and quarterly reports.</w:t>
      </w:r>
    </w:p>
    <w:p>
      <w:pPr>
        <w:spacing w:after="0" w:line="315" w:lineRule="exact"/>
        <w:rPr>
          <w:sz w:val="20"/>
          <w:szCs w:val="20"/>
          <w:color w:val="auto"/>
        </w:rPr>
      </w:pPr>
    </w:p>
    <w:p>
      <w:pPr>
        <w:ind w:left="440" w:right="680" w:hanging="324"/>
        <w:spacing w:after="0" w:line="347" w:lineRule="auto"/>
        <w:tabs>
          <w:tab w:leader="none" w:pos="44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Your disclosure on page F-30 states you have $205 million in Swedish Krona denominated debt which exceeds the value of your Krona denominated loans. What business factors led to the decision to borrow in Krona and how has it impacted your results?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respectfully advises the Staff that the Company had 205.8 million Swedish Krona-denominated debt outstanding as of December 31, 2014, rather than $205.8 million worth</w:t>
      </w:r>
    </w:p>
    <w:p>
      <w:pPr>
        <w:sectPr>
          <w:pgSz w:w="11900" w:h="16838" w:orient="portrait"/>
          <w:cols w:equalWidth="0" w:num="1">
            <w:col w:w="11400"/>
          </w:cols>
          <w:pgMar w:left="240" w:top="274" w:right="2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of debt denominated in Swedish Krona. As disclosed on page 73, the Company hedges the foreign currency exposure in its non-U.S. dollar-denominated investments by borrowing the necessary local currency under its Revolving Credit Facility to fund such investments. The Company’s investment in Jeeves Information Systems AB is denominated in Swedish Krona and, as of December 31, 2014, had a par value of 203.1 million Swedish Krona.</w:t>
      </w:r>
    </w:p>
    <w:p>
      <w:pPr>
        <w:spacing w:after="0" w:line="35" w:lineRule="exact"/>
        <w:rPr>
          <w:sz w:val="20"/>
          <w:szCs w:val="20"/>
          <w:color w:val="auto"/>
        </w:rPr>
      </w:pPr>
    </w:p>
    <w:p>
      <w:pPr>
        <w:ind w:left="460" w:right="60"/>
        <w:spacing w:after="0" w:line="303" w:lineRule="auto"/>
        <w:rPr>
          <w:sz w:val="20"/>
          <w:szCs w:val="20"/>
          <w:color w:val="auto"/>
        </w:rPr>
      </w:pPr>
      <w:r>
        <w:rPr>
          <w:rFonts w:ascii="Arial" w:cs="Arial" w:eastAsia="Arial" w:hAnsi="Arial"/>
          <w:sz w:val="16"/>
          <w:szCs w:val="16"/>
          <w:b w:val="1"/>
          <w:bCs w:val="1"/>
          <w:color w:val="auto"/>
        </w:rPr>
        <w:t>As noted, these are examples of issues that might be addressed in revised disclosure. Ultimately, management’s discussion and analysis should enable investors to see the business through the eyes of management and so the narrative should discuss the events, trends and uncertainties management considers important. For guidance, please refer to the Commission Guidance Regarding Management’s Discussion and Analysis, Release No. 33-8350 (December 19, 2003). See Item 4.2 of Form N-2. Please revise as necessary.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acknowledges the Staff’s comment.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and Investment Activity, page 59</w:t>
      </w:r>
    </w:p>
    <w:p>
      <w:pPr>
        <w:spacing w:after="0" w:line="117" w:lineRule="exact"/>
        <w:rPr>
          <w:sz w:val="20"/>
          <w:szCs w:val="20"/>
          <w:color w:val="auto"/>
        </w:rPr>
      </w:pPr>
    </w:p>
    <w:p>
      <w:pPr>
        <w:ind w:firstLine="8"/>
        <w:spacing w:after="0" w:line="314" w:lineRule="auto"/>
        <w:tabs>
          <w:tab w:leader="none" w:pos="18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On page 61, in footnote one, you state that you may determine not to place a loan on non-accrual status if the loan has sufficient collateral and is in the process of collection. Please disclose the value of any portfolio securities currently in collection and advise us of the basis for your belief that you are sufficiently collateralized. Also, disclose what “non-accrual status” means in language that is understandable to investors.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advises the Staff that, as of March 31, 2015, none of the Company’s portfolio securities were in collection.</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Company respectfully advises the Staff that it believes that the description of “non-accrual status” in the first sentence in footnote one on page 62 is understandable to investors and is consistent with the same disclosure by other business development companies. In response to the Staff’s comment, in its future annual and quarterly reports, the Company will revise the footnote one on page 62 as follows:</w:t>
      </w:r>
    </w:p>
    <w:p>
      <w:pPr>
        <w:sectPr>
          <w:pgSz w:w="11900" w:h="16838" w:orient="portrait"/>
          <w:cols w:equalWidth="0" w:num="1">
            <w:col w:w="11420"/>
          </w:cols>
          <w:pgMar w:left="24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920" w:right="140"/>
        <w:spacing w:after="0" w:line="297"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and Other Agreements, page 114</w:t>
      </w:r>
    </w:p>
    <w:p>
      <w:pPr>
        <w:spacing w:after="0" w:line="117"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Based on your page 114 disclosure, some of the Adviser’s responsibilities under the Investment Advisory Agreement include monitoring and</w:t>
      </w:r>
    </w:p>
    <w:p>
      <w:pPr>
        <w:spacing w:after="0" w:line="50" w:lineRule="exact"/>
        <w:rPr>
          <w:rFonts w:ascii="Arial" w:cs="Arial" w:eastAsia="Arial" w:hAnsi="Arial"/>
          <w:sz w:val="16"/>
          <w:szCs w:val="16"/>
          <w:b w:val="1"/>
          <w:bCs w:val="1"/>
          <w:color w:val="auto"/>
        </w:rPr>
      </w:pPr>
    </w:p>
    <w:p>
      <w:pPr>
        <w:ind w:right="10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administering the investments you make and providing operating and managerial assistance to you and your portfolio companies. On page 121 you indicate you pay “the Adviser’s allocable share of costs incurred in providing significant managerial assistance to those portfolio companies that request it.” With a view to disclosure, please tell us:</w:t>
      </w:r>
    </w:p>
    <w:p>
      <w:pPr>
        <w:spacing w:after="0" w:line="92" w:lineRule="exact"/>
        <w:rPr>
          <w:sz w:val="20"/>
          <w:szCs w:val="20"/>
          <w:color w:val="auto"/>
        </w:rPr>
      </w:pPr>
    </w:p>
    <w:p>
      <w:pPr>
        <w:ind w:left="460" w:right="1940" w:hanging="344"/>
        <w:spacing w:after="0" w:line="378" w:lineRule="auto"/>
        <w:tabs>
          <w:tab w:leader="none" w:pos="436"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Which agreements cover this arrangement and how and by whom the allocable share of costs incurred is determined; </w:t>
      </w:r>
      <w:r>
        <w:rPr>
          <w:rFonts w:ascii="Arial" w:cs="Arial" w:eastAsia="Arial" w:hAnsi="Arial"/>
          <w:sz w:val="18"/>
          <w:szCs w:val="18"/>
          <w:u w:val="single" w:color="auto"/>
          <w:color w:val="auto"/>
        </w:rPr>
        <w:t>Response:</w:t>
      </w:r>
    </w:p>
    <w:p>
      <w:pPr>
        <w:ind w:firstLine="456"/>
        <w:spacing w:after="0" w:line="259" w:lineRule="auto"/>
        <w:rPr>
          <w:sz w:val="20"/>
          <w:szCs w:val="20"/>
          <w:color w:val="auto"/>
        </w:rPr>
      </w:pPr>
      <w:r>
        <w:rPr>
          <w:rFonts w:ascii="Arial" w:cs="Arial" w:eastAsia="Arial" w:hAnsi="Arial"/>
          <w:sz w:val="18"/>
          <w:szCs w:val="18"/>
          <w:color w:val="auto"/>
        </w:rPr>
        <w:t>The Company respectfully advises the Staff that the Adviser serves as the Company’s administrator under the Administration Agreement and that the Administration Agreement provides that the Adviser will provide such significant managerial assistance as may be requested by any portfolio company of the Company, as is required under the 1940 Act. The costs incurred in connection with such assistance would be determined and reimbursed in accordance with the Administration Agreement.</w:t>
      </w:r>
    </w:p>
    <w:p>
      <w:pPr>
        <w:spacing w:after="0" w:line="331" w:lineRule="exact"/>
        <w:rPr>
          <w:sz w:val="20"/>
          <w:szCs w:val="20"/>
          <w:color w:val="auto"/>
        </w:rPr>
      </w:pPr>
    </w:p>
    <w:p>
      <w:pPr>
        <w:ind w:left="440" w:right="100" w:hanging="324"/>
        <w:spacing w:after="0" w:line="282"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The nature and amounts of costs allocated during the periods covered by the financial statements, including whether any adviser employee or the adviser are compensated for the assistance provided, directly or indirectly;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respectfully advises the Staff that the Company has not been requested to provide any significant managerial assistance to any of its portfolio companies during the periods covered by the financial statements, and that neither the Adviser nor any employee of the Adviser have been compensated for such assistance provided, directly or indirectly.</w:t>
      </w:r>
    </w:p>
    <w:p>
      <w:pPr>
        <w:spacing w:after="0" w:line="326" w:lineRule="exact"/>
        <w:rPr>
          <w:sz w:val="20"/>
          <w:szCs w:val="20"/>
          <w:color w:val="auto"/>
        </w:rPr>
      </w:pPr>
    </w:p>
    <w:p>
      <w:pPr>
        <w:ind w:left="440" w:hanging="324"/>
        <w:spacing w:after="0"/>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How you determine which costs are reimbursable and which are includable under the Investment Advisory Agreement; and,</w:t>
      </w:r>
    </w:p>
    <w:p>
      <w:pPr>
        <w:sectPr>
          <w:pgSz w:w="11900" w:h="16838" w:orient="portrait"/>
          <w:cols w:equalWidth="0" w:num="1">
            <w:col w:w="11380"/>
          </w:cols>
          <w:pgMar w:left="240" w:top="274" w:right="27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respectfully advises the Staff that Section 2 of the Investment Advisory Agreement and Section 4 of the Administration Agreement list the costs and expenses that are reimbursable by the Company to the Adviser, as disclosed on page 127.</w:t>
      </w:r>
    </w:p>
    <w:p>
      <w:pPr>
        <w:spacing w:after="0" w:line="315" w:lineRule="exact"/>
        <w:rPr>
          <w:sz w:val="20"/>
          <w:szCs w:val="20"/>
          <w:color w:val="auto"/>
        </w:rPr>
      </w:pPr>
    </w:p>
    <w:p>
      <w:pPr>
        <w:ind w:left="440" w:hanging="324"/>
        <w:spacing w:after="0"/>
        <w:tabs>
          <w:tab w:leader="none" w:pos="4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The degree of board oversight for these allocations.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The Company respectfully advises the Staff that the Company’s board of directors is regularly apprised of fees and expenses of the Adviser and, similarly, would be apprised of allocations relating to providing significant managerial assistance, if and when applicable. The board is responsible for ensuring that all reimbursements are reasonable and consistent with the terms of the Investment Advisory Agreement and Administration Agreement.</w:t>
      </w:r>
    </w:p>
    <w:p>
      <w:pPr>
        <w:spacing w:after="0" w:line="251" w:lineRule="exact"/>
        <w:rPr>
          <w:sz w:val="20"/>
          <w:szCs w:val="20"/>
          <w:color w:val="auto"/>
        </w:rPr>
      </w:pPr>
    </w:p>
    <w:p>
      <w:pPr>
        <w:jc w:val="both"/>
        <w:ind w:right="80" w:firstLine="8"/>
        <w:spacing w:after="0" w:line="303" w:lineRule="auto"/>
        <w:tabs>
          <w:tab w:leader="none" w:pos="26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On page 123 you discuss the information the board focused on when it renewed the Investment Advisory Agreement in November 2014. We note the agreement provides for incentive compensation provided that an annual hurdle of 6% is achieved. The weighted average yield of your debt and income producing securities has exceeded 10% since December 2011. If the board considered the incentive compensation hurdle in connection with the renewal, please revise to address the material factors considered and the board’s conclusions with respect thereto.</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respectfully advises the Staff that in connection with its annual ratification of the Investment Advisory Agreement, the Company’s board of directors, among other things, compared the hurdle rate and the incentive fees payable to the Adviser pursuant to the Investment Advisory Agreement to similar fees payable by comparable business development companies to their respective investment advisers. The board did not consider the hurdle rate alone, but rather in the context of the “comparative data with respect to advisory fees or similar expenses paid by other BDCs with similar investment objectives,” as noted in fourth bullet point on page 129. The Company therefore believes that the above-referenced bullet-point disclosure on page 129 accurately reflects the board’s consideration of the hurdle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our Debt Securities, page 153</w:t>
      </w:r>
    </w:p>
    <w:p>
      <w:pPr>
        <w:spacing w:after="0" w:line="117" w:lineRule="exact"/>
        <w:rPr>
          <w:sz w:val="20"/>
          <w:szCs w:val="20"/>
          <w:color w:val="auto"/>
        </w:rPr>
      </w:pPr>
    </w:p>
    <w:p>
      <w:pPr>
        <w:ind w:right="360" w:firstLine="8"/>
        <w:spacing w:after="0" w:line="277" w:lineRule="auto"/>
        <w:tabs>
          <w:tab w:leader="none" w:pos="27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In your response letter, please describe the types of debt securities you contemplate offering through the registration statement. Additionally, undertake to advise us in advance of any proposed debt offering pursuant to this registration statement and to provide for staff review of the preliminary prospectus supplement related to any debt offering by the Company. Further undertake to clear all staff comments prior to the commencement of any such debt offering whenever the preliminary prospectus supplement materially differs from the form of prospectus supplement included in this registration statement at the time of effectiveness.</w:t>
      </w:r>
    </w:p>
    <w:p>
      <w:pPr>
        <w:sectPr>
          <w:pgSz w:w="11900" w:h="16838" w:orient="portrait"/>
          <w:cols w:equalWidth="0" w:num="1">
            <w:col w:w="11400"/>
          </w:cols>
          <w:pgMar w:left="240" w:top="274" w:right="2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respectfully refers the Staff to the “Description of Our Debt Securities” section on page 159 for a description of the types of debt securities that the Company may offer, issue and sell pursuant to the Registration Statement. As noted in the above-referenced disclosure and as indicated in the form of base indenture filed as an exhibit to the Registration Statement, the Company may generally offer, issue and sell debt securities pursuant to the Registration Statement in the form of notes that may or may not be rated and/or listed on a national securities exchange, and that may have either fixed or floating interest rates.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filed a form of prospectus supplement as an exhibit to the Registration Statement that contains certain disclosures that will be provided in connection with offerings of various debt securities. The Company undertakes to inform the Staff in advance of filing a prospectus supplement for the issuance of debt securities if the prospectus supplement contains materially different terms, including, without limitation, the removal or alteration of a covenant in a manner materially adversely affecting the rights of the debt holders, from those disclosed in a form of prospectus supplement filed as an exhibit to the Registration Statement.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this regard, please note the supplement should:</w:t>
      </w:r>
    </w:p>
    <w:p>
      <w:pPr>
        <w:spacing w:after="0" w:line="131" w:lineRule="exact"/>
        <w:rPr>
          <w:sz w:val="20"/>
          <w:szCs w:val="20"/>
          <w:color w:val="auto"/>
        </w:rPr>
      </w:pPr>
    </w:p>
    <w:p>
      <w:pPr>
        <w:ind w:left="440" w:right="340" w:hanging="324"/>
        <w:spacing w:after="0" w:line="313" w:lineRule="auto"/>
        <w:tabs>
          <w:tab w:leader="none" w:pos="440"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Disclose that currently none of the Company’s indebtedness is subordinated to the debt securities. It should also disclose whether there is a current intention to issue indebtedness that expressly provides that it is subordinated to the debt securities.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respectfully confirms to the Staff that any prospectus supplement related to debt securities offered under the Registration Statement will include the requested disclosure.</w:t>
      </w:r>
    </w:p>
    <w:p>
      <w:pPr>
        <w:spacing w:after="0" w:line="315" w:lineRule="exact"/>
        <w:rPr>
          <w:sz w:val="20"/>
          <w:szCs w:val="20"/>
          <w:color w:val="auto"/>
        </w:rPr>
      </w:pPr>
    </w:p>
    <w:p>
      <w:pPr>
        <w:ind w:left="440" w:right="140" w:hanging="324"/>
        <w:spacing w:after="0" w:line="298" w:lineRule="auto"/>
        <w:tabs>
          <w:tab w:leader="none" w:pos="440" w:val="left"/>
        </w:tabs>
        <w:numPr>
          <w:ilvl w:val="0"/>
          <w:numId w:val="224"/>
        </w:numPr>
        <w:rPr>
          <w:rFonts w:ascii="Arial" w:cs="Arial" w:eastAsia="Arial" w:hAnsi="Arial"/>
          <w:sz w:val="16"/>
          <w:szCs w:val="16"/>
          <w:color w:val="auto"/>
        </w:rPr>
      </w:pPr>
      <w:r>
        <w:rPr>
          <w:rFonts w:ascii="Arial" w:cs="Arial" w:eastAsia="Arial" w:hAnsi="Arial"/>
          <w:sz w:val="16"/>
          <w:szCs w:val="16"/>
          <w:b w:val="1"/>
          <w:bCs w:val="1"/>
          <w:color w:val="auto"/>
        </w:rPr>
        <w:t>Disclose that the debt securities are “structurally subordinated” and are “effectively subordinated” to all existing and future indebtedness of the Company and other obligations of its subsidiaries, financing vehicles and similar facilities. The significance of the debt securities being structurally subordinated and effectively subordinated should be explained in plain English, specifically highlighting how such subordination affects the rights and priorities of the holders of the debt securities. Also, disclose the approximate total dollar amount of all liabilities and obligations to which the debt securities being offered are structurally subordinated and effectively subordinated.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respectfully confirms to the Staff that any prospectus supplement related to debt securities offered under the Registration Statement will include the requested disclosure.</w:t>
      </w:r>
    </w:p>
    <w:p>
      <w:pPr>
        <w:sectPr>
          <w:pgSz w:w="11900" w:h="16838" w:orient="portrait"/>
          <w:cols w:equalWidth="0" w:num="1">
            <w:col w:w="11400"/>
          </w:cols>
          <w:pgMar w:left="240" w:top="274" w:right="2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ind w:left="440" w:hanging="324"/>
        <w:spacing w:after="0" w:line="258" w:lineRule="auto"/>
        <w:tabs>
          <w:tab w:leader="none" w:pos="44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Refrain from using the word “senior” in the title of any debt security issued by the Company, or when describing/identifying their ranking, if the debt security is not contractually senior in right of repayment to the other outstanding obligations of the Company. Even where the Company’s debt securities are contractually senior in right of repayment to the other outstanding obligations of the Company, consider the appropriateness of referring to the debt securities as “senior” when they are also structurally subordinated to the obligations of the Company’s subsidiaries, financing vehicles and similar facilities.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respectfully refers the Staff to undertaking (8) to the Registration Statement on page C-8 and confirms that it will file a post-effective amendment or a new registration statement for any offering of debt securities referred to as “senior.”</w:t>
      </w:r>
    </w:p>
    <w:p>
      <w:pPr>
        <w:spacing w:after="0" w:line="315" w:lineRule="exact"/>
        <w:rPr>
          <w:sz w:val="20"/>
          <w:szCs w:val="20"/>
          <w:color w:val="auto"/>
        </w:rPr>
      </w:pPr>
    </w:p>
    <w:p>
      <w:pPr>
        <w:ind w:left="440" w:right="60" w:hanging="324"/>
        <w:spacing w:after="0" w:line="261" w:lineRule="auto"/>
        <w:tabs>
          <w:tab w:leader="none" w:pos="44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Disclose that the debt securities will not be subject to any sinking fund and explain the significance thereof; for example, state that no amounts will be set aside for the express purpose of repayment of principal and any unpaid interest on the debt securities, and that repayment of the debt securities will depend upon the financial condition of the Company and its subsidiaries as they exist as of the maturity date of the debt securities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respectfully confirms to the Staff that any prospectus supplement related to debt securities offered under the Registration Statement will include the requested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of Distribution, page 173</w:t>
      </w:r>
    </w:p>
    <w:p>
      <w:pPr>
        <w:spacing w:after="0" w:line="117" w:lineRule="exact"/>
        <w:rPr>
          <w:sz w:val="20"/>
          <w:szCs w:val="20"/>
          <w:color w:val="auto"/>
        </w:rPr>
      </w:pPr>
    </w:p>
    <w:p>
      <w:pPr>
        <w:ind w:firstLine="8"/>
        <w:spacing w:after="0" w:line="282" w:lineRule="auto"/>
        <w:tabs>
          <w:tab w:leader="none" w:pos="27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to the staff in your response letter that the Company will submit any underwritten offering to FINRA for its prior approval of the underwriting terms.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confirms to the Staff that any underwritten offering will be submitted to the Financial Industry Regulatory Authority,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(FINRA) for approval of the underwriting terms in accordance with FINRA rules.</w:t>
      </w:r>
    </w:p>
    <w:p>
      <w:pPr>
        <w:spacing w:after="0" w:line="207" w:lineRule="exact"/>
        <w:rPr>
          <w:sz w:val="20"/>
          <w:szCs w:val="20"/>
          <w:color w:val="auto"/>
        </w:rPr>
      </w:pPr>
    </w:p>
    <w:p>
      <w:pPr>
        <w:ind w:right="20" w:firstLine="8"/>
        <w:spacing w:after="0" w:line="277" w:lineRule="auto"/>
        <w:tabs>
          <w:tab w:leader="none" w:pos="27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In your response letter, undertake to include in any prospectus supplement, as applicable, under a section captioned “Additional Underwriter Compensation” a description of the terms of any agreement that the Company will have entered into with the underwriters or their affiliates in connection with any offering, and specify the nature of the services that the underwriters or their affiliates have provided or will provide thereunder. Further undertake to disclose whether any such fee payable thereunder is a one-time fee or whether it is payable annually. Also undertake to file all such agreements as exhibits in a post-effective amendment to the registration statement.</w:t>
      </w:r>
    </w:p>
    <w:p>
      <w:pPr>
        <w:sectPr>
          <w:pgSz w:w="11900" w:h="16838" w:orient="portrait"/>
          <w:cols w:equalWidth="0" w:num="1">
            <w:col w:w="11400"/>
          </w:cols>
          <w:pgMar w:left="240" w:top="274" w:right="25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undertakes to include in any prospectus supplement, as applicable, under a section captioned “Additional Underwriter Compensation,” a description of the terms of any agreement that the Company may have entered into with the underwriters or their affiliates in connection with any offering, and the Company will specify the nature of the services that the underwriter or its affiliate has provided or will provide thereunder. The Company further undertakes to disclose whether any such fee payable thereunder is a one-time fee or whether it is payable annually, and also undertakes to file all such agreements as exhibits in a post-effective amendment to the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17" w:lineRule="exact"/>
        <w:rPr>
          <w:sz w:val="20"/>
          <w:szCs w:val="20"/>
          <w:color w:val="auto"/>
        </w:rPr>
      </w:pPr>
    </w:p>
    <w:p>
      <w:pPr>
        <w:jc w:val="both"/>
        <w:ind w:right="400" w:firstLine="8"/>
        <w:spacing w:after="0" w:line="347" w:lineRule="auto"/>
        <w:tabs>
          <w:tab w:leader="none" w:pos="270"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Please confirm our understanding that counsel will file an unqualified opinion no later than the closing date of the offering of any securities covered by the registration statement. For guidance, please consider Securities Act Rules Compliance and Disclosure Interpretation No. 212.05.</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respectfully confirms the Staff’s understanding that counsel will file an unqualified opinion no later than the closing date of the offering of any securities covered by the Registration Statement.</w:t>
      </w:r>
    </w:p>
    <w:p>
      <w:pPr>
        <w:spacing w:after="0" w:line="275" w:lineRule="exact"/>
        <w:rPr>
          <w:sz w:val="20"/>
          <w:szCs w:val="20"/>
          <w:color w:val="auto"/>
        </w:rPr>
      </w:pPr>
    </w:p>
    <w:p>
      <w:pPr>
        <w:ind w:firstLine="8"/>
        <w:spacing w:after="0" w:line="277" w:lineRule="auto"/>
        <w:tabs>
          <w:tab w:leader="none" w:pos="270"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Please file as an exhibit the legality opinion in respect of each category of security being registered, and related consent of counsel, with your next pre-effective amendment. In this regard, it appears that the terms of the actual offerings from this registration statement have not yet been authorized by the Company’s Board of Directors. Therefore, in your response letter, provide an undertaking on behalf of the Company to file, in a post-effective amendment with each takedown from this shelf registration statement, an unqualified legality opinion and related consent of counsel, that will be consistent with the views set forth in Staff Legal Bulletin No. 19.</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respectfully advises the Staff that it previously filed as Exhibit (l) to the Registration Statement filed on April 16, 2015 the legality opinion regarding each category of security being registered and a related consent of counsel. Because the terms of the actual offerings from the Registration Statement have not yet been authorized by the Company’s board of directors, the Company undertakes to file, in a post-effective amendment with each takedown from the shelf registration statement, an unqualified legality opinion and a related consent of counsel that will be consistent with the views set forth in Staff Legal Bulletin No. 19.</w:t>
      </w:r>
    </w:p>
    <w:p>
      <w:pPr>
        <w:sectPr>
          <w:pgSz w:w="11900" w:h="16838" w:orient="portrait"/>
          <w:cols w:equalWidth="0" w:num="1">
            <w:col w:w="11380"/>
          </w:cols>
          <w:pgMar w:left="240" w:top="274" w:right="27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Fee Table</w:t>
      </w:r>
      <w:r>
        <w:rPr>
          <w:rFonts w:ascii="Arial" w:cs="Arial" w:eastAsia="Arial" w:hAnsi="Arial"/>
          <w:sz w:val="18"/>
          <w:szCs w:val="18"/>
          <w:b w:val="1"/>
          <w:bCs w:val="1"/>
          <w:color w:val="auto"/>
        </w:rPr>
        <w:t>:</w:t>
      </w:r>
    </w:p>
    <w:p>
      <w:pPr>
        <w:spacing w:after="0" w:line="117" w:lineRule="exact"/>
        <w:rPr>
          <w:sz w:val="20"/>
          <w:szCs w:val="20"/>
          <w:color w:val="auto"/>
        </w:rPr>
      </w:pPr>
    </w:p>
    <w:p>
      <w:pPr>
        <w:ind w:left="460" w:right="4620" w:hanging="452"/>
        <w:spacing w:after="0" w:line="378" w:lineRule="auto"/>
        <w:tabs>
          <w:tab w:leader="none" w:pos="27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confirm that a provision for income tax is included in the fee table calculation. </w:t>
      </w:r>
      <w:r>
        <w:rPr>
          <w:rFonts w:ascii="Arial" w:cs="Arial" w:eastAsia="Arial" w:hAnsi="Arial"/>
          <w:sz w:val="18"/>
          <w:szCs w:val="18"/>
          <w:u w:val="single" w:color="auto"/>
          <w:color w:val="auto"/>
        </w:rPr>
        <w:t>Response:</w:t>
      </w:r>
    </w:p>
    <w:p>
      <w:pPr>
        <w:ind w:right="20" w:firstLine="456"/>
        <w:spacing w:after="0" w:line="259" w:lineRule="auto"/>
        <w:rPr>
          <w:sz w:val="20"/>
          <w:szCs w:val="20"/>
          <w:color w:val="auto"/>
        </w:rPr>
      </w:pPr>
      <w:r>
        <w:rPr>
          <w:rFonts w:ascii="Arial" w:cs="Arial" w:eastAsia="Arial" w:hAnsi="Arial"/>
          <w:sz w:val="18"/>
          <w:szCs w:val="18"/>
          <w:color w:val="auto"/>
        </w:rPr>
        <w:t>The Company respectfully advises the Staff that, as a regulated investment company, the Company generally is not subject to corporate-level U.S. federal income tax on its investment company taxable income and net capital gains that it distributes to stockholders. In response to the Staff’s comment, the Company has revised “Other expenses” in the fee table calculation on page 15 to include a provision for excise taxes payable on the Company’s undistributed income and gains.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Schedule of Investments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8"/>
        <w:spacing w:after="0" w:line="282" w:lineRule="auto"/>
        <w:tabs>
          <w:tab w:leader="none" w:pos="27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In your response, confirm that all wholly owned and all substantially wholly owned subsidiaries are consolidated with the financial statements of the Company.</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respectfully confirms to the Staff that all wholly owned and all substantially wholly owned subsidiaries of the Company are consolidated with the financial statements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Has the Company performed an analysis as to whether the disclosure requirements of Rules 3-09 or 4-08(g) of Regulation S-X should be applied?</w:t>
      </w:r>
    </w:p>
    <w:p>
      <w:pPr>
        <w:spacing w:after="0" w:line="154" w:lineRule="exact"/>
        <w:rPr>
          <w:sz w:val="20"/>
          <w:szCs w:val="20"/>
          <w:color w:val="auto"/>
        </w:rPr>
      </w:pPr>
    </w:p>
    <w:p>
      <w:pPr>
        <w:ind w:left="440" w:right="460" w:hanging="324"/>
        <w:spacing w:after="0" w:line="266" w:lineRule="auto"/>
        <w:tabs>
          <w:tab w:leader="none" w:pos="4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The Staff believes that Rules 3-09 and 4-08(g) of Regulation S-X apply to BDCs and RICs. Rule 3-09 of Regulation S-X is applicable for a majority owned subsidiary (greater than 50% ownership) which is not consolidated by the Registrant. Rule 4-08(g) of Regulation S-X is applicable for subsidiaries (generally, 25% or more ownership) not consolidated.</w:t>
      </w:r>
    </w:p>
    <w:p>
      <w:pPr>
        <w:spacing w:after="0" w:line="81" w:lineRule="exact"/>
        <w:rPr>
          <w:rFonts w:ascii="Arial" w:cs="Arial" w:eastAsia="Arial" w:hAnsi="Arial"/>
          <w:sz w:val="18"/>
          <w:szCs w:val="18"/>
          <w:b w:val="1"/>
          <w:bCs w:val="1"/>
          <w:color w:val="auto"/>
        </w:rPr>
      </w:pPr>
    </w:p>
    <w:p>
      <w:pPr>
        <w:ind w:left="440" w:right="40" w:hanging="324"/>
        <w:spacing w:after="0" w:line="317" w:lineRule="auto"/>
        <w:tabs>
          <w:tab w:leader="none" w:pos="440" w:val="left"/>
        </w:tabs>
        <w:numPr>
          <w:ilvl w:val="0"/>
          <w:numId w:val="233"/>
        </w:numPr>
        <w:rPr>
          <w:rFonts w:ascii="Arial" w:cs="Arial" w:eastAsia="Arial" w:hAnsi="Arial"/>
          <w:sz w:val="15"/>
          <w:szCs w:val="15"/>
          <w:b w:val="1"/>
          <w:bCs w:val="1"/>
          <w:color w:val="auto"/>
        </w:rPr>
      </w:pPr>
      <w:r>
        <w:rPr>
          <w:rFonts w:ascii="Arial" w:cs="Arial" w:eastAsia="Arial" w:hAnsi="Arial"/>
          <w:sz w:val="15"/>
          <w:szCs w:val="15"/>
          <w:b w:val="1"/>
          <w:bCs w:val="1"/>
          <w:color w:val="auto"/>
        </w:rPr>
        <w:t>Subsidiary is defined by 1-02(x) of Regulation S-X as”... an affiliate controlled by such person directly or indirectly through one or more intermediaries”. An affiliate is defined by 6-02(a) of Regulation S-X as “as defined in Section 2(a)(3) of the Investment Company Act of 1940 unless otherwise indicated. The term “control” has the meaning (given) in section 2(a)(9) of the Act”. Section 2(a)(9) of the Investment Company Act of 1940 defines control as having “the power to exercise a controlling influence over the management or policies of a company, unless such power is solely the result of an official position of such company... Any person who owns beneficially, either directly or through one or more controlled companies, more than 25 per centum of the voting securities of a company shall be presumed to control such company”.</w:t>
      </w:r>
    </w:p>
    <w:p>
      <w:pPr>
        <w:sectPr>
          <w:pgSz w:w="11900" w:h="16838" w:orient="portrait"/>
          <w:cols w:equalWidth="0" w:num="1">
            <w:col w:w="11400"/>
          </w:cols>
          <w:pgMar w:left="240" w:top="274"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has undertaken the requested analysis and respectfully confirms that no additional financial disclosure relating to its investment portfolio is required to be included as a result thereof. The Company also respectfully confirms that it will continue to perform the analysis required by Rules 3-09 or 4-08(g) of Regulation S-X and will include any additional financial disclosure in accordance therewith as required.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We note that the Registrant has unfunded commitments in the amount of $48 million.</w:t>
      </w:r>
    </w:p>
    <w:p>
      <w:pPr>
        <w:spacing w:after="0" w:line="117" w:lineRule="exact"/>
        <w:rPr>
          <w:sz w:val="20"/>
          <w:szCs w:val="20"/>
          <w:color w:val="auto"/>
        </w:rPr>
      </w:pPr>
    </w:p>
    <w:p>
      <w:pPr>
        <w:ind w:left="460"/>
        <w:spacing w:after="0" w:line="314" w:lineRule="auto"/>
        <w:rPr>
          <w:sz w:val="20"/>
          <w:szCs w:val="20"/>
          <w:color w:val="auto"/>
        </w:rPr>
      </w:pPr>
      <w:r>
        <w:rPr>
          <w:rFonts w:ascii="Arial" w:cs="Arial" w:eastAsia="Arial" w:hAnsi="Arial"/>
          <w:sz w:val="16"/>
          <w:szCs w:val="16"/>
          <w:b w:val="1"/>
          <w:bCs w:val="1"/>
          <w:color w:val="auto"/>
        </w:rPr>
        <w:t>Unfunded commitments, which are contractual obligations of the Fund to make loans up to a specified amount at future dates, may subject the Fund to risks similar to those created by standby commitment agreements. Unfunded commitments, like standby commitment agreements, may be senior securities under Section 18(g) (“any ... obligation or instrument constituting a security and evidencing indebtedness”).</w:t>
      </w:r>
    </w:p>
    <w:p>
      <w:pPr>
        <w:spacing w:after="0" w:line="34" w:lineRule="exact"/>
        <w:rPr>
          <w:sz w:val="20"/>
          <w:szCs w:val="20"/>
          <w:color w:val="auto"/>
        </w:rPr>
      </w:pPr>
    </w:p>
    <w:p>
      <w:pPr>
        <w:ind w:left="460" w:right="20"/>
        <w:spacing w:after="0" w:line="313" w:lineRule="auto"/>
        <w:rPr>
          <w:sz w:val="20"/>
          <w:szCs w:val="20"/>
          <w:color w:val="auto"/>
        </w:rPr>
      </w:pPr>
      <w:r>
        <w:rPr>
          <w:rFonts w:ascii="Arial" w:cs="Arial" w:eastAsia="Arial" w:hAnsi="Arial"/>
          <w:sz w:val="15"/>
          <w:szCs w:val="15"/>
          <w:b w:val="1"/>
          <w:bCs w:val="1"/>
          <w:color w:val="auto"/>
        </w:rPr>
        <w:t>See Investment Company Act Release 10666, “Securities Trading Practices of Registered Investment Companies” (April 18, 1979). The Staff considers unfunded commitments that specify an interest rate to be senior securities subject to the coverage requirements of Section(s) 18 (and</w:t>
      </w:r>
    </w:p>
    <w:p>
      <w:pPr>
        <w:spacing w:after="0" w:line="1" w:lineRule="exact"/>
        <w:rPr>
          <w:sz w:val="20"/>
          <w:szCs w:val="20"/>
          <w:color w:val="auto"/>
        </w:rPr>
      </w:pPr>
    </w:p>
    <w:p>
      <w:pPr>
        <w:ind w:left="460" w:firstLine="4"/>
        <w:spacing w:after="0" w:line="302" w:lineRule="auto"/>
        <w:tabs>
          <w:tab w:leader="none" w:pos="745"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unless the fund (BDC) has segregated liquid assets equal to the marked-to-market value of its unfunded commitments. Does the Fund currently treat its unfunded commitments as senior securities? If not, why not? Does the Fund currently segregate liquid assets, or does it have borrowing capacity within its 200% asset coverage limitation, sufficient to cover the value of its unfunded commitments?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respectfully advises the Staff that it has borrowing capacity within its asset coverage limitation under the 1940 Act sufficient to cover the amount of its unfunded commitments. The Company carefully considers its unfunded commitments for the purpose of planning its ongoing operating leverage and for the purpose of ongoing and future compliance with the asset coverage limitation.</w:t>
      </w:r>
    </w:p>
    <w:p>
      <w:pPr>
        <w:sectPr>
          <w:pgSz w:w="11900" w:h="16838" w:orient="portrait"/>
          <w:cols w:equalWidth="0" w:num="1">
            <w:col w:w="11400"/>
          </w:cols>
          <w:pgMar w:left="240" w:top="274" w:right="2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Provide net expense ratio and net investment income ratios to two decimal places. From Item 4 of Form N-2:</w:t>
      </w:r>
    </w:p>
    <w:p>
      <w:pPr>
        <w:spacing w:after="0" w:line="121"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List per share amounts at least to the nearest cent. If the offering price is computed in tenths of a cent or more, state the amounts on the table in tenths of a cent. Present all information using a consistent number of decimal places.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Company respectfully accepts the Staff’s comment and will revise the requested ratios to two decimal places in its future annual and quarterly reports where such ratios are presented.</w:t>
      </w:r>
    </w:p>
    <w:p>
      <w:pPr>
        <w:spacing w:after="0" w:line="275" w:lineRule="exact"/>
        <w:rPr>
          <w:sz w:val="20"/>
          <w:szCs w:val="20"/>
          <w:color w:val="auto"/>
        </w:rPr>
      </w:pPr>
    </w:p>
    <w:p>
      <w:pPr>
        <w:ind w:right="280" w:firstLine="8"/>
        <w:spacing w:after="0" w:line="282" w:lineRule="auto"/>
        <w:tabs>
          <w:tab w:leader="none" w:pos="27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Confirm expense ratio includes $1.1 million income tax expense. What was the average net asset number used to calculate the expense/income ratios?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respectfully accepts the Staff’s comment and will include excise tax, as applicable, in the ratio of net expenses to average net assets in its future annual and quarterly reports where the ratio is presented. The Company respectfully advises the Staff that the average of net assets as of December 31 of the prior fiscal year and March 31, June 30, September 30 and December 31 of the current fiscal year was used to calculate these ratios.</w:t>
      </w:r>
    </w:p>
    <w:p>
      <w:pPr>
        <w:spacing w:after="0" w:line="14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 or Helena Grannis at (212) 225-2376.</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52"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Vincent J. DiStefano</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1)"/>
      <w:numFmt w:val="decimal"/>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lvl w:ilvl="1">
      <w:lvlJc w:val="left"/>
      <w:lvlText w:val="•"/>
      <w:numFmt w:val="bullet"/>
      <w:start w:val="1"/>
    </w:lvl>
  </w:abstractNum>
  <w:abstractNum w:abstractNumId="4">
    <w:nsid w:val="5675FF36"/>
    <w:multiLevelType w:val="hybridMultilevel"/>
    <w:lvl w:ilvl="0">
      <w:lvlJc w:val="left"/>
      <w:lvlText w:val="•"/>
      <w:numFmt w:val="bullet"/>
      <w:start w:val="1"/>
    </w:lvl>
    <w:lvl w:ilvl="1">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
      <w:numFmt w:val="bullet"/>
      <w:start w:val="1"/>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1)"/>
      <w:numFmt w:val="lowerLetter"/>
      <w:start w:val="2"/>
    </w:lvl>
  </w:abstractNum>
  <w:abstractNum w:abstractNumId="10">
    <w:nsid w:val="4F97E3E4"/>
    <w:multiLevelType w:val="hybridMultilevel"/>
    <w:lvl w:ilvl="0">
      <w:lvlJc w:val="left"/>
      <w:lvlText w:val="(%1)"/>
      <w:numFmt w:val="decimal"/>
      <w:start w:val="1"/>
    </w:lvl>
  </w:abstractNum>
  <w:abstractNum w:abstractNumId="11">
    <w:nsid w:val="53B0A9E"/>
    <w:multiLevelType w:val="hybridMultilevel"/>
    <w:lvl w:ilvl="0">
      <w:lvlJc w:val="left"/>
      <w:lvlText w:val="(%1)"/>
      <w:numFmt w:val="decimal"/>
      <w:start w:val="6"/>
    </w:lvl>
  </w:abstractNum>
  <w:abstractNum w:abstractNumId="12">
    <w:nsid w:val="34FD6B4F"/>
    <w:multiLevelType w:val="hybridMultilevel"/>
    <w:lvl w:ilvl="0">
      <w:lvlJc w:val="left"/>
      <w:lvlText w:val="(%1)"/>
      <w:numFmt w:val="decimal"/>
      <w:start w:val="1"/>
    </w:lvl>
  </w:abstractNum>
  <w:abstractNum w:abstractNumId="13">
    <w:nsid w:val="5915FF32"/>
    <w:multiLevelType w:val="hybridMultilevel"/>
    <w:lvl w:ilvl="0">
      <w:lvlJc w:val="left"/>
      <w:lvlText w:val="(%1)"/>
      <w:numFmt w:val="decimal"/>
      <w:start w:val="1"/>
    </w:lvl>
  </w:abstractNum>
  <w:abstractNum w:abstractNumId="14">
    <w:nsid w:val="56438D15"/>
    <w:multiLevelType w:val="hybridMultilevel"/>
    <w:lvl w:ilvl="0">
      <w:lvlJc w:val="left"/>
      <w:lvlText w:val="(%1)"/>
      <w:numFmt w:val="decimal"/>
      <w:start w:val="1"/>
    </w:lvl>
  </w:abstractNum>
  <w:abstractNum w:abstractNumId="15">
    <w:nsid w:val="519E3149"/>
    <w:multiLevelType w:val="hybridMultilevel"/>
    <w:lvl w:ilvl="0">
      <w:lvlJc w:val="left"/>
      <w:lvlText w:val="•"/>
      <w:numFmt w:val="bullet"/>
      <w:start w:val="1"/>
    </w:lvl>
    <w:lvl w:ilvl="1">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1)"/>
      <w:numFmt w:val="upperLetter"/>
      <w:start w:val="2"/>
    </w:lvl>
  </w:abstractNum>
  <w:abstractNum w:abstractNumId="26">
    <w:nsid w:val="5399C654"/>
    <w:multiLevelType w:val="hybridMultilevel"/>
    <w:lvl w:ilvl="0">
      <w:lvlJc w:val="left"/>
      <w:lvlText w:val="(%1)"/>
      <w:numFmt w:val="decimal"/>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1)"/>
      <w:numFmt w:val="decimal"/>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1)"/>
      <w:numFmt w:val="decimal"/>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1)"/>
      <w:numFmt w:val="decimal"/>
      <w:start w:val="1"/>
    </w:lvl>
  </w:abstractNum>
  <w:abstractNum w:abstractNumId="39">
    <w:nsid w:val="24F6AB8E"/>
    <w:multiLevelType w:val="hybridMultilevel"/>
    <w:lvl w:ilvl="0">
      <w:lvlJc w:val="left"/>
      <w:lvlText w:val="•"/>
      <w:numFmt w:val="bullet"/>
      <w:start w:val="1"/>
    </w:lvl>
    <w:lvl w:ilvl="1">
      <w:lvlJc w:val="left"/>
      <w:lvlText w:val="•"/>
      <w:numFmt w:val="bullet"/>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
      <w:numFmt w:val="bullet"/>
      <w:start w:val="1"/>
    </w:lvl>
  </w:abstractNum>
  <w:abstractNum w:abstractNumId="43">
    <w:nsid w:val="1849C29B"/>
    <w:multiLevelType w:val="hybridMultilevel"/>
    <w:lvl w:ilvl="0">
      <w:lvlJc w:val="left"/>
      <w:lvlText w:val="(%1)"/>
      <w:numFmt w:val="decimal"/>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
      <w:numFmt w:val="bullet"/>
      <w:start w:val="1"/>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
      <w:numFmt w:val="bullet"/>
      <w:start w:val="1"/>
    </w:lvl>
  </w:abstractNum>
  <w:abstractNum w:abstractNumId="48">
    <w:nsid w:val="1816F8C4"/>
    <w:multiLevelType w:val="hybridMultilevel"/>
    <w:lvl w:ilvl="0">
      <w:lvlJc w:val="left"/>
      <w:lvlText w:val="•"/>
      <w:numFmt w:val="bullet"/>
      <w:start w:val="1"/>
    </w:lvl>
  </w:abstractNum>
  <w:abstractNum w:abstractNumId="49">
    <w:nsid w:val="37DF2233"/>
    <w:multiLevelType w:val="hybridMultilevel"/>
    <w:lvl w:ilvl="0">
      <w:lvlJc w:val="left"/>
      <w:lvlText w:val="•"/>
      <w:numFmt w:val="bullet"/>
      <w:start w:val="1"/>
    </w:lvl>
  </w:abstractNum>
  <w:abstractNum w:abstractNumId="50">
    <w:nsid w:val="7AB49DAF"/>
    <w:multiLevelType w:val="hybridMultilevel"/>
    <w:lvl w:ilvl="0">
      <w:lvlJc w:val="left"/>
      <w:lvlText w:val="•"/>
      <w:numFmt w:val="bullet"/>
      <w:start w:val="1"/>
    </w:lvl>
  </w:abstractNum>
  <w:abstractNum w:abstractNumId="51">
    <w:nsid w:val="759F82CD"/>
    <w:multiLevelType w:val="hybridMultilevel"/>
    <w:lvl w:ilvl="0">
      <w:lvlJc w:val="left"/>
      <w:lvlText w:val="(%1)"/>
      <w:numFmt w:val="decimal"/>
      <w:start w:val="1"/>
    </w:lvl>
  </w:abstractNum>
  <w:abstractNum w:abstractNumId="52">
    <w:nsid w:val="61E74EA3"/>
    <w:multiLevelType w:val="hybridMultilevel"/>
    <w:lvl w:ilvl="0">
      <w:lvlJc w:val="left"/>
      <w:lvlText w:val="•"/>
      <w:numFmt w:val="bullet"/>
      <w:start w:val="1"/>
    </w:lvl>
    <w:lvl w:ilvl="1">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
      <w:numFmt w:val="bullet"/>
      <w:start w:val="1"/>
    </w:lvl>
  </w:abstractNum>
  <w:abstractNum w:abstractNumId="57">
    <w:nsid w:val="631B64D4"/>
    <w:multiLevelType w:val="hybridMultilevel"/>
    <w:lvl w:ilvl="0">
      <w:lvlJc w:val="left"/>
      <w:lvlText w:val="•"/>
      <w:numFmt w:val="bullet"/>
      <w:start w:val="1"/>
    </w:lvl>
  </w:abstractNum>
  <w:abstractNum w:abstractNumId="58">
    <w:nsid w:val="78B5E776"/>
    <w:multiLevelType w:val="hybridMultilevel"/>
    <w:lvl w:ilvl="0">
      <w:lvlJc w:val="left"/>
      <w:lvlText w:val="•"/>
      <w:numFmt w:val="bullet"/>
      <w:start w:val="1"/>
    </w:lvl>
  </w:abstractNum>
  <w:abstractNum w:abstractNumId="59">
    <w:nsid w:val="75486E47"/>
    <w:multiLevelType w:val="hybridMultilevel"/>
    <w:lvl w:ilvl="0">
      <w:lvlJc w:val="left"/>
      <w:lvlText w:val="•"/>
      <w:numFmt w:val="bullet"/>
      <w:start w:val="1"/>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lvl w:ilvl="1">
      <w:lvlJc w:val="left"/>
      <w:lvlText w:val="•"/>
      <w:numFmt w:val="bullet"/>
      <w:start w:val="1"/>
    </w:lvl>
  </w:abstractNum>
  <w:abstractNum w:abstractNumId="62">
    <w:nsid w:val="65968C1C"/>
    <w:multiLevelType w:val="hybridMultilevel"/>
    <w:lvl w:ilvl="0">
      <w:lvlJc w:val="left"/>
      <w:lvlText w:val="•"/>
      <w:numFmt w:val="bullet"/>
      <w:start w:val="1"/>
    </w:lvl>
    <w:lvl w:ilvl="1">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1)"/>
      <w:numFmt w:val="decimal"/>
      <w:start w:val="1"/>
    </w:lvl>
  </w:abstractNum>
  <w:abstractNum w:abstractNumId="65">
    <w:nsid w:val="73D4D3C4"/>
    <w:multiLevelType w:val="hybridMultilevel"/>
    <w:lvl w:ilvl="0">
      <w:lvlJc w:val="left"/>
      <w:lvlText w:val="(%1)"/>
      <w:numFmt w:val="decimal"/>
      <w:start w:val="1"/>
    </w:lvl>
  </w:abstractNum>
  <w:abstractNum w:abstractNumId="66">
    <w:nsid w:val="746F2E30"/>
    <w:multiLevelType w:val="hybridMultilevel"/>
    <w:lvl w:ilvl="0">
      <w:lvlJc w:val="left"/>
      <w:lvlText w:val="(%1)"/>
      <w:numFmt w:val="decimal"/>
      <w:start w:val="1"/>
    </w:lvl>
  </w:abstractNum>
  <w:abstractNum w:abstractNumId="67">
    <w:nsid w:val="6FDE8AF6"/>
    <w:multiLevelType w:val="hybridMultilevel"/>
    <w:lvl w:ilvl="0">
      <w:lvlJc w:val="left"/>
      <w:lvlText w:val="(%1)"/>
      <w:numFmt w:val="lowerLetter"/>
      <w:start w:val="1"/>
    </w:lvl>
  </w:abstractNum>
  <w:abstractNum w:abstractNumId="68">
    <w:nsid w:val="3FC32E20"/>
    <w:multiLevelType w:val="hybridMultilevel"/>
    <w:lvl w:ilvl="0">
      <w:lvlJc w:val="left"/>
      <w:lvlText w:val="•"/>
      <w:numFmt w:val="bullet"/>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
      <w:numFmt w:val="bullet"/>
      <w:start w:val="1"/>
    </w:lvl>
  </w:abstractNum>
  <w:abstractNum w:abstractNumId="73">
    <w:nsid w:val="3F06ECB2"/>
    <w:multiLevelType w:val="hybridMultilevel"/>
    <w:lvl w:ilvl="0">
      <w:lvlJc w:val="left"/>
      <w:lvlText w:val="•"/>
      <w:numFmt w:val="bullet"/>
      <w:start w:val="1"/>
    </w:lvl>
  </w:abstractNum>
  <w:abstractNum w:abstractNumId="74">
    <w:nsid w:val="3B594807"/>
    <w:multiLevelType w:val="hybridMultilevel"/>
    <w:lvl w:ilvl="0">
      <w:lvlJc w:val="left"/>
      <w:lvlText w:val="•"/>
      <w:numFmt w:val="bullet"/>
      <w:start w:val="1"/>
    </w:lvl>
  </w:abstractNum>
  <w:abstractNum w:abstractNumId="75">
    <w:nsid w:val="6CAA2304"/>
    <w:multiLevelType w:val="hybridMultilevel"/>
    <w:lvl w:ilvl="0">
      <w:lvlJc w:val="left"/>
      <w:lvlText w:val="•"/>
      <w:numFmt w:val="bullet"/>
      <w:start w:val="1"/>
    </w:lvl>
  </w:abstractNum>
  <w:abstractNum w:abstractNumId="76">
    <w:nsid w:val="3F7C2FF4"/>
    <w:multiLevelType w:val="hybridMultilevel"/>
    <w:lvl w:ilvl="0">
      <w:lvlJc w:val="left"/>
      <w:lvlText w:val="•"/>
      <w:numFmt w:val="bullet"/>
      <w:start w:val="1"/>
    </w:lvl>
  </w:abstractNum>
  <w:abstractNum w:abstractNumId="77">
    <w:nsid w:val="25413BEC"/>
    <w:multiLevelType w:val="hybridMultilevel"/>
    <w:lvl w:ilvl="0">
      <w:lvlJc w:val="left"/>
      <w:lvlText w:val="•"/>
      <w:numFmt w:val="bullet"/>
      <w:start w:val="1"/>
    </w:lvl>
  </w:abstractNum>
  <w:abstractNum w:abstractNumId="78">
    <w:nsid w:val="17180B0B"/>
    <w:multiLevelType w:val="hybridMultilevel"/>
    <w:lvl w:ilvl="0">
      <w:lvlJc w:val="left"/>
      <w:lvlText w:val="•"/>
      <w:numFmt w:val="bullet"/>
      <w:start w:val="1"/>
    </w:lvl>
  </w:abstractNum>
  <w:abstractNum w:abstractNumId="79">
    <w:nsid w:val="579328B9"/>
    <w:multiLevelType w:val="hybridMultilevel"/>
    <w:lvl w:ilvl="0">
      <w:lvlJc w:val="left"/>
      <w:lvlText w:val="(%1)"/>
      <w:numFmt w:val="lowerRoman"/>
      <w:start w:val="1"/>
    </w:lvl>
  </w:abstractNum>
  <w:abstractNum w:abstractNumId="80">
    <w:nsid w:val="5D205E20"/>
    <w:multiLevelType w:val="hybridMultilevel"/>
    <w:lvl w:ilvl="0">
      <w:lvlJc w:val="left"/>
      <w:lvlText w:val="(%1)"/>
      <w:numFmt w:val="lowerRoman"/>
      <w:start w:val="2"/>
    </w:lvl>
  </w:abstractNum>
  <w:abstractNum w:abstractNumId="81">
    <w:nsid w:val="11CCA8BA"/>
    <w:multiLevelType w:val="hybridMultilevel"/>
    <w:lvl w:ilvl="0">
      <w:lvlJc w:val="left"/>
      <w:lvlText w:val="•"/>
      <w:numFmt w:val="bullet"/>
      <w:start w:val="1"/>
    </w:lvl>
  </w:abstractNum>
  <w:abstractNum w:abstractNumId="82">
    <w:nsid w:val="4D32AB86"/>
    <w:multiLevelType w:val="hybridMultilevel"/>
    <w:lvl w:ilvl="0">
      <w:lvlJc w:val="left"/>
      <w:lvlText w:val="="/>
      <w:numFmt w:val="bullet"/>
      <w:start w:val="1"/>
    </w:lvl>
  </w:abstractNum>
  <w:abstractNum w:abstractNumId="83">
    <w:nsid w:val="3F07ACC3"/>
    <w:multiLevelType w:val="hybridMultilevel"/>
    <w:lvl w:ilvl="0">
      <w:lvlJc w:val="left"/>
      <w:lvlText w:val="(%1)"/>
      <w:numFmt w:val="decimal"/>
    </w:lvl>
    <w:lvl w:ilvl="1">
      <w:lvlJc w:val="left"/>
      <w:lvlText w:val="="/>
      <w:numFmt w:val="bullet"/>
      <w:start w:val="1"/>
    </w:lvl>
  </w:abstractNum>
  <w:abstractNum w:abstractNumId="84">
    <w:nsid w:val="6B47F63E"/>
    <w:multiLevelType w:val="hybridMultilevel"/>
    <w:lvl w:ilvl="0">
      <w:lvlJc w:val="left"/>
      <w:lvlText w:val="(*)"/>
      <w:numFmt w:val="bullet"/>
      <w:start w:val="1"/>
    </w:lvl>
  </w:abstractNum>
  <w:abstractNum w:abstractNumId="85">
    <w:nsid w:val="5CB44A05"/>
    <w:multiLevelType w:val="hybridMultilevel"/>
    <w:lvl w:ilvl="0">
      <w:lvlJc w:val="left"/>
      <w:lvlText w:val="•"/>
      <w:numFmt w:val="bullet"/>
      <w:start w:val="1"/>
    </w:lvl>
  </w:abstractNum>
  <w:abstractNum w:abstractNumId="86">
    <w:nsid w:val="16CF80F1"/>
    <w:multiLevelType w:val="hybridMultilevel"/>
    <w:lvl w:ilvl="0">
      <w:lvlJc w:val="left"/>
      <w:lvlText w:val="•"/>
      <w:numFmt w:val="bullet"/>
      <w:start w:val="1"/>
    </w:lvl>
  </w:abstractNum>
  <w:abstractNum w:abstractNumId="87">
    <w:nsid w:val="1C695DEC"/>
    <w:multiLevelType w:val="hybridMultilevel"/>
    <w:lvl w:ilvl="0">
      <w:lvlJc w:val="left"/>
      <w:lvlText w:val="•"/>
      <w:numFmt w:val="bullet"/>
      <w:start w:val="1"/>
    </w:lvl>
  </w:abstractNum>
  <w:abstractNum w:abstractNumId="88">
    <w:nsid w:val="3FCFAED9"/>
    <w:multiLevelType w:val="hybridMultilevel"/>
    <w:lvl w:ilvl="0">
      <w:lvlJc w:val="left"/>
      <w:lvlText w:val="•"/>
      <w:numFmt w:val="bullet"/>
      <w:start w:val="1"/>
    </w:lvl>
  </w:abstractNum>
  <w:abstractNum w:abstractNumId="89">
    <w:nsid w:val="F856867"/>
    <w:multiLevelType w:val="hybridMultilevel"/>
    <w:lvl w:ilvl="0">
      <w:lvlJc w:val="left"/>
      <w:lvlText w:val="•"/>
      <w:numFmt w:val="bullet"/>
      <w:start w:val="1"/>
    </w:lvl>
  </w:abstractNum>
  <w:abstractNum w:abstractNumId="90">
    <w:nsid w:val="11B1CC33"/>
    <w:multiLevelType w:val="hybridMultilevel"/>
    <w:lvl w:ilvl="0">
      <w:lvlJc w:val="left"/>
      <w:lvlText w:val="•"/>
      <w:numFmt w:val="bullet"/>
      <w:start w:val="1"/>
    </w:lvl>
  </w:abstractNum>
  <w:abstractNum w:abstractNumId="91">
    <w:nsid w:val="2E22FBB7"/>
    <w:multiLevelType w:val="hybridMultilevel"/>
    <w:lvl w:ilvl="0">
      <w:lvlJc w:val="left"/>
      <w:lvlText w:val="•"/>
      <w:numFmt w:val="bullet"/>
      <w:start w:val="1"/>
    </w:lvl>
  </w:abstractNum>
  <w:abstractNum w:abstractNumId="92">
    <w:nsid w:val="29934699"/>
    <w:multiLevelType w:val="hybridMultilevel"/>
    <w:lvl w:ilvl="0">
      <w:lvlJc w:val="left"/>
      <w:lvlText w:val="•"/>
      <w:numFmt w:val="bullet"/>
      <w:start w:val="1"/>
    </w:lvl>
  </w:abstractNum>
  <w:abstractNum w:abstractNumId="93">
    <w:nsid w:val="77485850"/>
    <w:multiLevelType w:val="hybridMultilevel"/>
    <w:lvl w:ilvl="0">
      <w:lvlJc w:val="left"/>
      <w:lvlText w:val="•"/>
      <w:numFmt w:val="bullet"/>
      <w:start w:val="1"/>
    </w:lvl>
  </w:abstractNum>
  <w:abstractNum w:abstractNumId="94">
    <w:nsid w:val="744939A3"/>
    <w:multiLevelType w:val="hybridMultilevel"/>
    <w:lvl w:ilvl="0">
      <w:lvlJc w:val="left"/>
      <w:lvlText w:val="•"/>
      <w:numFmt w:val="bullet"/>
      <w:start w:val="1"/>
    </w:lvl>
  </w:abstractNum>
  <w:abstractNum w:abstractNumId="95">
    <w:nsid w:val="4FA0D2E3"/>
    <w:multiLevelType w:val="hybridMultilevel"/>
    <w:lvl w:ilvl="0">
      <w:lvlJc w:val="left"/>
      <w:lvlText w:val="•"/>
      <w:numFmt w:val="bullet"/>
      <w:start w:val="1"/>
    </w:lvl>
  </w:abstractNum>
  <w:abstractNum w:abstractNumId="96">
    <w:nsid w:val="6B1D2C14"/>
    <w:multiLevelType w:val="hybridMultilevel"/>
    <w:lvl w:ilvl="0">
      <w:lvlJc w:val="left"/>
      <w:lvlText w:val="•"/>
      <w:numFmt w:val="bullet"/>
      <w:start w:val="1"/>
    </w:lvl>
  </w:abstractNum>
  <w:abstractNum w:abstractNumId="97">
    <w:nsid w:val="68B867D3"/>
    <w:multiLevelType w:val="hybridMultilevel"/>
    <w:lvl w:ilvl="0">
      <w:lvlJc w:val="left"/>
      <w:lvlText w:val="*"/>
      <w:numFmt w:val="bullet"/>
      <w:start w:val="1"/>
    </w:lvl>
  </w:abstractNum>
  <w:abstractNum w:abstractNumId="98">
    <w:nsid w:val="3F7F5DD9"/>
    <w:multiLevelType w:val="hybridMultilevel"/>
    <w:lvl w:ilvl="0">
      <w:lvlJc w:val="left"/>
      <w:lvlText w:val="(%1)"/>
      <w:numFmt w:val="decimal"/>
      <w:start w:val="1"/>
    </w:lvl>
  </w:abstractNum>
  <w:abstractNum w:abstractNumId="99">
    <w:nsid w:val="2AE05A34"/>
    <w:multiLevelType w:val="hybridMultilevel"/>
    <w:lvl w:ilvl="0">
      <w:lvlJc w:val="left"/>
      <w:lvlText w:val="(%1)"/>
      <w:numFmt w:val="decimal"/>
      <w:start w:val="2"/>
    </w:lvl>
  </w:abstractNum>
  <w:abstractNum w:abstractNumId="100">
    <w:nsid w:val="32794FF7"/>
    <w:multiLevelType w:val="hybridMultilevel"/>
    <w:lvl w:ilvl="0">
      <w:lvlJc w:val="left"/>
      <w:lvlText w:val="(%1)"/>
      <w:numFmt w:val="decimal"/>
      <w:start w:val="7"/>
    </w:lvl>
  </w:abstractNum>
  <w:abstractNum w:abstractNumId="101">
    <w:nsid w:val="5454945E"/>
    <w:multiLevelType w:val="hybridMultilevel"/>
    <w:lvl w:ilvl="0">
      <w:lvlJc w:val="left"/>
      <w:lvlText w:val="(%1)"/>
      <w:numFmt w:val="decimal"/>
      <w:start w:val="1"/>
    </w:lvl>
  </w:abstractNum>
  <w:abstractNum w:abstractNumId="102">
    <w:nsid w:val="4DEFDFA0"/>
    <w:multiLevelType w:val="hybridMultilevel"/>
    <w:lvl w:ilvl="0">
      <w:lvlJc w:val="left"/>
      <w:lvlText w:val="•"/>
      <w:numFmt w:val="bullet"/>
      <w:start w:val="1"/>
    </w:lvl>
  </w:abstractNum>
  <w:abstractNum w:abstractNumId="103">
    <w:nsid w:val="2123D5F2"/>
    <w:multiLevelType w:val="hybridMultilevel"/>
    <w:lvl w:ilvl="0">
      <w:lvlJc w:val="left"/>
      <w:lvlText w:val="•"/>
      <w:numFmt w:val="bullet"/>
      <w:start w:val="1"/>
    </w:lvl>
  </w:abstractNum>
  <w:abstractNum w:abstractNumId="104">
    <w:nsid w:val="135B8110"/>
    <w:multiLevelType w:val="hybridMultilevel"/>
    <w:lvl w:ilvl="0">
      <w:lvlJc w:val="left"/>
      <w:lvlText w:val="•"/>
      <w:numFmt w:val="bullet"/>
      <w:start w:val="1"/>
    </w:lvl>
  </w:abstractNum>
  <w:abstractNum w:abstractNumId="105">
    <w:nsid w:val="94927A8"/>
    <w:multiLevelType w:val="hybridMultilevel"/>
    <w:lvl w:ilvl="0">
      <w:lvlJc w:val="left"/>
      <w:lvlText w:val="•"/>
      <w:numFmt w:val="bullet"/>
      <w:start w:val="1"/>
    </w:lvl>
  </w:abstractNum>
  <w:abstractNum w:abstractNumId="106">
    <w:nsid w:val="DCDF8F6"/>
    <w:multiLevelType w:val="hybridMultilevel"/>
    <w:lvl w:ilvl="0">
      <w:lvlJc w:val="left"/>
      <w:lvlText w:val="•"/>
      <w:numFmt w:val="bullet"/>
      <w:start w:val="1"/>
    </w:lvl>
  </w:abstractNum>
  <w:abstractNum w:abstractNumId="107">
    <w:nsid w:val="52D7B105"/>
    <w:multiLevelType w:val="hybridMultilevel"/>
    <w:lvl w:ilvl="0">
      <w:lvlJc w:val="left"/>
      <w:lvlText w:val="•"/>
      <w:numFmt w:val="bullet"/>
      <w:start w:val="1"/>
    </w:lvl>
  </w:abstractNum>
  <w:abstractNum w:abstractNumId="108">
    <w:nsid w:val="2E8A6394"/>
    <w:multiLevelType w:val="hybridMultilevel"/>
    <w:lvl w:ilvl="0">
      <w:lvlJc w:val="left"/>
      <w:lvlText w:val="(%1)"/>
      <w:numFmt w:val="lowerRoman"/>
      <w:start w:val="1"/>
    </w:lvl>
  </w:abstractNum>
  <w:abstractNum w:abstractNumId="109">
    <w:nsid w:val="24E60401"/>
    <w:multiLevelType w:val="hybridMultilevel"/>
    <w:lvl w:ilvl="0">
      <w:lvlJc w:val="left"/>
      <w:lvlText w:val="(%1)"/>
      <w:numFmt w:val="lowerRoman"/>
      <w:start w:val="3"/>
    </w:lvl>
  </w:abstractNum>
  <w:abstractNum w:abstractNumId="110">
    <w:nsid w:val="2A6AD9BE"/>
    <w:multiLevelType w:val="hybridMultilevel"/>
    <w:lvl w:ilvl="0">
      <w:lvlJc w:val="left"/>
      <w:lvlText w:val="(%1)"/>
      <w:numFmt w:val="lowerRoman"/>
      <w:start w:val="1"/>
    </w:lvl>
  </w:abstractNum>
  <w:abstractNum w:abstractNumId="111">
    <w:nsid w:val="BAAC1B4"/>
    <w:multiLevelType w:val="hybridMultilevel"/>
    <w:lvl w:ilvl="0">
      <w:lvlJc w:val="left"/>
      <w:lvlText w:val="•"/>
      <w:numFmt w:val="bullet"/>
      <w:start w:val="1"/>
    </w:lvl>
  </w:abstractNum>
  <w:abstractNum w:abstractNumId="112">
    <w:nsid w:val="36B2ACBC"/>
    <w:multiLevelType w:val="hybridMultilevel"/>
    <w:lvl w:ilvl="0">
      <w:lvlJc w:val="left"/>
      <w:lvlText w:val="•"/>
      <w:numFmt w:val="bullet"/>
      <w:start w:val="1"/>
    </w:lvl>
  </w:abstractNum>
  <w:abstractNum w:abstractNumId="113">
    <w:nsid w:val="779D8544"/>
    <w:multiLevelType w:val="hybridMultilevel"/>
    <w:lvl w:ilvl="0">
      <w:lvlJc w:val="left"/>
      <w:lvlText w:val="•"/>
      <w:numFmt w:val="bullet"/>
      <w:start w:val="1"/>
    </w:lvl>
  </w:abstractNum>
  <w:abstractNum w:abstractNumId="114">
    <w:nsid w:val="4AB26E78"/>
    <w:multiLevelType w:val="hybridMultilevel"/>
    <w:lvl w:ilvl="0">
      <w:lvlJc w:val="left"/>
      <w:lvlText w:val="•"/>
      <w:numFmt w:val="bullet"/>
      <w:start w:val="1"/>
    </w:lvl>
  </w:abstractNum>
  <w:abstractNum w:abstractNumId="115">
    <w:nsid w:val="21FAA2FA"/>
    <w:multiLevelType w:val="hybridMultilevel"/>
    <w:lvl w:ilvl="0">
      <w:lvlJc w:val="left"/>
      <w:lvlText w:val="•"/>
      <w:numFmt w:val="bullet"/>
      <w:start w:val="1"/>
    </w:lvl>
  </w:abstractNum>
  <w:abstractNum w:abstractNumId="116">
    <w:nsid w:val="5451CF49"/>
    <w:multiLevelType w:val="hybridMultilevel"/>
    <w:lvl w:ilvl="0">
      <w:lvlJc w:val="left"/>
      <w:lvlText w:val="•"/>
      <w:numFmt w:val="bullet"/>
      <w:start w:val="1"/>
    </w:lvl>
  </w:abstractNum>
  <w:abstractNum w:abstractNumId="117">
    <w:nsid w:val="6181EF69"/>
    <w:multiLevelType w:val="hybridMultilevel"/>
    <w:lvl w:ilvl="0">
      <w:lvlJc w:val="left"/>
      <w:lvlText w:val="•"/>
      <w:numFmt w:val="bullet"/>
      <w:start w:val="1"/>
    </w:lvl>
  </w:abstractNum>
  <w:abstractNum w:abstractNumId="118">
    <w:nsid w:val="3E6400E6"/>
    <w:multiLevelType w:val="hybridMultilevel"/>
    <w:lvl w:ilvl="0">
      <w:lvlJc w:val="left"/>
      <w:lvlText w:val="•"/>
      <w:numFmt w:val="bullet"/>
      <w:start w:val="1"/>
    </w:lvl>
  </w:abstractNum>
  <w:abstractNum w:abstractNumId="119">
    <w:nsid w:val="14217E23"/>
    <w:multiLevelType w:val="hybridMultilevel"/>
    <w:lvl w:ilvl="0">
      <w:lvlJc w:val="left"/>
      <w:lvlText w:val="•"/>
      <w:numFmt w:val="bullet"/>
      <w:start w:val="1"/>
    </w:lvl>
  </w:abstractNum>
  <w:abstractNum w:abstractNumId="120">
    <w:nsid w:val="710757D0"/>
    <w:multiLevelType w:val="hybridMultilevel"/>
    <w:lvl w:ilvl="0">
      <w:lvlJc w:val="left"/>
      <w:lvlText w:val="•"/>
      <w:numFmt w:val="bullet"/>
      <w:start w:val="1"/>
    </w:lvl>
  </w:abstractNum>
  <w:abstractNum w:abstractNumId="121">
    <w:nsid w:val="5015CD1A"/>
    <w:multiLevelType w:val="hybridMultilevel"/>
    <w:lvl w:ilvl="0">
      <w:lvlJc w:val="left"/>
      <w:lvlText w:val="•"/>
      <w:numFmt w:val="bullet"/>
      <w:start w:val="1"/>
    </w:lvl>
  </w:abstractNum>
  <w:abstractNum w:abstractNumId="122">
    <w:nsid w:val="424479DA"/>
    <w:multiLevelType w:val="hybridMultilevel"/>
    <w:lvl w:ilvl="0">
      <w:lvlJc w:val="left"/>
      <w:lvlText w:val="•"/>
      <w:numFmt w:val="bullet"/>
      <w:start w:val="1"/>
    </w:lvl>
  </w:abstractNum>
  <w:abstractNum w:abstractNumId="123">
    <w:nsid w:val="1A9A9E69"/>
    <w:multiLevelType w:val="hybridMultilevel"/>
    <w:lvl w:ilvl="0">
      <w:lvlJc w:val="left"/>
      <w:lvlText w:val="•"/>
      <w:numFmt w:val="bullet"/>
      <w:start w:val="1"/>
    </w:lvl>
  </w:abstractNum>
  <w:abstractNum w:abstractNumId="124">
    <w:nsid w:val="475E256A"/>
    <w:multiLevelType w:val="hybridMultilevel"/>
    <w:lvl w:ilvl="0">
      <w:lvlJc w:val="left"/>
      <w:lvlText w:val="•"/>
      <w:numFmt w:val="bullet"/>
      <w:start w:val="1"/>
    </w:lvl>
  </w:abstractNum>
  <w:abstractNum w:abstractNumId="125">
    <w:nsid w:val="368DB37E"/>
    <w:multiLevelType w:val="hybridMultilevel"/>
    <w:lvl w:ilvl="0">
      <w:lvlJc w:val="left"/>
      <w:lvlText w:val="•"/>
      <w:numFmt w:val="bullet"/>
      <w:start w:val="1"/>
    </w:lvl>
  </w:abstractNum>
  <w:abstractNum w:abstractNumId="126">
    <w:nsid w:val="6A3B714C"/>
    <w:multiLevelType w:val="hybridMultilevel"/>
    <w:lvl w:ilvl="0">
      <w:lvlJc w:val="left"/>
      <w:lvlText w:val="•"/>
      <w:numFmt w:val="bullet"/>
      <w:start w:val="1"/>
    </w:lvl>
  </w:abstractNum>
  <w:abstractNum w:abstractNumId="127">
    <w:nsid w:val="327B517E"/>
    <w:multiLevelType w:val="hybridMultilevel"/>
    <w:lvl w:ilvl="0">
      <w:lvlJc w:val="left"/>
      <w:lvlText w:val="•"/>
      <w:numFmt w:val="bullet"/>
      <w:start w:val="1"/>
    </w:lvl>
  </w:abstractNum>
  <w:abstractNum w:abstractNumId="128">
    <w:nsid w:val="1F461B51"/>
    <w:multiLevelType w:val="hybridMultilevel"/>
    <w:lvl w:ilvl="0">
      <w:lvlJc w:val="left"/>
      <w:lvlText w:val="•"/>
      <w:numFmt w:val="bullet"/>
      <w:start w:val="1"/>
    </w:lvl>
  </w:abstractNum>
  <w:abstractNum w:abstractNumId="129">
    <w:nsid w:val="29BACF25"/>
    <w:multiLevelType w:val="hybridMultilevel"/>
    <w:lvl w:ilvl="0">
      <w:lvlJc w:val="left"/>
      <w:lvlText w:val="•"/>
      <w:numFmt w:val="bullet"/>
      <w:start w:val="1"/>
    </w:lvl>
  </w:abstractNum>
  <w:abstractNum w:abstractNumId="130">
    <w:nsid w:val="5D5BABB3"/>
    <w:multiLevelType w:val="hybridMultilevel"/>
    <w:lvl w:ilvl="0">
      <w:lvlJc w:val="left"/>
      <w:lvlText w:val="•"/>
      <w:numFmt w:val="bullet"/>
      <w:start w:val="1"/>
    </w:lvl>
  </w:abstractNum>
  <w:abstractNum w:abstractNumId="131">
    <w:nsid w:val="51BF6B48"/>
    <w:multiLevelType w:val="hybridMultilevel"/>
    <w:lvl w:ilvl="0">
      <w:lvlJc w:val="left"/>
      <w:lvlText w:val="•"/>
      <w:numFmt w:val="bullet"/>
      <w:start w:val="1"/>
    </w:lvl>
  </w:abstractNum>
  <w:abstractNum w:abstractNumId="132">
    <w:nsid w:val="7E0F6384"/>
    <w:multiLevelType w:val="hybridMultilevel"/>
    <w:lvl w:ilvl="0">
      <w:lvlJc w:val="left"/>
      <w:lvlText w:val="•"/>
      <w:numFmt w:val="bullet"/>
      <w:start w:val="1"/>
    </w:lvl>
  </w:abstractNum>
  <w:abstractNum w:abstractNumId="133">
    <w:nsid w:val="2B4B8B53"/>
    <w:multiLevelType w:val="hybridMultilevel"/>
    <w:lvl w:ilvl="0">
      <w:lvlJc w:val="left"/>
      <w:lvlText w:val="•"/>
      <w:numFmt w:val="bullet"/>
      <w:start w:val="1"/>
    </w:lvl>
  </w:abstractNum>
  <w:abstractNum w:abstractNumId="134">
    <w:nsid w:val="72E3413A"/>
    <w:multiLevelType w:val="hybridMultilevel"/>
    <w:lvl w:ilvl="0">
      <w:lvlJc w:val="left"/>
      <w:lvlText w:val="•"/>
      <w:numFmt w:val="bullet"/>
      <w:start w:val="1"/>
    </w:lvl>
    <w:lvl w:ilvl="1">
      <w:lvlJc w:val="left"/>
      <w:lvlText w:val="•"/>
      <w:numFmt w:val="bullet"/>
      <w:start w:val="1"/>
    </w:lvl>
  </w:abstractNum>
  <w:abstractNum w:abstractNumId="135">
    <w:nsid w:val="116AE494"/>
    <w:multiLevelType w:val="hybridMultilevel"/>
    <w:lvl w:ilvl="0">
      <w:lvlJc w:val="left"/>
      <w:lvlText w:val="•"/>
      <w:numFmt w:val="bullet"/>
      <w:start w:val="1"/>
    </w:lvl>
  </w:abstractNum>
  <w:abstractNum w:abstractNumId="136">
    <w:nsid w:val="3494B2FB"/>
    <w:multiLevelType w:val="hybridMultilevel"/>
    <w:lvl w:ilvl="0">
      <w:lvlJc w:val="left"/>
      <w:lvlText w:val="•"/>
      <w:numFmt w:val="bullet"/>
      <w:start w:val="1"/>
    </w:lvl>
  </w:abstractNum>
  <w:abstractNum w:abstractNumId="137">
    <w:nsid w:val="B13A31"/>
    <w:multiLevelType w:val="hybridMultilevel"/>
    <w:lvl w:ilvl="0">
      <w:lvlJc w:val="left"/>
      <w:lvlText w:val="(%1)"/>
      <w:numFmt w:val="decimal"/>
      <w:start w:val="1"/>
    </w:lvl>
  </w:abstractNum>
  <w:abstractNum w:abstractNumId="138">
    <w:nsid w:val="64429599"/>
    <w:multiLevelType w:val="hybridMultilevel"/>
    <w:lvl w:ilvl="0">
      <w:lvlJc w:val="left"/>
      <w:lvlText w:val="(%1)"/>
      <w:numFmt w:val="decimal"/>
      <w:start w:val="1"/>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decimal"/>
      <w:start w:val="1"/>
    </w:lvl>
  </w:abstractNum>
  <w:abstractNum w:abstractNumId="141">
    <w:nsid w:val="EAD6F57"/>
    <w:multiLevelType w:val="hybridMultilevel"/>
    <w:lvl w:ilvl="0">
      <w:lvlJc w:val="left"/>
      <w:lvlText w:val="•"/>
      <w:numFmt w:val="bullet"/>
      <w:start w:val="1"/>
    </w:lvl>
  </w:abstractNum>
  <w:abstractNum w:abstractNumId="142">
    <w:nsid w:val="6EC9D844"/>
    <w:multiLevelType w:val="hybridMultilevel"/>
    <w:lvl w:ilvl="0">
      <w:lvlJc w:val="left"/>
      <w:lvlText w:val="•"/>
      <w:numFmt w:val="bullet"/>
      <w:start w:val="1"/>
    </w:lvl>
  </w:abstractNum>
  <w:abstractNum w:abstractNumId="143">
    <w:nsid w:val="5C49EAEE"/>
    <w:multiLevelType w:val="hybridMultilevel"/>
    <w:lvl w:ilvl="0">
      <w:lvlJc w:val="left"/>
      <w:lvlText w:val="•"/>
      <w:numFmt w:val="bullet"/>
      <w:start w:val="1"/>
    </w:lvl>
  </w:abstractNum>
  <w:abstractNum w:abstractNumId="144">
    <w:nsid w:val="64AF49B"/>
    <w:multiLevelType w:val="hybridMultilevel"/>
    <w:lvl w:ilvl="0">
      <w:lvlJc w:val="left"/>
      <w:lvlText w:val="(%1)"/>
      <w:numFmt w:val="lowerRoman"/>
      <w:start w:val="1"/>
    </w:lvl>
  </w:abstractNum>
  <w:abstractNum w:abstractNumId="145">
    <w:nsid w:val="397C46BC"/>
    <w:multiLevelType w:val="hybridMultilevel"/>
    <w:lvl w:ilvl="0">
      <w:lvlJc w:val="left"/>
      <w:lvlText w:val="•"/>
      <w:numFmt w:val="bullet"/>
      <w:start w:val="1"/>
    </w:lvl>
  </w:abstractNum>
  <w:abstractNum w:abstractNumId="146">
    <w:nsid w:val="7E448DE9"/>
    <w:multiLevelType w:val="hybridMultilevel"/>
    <w:lvl w:ilvl="0">
      <w:lvlJc w:val="left"/>
      <w:lvlText w:val="(%1)"/>
      <w:numFmt w:val="decimal"/>
      <w:start w:val="1"/>
    </w:lvl>
  </w:abstractNum>
  <w:abstractNum w:abstractNumId="147">
    <w:nsid w:val="5A9CC3E5"/>
    <w:multiLevelType w:val="hybridMultilevel"/>
    <w:lvl w:ilvl="0">
      <w:lvlJc w:val="left"/>
      <w:lvlText w:val="(%1)"/>
      <w:numFmt w:val="decimal"/>
      <w:start w:val="1"/>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
      <w:numFmt w:val="bullet"/>
      <w:start w:val="1"/>
    </w:lvl>
    <w:lvl w:ilvl="1">
      <w:lvlJc w:val="left"/>
      <w:lvlText w:val="•"/>
      <w:numFmt w:val="bullet"/>
      <w:start w:val="1"/>
    </w:lvl>
  </w:abstractNum>
  <w:abstractNum w:abstractNumId="150">
    <w:nsid w:val="6EBE4208"/>
    <w:multiLevelType w:val="hybridMultilevel"/>
    <w:lvl w:ilvl="0">
      <w:lvlJc w:val="left"/>
      <w:lvlText w:val="•"/>
      <w:numFmt w:val="bullet"/>
      <w:start w:val="1"/>
    </w:lvl>
  </w:abstractNum>
  <w:abstractNum w:abstractNumId="151">
    <w:nsid w:val="C058DF5"/>
    <w:multiLevelType w:val="hybridMultilevel"/>
    <w:lvl w:ilvl="0">
      <w:lvlJc w:val="left"/>
      <w:lvlText w:val="•"/>
      <w:numFmt w:val="bullet"/>
      <w:start w:val="1"/>
    </w:lvl>
  </w:abstractNum>
  <w:abstractNum w:abstractNumId="152">
    <w:nsid w:val="CBE5BE9"/>
    <w:multiLevelType w:val="hybridMultilevel"/>
    <w:lvl w:ilvl="0">
      <w:lvlJc w:val="left"/>
      <w:lvlText w:val="•"/>
      <w:numFmt w:val="bullet"/>
      <w:start w:val="1"/>
    </w:lvl>
  </w:abstractNum>
  <w:abstractNum w:abstractNumId="153">
    <w:nsid w:val="3102BBE2"/>
    <w:multiLevelType w:val="hybridMultilevel"/>
    <w:lvl w:ilvl="0">
      <w:lvlJc w:val="left"/>
      <w:lvlText w:val="(%1)"/>
      <w:numFmt w:val="decimal"/>
      <w:start w:val="1"/>
    </w:lvl>
  </w:abstractNum>
  <w:abstractNum w:abstractNumId="154">
    <w:nsid w:val="26A02C5E"/>
    <w:multiLevelType w:val="hybridMultilevel"/>
    <w:lvl w:ilvl="0">
      <w:lvlJc w:val="left"/>
      <w:lvlText w:val="(%1)"/>
      <w:numFmt w:val="decimal"/>
      <w:start w:val="1"/>
    </w:lvl>
  </w:abstractNum>
  <w:abstractNum w:abstractNumId="155">
    <w:nsid w:val="541C8153"/>
    <w:multiLevelType w:val="hybridMultilevel"/>
    <w:lvl w:ilvl="0">
      <w:lvlJc w:val="left"/>
      <w:lvlText w:val="(%1)"/>
      <w:numFmt w:val="decimal"/>
      <w:start w:val="1"/>
    </w:lvl>
  </w:abstractNum>
  <w:abstractNum w:abstractNumId="156">
    <w:nsid w:val="67906F60"/>
    <w:multiLevelType w:val="hybridMultilevel"/>
    <w:lvl w:ilvl="0">
      <w:lvlJc w:val="left"/>
      <w:lvlText w:val="(%1)"/>
      <w:numFmt w:val="decimal"/>
      <w:start w:val="1"/>
    </w:lvl>
  </w:abstractNum>
  <w:abstractNum w:abstractNumId="157">
    <w:nsid w:val="10DB9DAA"/>
    <w:multiLevelType w:val="hybridMultilevel"/>
    <w:lvl w:ilvl="0">
      <w:lvlJc w:val="left"/>
      <w:lvlText w:val="(%1)"/>
      <w:numFmt w:val="decimal"/>
      <w:start w:val="1"/>
    </w:lvl>
  </w:abstractNum>
  <w:abstractNum w:abstractNumId="158">
    <w:nsid w:val="697D2D2"/>
    <w:multiLevelType w:val="hybridMultilevel"/>
    <w:lvl w:ilvl="0">
      <w:lvlJc w:val="left"/>
      <w:lvlText w:val="(%1)"/>
      <w:numFmt w:val="decimal"/>
      <w:start w:val="1"/>
    </w:lvl>
  </w:abstractNum>
  <w:abstractNum w:abstractNumId="159">
    <w:nsid w:val="6D68AB2"/>
    <w:multiLevelType w:val="hybridMultilevel"/>
    <w:lvl w:ilvl="0">
      <w:lvlJc w:val="left"/>
      <w:lvlText w:val="(%1)"/>
      <w:numFmt w:val="decimal"/>
      <w:start w:val="1"/>
    </w:lvl>
  </w:abstractNum>
  <w:abstractNum w:abstractNumId="160">
    <w:nsid w:val="3A966CD0"/>
    <w:multiLevelType w:val="hybridMultilevel"/>
    <w:lvl w:ilvl="0">
      <w:lvlJc w:val="left"/>
      <w:lvlText w:val="(%1)"/>
      <w:numFmt w:val="decimal"/>
      <w:start w:val="1"/>
    </w:lvl>
  </w:abstractNum>
  <w:abstractNum w:abstractNumId="161">
    <w:nsid w:val="63F37E85"/>
    <w:multiLevelType w:val="hybridMultilevel"/>
    <w:lvl w:ilvl="0">
      <w:lvlJc w:val="left"/>
      <w:lvlText w:val="(%1)"/>
      <w:numFmt w:val="decimal"/>
      <w:start w:val="1"/>
    </w:lvl>
  </w:abstractNum>
  <w:abstractNum w:abstractNumId="162">
    <w:nsid w:val="5895F5FA"/>
    <w:multiLevelType w:val="hybridMultilevel"/>
    <w:lvl w:ilvl="0">
      <w:lvlJc w:val="left"/>
      <w:lvlText w:val="(%1)"/>
      <w:numFmt w:val="lowerLetter"/>
      <w:start w:val="1"/>
    </w:lvl>
  </w:abstractNum>
  <w:abstractNum w:abstractNumId="163">
    <w:nsid w:val="38A5D054"/>
    <w:multiLevelType w:val="hybridMultilevel"/>
    <w:lvl w:ilvl="0">
      <w:lvlJc w:val="left"/>
      <w:lvlText w:val="(%1)"/>
      <w:numFmt w:val="decimal"/>
      <w:start w:val="1"/>
    </w:lvl>
  </w:abstractNum>
  <w:abstractNum w:abstractNumId="164">
    <w:nsid w:val="F3F09D8"/>
    <w:multiLevelType w:val="hybridMultilevel"/>
    <w:lvl w:ilvl="0">
      <w:lvlJc w:val="left"/>
      <w:lvlText w:val="(%1)"/>
      <w:numFmt w:val="lowerLetter"/>
      <w:start w:val="1"/>
    </w:lvl>
  </w:abstractNum>
  <w:abstractNum w:abstractNumId="165">
    <w:nsid w:val="4B793735"/>
    <w:multiLevelType w:val="hybridMultilevel"/>
    <w:lvl w:ilvl="0">
      <w:lvlJc w:val="left"/>
      <w:lvlText w:val="•"/>
      <w:numFmt w:val="bullet"/>
      <w:start w:val="1"/>
    </w:lvl>
  </w:abstractNum>
  <w:abstractNum w:abstractNumId="166">
    <w:nsid w:val="4A10B4E8"/>
    <w:multiLevelType w:val="hybridMultilevel"/>
    <w:lvl w:ilvl="0">
      <w:lvlJc w:val="left"/>
      <w:lvlText w:val="•"/>
      <w:numFmt w:val="bullet"/>
      <w:start w:val="1"/>
    </w:lvl>
  </w:abstractNum>
  <w:abstractNum w:abstractNumId="167">
    <w:nsid w:val="43D3BCD4"/>
    <w:multiLevelType w:val="hybridMultilevel"/>
    <w:lvl w:ilvl="0">
      <w:lvlJc w:val="left"/>
      <w:lvlText w:val="•"/>
      <w:numFmt w:val="bullet"/>
      <w:start w:val="1"/>
    </w:lvl>
  </w:abstractNum>
  <w:abstractNum w:abstractNumId="168">
    <w:nsid w:val="4C2A7166"/>
    <w:multiLevelType w:val="hybridMultilevel"/>
    <w:lvl w:ilvl="0">
      <w:lvlJc w:val="left"/>
      <w:lvlText w:val="•"/>
      <w:numFmt w:val="bullet"/>
      <w:start w:val="1"/>
    </w:lvl>
  </w:abstractNum>
  <w:abstractNum w:abstractNumId="169">
    <w:nsid w:val="2E534A82"/>
    <w:multiLevelType w:val="hybridMultilevel"/>
    <w:lvl w:ilvl="0">
      <w:lvlJc w:val="left"/>
      <w:lvlText w:val="(%1)"/>
      <w:numFmt w:val="lowerRoman"/>
      <w:start w:val="1"/>
    </w:lvl>
  </w:abstractNum>
  <w:abstractNum w:abstractNumId="170">
    <w:nsid w:val="26F2D364"/>
    <w:multiLevelType w:val="hybridMultilevel"/>
    <w:lvl w:ilvl="0">
      <w:lvlJc w:val="left"/>
      <w:lvlText w:val="(%1)"/>
      <w:numFmt w:val="lowerRoman"/>
      <w:start w:val="2"/>
    </w:lvl>
  </w:abstractNum>
  <w:abstractNum w:abstractNumId="171">
    <w:nsid w:val="71C1AF98"/>
    <w:multiLevelType w:val="hybridMultilevel"/>
    <w:lvl w:ilvl="0">
      <w:lvlJc w:val="left"/>
      <w:lvlText w:val="•"/>
      <w:numFmt w:val="bullet"/>
      <w:start w:val="1"/>
    </w:lvl>
  </w:abstractNum>
  <w:abstractNum w:abstractNumId="172">
    <w:nsid w:val="3D00B9D9"/>
    <w:multiLevelType w:val="hybridMultilevel"/>
    <w:lvl w:ilvl="0">
      <w:lvlJc w:val="left"/>
      <w:lvlText w:val="(%1)"/>
      <w:numFmt w:val="decimal"/>
      <w:start w:val="1"/>
    </w:lvl>
  </w:abstractNum>
  <w:abstractNum w:abstractNumId="173">
    <w:nsid w:val="15BCABA8"/>
    <w:multiLevelType w:val="hybridMultilevel"/>
    <w:lvl w:ilvl="0">
      <w:lvlJc w:val="left"/>
      <w:lvlText w:val="(%1)"/>
      <w:numFmt w:val="decimal"/>
      <w:start w:val="1"/>
    </w:lvl>
  </w:abstractNum>
  <w:abstractNum w:abstractNumId="174">
    <w:nsid w:val="4E0B9A87"/>
    <w:multiLevelType w:val="hybridMultilevel"/>
    <w:lvl w:ilvl="0">
      <w:lvlJc w:val="left"/>
      <w:lvlText w:val="(%1)"/>
      <w:numFmt w:val="decimal"/>
      <w:start w:val="1"/>
    </w:lvl>
  </w:abstractNum>
  <w:abstractNum w:abstractNumId="175">
    <w:nsid w:val="434BAE75"/>
    <w:multiLevelType w:val="hybridMultilevel"/>
    <w:lvl w:ilvl="0">
      <w:lvlJc w:val="left"/>
      <w:lvlText w:val="(%1)"/>
      <w:numFmt w:val="decimal"/>
      <w:start w:val="1"/>
    </w:lvl>
  </w:abstractNum>
  <w:abstractNum w:abstractNumId="176">
    <w:nsid w:val="4F38F265"/>
    <w:multiLevelType w:val="hybridMultilevel"/>
    <w:lvl w:ilvl="0">
      <w:lvlJc w:val="left"/>
      <w:lvlText w:val="•"/>
      <w:numFmt w:val="bullet"/>
      <w:start w:val="1"/>
    </w:lvl>
    <w:lvl w:ilvl="1">
      <w:lvlJc w:val="left"/>
      <w:lvlText w:val="•"/>
      <w:numFmt w:val="bullet"/>
      <w:start w:val="1"/>
    </w:lvl>
  </w:abstractNum>
  <w:abstractNum w:abstractNumId="177">
    <w:nsid w:val="4C502870"/>
    <w:multiLevelType w:val="hybridMultilevel"/>
    <w:lvl w:ilvl="0">
      <w:lvlJc w:val="left"/>
      <w:lvlText w:val="•"/>
      <w:numFmt w:val="bullet"/>
      <w:start w:val="1"/>
    </w:lvl>
  </w:abstractNum>
  <w:abstractNum w:abstractNumId="178">
    <w:nsid w:val="1DE8725A"/>
    <w:multiLevelType w:val="hybridMultilevel"/>
    <w:lvl w:ilvl="0">
      <w:lvlJc w:val="left"/>
      <w:lvlText w:val="•"/>
      <w:numFmt w:val="bullet"/>
      <w:start w:val="1"/>
    </w:lvl>
  </w:abstractNum>
  <w:abstractNum w:abstractNumId="179">
    <w:nsid w:val="6A37288A"/>
    <w:multiLevelType w:val="hybridMultilevel"/>
    <w:lvl w:ilvl="0">
      <w:lvlJc w:val="left"/>
      <w:lvlText w:val="•"/>
      <w:numFmt w:val="bullet"/>
      <w:start w:val="1"/>
    </w:lvl>
  </w:abstractNum>
  <w:abstractNum w:abstractNumId="180">
    <w:nsid w:val="8F8B73F"/>
    <w:multiLevelType w:val="hybridMultilevel"/>
    <w:lvl w:ilvl="0">
      <w:lvlJc w:val="left"/>
      <w:lvlText w:val="•"/>
      <w:numFmt w:val="bullet"/>
      <w:start w:val="1"/>
    </w:lvl>
  </w:abstractNum>
  <w:abstractNum w:abstractNumId="181">
    <w:nsid w:val="CA6B462"/>
    <w:multiLevelType w:val="hybridMultilevel"/>
    <w:lvl w:ilvl="0">
      <w:lvlJc w:val="left"/>
      <w:lvlText w:val="(%1)"/>
      <w:numFmt w:val="decimal"/>
      <w:start w:val="1"/>
    </w:lvl>
  </w:abstractNum>
  <w:abstractNum w:abstractNumId="182">
    <w:nsid w:val="763CB680"/>
    <w:multiLevelType w:val="hybridMultilevel"/>
    <w:lvl w:ilvl="0">
      <w:lvlJc w:val="left"/>
      <w:lvlText w:val="(%1)"/>
      <w:numFmt w:val="decimal"/>
      <w:start w:val="1"/>
    </w:lvl>
  </w:abstractNum>
  <w:abstractNum w:abstractNumId="183">
    <w:nsid w:val="15B71329"/>
    <w:multiLevelType w:val="hybridMultilevel"/>
    <w:lvl w:ilvl="0">
      <w:lvlJc w:val="left"/>
      <w:lvlText w:val="(%1)"/>
      <w:numFmt w:val="decimal"/>
      <w:start w:val="1"/>
    </w:lvl>
  </w:abstractNum>
  <w:abstractNum w:abstractNumId="184">
    <w:nsid w:val="3DA97044"/>
    <w:multiLevelType w:val="hybridMultilevel"/>
    <w:lvl w:ilvl="0">
      <w:lvlJc w:val="left"/>
      <w:lvlText w:val="(%1)"/>
      <w:numFmt w:val="lowerLetter"/>
      <w:start w:val="2"/>
    </w:lvl>
  </w:abstractNum>
  <w:abstractNum w:abstractNumId="185">
    <w:nsid w:val="1CDCE2DE"/>
    <w:multiLevelType w:val="hybridMultilevel"/>
    <w:lvl w:ilvl="0">
      <w:lvlJc w:val="left"/>
      <w:lvlText w:val="(%1)"/>
      <w:numFmt w:val="lowerLetter"/>
      <w:start w:val="5"/>
    </w:lvl>
  </w:abstractNum>
  <w:abstractNum w:abstractNumId="186">
    <w:nsid w:val="69D3947C"/>
    <w:multiLevelType w:val="hybridMultilevel"/>
    <w:lvl w:ilvl="0">
      <w:lvlJc w:val="left"/>
      <w:lvlText w:val="(%1)"/>
      <w:numFmt w:val="lowerLetter"/>
      <w:start w:val="9"/>
    </w:lvl>
  </w:abstractNum>
  <w:abstractNum w:abstractNumId="187">
    <w:nsid w:val="2539DFA5"/>
    <w:multiLevelType w:val="hybridMultilevel"/>
    <w:lvl w:ilvl="0">
      <w:lvlJc w:val="left"/>
      <w:lvlText w:val="(%1)"/>
      <w:numFmt w:val="lowerLetter"/>
      <w:start w:val="12"/>
    </w:lvl>
  </w:abstractNum>
  <w:abstractNum w:abstractNumId="188">
    <w:nsid w:val="2DB88089"/>
    <w:multiLevelType w:val="hybridMultilevel"/>
    <w:lvl w:ilvl="0">
      <w:lvlJc w:val="left"/>
      <w:lvlText w:val="(%1)"/>
      <w:numFmt w:val="lowerLetter"/>
      <w:start w:val="15"/>
    </w:lvl>
  </w:abstractNum>
  <w:abstractNum w:abstractNumId="189">
    <w:nsid w:val="706B674E"/>
    <w:multiLevelType w:val="hybridMultilevel"/>
    <w:lvl w:ilvl="0">
      <w:lvlJc w:val="left"/>
      <w:lvlText w:val="(%1)"/>
      <w:numFmt w:val="decimal"/>
      <w:start w:val="1"/>
    </w:lvl>
  </w:abstractNum>
  <w:abstractNum w:abstractNumId="190">
    <w:nsid w:val="2C106A57"/>
    <w:multiLevelType w:val="hybridMultilevel"/>
    <w:lvl w:ilvl="0">
      <w:lvlJc w:val="left"/>
      <w:lvlText w:val="(%1)"/>
      <w:numFmt w:val="decimal"/>
      <w:start w:val="1"/>
    </w:lvl>
  </w:abstractNum>
  <w:abstractNum w:abstractNumId="191">
    <w:nsid w:val="684EED59"/>
    <w:multiLevelType w:val="hybridMultilevel"/>
    <w:lvl w:ilvl="0">
      <w:lvlJc w:val="left"/>
      <w:lvlText w:val="(%1)"/>
      <w:numFmt w:val="decimal"/>
      <w:start w:val="1"/>
    </w:lvl>
  </w:abstractNum>
  <w:abstractNum w:abstractNumId="192">
    <w:nsid w:val="545EE5D3"/>
    <w:multiLevelType w:val="hybridMultilevel"/>
    <w:lvl w:ilvl="0">
      <w:lvlJc w:val="left"/>
      <w:lvlText w:val="(%1)"/>
      <w:numFmt w:val="decimal"/>
      <w:start w:val="1"/>
    </w:lvl>
  </w:abstractNum>
  <w:abstractNum w:abstractNumId="193">
    <w:nsid w:val="4A6605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4">
    <w:nsid w:val="20F4BDAD"/>
    <w:multiLevelType w:val="hybridMultilevel"/>
    <w:lvl w:ilvl="0">
      <w:lvlJc w:val="left"/>
      <w:lvlText w:val="%1"/>
      <w:numFmt w:val="decimal"/>
      <w:start w:val="1"/>
    </w:lvl>
    <w:lvl w:ilvl="1">
      <w:lvlJc w:val="left"/>
      <w:lvlText w:val="(%2)"/>
      <w:numFmt w:val="lowerLetter"/>
      <w:start w:val="2"/>
    </w:lvl>
  </w:abstractNum>
  <w:abstractNum w:abstractNumId="195">
    <w:nsid w:val="639DEFAC"/>
    <w:multiLevelType w:val="hybridMultilevel"/>
    <w:lvl w:ilvl="0">
      <w:lvlJc w:val="left"/>
      <w:lvlText w:val="(%1)"/>
      <w:numFmt w:val="decimal"/>
      <w:start w:val="6"/>
    </w:lvl>
    <w:lvl w:ilvl="1">
      <w:lvlJc w:val="left"/>
      <w:lvlText w:val="%2"/>
      <w:numFmt w:val="lowerLetter"/>
      <w:start w:val="1"/>
    </w:lvl>
  </w:abstractNum>
  <w:abstractNum w:abstractNumId="196">
    <w:nsid w:val="501F9786"/>
    <w:multiLevelType w:val="hybridMultilevel"/>
    <w:lvl w:ilvl="0">
      <w:lvlJc w:val="left"/>
      <w:lvlText w:val="%1."/>
      <w:numFmt w:val="decimal"/>
      <w:start w:val="1"/>
    </w:lvl>
  </w:abstractNum>
  <w:abstractNum w:abstractNumId="197">
    <w:nsid w:val="6B057295"/>
    <w:multiLevelType w:val="hybridMultilevel"/>
    <w:lvl w:ilvl="0">
      <w:lvlJc w:val="left"/>
      <w:lvlText w:val="%1."/>
      <w:numFmt w:val="decimal"/>
      <w:start w:val="2"/>
    </w:lvl>
    <w:lvl w:ilvl="1">
      <w:lvlJc w:val="left"/>
      <w:lvlText w:val="•"/>
      <w:numFmt w:val="bullet"/>
      <w:start w:val="1"/>
    </w:lvl>
  </w:abstractNum>
  <w:abstractNum w:abstractNumId="198">
    <w:nsid w:val="2771AC80"/>
    <w:multiLevelType w:val="hybridMultilevel"/>
    <w:lvl w:ilvl="0">
      <w:lvlJc w:val="left"/>
      <w:lvlText w:val="•"/>
      <w:numFmt w:val="bullet"/>
      <w:start w:val="1"/>
    </w:lvl>
  </w:abstractNum>
  <w:abstractNum w:abstractNumId="199">
    <w:nsid w:val="1C4A08EC"/>
    <w:multiLevelType w:val="hybridMultilevel"/>
    <w:lvl w:ilvl="0">
      <w:lvlJc w:val="left"/>
      <w:lvlText w:val="•"/>
      <w:numFmt w:val="bullet"/>
      <w:start w:val="1"/>
    </w:lvl>
  </w:abstractNum>
  <w:abstractNum w:abstractNumId="200">
    <w:nsid w:val="1958BD17"/>
    <w:multiLevelType w:val="hybridMultilevel"/>
    <w:lvl w:ilvl="0">
      <w:lvlJc w:val="left"/>
      <w:lvlText w:val="•"/>
      <w:numFmt w:val="bullet"/>
      <w:start w:val="1"/>
    </w:lvl>
  </w:abstractNum>
  <w:abstractNum w:abstractNumId="201">
    <w:nsid w:val="4E647FE4"/>
    <w:multiLevelType w:val="hybridMultilevel"/>
    <w:lvl w:ilvl="0">
      <w:lvlJc w:val="left"/>
      <w:lvlText w:val="•"/>
      <w:numFmt w:val="bullet"/>
      <w:start w:val="1"/>
    </w:lvl>
  </w:abstractNum>
  <w:abstractNum w:abstractNumId="202">
    <w:nsid w:val="E0BB885"/>
    <w:multiLevelType w:val="hybridMultilevel"/>
    <w:lvl w:ilvl="0">
      <w:lvlJc w:val="left"/>
      <w:lvlText w:val="•"/>
      <w:numFmt w:val="bullet"/>
      <w:start w:val="1"/>
    </w:lvl>
  </w:abstractNum>
  <w:abstractNum w:abstractNumId="203">
    <w:nsid w:val="565976F1"/>
    <w:multiLevelType w:val="hybridMultilevel"/>
    <w:lvl w:ilvl="0">
      <w:lvlJc w:val="left"/>
      <w:lvlText w:val="•"/>
      <w:numFmt w:val="bullet"/>
      <w:start w:val="1"/>
    </w:lvl>
  </w:abstractNum>
  <w:abstractNum w:abstractNumId="204">
    <w:nsid w:val="64212B8C"/>
    <w:multiLevelType w:val="hybridMultilevel"/>
    <w:lvl w:ilvl="0">
      <w:lvlJc w:val="left"/>
      <w:lvlText w:val="•"/>
      <w:numFmt w:val="bullet"/>
      <w:start w:val="1"/>
    </w:lvl>
  </w:abstractNum>
  <w:abstractNum w:abstractNumId="205">
    <w:nsid w:val="5C17530C"/>
    <w:multiLevelType w:val="hybridMultilevel"/>
    <w:lvl w:ilvl="0">
      <w:lvlJc w:val="left"/>
      <w:lvlText w:val="%1."/>
      <w:numFmt w:val="decimal"/>
      <w:start w:val="3"/>
    </w:lvl>
  </w:abstractNum>
  <w:abstractNum w:abstractNumId="206">
    <w:nsid w:val="19A52566"/>
    <w:multiLevelType w:val="hybridMultilevel"/>
    <w:lvl w:ilvl="0">
      <w:lvlJc w:val="left"/>
      <w:lvlText w:val="%1."/>
      <w:numFmt w:val="decimal"/>
      <w:start w:val="4"/>
    </w:lvl>
  </w:abstractNum>
  <w:abstractNum w:abstractNumId="207">
    <w:nsid w:val="335A1DF1"/>
    <w:multiLevelType w:val="hybridMultilevel"/>
    <w:lvl w:ilvl="0">
      <w:lvlJc w:val="left"/>
      <w:lvlText w:val="%1."/>
      <w:numFmt w:val="decimal"/>
      <w:start w:val="5"/>
    </w:lvl>
  </w:abstractNum>
  <w:abstractNum w:abstractNumId="208">
    <w:nsid w:val="28677B7C"/>
    <w:multiLevelType w:val="hybridMultilevel"/>
    <w:lvl w:ilvl="0">
      <w:lvlJc w:val="left"/>
      <w:lvlText w:val="%1."/>
      <w:numFmt w:val="decimal"/>
      <w:start w:val="6"/>
    </w:lvl>
  </w:abstractNum>
  <w:abstractNum w:abstractNumId="209">
    <w:nsid w:val="378D97C0"/>
    <w:multiLevelType w:val="hybridMultilevel"/>
    <w:lvl w:ilvl="0">
      <w:lvlJc w:val="left"/>
      <w:lvlText w:val="%1."/>
      <w:numFmt w:val="decimal"/>
      <w:start w:val="7"/>
    </w:lvl>
  </w:abstractNum>
  <w:abstractNum w:abstractNumId="210">
    <w:nsid w:val="1D91467C"/>
    <w:multiLevelType w:val="hybridMultilevel"/>
    <w:lvl w:ilvl="0">
      <w:lvlJc w:val="left"/>
      <w:lvlText w:val="%1."/>
      <w:numFmt w:val="decimal"/>
      <w:start w:val="8"/>
    </w:lvl>
    <w:lvl w:ilvl="1">
      <w:lvlJc w:val="left"/>
      <w:lvlText w:val="•"/>
      <w:numFmt w:val="bullet"/>
      <w:start w:val="1"/>
    </w:lvl>
  </w:abstractNum>
  <w:abstractNum w:abstractNumId="211">
    <w:nsid w:val="316032BB"/>
    <w:multiLevelType w:val="hybridMultilevel"/>
    <w:lvl w:ilvl="0">
      <w:lvlJc w:val="left"/>
      <w:lvlText w:val="•"/>
      <w:numFmt w:val="bullet"/>
      <w:start w:val="1"/>
    </w:lvl>
  </w:abstractNum>
  <w:abstractNum w:abstractNumId="212">
    <w:nsid w:val="44344C22"/>
    <w:multiLevelType w:val="hybridMultilevel"/>
    <w:lvl w:ilvl="0">
      <w:lvlJc w:val="left"/>
      <w:lvlText w:val="•"/>
      <w:numFmt w:val="bullet"/>
      <w:start w:val="1"/>
    </w:lvl>
  </w:abstractNum>
  <w:abstractNum w:abstractNumId="213">
    <w:nsid w:val="13CDFCFC"/>
    <w:multiLevelType w:val="hybridMultilevel"/>
    <w:lvl w:ilvl="0">
      <w:lvlJc w:val="left"/>
      <w:lvlText w:val="•"/>
      <w:numFmt w:val="bullet"/>
      <w:start w:val="1"/>
    </w:lvl>
  </w:abstractNum>
  <w:abstractNum w:abstractNumId="214">
    <w:nsid w:val="471745E4"/>
    <w:multiLevelType w:val="hybridMultilevel"/>
    <w:lvl w:ilvl="0">
      <w:lvlJc w:val="left"/>
      <w:lvlText w:val="%1."/>
      <w:numFmt w:val="decimal"/>
      <w:start w:val="9"/>
    </w:lvl>
  </w:abstractNum>
  <w:abstractNum w:abstractNumId="215">
    <w:nsid w:val="1DDBC66"/>
    <w:multiLevelType w:val="hybridMultilevel"/>
    <w:lvl w:ilvl="0">
      <w:lvlJc w:val="left"/>
      <w:lvlText w:val="%1."/>
      <w:numFmt w:val="decimal"/>
      <w:start w:val="10"/>
    </w:lvl>
  </w:abstractNum>
  <w:abstractNum w:abstractNumId="216">
    <w:nsid w:val="30AADFDA"/>
    <w:multiLevelType w:val="hybridMultilevel"/>
    <w:lvl w:ilvl="0">
      <w:lvlJc w:val="left"/>
      <w:lvlText w:val="•"/>
      <w:numFmt w:val="bullet"/>
      <w:start w:val="1"/>
    </w:lvl>
  </w:abstractNum>
  <w:abstractNum w:abstractNumId="217">
    <w:nsid w:val="30EADA61"/>
    <w:multiLevelType w:val="hybridMultilevel"/>
    <w:lvl w:ilvl="0">
      <w:lvlJc w:val="left"/>
      <w:lvlText w:val="•"/>
      <w:numFmt w:val="bullet"/>
      <w:start w:val="1"/>
    </w:lvl>
  </w:abstractNum>
  <w:abstractNum w:abstractNumId="218">
    <w:nsid w:val="27179C0B"/>
    <w:multiLevelType w:val="hybridMultilevel"/>
    <w:lvl w:ilvl="0">
      <w:lvlJc w:val="left"/>
      <w:lvlText w:val="•"/>
      <w:numFmt w:val="bullet"/>
      <w:start w:val="1"/>
    </w:lvl>
  </w:abstractNum>
  <w:abstractNum w:abstractNumId="219">
    <w:nsid w:val="5E636063"/>
    <w:multiLevelType w:val="hybridMultilevel"/>
    <w:lvl w:ilvl="0">
      <w:lvlJc w:val="left"/>
      <w:lvlText w:val="•"/>
      <w:numFmt w:val="bullet"/>
      <w:start w:val="1"/>
    </w:lvl>
  </w:abstractNum>
  <w:abstractNum w:abstractNumId="220">
    <w:nsid w:val="215641AF"/>
    <w:multiLevelType w:val="hybridMultilevel"/>
    <w:lvl w:ilvl="0">
      <w:lvlJc w:val="left"/>
      <w:lvlText w:val="%1."/>
      <w:numFmt w:val="decimal"/>
      <w:start w:val="11"/>
    </w:lvl>
  </w:abstractNum>
  <w:abstractNum w:abstractNumId="221">
    <w:nsid w:val="53280662"/>
    <w:multiLevelType w:val="hybridMultilevel"/>
    <w:lvl w:ilvl="0">
      <w:lvlJc w:val="left"/>
      <w:lvlText w:val="%1."/>
      <w:numFmt w:val="decimal"/>
      <w:start w:val="12"/>
    </w:lvl>
  </w:abstractNum>
  <w:abstractNum w:abstractNumId="222">
    <w:nsid w:val="46B24DBC"/>
    <w:multiLevelType w:val="hybridMultilevel"/>
    <w:lvl w:ilvl="0">
      <w:lvlJc w:val="left"/>
      <w:lvlText w:val="•"/>
      <w:numFmt w:val="bullet"/>
      <w:start w:val="1"/>
    </w:lvl>
  </w:abstractNum>
  <w:abstractNum w:abstractNumId="223">
    <w:nsid w:val="75B52783"/>
    <w:multiLevelType w:val="hybridMultilevel"/>
    <w:lvl w:ilvl="0">
      <w:lvlJc w:val="left"/>
      <w:lvlText w:val="•"/>
      <w:numFmt w:val="bullet"/>
      <w:start w:val="1"/>
    </w:lvl>
  </w:abstractNum>
  <w:abstractNum w:abstractNumId="224">
    <w:nsid w:val="57CE66B4"/>
    <w:multiLevelType w:val="hybridMultilevel"/>
    <w:lvl w:ilvl="0">
      <w:lvlJc w:val="left"/>
      <w:lvlText w:val="•"/>
      <w:numFmt w:val="bullet"/>
      <w:start w:val="1"/>
    </w:lvl>
  </w:abstractNum>
  <w:abstractNum w:abstractNumId="225">
    <w:nsid w:val="67A70B69"/>
    <w:multiLevelType w:val="hybridMultilevel"/>
    <w:lvl w:ilvl="0">
      <w:lvlJc w:val="left"/>
      <w:lvlText w:val="•"/>
      <w:numFmt w:val="bullet"/>
      <w:start w:val="1"/>
    </w:lvl>
  </w:abstractNum>
  <w:abstractNum w:abstractNumId="226">
    <w:nsid w:val="5953172F"/>
    <w:multiLevelType w:val="hybridMultilevel"/>
    <w:lvl w:ilvl="0">
      <w:lvlJc w:val="left"/>
      <w:lvlText w:val="%1."/>
      <w:numFmt w:val="decimal"/>
      <w:start w:val="13"/>
    </w:lvl>
  </w:abstractNum>
  <w:abstractNum w:abstractNumId="227">
    <w:nsid w:val="27EDFE3A"/>
    <w:multiLevelType w:val="hybridMultilevel"/>
    <w:lvl w:ilvl="0">
      <w:lvlJc w:val="left"/>
      <w:lvlText w:val="%1."/>
      <w:numFmt w:val="decimal"/>
      <w:start w:val="14"/>
    </w:lvl>
  </w:abstractNum>
  <w:abstractNum w:abstractNumId="228">
    <w:nsid w:val="52AC7DFF"/>
    <w:multiLevelType w:val="hybridMultilevel"/>
    <w:lvl w:ilvl="0">
      <w:lvlJc w:val="left"/>
      <w:lvlText w:val="%1."/>
      <w:numFmt w:val="decimal"/>
      <w:start w:val="15"/>
    </w:lvl>
  </w:abstractNum>
  <w:abstractNum w:abstractNumId="229">
    <w:nsid w:val="C4C3AF"/>
    <w:multiLevelType w:val="hybridMultilevel"/>
    <w:lvl w:ilvl="0">
      <w:lvlJc w:val="left"/>
      <w:lvlText w:val="%1."/>
      <w:numFmt w:val="decimal"/>
      <w:start w:val="16"/>
    </w:lvl>
  </w:abstractNum>
  <w:abstractNum w:abstractNumId="230">
    <w:nsid w:val="44380727"/>
    <w:multiLevelType w:val="hybridMultilevel"/>
    <w:lvl w:ilvl="0">
      <w:lvlJc w:val="left"/>
      <w:lvlText w:val="%1."/>
      <w:numFmt w:val="decimal"/>
      <w:start w:val="17"/>
    </w:lvl>
  </w:abstractNum>
  <w:abstractNum w:abstractNumId="231">
    <w:nsid w:val="6C053B16"/>
    <w:multiLevelType w:val="hybridMultilevel"/>
    <w:lvl w:ilvl="0">
      <w:lvlJc w:val="left"/>
      <w:lvlText w:val="%1."/>
      <w:numFmt w:val="decimal"/>
      <w:start w:val="18"/>
    </w:lvl>
  </w:abstractNum>
  <w:abstractNum w:abstractNumId="232">
    <w:nsid w:val="4F294393"/>
    <w:multiLevelType w:val="hybridMultilevel"/>
    <w:lvl w:ilvl="0">
      <w:lvlJc w:val="left"/>
      <w:lvlText w:val="•"/>
      <w:numFmt w:val="bullet"/>
      <w:start w:val="1"/>
    </w:lvl>
  </w:abstractNum>
  <w:abstractNum w:abstractNumId="233">
    <w:nsid w:val="5243BFAC"/>
    <w:multiLevelType w:val="hybridMultilevel"/>
    <w:lvl w:ilvl="0">
      <w:lvlJc w:val="left"/>
      <w:lvlText w:val="%1)"/>
      <w:numFmt w:val="decimal"/>
      <w:start w:val="61"/>
    </w:lvl>
  </w:abstractNum>
  <w:abstractNum w:abstractNumId="234">
    <w:nsid w:val="425EB207"/>
    <w:multiLevelType w:val="hybridMultilevel"/>
    <w:lvl w:ilvl="0">
      <w:lvlJc w:val="left"/>
      <w:lvlText w:val="%1."/>
      <w:numFmt w:val="decimal"/>
      <w:start w:val="22"/>
    </w:lvl>
  </w:abstractNum>
  <w:abstractNum w:abstractNumId="235">
    <w:nsid w:val="334A6F1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2019-12-08T23:43:39Z</dcterms:created>
  <dcterms:modified xsi:type="dcterms:W3CDTF">2019-12-08T23:43:39Z</dcterms:modified>
</cp:coreProperties>
</file>