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WASHINGTON, DC 20549</w:t>
      </w:r>
    </w:p>
    <w:p>
      <w:pPr>
        <w:spacing w:after="0" w:line="232"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[Rule 13d-101]</w:t>
      </w:r>
    </w:p>
    <w:p>
      <w:pPr>
        <w:spacing w:after="0" w:line="200" w:lineRule="exact"/>
        <w:rPr>
          <w:sz w:val="24"/>
          <w:szCs w:val="24"/>
          <w:color w:val="auto"/>
        </w:rPr>
      </w:pPr>
    </w:p>
    <w:p>
      <w:pPr>
        <w:spacing w:after="0" w:line="274"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(Amendment No. 4)</w:t>
      </w:r>
    </w:p>
    <w:p>
      <w:pPr>
        <w:spacing w:after="0" w:line="200" w:lineRule="exact"/>
        <w:rPr>
          <w:sz w:val="24"/>
          <w:szCs w:val="24"/>
          <w:color w:val="auto"/>
        </w:rPr>
      </w:pPr>
    </w:p>
    <w:p>
      <w:pPr>
        <w:spacing w:after="0" w:line="293" w:lineRule="exact"/>
        <w:rPr>
          <w:sz w:val="24"/>
          <w:szCs w:val="24"/>
          <w:color w:val="auto"/>
        </w:rPr>
      </w:pPr>
    </w:p>
    <w:p>
      <w:pPr>
        <w:jc w:val="center"/>
        <w:ind w:left="580"/>
        <w:spacing w:after="0" w:line="280" w:lineRule="auto"/>
        <w:rPr>
          <w:sz w:val="20"/>
          <w:szCs w:val="20"/>
          <w:color w:val="auto"/>
        </w:rPr>
      </w:pPr>
      <w:r>
        <w:rPr>
          <w:rFonts w:ascii="Arial" w:cs="Arial" w:eastAsia="Arial" w:hAnsi="Arial"/>
          <w:sz w:val="18"/>
          <w:szCs w:val="18"/>
          <w:b w:val="1"/>
          <w:bCs w:val="1"/>
          <w:color w:val="auto"/>
        </w:rPr>
        <w:t>INFORMATION TO BE INCLUDED IN STATEMENTS FILED PURSUANT TO § 240.13d-1(a) AND AMENDMENTS THERETO FILED PURSUANT TO 240.13d-2(a)</w:t>
      </w:r>
    </w:p>
    <w:p>
      <w:pPr>
        <w:spacing w:after="0" w:line="194"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TPG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3"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(Name of Issuer)</w:t>
      </w:r>
    </w:p>
    <w:p>
      <w:pPr>
        <w:spacing w:after="0" w:line="223"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3"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(Title of Class of Securities)</w:t>
      </w:r>
    </w:p>
    <w:p>
      <w:pPr>
        <w:spacing w:after="0" w:line="223"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3"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(CUSIP Number)</w:t>
      </w:r>
    </w:p>
    <w:p>
      <w:pPr>
        <w:spacing w:after="0" w:line="223"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Ronald Cami</w:t>
      </w:r>
    </w:p>
    <w:p>
      <w:pPr>
        <w:spacing w:after="0" w:line="23"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Vice President</w:t>
      </w:r>
    </w:p>
    <w:p>
      <w:pPr>
        <w:spacing w:after="0" w:line="8"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TPG Capital, L.P.</w:t>
      </w:r>
    </w:p>
    <w:p>
      <w:pPr>
        <w:spacing w:after="0" w:line="8"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301 Commerce Street, Suite 3300</w:t>
      </w:r>
    </w:p>
    <w:p>
      <w:pPr>
        <w:spacing w:after="0" w:line="8"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Fort Worth, TX 76102</w:t>
      </w:r>
    </w:p>
    <w:p>
      <w:pPr>
        <w:spacing w:after="0" w:line="8"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jc w:val="center"/>
        <w:ind w:right="-339"/>
        <w:spacing w:after="0"/>
        <w:rPr>
          <w:sz w:val="20"/>
          <w:szCs w:val="20"/>
          <w:color w:val="auto"/>
        </w:rPr>
      </w:pPr>
      <w:r>
        <w:rPr>
          <w:rFonts w:ascii="Arial" w:cs="Arial" w:eastAsia="Arial" w:hAnsi="Arial"/>
          <w:sz w:val="18"/>
          <w:szCs w:val="18"/>
          <w:color w:val="auto"/>
        </w:rPr>
        <w:t>(Name, Address and Telephone Number of Person</w:t>
      </w:r>
    </w:p>
    <w:p>
      <w:pPr>
        <w:spacing w:after="0" w:line="22"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Authorized to Receive Notices and Communications)</w:t>
      </w:r>
    </w:p>
    <w:p>
      <w:pPr>
        <w:spacing w:after="0" w:line="209"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February 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7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3"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(Date of Event which Requires Filing of this Statement)</w:t>
      </w:r>
    </w:p>
    <w:p>
      <w:pPr>
        <w:spacing w:after="0" w:line="250" w:lineRule="exact"/>
        <w:rPr>
          <w:sz w:val="24"/>
          <w:szCs w:val="24"/>
          <w:color w:val="auto"/>
        </w:rPr>
      </w:pPr>
    </w:p>
    <w:p>
      <w:pPr>
        <w:ind w:right="320" w:firstLine="323"/>
        <w:spacing w:after="0" w:line="276"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 -1(e), 240.13d -1(f) or 240.13d -1(g), check the following box. o</w:t>
      </w:r>
    </w:p>
    <w:p>
      <w:pPr>
        <w:spacing w:after="0" w:line="200" w:lineRule="exact"/>
        <w:rPr>
          <w:sz w:val="24"/>
          <w:szCs w:val="24"/>
          <w:color w:val="auto"/>
        </w:rPr>
      </w:pPr>
    </w:p>
    <w:p>
      <w:pPr>
        <w:spacing w:after="0" w:line="239" w:lineRule="exact"/>
        <w:rPr>
          <w:sz w:val="24"/>
          <w:szCs w:val="24"/>
          <w:color w:val="auto"/>
        </w:rPr>
      </w:pPr>
    </w:p>
    <w:p>
      <w:pPr>
        <w:ind w:left="340" w:right="340" w:firstLine="323"/>
        <w:spacing w:after="0" w:line="276"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w:t>
      </w:r>
      <w:r>
        <w:rPr>
          <w:rFonts w:ascii="Arial" w:cs="Arial" w:eastAsia="Arial" w:hAnsi="Arial"/>
          <w:sz w:val="18"/>
          <w:szCs w:val="18"/>
          <w:i w:val="1"/>
          <w:iCs w:val="1"/>
          <w:color w:val="auto"/>
        </w:rPr>
        <w:t xml:space="preserve"> </w:t>
      </w:r>
      <w:r>
        <w:rPr>
          <w:rFonts w:ascii="Arial" w:cs="Arial" w:eastAsia="Arial" w:hAnsi="Arial"/>
          <w:sz w:val="18"/>
          <w:szCs w:val="18"/>
          <w:color w:val="auto"/>
        </w:rPr>
        <w:t>§240.13d -7 for other parties to whom copies are to be sent.</w:t>
      </w:r>
    </w:p>
    <w:p>
      <w:pPr>
        <w:spacing w:after="0" w:line="200" w:lineRule="exact"/>
        <w:rPr>
          <w:sz w:val="24"/>
          <w:szCs w:val="24"/>
          <w:color w:val="auto"/>
        </w:rPr>
      </w:pPr>
    </w:p>
    <w:p>
      <w:pPr>
        <w:spacing w:after="0" w:line="239" w:lineRule="exact"/>
        <w:rPr>
          <w:sz w:val="24"/>
          <w:szCs w:val="24"/>
          <w:color w:val="auto"/>
        </w:rPr>
      </w:pPr>
    </w:p>
    <w:p>
      <w:pPr>
        <w:jc w:val="center"/>
        <w:ind w:right="320"/>
        <w:spacing w:after="0"/>
        <w:rPr>
          <w:sz w:val="20"/>
          <w:szCs w:val="20"/>
          <w:color w:val="auto"/>
        </w:rPr>
      </w:pPr>
      <w:r>
        <w:rPr>
          <w:rFonts w:ascii="Arial" w:cs="Arial" w:eastAsia="Arial" w:hAnsi="Arial"/>
          <w:sz w:val="18"/>
          <w:szCs w:val="18"/>
          <w:color w:val="auto"/>
        </w:rPr>
        <w:t>(Continued on following pages)</w:t>
      </w:r>
    </w:p>
    <w:p>
      <w:pPr>
        <w:spacing w:after="0" w:line="251" w:lineRule="exact"/>
        <w:rPr>
          <w:sz w:val="24"/>
          <w:szCs w:val="24"/>
          <w:color w:val="auto"/>
        </w:rPr>
      </w:pPr>
    </w:p>
    <w:p>
      <w:pPr>
        <w:ind w:right="980" w:firstLine="331"/>
        <w:spacing w:after="0" w:line="290" w:lineRule="auto"/>
        <w:tabs>
          <w:tab w:leader="none" w:pos="463"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jc w:val="both"/>
        <w:ind w:right="320" w:firstLine="323"/>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554990</wp:posOffset>
            </wp:positionV>
            <wp:extent cx="725106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100"/>
          </w:cols>
          <w:pgMar w:left="240" w:top="1198" w:right="5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73"/>
        </w:trPr>
        <w:tc>
          <w:tcPr>
            <w:tcW w:w="286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20" w:type="dxa"/>
            <w:vAlign w:val="bottom"/>
            <w:tcBorders>
              <w:right w:val="single" w:sz="8" w:color="auto"/>
            </w:tcBorders>
          </w:tcPr>
          <w:p>
            <w:pPr>
              <w:ind w:left="270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w w:val="87"/>
              </w:rPr>
              <w:t>Page 2 of 16 Pages</w:t>
            </w:r>
          </w:p>
        </w:tc>
      </w:tr>
      <w:tr>
        <w:trPr>
          <w:trHeight w:val="37"/>
        </w:trPr>
        <w:tc>
          <w:tcPr>
            <w:tcW w:w="2860" w:type="dxa"/>
            <w:vAlign w:val="bottom"/>
            <w:tcBorders>
              <w:left w:val="single" w:sz="8" w:color="auto"/>
              <w:bottom w:val="single" w:sz="8" w:color="auto"/>
              <w:right w:val="single" w:sz="8" w:color="auto"/>
            </w:tcBorders>
          </w:tcPr>
          <w:p>
            <w:pPr>
              <w:spacing w:after="0"/>
              <w:rPr>
                <w:sz w:val="3"/>
                <w:szCs w:val="3"/>
                <w:color w:val="auto"/>
              </w:rPr>
            </w:pPr>
          </w:p>
        </w:tc>
        <w:tc>
          <w:tcPr>
            <w:tcW w:w="572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259955" cy="49053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9955" cy="4905375"/>
                    </a:xfrm>
                    <a:prstGeom prst="rect">
                      <a:avLst/>
                    </a:prstGeom>
                    <a:noFill/>
                  </pic:spPr>
                </pic:pic>
              </a:graphicData>
            </a:graphic>
          </wp:anchor>
        </w:drawing>
      </w:r>
    </w:p>
    <w:p>
      <w:pPr>
        <w:spacing w:after="0" w:line="232" w:lineRule="exact"/>
        <w:rPr>
          <w:sz w:val="20"/>
          <w:szCs w:val="20"/>
          <w:color w:val="auto"/>
        </w:rPr>
      </w:pPr>
    </w:p>
    <w:p>
      <w:pPr>
        <w:ind w:left="1520" w:right="6820" w:hanging="902"/>
        <w:spacing w:after="0" w:line="340" w:lineRule="auto"/>
        <w:tabs>
          <w:tab w:leader="none" w:pos="152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TPG Group Holdings (SBS) Advisors, Inc.</w:t>
      </w:r>
    </w:p>
    <w:p>
      <w:pPr>
        <w:spacing w:after="0" w:line="4" w:lineRule="exact"/>
        <w:rPr>
          <w:sz w:val="20"/>
          <w:szCs w:val="20"/>
          <w:color w:val="auto"/>
        </w:rPr>
      </w:pPr>
    </w:p>
    <w:p>
      <w:pPr>
        <w:ind w:left="1520" w:right="4940" w:hanging="902"/>
        <w:spacing w:after="0" w:line="258" w:lineRule="auto"/>
        <w:tabs>
          <w:tab w:leader="none" w:pos="1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8700"/>
        <w:spacing w:after="0"/>
        <w:rPr>
          <w:sz w:val="20"/>
          <w:szCs w:val="20"/>
          <w:color w:val="auto"/>
        </w:rPr>
      </w:pPr>
      <w:r>
        <w:rPr>
          <w:rFonts w:ascii="Arial" w:cs="Arial" w:eastAsia="Arial" w:hAnsi="Arial"/>
          <w:sz w:val="17"/>
          <w:szCs w:val="17"/>
          <w:color w:val="auto"/>
        </w:rPr>
        <w:t>(a) o</w:t>
      </w:r>
    </w:p>
    <w:p>
      <w:pPr>
        <w:spacing w:after="0" w:line="65" w:lineRule="exact"/>
        <w:rPr>
          <w:sz w:val="20"/>
          <w:szCs w:val="20"/>
          <w:color w:val="auto"/>
        </w:rPr>
      </w:pPr>
    </w:p>
    <w:p>
      <w:pPr>
        <w:ind w:left="8700"/>
        <w:spacing w:after="0"/>
        <w:rPr>
          <w:sz w:val="20"/>
          <w:szCs w:val="20"/>
          <w:color w:val="auto"/>
        </w:rPr>
      </w:pPr>
      <w:r>
        <w:rPr>
          <w:rFonts w:ascii="Arial" w:cs="Arial" w:eastAsia="Arial" w:hAnsi="Arial"/>
          <w:sz w:val="17"/>
          <w:szCs w:val="17"/>
          <w:color w:val="auto"/>
        </w:rPr>
        <w:t>(b) o</w:t>
      </w:r>
    </w:p>
    <w:p>
      <w:pPr>
        <w:spacing w:after="0" w:line="162" w:lineRule="exact"/>
        <w:rPr>
          <w:sz w:val="20"/>
          <w:szCs w:val="20"/>
          <w:color w:val="auto"/>
        </w:rPr>
      </w:pPr>
    </w:p>
    <w:p>
      <w:pPr>
        <w:ind w:left="1560" w:hanging="942"/>
        <w:spacing w:after="0"/>
        <w:tabs>
          <w:tab w:leader="none" w:pos="1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03" w:lineRule="exact"/>
        <w:rPr>
          <w:sz w:val="20"/>
          <w:szCs w:val="20"/>
          <w:color w:val="auto"/>
        </w:rPr>
      </w:pPr>
    </w:p>
    <w:p>
      <w:pPr>
        <w:ind w:left="1520" w:right="7020" w:hanging="902"/>
        <w:spacing w:after="0" w:line="276" w:lineRule="auto"/>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49" w:lineRule="exact"/>
        <w:rPr>
          <w:sz w:val="20"/>
          <w:szCs w:val="20"/>
          <w:color w:val="auto"/>
        </w:rPr>
      </w:pPr>
    </w:p>
    <w:p>
      <w:pPr>
        <w:ind w:left="1820" w:right="1980" w:hanging="1202"/>
        <w:spacing w:after="0" w:line="276" w:lineRule="auto"/>
        <w:tabs>
          <w:tab w:leader="none" w:pos="1506"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 o</w:t>
      </w:r>
    </w:p>
    <w:p>
      <w:pPr>
        <w:spacing w:after="0" w:line="49" w:lineRule="exact"/>
        <w:rPr>
          <w:sz w:val="20"/>
          <w:szCs w:val="20"/>
          <w:color w:val="auto"/>
        </w:rPr>
      </w:pPr>
    </w:p>
    <w:p>
      <w:pPr>
        <w:ind w:left="1520" w:right="6240" w:hanging="902"/>
        <w:spacing w:after="0" w:line="276" w:lineRule="auto"/>
        <w:tabs>
          <w:tab w:leader="none" w:pos="1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49" w:lineRule="exact"/>
        <w:rPr>
          <w:sz w:val="20"/>
          <w:szCs w:val="20"/>
          <w:color w:val="auto"/>
        </w:rPr>
      </w:pPr>
    </w:p>
    <w:tbl>
      <w:tblPr>
        <w:tblLayout w:type="fixed"/>
        <w:tblInd w:w="360" w:type="dxa"/>
        <w:tblCellMar>
          <w:top w:w="0" w:type="dxa"/>
          <w:left w:w="0" w:type="dxa"/>
          <w:bottom w:w="0" w:type="dxa"/>
          <w:right w:w="0" w:type="dxa"/>
        </w:tblCellMar>
      </w:tblPr>
      <w:tr>
        <w:trPr>
          <w:trHeight w:val="215"/>
        </w:trPr>
        <w:tc>
          <w:tcPr>
            <w:tcW w:w="16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8720" w:type="dxa"/>
            <w:vAlign w:val="bottom"/>
          </w:tcPr>
          <w:p>
            <w:pPr>
              <w:ind w:left="2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2"/>
        </w:trPr>
        <w:tc>
          <w:tcPr>
            <w:tcW w:w="1600" w:type="dxa"/>
            <w:vAlign w:val="bottom"/>
          </w:tcPr>
          <w:p>
            <w:pPr>
              <w:jc w:val="center"/>
              <w:ind w:right="250"/>
              <w:spacing w:after="0"/>
              <w:rPr>
                <w:sz w:val="20"/>
                <w:szCs w:val="20"/>
                <w:color w:val="auto"/>
              </w:rPr>
            </w:pPr>
            <w:r>
              <w:rPr>
                <w:rFonts w:ascii="Arial" w:cs="Arial" w:eastAsia="Arial" w:hAnsi="Arial"/>
                <w:sz w:val="18"/>
                <w:szCs w:val="18"/>
                <w:color w:val="auto"/>
                <w:w w:val="98"/>
              </w:rPr>
              <w:t>NUMBER OF</w:t>
            </w:r>
          </w:p>
        </w:tc>
        <w:tc>
          <w:tcPr>
            <w:tcW w:w="740" w:type="dxa"/>
            <w:vAlign w:val="bottom"/>
          </w:tcPr>
          <w:p>
            <w:pPr>
              <w:spacing w:after="0"/>
              <w:rPr>
                <w:sz w:val="21"/>
                <w:szCs w:val="21"/>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740" w:type="dxa"/>
            <w:vAlign w:val="bottom"/>
            <w:tcBorders>
              <w:bottom w:val="single" w:sz="8" w:color="auto"/>
            </w:tcBorders>
          </w:tcPr>
          <w:p>
            <w:pPr>
              <w:spacing w:after="0"/>
              <w:rPr>
                <w:sz w:val="2"/>
                <w:szCs w:val="2"/>
                <w:color w:val="auto"/>
              </w:rPr>
            </w:pPr>
          </w:p>
        </w:tc>
        <w:tc>
          <w:tcPr>
            <w:tcW w:w="8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00" w:type="dxa"/>
            <w:vAlign w:val="bottom"/>
            <w:vMerge w:val="continue"/>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9"/>
              </w:rPr>
              <w:t>8</w:t>
            </w:r>
          </w:p>
        </w:tc>
        <w:tc>
          <w:tcPr>
            <w:tcW w:w="8720" w:type="dxa"/>
            <w:vAlign w:val="bottom"/>
            <w:vMerge w:val="restart"/>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7"/>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740" w:type="dxa"/>
            <w:vAlign w:val="bottom"/>
            <w:vMerge w:val="continue"/>
          </w:tcPr>
          <w:p>
            <w:pPr>
              <w:spacing w:after="0"/>
              <w:rPr>
                <w:sz w:val="5"/>
                <w:szCs w:val="5"/>
                <w:color w:val="auto"/>
              </w:rPr>
            </w:pPr>
          </w:p>
        </w:tc>
        <w:tc>
          <w:tcPr>
            <w:tcW w:w="8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6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8720" w:type="dxa"/>
            <w:vAlign w:val="bottom"/>
            <w:vMerge w:val="restart"/>
          </w:tcPr>
          <w:p>
            <w:pPr>
              <w:ind w:left="240"/>
              <w:spacing w:after="0"/>
              <w:rPr>
                <w:sz w:val="20"/>
                <w:szCs w:val="20"/>
                <w:color w:val="auto"/>
              </w:rPr>
            </w:pPr>
            <w:r>
              <w:rPr>
                <w:rFonts w:ascii="Arial" w:cs="Arial" w:eastAsia="Arial" w:hAnsi="Arial"/>
                <w:sz w:val="18"/>
                <w:szCs w:val="18"/>
                <w:color w:val="auto"/>
              </w:rPr>
              <w:t>11,716 (See Items 3, 4 and 5)</w:t>
            </w:r>
          </w:p>
        </w:tc>
        <w:tc>
          <w:tcPr>
            <w:tcW w:w="0" w:type="dxa"/>
            <w:vAlign w:val="bottom"/>
          </w:tcPr>
          <w:p>
            <w:pPr>
              <w:spacing w:after="0"/>
              <w:rPr>
                <w:sz w:val="1"/>
                <w:szCs w:val="1"/>
                <w:color w:val="auto"/>
              </w:rPr>
            </w:pPr>
          </w:p>
        </w:tc>
      </w:tr>
      <w:tr>
        <w:trPr>
          <w:trHeight w:val="82"/>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OWNED BY</w:t>
            </w:r>
          </w:p>
        </w:tc>
        <w:tc>
          <w:tcPr>
            <w:tcW w:w="740" w:type="dxa"/>
            <w:vAlign w:val="bottom"/>
          </w:tcPr>
          <w:p>
            <w:pPr>
              <w:spacing w:after="0"/>
              <w:rPr>
                <w:sz w:val="7"/>
                <w:szCs w:val="7"/>
                <w:color w:val="auto"/>
              </w:rPr>
            </w:pP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6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3"/>
        </w:trPr>
        <w:tc>
          <w:tcPr>
            <w:tcW w:w="1600" w:type="dxa"/>
            <w:vAlign w:val="bottom"/>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9"/>
              </w:rPr>
              <w:t>9</w:t>
            </w:r>
          </w:p>
        </w:tc>
        <w:tc>
          <w:tcPr>
            <w:tcW w:w="8720" w:type="dxa"/>
            <w:vAlign w:val="bottom"/>
            <w:vMerge w:val="restart"/>
          </w:tcPr>
          <w:p>
            <w:pPr>
              <w:ind w:left="2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60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9"/>
              </w:rPr>
              <w:t>EACH</w:t>
            </w:r>
          </w:p>
        </w:tc>
        <w:tc>
          <w:tcPr>
            <w:tcW w:w="740" w:type="dxa"/>
            <w:vAlign w:val="bottom"/>
            <w:vMerge w:val="continue"/>
          </w:tcPr>
          <w:p>
            <w:pPr>
              <w:spacing w:after="0"/>
              <w:rPr>
                <w:sz w:val="15"/>
                <w:szCs w:val="15"/>
                <w:color w:val="auto"/>
              </w:rPr>
            </w:pPr>
          </w:p>
        </w:tc>
        <w:tc>
          <w:tcPr>
            <w:tcW w:w="8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600" w:type="dxa"/>
            <w:vAlign w:val="bottom"/>
          </w:tcPr>
          <w:p>
            <w:pPr>
              <w:jc w:val="center"/>
              <w:ind w:right="250"/>
              <w:spacing w:after="0"/>
              <w:rPr>
                <w:sz w:val="20"/>
                <w:szCs w:val="20"/>
                <w:color w:val="auto"/>
              </w:rPr>
            </w:pPr>
            <w:r>
              <w:rPr>
                <w:rFonts w:ascii="Arial" w:cs="Arial" w:eastAsia="Arial" w:hAnsi="Arial"/>
                <w:sz w:val="18"/>
                <w:szCs w:val="18"/>
                <w:color w:val="auto"/>
                <w:w w:val="91"/>
              </w:rPr>
              <w:t>REPORTING</w:t>
            </w:r>
          </w:p>
        </w:tc>
        <w:tc>
          <w:tcPr>
            <w:tcW w:w="740" w:type="dxa"/>
            <w:vAlign w:val="bottom"/>
            <w:tcBorders>
              <w:bottom w:val="single" w:sz="8" w:color="auto"/>
            </w:tcBorders>
          </w:tcPr>
          <w:p>
            <w:pPr>
              <w:spacing w:after="0"/>
              <w:rPr>
                <w:sz w:val="22"/>
                <w:szCs w:val="22"/>
                <w:color w:val="auto"/>
              </w:rPr>
            </w:pPr>
          </w:p>
        </w:tc>
        <w:tc>
          <w:tcPr>
            <w:tcW w:w="87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5"/>
        </w:trPr>
        <w:tc>
          <w:tcPr>
            <w:tcW w:w="1600" w:type="dxa"/>
            <w:vAlign w:val="bottom"/>
          </w:tcPr>
          <w:p>
            <w:pPr>
              <w:jc w:val="center"/>
              <w:ind w:right="250"/>
              <w:spacing w:after="0"/>
              <w:rPr>
                <w:sz w:val="20"/>
                <w:szCs w:val="20"/>
                <w:color w:val="auto"/>
              </w:rPr>
            </w:pPr>
            <w:r>
              <w:rPr>
                <w:rFonts w:ascii="Arial" w:cs="Arial" w:eastAsia="Arial" w:hAnsi="Arial"/>
                <w:sz w:val="18"/>
                <w:szCs w:val="18"/>
                <w:color w:val="auto"/>
                <w:w w:val="96"/>
              </w:rPr>
              <w:t>PERSON WITH</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720" w:type="dxa"/>
            <w:vAlign w:val="bottom"/>
          </w:tcPr>
          <w:p>
            <w:pPr>
              <w:ind w:left="2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rPr>
              <w:t>11,716 (See Items 3, 4 and 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520" w:right="3380" w:hanging="944"/>
        <w:spacing w:after="0" w:line="276" w:lineRule="auto"/>
        <w:tabs>
          <w:tab w:leader="none" w:pos="1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11,716 (See Items 3, 4 and 5)</w:t>
      </w:r>
    </w:p>
    <w:p>
      <w:pPr>
        <w:spacing w:after="0" w:line="48" w:lineRule="exact"/>
        <w:rPr>
          <w:rFonts w:ascii="Arial" w:cs="Arial" w:eastAsia="Arial" w:hAnsi="Arial"/>
          <w:sz w:val="18"/>
          <w:szCs w:val="18"/>
          <w:color w:val="auto"/>
        </w:rPr>
      </w:pPr>
    </w:p>
    <w:p>
      <w:pPr>
        <w:ind w:left="1520" w:hanging="947"/>
        <w:spacing w:after="0"/>
        <w:tabs>
          <w:tab w:leader="none" w:pos="1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w:t>
      </w:r>
    </w:p>
    <w:p>
      <w:pPr>
        <w:spacing w:after="0" w:line="23" w:lineRule="exact"/>
        <w:rPr>
          <w:sz w:val="20"/>
          <w:szCs w:val="20"/>
          <w:color w:val="auto"/>
        </w:rPr>
      </w:pPr>
    </w:p>
    <w:p>
      <w:pPr>
        <w:ind w:left="1520"/>
        <w:spacing w:after="0"/>
        <w:tabs>
          <w:tab w:leader="none" w:pos="4360" w:val="left"/>
        </w:tabs>
        <w:rPr>
          <w:sz w:val="20"/>
          <w:szCs w:val="20"/>
          <w:color w:val="auto"/>
        </w:rPr>
      </w:pPr>
      <w:r>
        <w:rPr>
          <w:rFonts w:ascii="Arial" w:cs="Arial" w:eastAsia="Arial" w:hAnsi="Arial"/>
          <w:sz w:val="18"/>
          <w:szCs w:val="18"/>
          <w:color w:val="auto"/>
        </w:rPr>
        <w:t>instructions)*</w:t>
      </w:r>
      <w:r>
        <w:rPr>
          <w:sz w:val="20"/>
          <w:szCs w:val="20"/>
          <w:color w:val="auto"/>
        </w:rPr>
        <w:tab/>
      </w:r>
      <w:r>
        <w:rPr>
          <w:rFonts w:ascii="Arial" w:cs="Arial" w:eastAsia="Arial" w:hAnsi="Arial"/>
          <w:sz w:val="18"/>
          <w:szCs w:val="18"/>
          <w:color w:val="auto"/>
        </w:rPr>
        <w:t>o</w:t>
      </w:r>
    </w:p>
    <w:p>
      <w:pPr>
        <w:spacing w:after="0" w:line="88" w:lineRule="exact"/>
        <w:rPr>
          <w:sz w:val="20"/>
          <w:szCs w:val="20"/>
          <w:color w:val="auto"/>
        </w:rPr>
      </w:pPr>
    </w:p>
    <w:p>
      <w:pPr>
        <w:ind w:left="1520" w:right="4900" w:hanging="947"/>
        <w:spacing w:after="0" w:line="276" w:lineRule="auto"/>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6.4% (See Item 5)*</w:t>
      </w:r>
    </w:p>
    <w:p>
      <w:pPr>
        <w:spacing w:after="0" w:line="44" w:lineRule="exact"/>
        <w:rPr>
          <w:rFonts w:ascii="Arial" w:cs="Arial" w:eastAsia="Arial" w:hAnsi="Arial"/>
          <w:sz w:val="18"/>
          <w:szCs w:val="18"/>
          <w:color w:val="auto"/>
        </w:rPr>
      </w:pPr>
    </w:p>
    <w:p>
      <w:pPr>
        <w:ind w:left="1520" w:hanging="947"/>
        <w:spacing w:after="0"/>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6"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03" w:lineRule="exact"/>
        <w:rPr>
          <w:sz w:val="20"/>
          <w:szCs w:val="20"/>
          <w:color w:val="auto"/>
        </w:rPr>
      </w:pPr>
    </w:p>
    <w:p>
      <w:pPr>
        <w:ind w:left="1520" w:right="40" w:hanging="904"/>
        <w:spacing w:after="0" w:line="276" w:lineRule="auto"/>
        <w:tabs>
          <w:tab w:leader="none" w:pos="1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calculation assumes that there are 183,058 shares of common stock of TPG Specialty Lending, Inc. (the “</w:t>
      </w:r>
      <w:r>
        <w:rPr>
          <w:rFonts w:ascii="Arial" w:cs="Arial" w:eastAsia="Arial" w:hAnsi="Arial"/>
          <w:sz w:val="18"/>
          <w:szCs w:val="18"/>
          <w:u w:val="single" w:color="auto"/>
          <w:color w:val="auto"/>
        </w:rPr>
        <w:t>Issuer</w:t>
      </w:r>
      <w:r>
        <w:rPr>
          <w:rFonts w:ascii="Arial" w:cs="Arial" w:eastAsia="Arial" w:hAnsi="Arial"/>
          <w:sz w:val="18"/>
          <w:szCs w:val="18"/>
          <w:color w:val="auto"/>
        </w:rPr>
        <w:t>”) outstanding as of February 1, 2012.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7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73"/>
        </w:trPr>
        <w:tc>
          <w:tcPr>
            <w:tcW w:w="286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20" w:type="dxa"/>
            <w:vAlign w:val="bottom"/>
            <w:tcBorders>
              <w:right w:val="single" w:sz="8" w:color="auto"/>
            </w:tcBorders>
          </w:tcPr>
          <w:p>
            <w:pPr>
              <w:ind w:left="270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w w:val="87"/>
              </w:rPr>
              <w:t>Page 3 of 16 Pages</w:t>
            </w:r>
          </w:p>
        </w:tc>
      </w:tr>
      <w:tr>
        <w:trPr>
          <w:trHeight w:val="37"/>
        </w:trPr>
        <w:tc>
          <w:tcPr>
            <w:tcW w:w="2860" w:type="dxa"/>
            <w:vAlign w:val="bottom"/>
            <w:tcBorders>
              <w:left w:val="single" w:sz="8" w:color="auto"/>
              <w:bottom w:val="single" w:sz="8" w:color="auto"/>
              <w:right w:val="single" w:sz="8" w:color="auto"/>
            </w:tcBorders>
          </w:tcPr>
          <w:p>
            <w:pPr>
              <w:spacing w:after="0"/>
              <w:rPr>
                <w:sz w:val="3"/>
                <w:szCs w:val="3"/>
                <w:color w:val="auto"/>
              </w:rPr>
            </w:pPr>
          </w:p>
        </w:tc>
        <w:tc>
          <w:tcPr>
            <w:tcW w:w="572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259955" cy="522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9955" cy="5226050"/>
                    </a:xfrm>
                    <a:prstGeom prst="rect">
                      <a:avLst/>
                    </a:prstGeom>
                    <a:noFill/>
                  </pic:spPr>
                </pic:pic>
              </a:graphicData>
            </a:graphic>
          </wp:anchor>
        </w:drawing>
      </w:r>
    </w:p>
    <w:p>
      <w:pPr>
        <w:spacing w:after="0" w:line="232" w:lineRule="exact"/>
        <w:rPr>
          <w:sz w:val="20"/>
          <w:szCs w:val="20"/>
          <w:color w:val="auto"/>
        </w:rPr>
      </w:pPr>
    </w:p>
    <w:p>
      <w:pPr>
        <w:ind w:left="1520" w:right="7120" w:hanging="902"/>
        <w:spacing w:after="0" w:line="340" w:lineRule="auto"/>
        <w:tabs>
          <w:tab w:leader="none" w:pos="15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NAMES OF REPORTING PERSONS Tarrant Capital Advisors, Inc.</w:t>
      </w:r>
    </w:p>
    <w:p>
      <w:pPr>
        <w:spacing w:after="0" w:line="4" w:lineRule="exact"/>
        <w:rPr>
          <w:sz w:val="20"/>
          <w:szCs w:val="20"/>
          <w:color w:val="auto"/>
        </w:rPr>
      </w:pPr>
    </w:p>
    <w:p>
      <w:pPr>
        <w:ind w:left="1680" w:right="4780" w:hanging="1062"/>
        <w:spacing w:after="0" w:line="258" w:lineRule="auto"/>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8860"/>
        <w:spacing w:after="0"/>
        <w:rPr>
          <w:sz w:val="20"/>
          <w:szCs w:val="20"/>
          <w:color w:val="auto"/>
        </w:rPr>
      </w:pPr>
      <w:r>
        <w:rPr>
          <w:rFonts w:ascii="Arial" w:cs="Arial" w:eastAsia="Arial" w:hAnsi="Arial"/>
          <w:sz w:val="17"/>
          <w:szCs w:val="17"/>
          <w:color w:val="auto"/>
        </w:rPr>
        <w:t>(a) o</w:t>
      </w:r>
    </w:p>
    <w:p>
      <w:pPr>
        <w:spacing w:after="0" w:line="65" w:lineRule="exact"/>
        <w:rPr>
          <w:sz w:val="20"/>
          <w:szCs w:val="20"/>
          <w:color w:val="auto"/>
        </w:rPr>
      </w:pPr>
    </w:p>
    <w:p>
      <w:pPr>
        <w:ind w:left="8860"/>
        <w:spacing w:after="0"/>
        <w:rPr>
          <w:sz w:val="20"/>
          <w:szCs w:val="20"/>
          <w:color w:val="auto"/>
        </w:rPr>
      </w:pPr>
      <w:r>
        <w:rPr>
          <w:rFonts w:ascii="Arial" w:cs="Arial" w:eastAsia="Arial" w:hAnsi="Arial"/>
          <w:sz w:val="17"/>
          <w:szCs w:val="17"/>
          <w:color w:val="auto"/>
        </w:rPr>
        <w:t>(b) o</w:t>
      </w:r>
    </w:p>
    <w:p>
      <w:pPr>
        <w:spacing w:after="0" w:line="162" w:lineRule="exact"/>
        <w:rPr>
          <w:sz w:val="20"/>
          <w:szCs w:val="20"/>
          <w:color w:val="auto"/>
        </w:rPr>
      </w:pPr>
    </w:p>
    <w:p>
      <w:pPr>
        <w:ind w:left="1560" w:hanging="942"/>
        <w:spacing w:after="0"/>
        <w:tabs>
          <w:tab w:leader="none" w:pos="1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03" w:lineRule="exact"/>
        <w:rPr>
          <w:sz w:val="20"/>
          <w:szCs w:val="20"/>
          <w:color w:val="auto"/>
        </w:rPr>
      </w:pPr>
    </w:p>
    <w:p>
      <w:pPr>
        <w:ind w:left="1520" w:right="7020" w:hanging="902"/>
        <w:spacing w:after="0" w:line="276" w:lineRule="auto"/>
        <w:tabs>
          <w:tab w:leader="none" w:pos="1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49" w:lineRule="exact"/>
        <w:rPr>
          <w:sz w:val="20"/>
          <w:szCs w:val="20"/>
          <w:color w:val="auto"/>
        </w:rPr>
      </w:pPr>
    </w:p>
    <w:p>
      <w:pPr>
        <w:ind w:left="1520" w:hanging="902"/>
        <w:spacing w:after="0"/>
        <w:tabs>
          <w:tab w:leader="none" w:pos="1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w:t>
      </w:r>
    </w:p>
    <w:p>
      <w:pPr>
        <w:spacing w:after="0" w:line="23" w:lineRule="exact"/>
        <w:rPr>
          <w:sz w:val="20"/>
          <w:szCs w:val="20"/>
          <w:color w:val="auto"/>
        </w:rPr>
      </w:pPr>
    </w:p>
    <w:p>
      <w:pPr>
        <w:ind w:left="1520"/>
        <w:spacing w:after="0"/>
        <w:tabs>
          <w:tab w:leader="none" w:pos="3840" w:val="left"/>
        </w:tabs>
        <w:rPr>
          <w:sz w:val="20"/>
          <w:szCs w:val="20"/>
          <w:color w:val="auto"/>
        </w:rPr>
      </w:pPr>
      <w:r>
        <w:rPr>
          <w:rFonts w:ascii="Arial" w:cs="Arial" w:eastAsia="Arial" w:hAnsi="Arial"/>
          <w:sz w:val="18"/>
          <w:szCs w:val="18"/>
          <w:color w:val="auto"/>
        </w:rPr>
        <w:t>2(e)</w:t>
      </w:r>
      <w:r>
        <w:rPr>
          <w:sz w:val="20"/>
          <w:szCs w:val="20"/>
          <w:color w:val="auto"/>
        </w:rPr>
        <w:tab/>
      </w:r>
      <w:r>
        <w:rPr>
          <w:rFonts w:ascii="Arial" w:cs="Arial" w:eastAsia="Arial" w:hAnsi="Arial"/>
          <w:sz w:val="18"/>
          <w:szCs w:val="18"/>
          <w:color w:val="auto"/>
        </w:rPr>
        <w:t>o</w:t>
      </w:r>
    </w:p>
    <w:p>
      <w:pPr>
        <w:spacing w:after="0" w:line="88" w:lineRule="exact"/>
        <w:rPr>
          <w:sz w:val="20"/>
          <w:szCs w:val="20"/>
          <w:color w:val="auto"/>
        </w:rPr>
      </w:pPr>
    </w:p>
    <w:p>
      <w:pPr>
        <w:ind w:left="1520" w:right="6240" w:hanging="902"/>
        <w:spacing w:after="0" w:line="276" w:lineRule="auto"/>
        <w:tabs>
          <w:tab w:leader="none" w:pos="1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49" w:lineRule="exact"/>
        <w:rPr>
          <w:sz w:val="20"/>
          <w:szCs w:val="20"/>
          <w:color w:val="auto"/>
        </w:rPr>
      </w:pPr>
    </w:p>
    <w:tbl>
      <w:tblPr>
        <w:tblLayout w:type="fixed"/>
        <w:tblInd w:w="360" w:type="dxa"/>
        <w:tblCellMar>
          <w:top w:w="0" w:type="dxa"/>
          <w:left w:w="0" w:type="dxa"/>
          <w:bottom w:w="0" w:type="dxa"/>
          <w:right w:w="0" w:type="dxa"/>
        </w:tblCellMar>
      </w:tblPr>
      <w:tr>
        <w:trPr>
          <w:trHeight w:val="215"/>
        </w:trPr>
        <w:tc>
          <w:tcPr>
            <w:tcW w:w="16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8720" w:type="dxa"/>
            <w:vAlign w:val="bottom"/>
          </w:tcPr>
          <w:p>
            <w:pPr>
              <w:ind w:left="2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2"/>
        </w:trPr>
        <w:tc>
          <w:tcPr>
            <w:tcW w:w="1600" w:type="dxa"/>
            <w:vAlign w:val="bottom"/>
          </w:tcPr>
          <w:p>
            <w:pPr>
              <w:jc w:val="center"/>
              <w:ind w:right="250"/>
              <w:spacing w:after="0"/>
              <w:rPr>
                <w:sz w:val="20"/>
                <w:szCs w:val="20"/>
                <w:color w:val="auto"/>
              </w:rPr>
            </w:pPr>
            <w:r>
              <w:rPr>
                <w:rFonts w:ascii="Arial" w:cs="Arial" w:eastAsia="Arial" w:hAnsi="Arial"/>
                <w:sz w:val="18"/>
                <w:szCs w:val="18"/>
                <w:color w:val="auto"/>
                <w:w w:val="98"/>
              </w:rPr>
              <w:t>NUMBER OF</w:t>
            </w:r>
          </w:p>
        </w:tc>
        <w:tc>
          <w:tcPr>
            <w:tcW w:w="740" w:type="dxa"/>
            <w:vAlign w:val="bottom"/>
          </w:tcPr>
          <w:p>
            <w:pPr>
              <w:spacing w:after="0"/>
              <w:rPr>
                <w:sz w:val="21"/>
                <w:szCs w:val="21"/>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740" w:type="dxa"/>
            <w:vAlign w:val="bottom"/>
            <w:tcBorders>
              <w:bottom w:val="single" w:sz="8" w:color="auto"/>
            </w:tcBorders>
          </w:tcPr>
          <w:p>
            <w:pPr>
              <w:spacing w:after="0"/>
              <w:rPr>
                <w:sz w:val="2"/>
                <w:szCs w:val="2"/>
                <w:color w:val="auto"/>
              </w:rPr>
            </w:pPr>
          </w:p>
        </w:tc>
        <w:tc>
          <w:tcPr>
            <w:tcW w:w="8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00" w:type="dxa"/>
            <w:vAlign w:val="bottom"/>
            <w:vMerge w:val="continue"/>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9"/>
              </w:rPr>
              <w:t>8</w:t>
            </w:r>
          </w:p>
        </w:tc>
        <w:tc>
          <w:tcPr>
            <w:tcW w:w="8720" w:type="dxa"/>
            <w:vAlign w:val="bottom"/>
            <w:vMerge w:val="restart"/>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7"/>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740" w:type="dxa"/>
            <w:vAlign w:val="bottom"/>
            <w:vMerge w:val="continue"/>
          </w:tcPr>
          <w:p>
            <w:pPr>
              <w:spacing w:after="0"/>
              <w:rPr>
                <w:sz w:val="5"/>
                <w:szCs w:val="5"/>
                <w:color w:val="auto"/>
              </w:rPr>
            </w:pPr>
          </w:p>
        </w:tc>
        <w:tc>
          <w:tcPr>
            <w:tcW w:w="8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6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8720" w:type="dxa"/>
            <w:vAlign w:val="bottom"/>
            <w:vMerge w:val="restart"/>
          </w:tcPr>
          <w:p>
            <w:pPr>
              <w:ind w:left="240"/>
              <w:spacing w:after="0"/>
              <w:rPr>
                <w:sz w:val="20"/>
                <w:szCs w:val="20"/>
                <w:color w:val="auto"/>
              </w:rPr>
            </w:pPr>
            <w:r>
              <w:rPr>
                <w:rFonts w:ascii="Arial" w:cs="Arial" w:eastAsia="Arial" w:hAnsi="Arial"/>
                <w:sz w:val="18"/>
                <w:szCs w:val="18"/>
                <w:color w:val="auto"/>
              </w:rPr>
              <w:t>11,814 (See Items 3, 4 and 5)</w:t>
            </w:r>
          </w:p>
        </w:tc>
        <w:tc>
          <w:tcPr>
            <w:tcW w:w="0" w:type="dxa"/>
            <w:vAlign w:val="bottom"/>
          </w:tcPr>
          <w:p>
            <w:pPr>
              <w:spacing w:after="0"/>
              <w:rPr>
                <w:sz w:val="1"/>
                <w:szCs w:val="1"/>
                <w:color w:val="auto"/>
              </w:rPr>
            </w:pPr>
          </w:p>
        </w:tc>
      </w:tr>
      <w:tr>
        <w:trPr>
          <w:trHeight w:val="82"/>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OWNED BY</w:t>
            </w:r>
          </w:p>
        </w:tc>
        <w:tc>
          <w:tcPr>
            <w:tcW w:w="740" w:type="dxa"/>
            <w:vAlign w:val="bottom"/>
          </w:tcPr>
          <w:p>
            <w:pPr>
              <w:spacing w:after="0"/>
              <w:rPr>
                <w:sz w:val="7"/>
                <w:szCs w:val="7"/>
                <w:color w:val="auto"/>
              </w:rPr>
            </w:pP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6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3"/>
        </w:trPr>
        <w:tc>
          <w:tcPr>
            <w:tcW w:w="1600" w:type="dxa"/>
            <w:vAlign w:val="bottom"/>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9"/>
              </w:rPr>
              <w:t>9</w:t>
            </w:r>
          </w:p>
        </w:tc>
        <w:tc>
          <w:tcPr>
            <w:tcW w:w="8720" w:type="dxa"/>
            <w:vAlign w:val="bottom"/>
            <w:vMerge w:val="restart"/>
          </w:tcPr>
          <w:p>
            <w:pPr>
              <w:ind w:left="2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60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9"/>
              </w:rPr>
              <w:t>EACH</w:t>
            </w:r>
          </w:p>
        </w:tc>
        <w:tc>
          <w:tcPr>
            <w:tcW w:w="740" w:type="dxa"/>
            <w:vAlign w:val="bottom"/>
            <w:vMerge w:val="continue"/>
          </w:tcPr>
          <w:p>
            <w:pPr>
              <w:spacing w:after="0"/>
              <w:rPr>
                <w:sz w:val="15"/>
                <w:szCs w:val="15"/>
                <w:color w:val="auto"/>
              </w:rPr>
            </w:pPr>
          </w:p>
        </w:tc>
        <w:tc>
          <w:tcPr>
            <w:tcW w:w="8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600" w:type="dxa"/>
            <w:vAlign w:val="bottom"/>
          </w:tcPr>
          <w:p>
            <w:pPr>
              <w:jc w:val="center"/>
              <w:ind w:right="250"/>
              <w:spacing w:after="0"/>
              <w:rPr>
                <w:sz w:val="20"/>
                <w:szCs w:val="20"/>
                <w:color w:val="auto"/>
              </w:rPr>
            </w:pPr>
            <w:r>
              <w:rPr>
                <w:rFonts w:ascii="Arial" w:cs="Arial" w:eastAsia="Arial" w:hAnsi="Arial"/>
                <w:sz w:val="18"/>
                <w:szCs w:val="18"/>
                <w:color w:val="auto"/>
                <w:w w:val="91"/>
              </w:rPr>
              <w:t>REPORTING</w:t>
            </w:r>
          </w:p>
        </w:tc>
        <w:tc>
          <w:tcPr>
            <w:tcW w:w="740" w:type="dxa"/>
            <w:vAlign w:val="bottom"/>
            <w:tcBorders>
              <w:bottom w:val="single" w:sz="8" w:color="auto"/>
            </w:tcBorders>
          </w:tcPr>
          <w:p>
            <w:pPr>
              <w:spacing w:after="0"/>
              <w:rPr>
                <w:sz w:val="22"/>
                <w:szCs w:val="22"/>
                <w:color w:val="auto"/>
              </w:rPr>
            </w:pPr>
          </w:p>
        </w:tc>
        <w:tc>
          <w:tcPr>
            <w:tcW w:w="87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5"/>
        </w:trPr>
        <w:tc>
          <w:tcPr>
            <w:tcW w:w="1600" w:type="dxa"/>
            <w:vAlign w:val="bottom"/>
          </w:tcPr>
          <w:p>
            <w:pPr>
              <w:jc w:val="center"/>
              <w:ind w:right="250"/>
              <w:spacing w:after="0"/>
              <w:rPr>
                <w:sz w:val="20"/>
                <w:szCs w:val="20"/>
                <w:color w:val="auto"/>
              </w:rPr>
            </w:pPr>
            <w:r>
              <w:rPr>
                <w:rFonts w:ascii="Arial" w:cs="Arial" w:eastAsia="Arial" w:hAnsi="Arial"/>
                <w:sz w:val="18"/>
                <w:szCs w:val="18"/>
                <w:color w:val="auto"/>
                <w:w w:val="96"/>
              </w:rPr>
              <w:t>PERSON WITH</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720" w:type="dxa"/>
            <w:vAlign w:val="bottom"/>
          </w:tcPr>
          <w:p>
            <w:pPr>
              <w:ind w:left="2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rPr>
              <w:t>11,814 (See Items 3, 4 and 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520" w:right="3380" w:hanging="944"/>
        <w:spacing w:after="0" w:line="276" w:lineRule="auto"/>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11,814 (See Items 3, 4 and 5)</w:t>
      </w:r>
    </w:p>
    <w:p>
      <w:pPr>
        <w:spacing w:after="0" w:line="48" w:lineRule="exact"/>
        <w:rPr>
          <w:rFonts w:ascii="Arial" w:cs="Arial" w:eastAsia="Arial" w:hAnsi="Arial"/>
          <w:sz w:val="18"/>
          <w:szCs w:val="18"/>
          <w:color w:val="auto"/>
        </w:rPr>
      </w:pPr>
    </w:p>
    <w:p>
      <w:pPr>
        <w:ind w:left="1520" w:hanging="947"/>
        <w:spacing w:after="0"/>
        <w:tabs>
          <w:tab w:leader="none" w:pos="1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w:t>
      </w:r>
    </w:p>
    <w:p>
      <w:pPr>
        <w:spacing w:after="0" w:line="23" w:lineRule="exact"/>
        <w:rPr>
          <w:sz w:val="20"/>
          <w:szCs w:val="20"/>
          <w:color w:val="auto"/>
        </w:rPr>
      </w:pPr>
    </w:p>
    <w:p>
      <w:pPr>
        <w:ind w:left="1520"/>
        <w:spacing w:after="0"/>
        <w:tabs>
          <w:tab w:leader="none" w:pos="4360" w:val="left"/>
        </w:tabs>
        <w:rPr>
          <w:sz w:val="20"/>
          <w:szCs w:val="20"/>
          <w:color w:val="auto"/>
        </w:rPr>
      </w:pPr>
      <w:r>
        <w:rPr>
          <w:rFonts w:ascii="Arial" w:cs="Arial" w:eastAsia="Arial" w:hAnsi="Arial"/>
          <w:sz w:val="18"/>
          <w:szCs w:val="18"/>
          <w:color w:val="auto"/>
        </w:rPr>
        <w:t>instructions)*</w:t>
      </w:r>
      <w:r>
        <w:rPr>
          <w:sz w:val="20"/>
          <w:szCs w:val="20"/>
          <w:color w:val="auto"/>
        </w:rPr>
        <w:tab/>
      </w:r>
      <w:r>
        <w:rPr>
          <w:rFonts w:ascii="Arial" w:cs="Arial" w:eastAsia="Arial" w:hAnsi="Arial"/>
          <w:sz w:val="18"/>
          <w:szCs w:val="18"/>
          <w:color w:val="auto"/>
        </w:rPr>
        <w:t>o</w:t>
      </w:r>
    </w:p>
    <w:p>
      <w:pPr>
        <w:spacing w:after="0" w:line="88" w:lineRule="exact"/>
        <w:rPr>
          <w:sz w:val="20"/>
          <w:szCs w:val="20"/>
          <w:color w:val="auto"/>
        </w:rPr>
      </w:pPr>
    </w:p>
    <w:p>
      <w:pPr>
        <w:ind w:left="1520" w:right="4900" w:hanging="947"/>
        <w:spacing w:after="0" w:line="276" w:lineRule="auto"/>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6.5% (See Item 5)*</w:t>
      </w:r>
    </w:p>
    <w:p>
      <w:pPr>
        <w:spacing w:after="0" w:line="44" w:lineRule="exact"/>
        <w:rPr>
          <w:rFonts w:ascii="Arial" w:cs="Arial" w:eastAsia="Arial" w:hAnsi="Arial"/>
          <w:sz w:val="18"/>
          <w:szCs w:val="18"/>
          <w:color w:val="auto"/>
        </w:rPr>
      </w:pPr>
    </w:p>
    <w:p>
      <w:pPr>
        <w:ind w:left="1520" w:hanging="947"/>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6"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303" w:lineRule="exact"/>
        <w:rPr>
          <w:sz w:val="20"/>
          <w:szCs w:val="20"/>
          <w:color w:val="auto"/>
        </w:rPr>
      </w:pPr>
    </w:p>
    <w:p>
      <w:pPr>
        <w:ind w:left="5040" w:right="300" w:hanging="4429"/>
        <w:spacing w:after="0" w:line="791" w:lineRule="auto"/>
        <w:tabs>
          <w:tab w:leader="none" w:pos="15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calculation assumes that there are 183,058 shares of common stock of the Issuer outstanding as of February 1, 2012. See Item 5. Page 3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-234950</wp:posOffset>
            </wp:positionV>
            <wp:extent cx="725106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73"/>
        </w:trPr>
        <w:tc>
          <w:tcPr>
            <w:tcW w:w="286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20" w:type="dxa"/>
            <w:vAlign w:val="bottom"/>
            <w:tcBorders>
              <w:right w:val="single" w:sz="8" w:color="auto"/>
            </w:tcBorders>
          </w:tcPr>
          <w:p>
            <w:pPr>
              <w:ind w:left="270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w w:val="87"/>
              </w:rPr>
              <w:t>Page 4 of 16 Pages</w:t>
            </w:r>
          </w:p>
        </w:tc>
      </w:tr>
      <w:tr>
        <w:trPr>
          <w:trHeight w:val="37"/>
        </w:trPr>
        <w:tc>
          <w:tcPr>
            <w:tcW w:w="2860" w:type="dxa"/>
            <w:vAlign w:val="bottom"/>
            <w:tcBorders>
              <w:left w:val="single" w:sz="8" w:color="auto"/>
              <w:bottom w:val="single" w:sz="8" w:color="auto"/>
              <w:right w:val="single" w:sz="8" w:color="auto"/>
            </w:tcBorders>
          </w:tcPr>
          <w:p>
            <w:pPr>
              <w:spacing w:after="0"/>
              <w:rPr>
                <w:sz w:val="3"/>
                <w:szCs w:val="3"/>
                <w:color w:val="auto"/>
              </w:rPr>
            </w:pPr>
          </w:p>
        </w:tc>
        <w:tc>
          <w:tcPr>
            <w:tcW w:w="572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132715</wp:posOffset>
            </wp:positionV>
            <wp:extent cx="7249160" cy="4881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9160" cy="4881880"/>
                    </a:xfrm>
                    <a:prstGeom prst="rect">
                      <a:avLst/>
                    </a:prstGeom>
                    <a:noFill/>
                  </pic:spPr>
                </pic:pic>
              </a:graphicData>
            </a:graphic>
          </wp:anchor>
        </w:drawing>
      </w:r>
    </w:p>
    <w:p>
      <w:pPr>
        <w:spacing w:after="0" w:line="232" w:lineRule="exact"/>
        <w:rPr>
          <w:sz w:val="20"/>
          <w:szCs w:val="20"/>
          <w:color w:val="auto"/>
        </w:rPr>
      </w:pPr>
    </w:p>
    <w:p>
      <w:pPr>
        <w:ind w:left="1520" w:right="7120" w:hanging="902"/>
        <w:spacing w:after="0" w:line="276" w:lineRule="auto"/>
        <w:tabs>
          <w:tab w:leader="none" w:pos="1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NAMES OF REPORTING PERSONS David Bonderman</w:t>
      </w:r>
    </w:p>
    <w:p>
      <w:pPr>
        <w:spacing w:after="0" w:line="49" w:lineRule="exact"/>
        <w:rPr>
          <w:sz w:val="20"/>
          <w:szCs w:val="20"/>
          <w:color w:val="auto"/>
        </w:rPr>
      </w:pPr>
    </w:p>
    <w:p>
      <w:pPr>
        <w:ind w:left="1680" w:right="4780" w:hanging="1062"/>
        <w:spacing w:after="0" w:line="258" w:lineRule="auto"/>
        <w:tabs>
          <w:tab w:leader="none" w:pos="1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8860"/>
        <w:spacing w:after="0"/>
        <w:rPr>
          <w:sz w:val="20"/>
          <w:szCs w:val="20"/>
          <w:color w:val="auto"/>
        </w:rPr>
      </w:pPr>
      <w:r>
        <w:rPr>
          <w:rFonts w:ascii="Arial" w:cs="Arial" w:eastAsia="Arial" w:hAnsi="Arial"/>
          <w:sz w:val="17"/>
          <w:szCs w:val="17"/>
          <w:color w:val="auto"/>
        </w:rPr>
        <w:t>(a) o</w:t>
      </w:r>
    </w:p>
    <w:p>
      <w:pPr>
        <w:spacing w:after="0" w:line="65" w:lineRule="exact"/>
        <w:rPr>
          <w:sz w:val="20"/>
          <w:szCs w:val="20"/>
          <w:color w:val="auto"/>
        </w:rPr>
      </w:pPr>
    </w:p>
    <w:p>
      <w:pPr>
        <w:ind w:left="8860"/>
        <w:spacing w:after="0"/>
        <w:rPr>
          <w:sz w:val="20"/>
          <w:szCs w:val="20"/>
          <w:color w:val="auto"/>
        </w:rPr>
      </w:pPr>
      <w:r>
        <w:rPr>
          <w:rFonts w:ascii="Arial" w:cs="Arial" w:eastAsia="Arial" w:hAnsi="Arial"/>
          <w:sz w:val="17"/>
          <w:szCs w:val="17"/>
          <w:color w:val="auto"/>
        </w:rPr>
        <w:t>(b) o</w:t>
      </w:r>
    </w:p>
    <w:p>
      <w:pPr>
        <w:spacing w:after="0" w:line="162" w:lineRule="exact"/>
        <w:rPr>
          <w:sz w:val="20"/>
          <w:szCs w:val="20"/>
          <w:color w:val="auto"/>
        </w:rPr>
      </w:pPr>
    </w:p>
    <w:p>
      <w:pPr>
        <w:ind w:left="1560" w:hanging="942"/>
        <w:spacing w:after="0"/>
        <w:tabs>
          <w:tab w:leader="none" w:pos="1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03" w:lineRule="exact"/>
        <w:rPr>
          <w:sz w:val="20"/>
          <w:szCs w:val="20"/>
          <w:color w:val="auto"/>
        </w:rPr>
      </w:pPr>
    </w:p>
    <w:p>
      <w:pPr>
        <w:ind w:left="1520" w:right="7020" w:hanging="902"/>
        <w:spacing w:after="0" w:line="276" w:lineRule="auto"/>
        <w:tabs>
          <w:tab w:leader="none" w:pos="1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49" w:lineRule="exact"/>
        <w:rPr>
          <w:sz w:val="20"/>
          <w:szCs w:val="20"/>
          <w:color w:val="auto"/>
        </w:rPr>
      </w:pPr>
    </w:p>
    <w:p>
      <w:pPr>
        <w:ind w:left="1520" w:hanging="902"/>
        <w:spacing w:after="0"/>
        <w:tabs>
          <w:tab w:leader="none" w:pos="1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w:t>
      </w:r>
    </w:p>
    <w:p>
      <w:pPr>
        <w:spacing w:after="0" w:line="23" w:lineRule="exact"/>
        <w:rPr>
          <w:sz w:val="20"/>
          <w:szCs w:val="20"/>
          <w:color w:val="auto"/>
        </w:rPr>
      </w:pPr>
    </w:p>
    <w:p>
      <w:pPr>
        <w:ind w:left="1520"/>
        <w:spacing w:after="0"/>
        <w:tabs>
          <w:tab w:leader="none" w:pos="3900" w:val="left"/>
        </w:tabs>
        <w:rPr>
          <w:sz w:val="20"/>
          <w:szCs w:val="20"/>
          <w:color w:val="auto"/>
        </w:rPr>
      </w:pPr>
      <w:r>
        <w:rPr>
          <w:rFonts w:ascii="Arial" w:cs="Arial" w:eastAsia="Arial" w:hAnsi="Arial"/>
          <w:sz w:val="18"/>
          <w:szCs w:val="18"/>
          <w:color w:val="auto"/>
        </w:rPr>
        <w:t>2(e)</w:t>
      </w:r>
      <w:r>
        <w:rPr>
          <w:sz w:val="20"/>
          <w:szCs w:val="20"/>
          <w:color w:val="auto"/>
        </w:rPr>
        <w:tab/>
      </w:r>
      <w:r>
        <w:rPr>
          <w:rFonts w:ascii="Arial" w:cs="Arial" w:eastAsia="Arial" w:hAnsi="Arial"/>
          <w:sz w:val="18"/>
          <w:szCs w:val="18"/>
          <w:color w:val="auto"/>
        </w:rPr>
        <w:t>o</w:t>
      </w:r>
    </w:p>
    <w:p>
      <w:pPr>
        <w:spacing w:after="0" w:line="88" w:lineRule="exact"/>
        <w:rPr>
          <w:sz w:val="20"/>
          <w:szCs w:val="20"/>
          <w:color w:val="auto"/>
        </w:rPr>
      </w:pPr>
    </w:p>
    <w:p>
      <w:pPr>
        <w:ind w:left="1520" w:right="6240" w:hanging="902"/>
        <w:spacing w:after="0" w:line="276" w:lineRule="auto"/>
        <w:tabs>
          <w:tab w:leader="none" w:pos="1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49" w:lineRule="exact"/>
        <w:rPr>
          <w:sz w:val="20"/>
          <w:szCs w:val="20"/>
          <w:color w:val="auto"/>
        </w:rPr>
      </w:pPr>
    </w:p>
    <w:tbl>
      <w:tblPr>
        <w:tblLayout w:type="fixed"/>
        <w:tblInd w:w="360" w:type="dxa"/>
        <w:tblCellMar>
          <w:top w:w="0" w:type="dxa"/>
          <w:left w:w="0" w:type="dxa"/>
          <w:bottom w:w="0" w:type="dxa"/>
          <w:right w:w="0" w:type="dxa"/>
        </w:tblCellMar>
      </w:tblPr>
      <w:tr>
        <w:trPr>
          <w:trHeight w:val="215"/>
        </w:trPr>
        <w:tc>
          <w:tcPr>
            <w:tcW w:w="16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8720" w:type="dxa"/>
            <w:vAlign w:val="bottom"/>
          </w:tcPr>
          <w:p>
            <w:pPr>
              <w:ind w:left="2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2"/>
        </w:trPr>
        <w:tc>
          <w:tcPr>
            <w:tcW w:w="1600" w:type="dxa"/>
            <w:vAlign w:val="bottom"/>
          </w:tcPr>
          <w:p>
            <w:pPr>
              <w:jc w:val="center"/>
              <w:ind w:right="250"/>
              <w:spacing w:after="0"/>
              <w:rPr>
                <w:sz w:val="20"/>
                <w:szCs w:val="20"/>
                <w:color w:val="auto"/>
              </w:rPr>
            </w:pPr>
            <w:r>
              <w:rPr>
                <w:rFonts w:ascii="Arial" w:cs="Arial" w:eastAsia="Arial" w:hAnsi="Arial"/>
                <w:sz w:val="18"/>
                <w:szCs w:val="18"/>
                <w:color w:val="auto"/>
                <w:w w:val="98"/>
              </w:rPr>
              <w:t>NUMBER OF</w:t>
            </w:r>
          </w:p>
        </w:tc>
        <w:tc>
          <w:tcPr>
            <w:tcW w:w="740" w:type="dxa"/>
            <w:vAlign w:val="bottom"/>
          </w:tcPr>
          <w:p>
            <w:pPr>
              <w:spacing w:after="0"/>
              <w:rPr>
                <w:sz w:val="21"/>
                <w:szCs w:val="21"/>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740" w:type="dxa"/>
            <w:vAlign w:val="bottom"/>
            <w:tcBorders>
              <w:bottom w:val="single" w:sz="8" w:color="auto"/>
            </w:tcBorders>
          </w:tcPr>
          <w:p>
            <w:pPr>
              <w:spacing w:after="0"/>
              <w:rPr>
                <w:sz w:val="2"/>
                <w:szCs w:val="2"/>
                <w:color w:val="auto"/>
              </w:rPr>
            </w:pPr>
          </w:p>
        </w:tc>
        <w:tc>
          <w:tcPr>
            <w:tcW w:w="8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00" w:type="dxa"/>
            <w:vAlign w:val="bottom"/>
            <w:vMerge w:val="continue"/>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9"/>
              </w:rPr>
              <w:t>8</w:t>
            </w:r>
          </w:p>
        </w:tc>
        <w:tc>
          <w:tcPr>
            <w:tcW w:w="8720" w:type="dxa"/>
            <w:vAlign w:val="bottom"/>
            <w:vMerge w:val="restart"/>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7"/>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740" w:type="dxa"/>
            <w:vAlign w:val="bottom"/>
            <w:vMerge w:val="continue"/>
          </w:tcPr>
          <w:p>
            <w:pPr>
              <w:spacing w:after="0"/>
              <w:rPr>
                <w:sz w:val="5"/>
                <w:szCs w:val="5"/>
                <w:color w:val="auto"/>
              </w:rPr>
            </w:pPr>
          </w:p>
        </w:tc>
        <w:tc>
          <w:tcPr>
            <w:tcW w:w="8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6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8720" w:type="dxa"/>
            <w:vAlign w:val="bottom"/>
            <w:vMerge w:val="restart"/>
          </w:tcPr>
          <w:p>
            <w:pPr>
              <w:ind w:left="240"/>
              <w:spacing w:after="0"/>
              <w:rPr>
                <w:sz w:val="20"/>
                <w:szCs w:val="20"/>
                <w:color w:val="auto"/>
              </w:rPr>
            </w:pPr>
            <w:r>
              <w:rPr>
                <w:rFonts w:ascii="Arial" w:cs="Arial" w:eastAsia="Arial" w:hAnsi="Arial"/>
                <w:sz w:val="18"/>
                <w:szCs w:val="18"/>
                <w:color w:val="auto"/>
              </w:rPr>
              <w:t>14,008 (See Items 3, 4 and 5)</w:t>
            </w:r>
          </w:p>
        </w:tc>
        <w:tc>
          <w:tcPr>
            <w:tcW w:w="0" w:type="dxa"/>
            <w:vAlign w:val="bottom"/>
          </w:tcPr>
          <w:p>
            <w:pPr>
              <w:spacing w:after="0"/>
              <w:rPr>
                <w:sz w:val="1"/>
                <w:szCs w:val="1"/>
                <w:color w:val="auto"/>
              </w:rPr>
            </w:pPr>
          </w:p>
        </w:tc>
      </w:tr>
      <w:tr>
        <w:trPr>
          <w:trHeight w:val="82"/>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OWNED BY</w:t>
            </w:r>
          </w:p>
        </w:tc>
        <w:tc>
          <w:tcPr>
            <w:tcW w:w="740" w:type="dxa"/>
            <w:vAlign w:val="bottom"/>
          </w:tcPr>
          <w:p>
            <w:pPr>
              <w:spacing w:after="0"/>
              <w:rPr>
                <w:sz w:val="7"/>
                <w:szCs w:val="7"/>
                <w:color w:val="auto"/>
              </w:rPr>
            </w:pP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6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3"/>
        </w:trPr>
        <w:tc>
          <w:tcPr>
            <w:tcW w:w="1600" w:type="dxa"/>
            <w:vAlign w:val="bottom"/>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9"/>
              </w:rPr>
              <w:t>9</w:t>
            </w:r>
          </w:p>
        </w:tc>
        <w:tc>
          <w:tcPr>
            <w:tcW w:w="8720" w:type="dxa"/>
            <w:vAlign w:val="bottom"/>
            <w:vMerge w:val="restart"/>
          </w:tcPr>
          <w:p>
            <w:pPr>
              <w:ind w:left="2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60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9"/>
              </w:rPr>
              <w:t>EACH</w:t>
            </w:r>
          </w:p>
        </w:tc>
        <w:tc>
          <w:tcPr>
            <w:tcW w:w="740" w:type="dxa"/>
            <w:vAlign w:val="bottom"/>
            <w:vMerge w:val="continue"/>
          </w:tcPr>
          <w:p>
            <w:pPr>
              <w:spacing w:after="0"/>
              <w:rPr>
                <w:sz w:val="15"/>
                <w:szCs w:val="15"/>
                <w:color w:val="auto"/>
              </w:rPr>
            </w:pPr>
          </w:p>
        </w:tc>
        <w:tc>
          <w:tcPr>
            <w:tcW w:w="8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600" w:type="dxa"/>
            <w:vAlign w:val="bottom"/>
          </w:tcPr>
          <w:p>
            <w:pPr>
              <w:jc w:val="center"/>
              <w:ind w:right="250"/>
              <w:spacing w:after="0"/>
              <w:rPr>
                <w:sz w:val="20"/>
                <w:szCs w:val="20"/>
                <w:color w:val="auto"/>
              </w:rPr>
            </w:pPr>
            <w:r>
              <w:rPr>
                <w:rFonts w:ascii="Arial" w:cs="Arial" w:eastAsia="Arial" w:hAnsi="Arial"/>
                <w:sz w:val="18"/>
                <w:szCs w:val="18"/>
                <w:color w:val="auto"/>
                <w:w w:val="91"/>
              </w:rPr>
              <w:t>REPORTING</w:t>
            </w:r>
          </w:p>
        </w:tc>
        <w:tc>
          <w:tcPr>
            <w:tcW w:w="740" w:type="dxa"/>
            <w:vAlign w:val="bottom"/>
            <w:tcBorders>
              <w:bottom w:val="single" w:sz="8" w:color="auto"/>
            </w:tcBorders>
          </w:tcPr>
          <w:p>
            <w:pPr>
              <w:spacing w:after="0"/>
              <w:rPr>
                <w:sz w:val="22"/>
                <w:szCs w:val="22"/>
                <w:color w:val="auto"/>
              </w:rPr>
            </w:pPr>
          </w:p>
        </w:tc>
        <w:tc>
          <w:tcPr>
            <w:tcW w:w="87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5"/>
        </w:trPr>
        <w:tc>
          <w:tcPr>
            <w:tcW w:w="1600" w:type="dxa"/>
            <w:vAlign w:val="bottom"/>
          </w:tcPr>
          <w:p>
            <w:pPr>
              <w:jc w:val="center"/>
              <w:ind w:right="250"/>
              <w:spacing w:after="0"/>
              <w:rPr>
                <w:sz w:val="20"/>
                <w:szCs w:val="20"/>
                <w:color w:val="auto"/>
              </w:rPr>
            </w:pPr>
            <w:r>
              <w:rPr>
                <w:rFonts w:ascii="Arial" w:cs="Arial" w:eastAsia="Arial" w:hAnsi="Arial"/>
                <w:sz w:val="18"/>
                <w:szCs w:val="18"/>
                <w:color w:val="auto"/>
                <w:w w:val="96"/>
              </w:rPr>
              <w:t>PERSON WITH</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720" w:type="dxa"/>
            <w:vAlign w:val="bottom"/>
          </w:tcPr>
          <w:p>
            <w:pPr>
              <w:ind w:left="2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rPr>
              <w:t>14,008 (See Items 3, 4 and 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520" w:right="3380" w:hanging="944"/>
        <w:spacing w:after="0" w:line="276" w:lineRule="auto"/>
        <w:tabs>
          <w:tab w:leader="none" w:pos="1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14,008 (See Items 3, 4 and 5)</w:t>
      </w:r>
    </w:p>
    <w:p>
      <w:pPr>
        <w:spacing w:after="0" w:line="48" w:lineRule="exact"/>
        <w:rPr>
          <w:rFonts w:ascii="Arial" w:cs="Arial" w:eastAsia="Arial" w:hAnsi="Arial"/>
          <w:sz w:val="18"/>
          <w:szCs w:val="18"/>
          <w:color w:val="auto"/>
        </w:rPr>
      </w:pPr>
    </w:p>
    <w:p>
      <w:pPr>
        <w:ind w:left="1520" w:hanging="947"/>
        <w:spacing w:after="0"/>
        <w:tabs>
          <w:tab w:leader="none" w:pos="1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w:t>
      </w:r>
    </w:p>
    <w:p>
      <w:pPr>
        <w:spacing w:after="0" w:line="23" w:lineRule="exact"/>
        <w:rPr>
          <w:sz w:val="20"/>
          <w:szCs w:val="20"/>
          <w:color w:val="auto"/>
        </w:rPr>
      </w:pPr>
    </w:p>
    <w:p>
      <w:pPr>
        <w:ind w:left="1520"/>
        <w:spacing w:after="0"/>
        <w:tabs>
          <w:tab w:leader="none" w:pos="3820" w:val="left"/>
        </w:tabs>
        <w:rPr>
          <w:sz w:val="20"/>
          <w:szCs w:val="20"/>
          <w:color w:val="auto"/>
        </w:rPr>
      </w:pPr>
      <w:r>
        <w:rPr>
          <w:rFonts w:ascii="Arial" w:cs="Arial" w:eastAsia="Arial" w:hAnsi="Arial"/>
          <w:sz w:val="18"/>
          <w:szCs w:val="18"/>
          <w:color w:val="auto"/>
        </w:rPr>
        <w:t>instructions)*</w:t>
      </w:r>
      <w:r>
        <w:rPr>
          <w:sz w:val="20"/>
          <w:szCs w:val="20"/>
          <w:color w:val="auto"/>
        </w:rPr>
        <w:tab/>
      </w:r>
      <w:r>
        <w:rPr>
          <w:rFonts w:ascii="Arial" w:cs="Arial" w:eastAsia="Arial" w:hAnsi="Arial"/>
          <w:sz w:val="18"/>
          <w:szCs w:val="18"/>
          <w:color w:val="auto"/>
        </w:rPr>
        <w:t>o</w:t>
      </w:r>
    </w:p>
    <w:p>
      <w:pPr>
        <w:spacing w:after="0" w:line="88" w:lineRule="exact"/>
        <w:rPr>
          <w:sz w:val="20"/>
          <w:szCs w:val="20"/>
          <w:color w:val="auto"/>
        </w:rPr>
      </w:pPr>
    </w:p>
    <w:p>
      <w:pPr>
        <w:ind w:left="1520" w:right="4900" w:hanging="947"/>
        <w:spacing w:after="0" w:line="276" w:lineRule="auto"/>
        <w:tabs>
          <w:tab w:leader="none" w:pos="1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7.7% (See Item 5)*</w:t>
      </w:r>
    </w:p>
    <w:p>
      <w:pPr>
        <w:spacing w:after="0" w:line="44" w:lineRule="exact"/>
        <w:rPr>
          <w:rFonts w:ascii="Arial" w:cs="Arial" w:eastAsia="Arial" w:hAnsi="Arial"/>
          <w:sz w:val="18"/>
          <w:szCs w:val="18"/>
          <w:color w:val="auto"/>
        </w:rPr>
      </w:pPr>
    </w:p>
    <w:p>
      <w:pPr>
        <w:ind w:left="1520" w:hanging="947"/>
        <w:spacing w:after="0"/>
        <w:tabs>
          <w:tab w:leader="none" w:pos="1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6"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303" w:lineRule="exact"/>
        <w:rPr>
          <w:sz w:val="20"/>
          <w:szCs w:val="20"/>
          <w:color w:val="auto"/>
        </w:rPr>
      </w:pPr>
    </w:p>
    <w:p>
      <w:pPr>
        <w:ind w:left="5040" w:right="300" w:hanging="4424"/>
        <w:spacing w:after="0" w:line="791" w:lineRule="auto"/>
        <w:tabs>
          <w:tab w:leader="none" w:pos="15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calculation assumes that there are 183,058 shares of common stock of the Issuer outstanding as of February 1, 2012. See Item 5. Page 4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-694055</wp:posOffset>
            </wp:positionV>
            <wp:extent cx="7247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-234950</wp:posOffset>
            </wp:positionV>
            <wp:extent cx="725106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73"/>
        </w:trPr>
        <w:tc>
          <w:tcPr>
            <w:tcW w:w="286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20" w:type="dxa"/>
            <w:vAlign w:val="bottom"/>
            <w:tcBorders>
              <w:right w:val="single" w:sz="8" w:color="auto"/>
            </w:tcBorders>
          </w:tcPr>
          <w:p>
            <w:pPr>
              <w:ind w:left="270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w w:val="87"/>
              </w:rPr>
              <w:t>Page 5 of 16 Pages</w:t>
            </w:r>
          </w:p>
        </w:tc>
      </w:tr>
      <w:tr>
        <w:trPr>
          <w:trHeight w:val="37"/>
        </w:trPr>
        <w:tc>
          <w:tcPr>
            <w:tcW w:w="2860" w:type="dxa"/>
            <w:vAlign w:val="bottom"/>
            <w:tcBorders>
              <w:left w:val="single" w:sz="8" w:color="auto"/>
              <w:bottom w:val="single" w:sz="8" w:color="auto"/>
              <w:right w:val="single" w:sz="8" w:color="auto"/>
            </w:tcBorders>
          </w:tcPr>
          <w:p>
            <w:pPr>
              <w:spacing w:after="0"/>
              <w:rPr>
                <w:sz w:val="3"/>
                <w:szCs w:val="3"/>
                <w:color w:val="auto"/>
              </w:rPr>
            </w:pPr>
          </w:p>
        </w:tc>
        <w:tc>
          <w:tcPr>
            <w:tcW w:w="572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132715</wp:posOffset>
            </wp:positionV>
            <wp:extent cx="7312660" cy="49504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2660" cy="4950460"/>
                    </a:xfrm>
                    <a:prstGeom prst="rect">
                      <a:avLst/>
                    </a:prstGeom>
                    <a:noFill/>
                  </pic:spPr>
                </pic:pic>
              </a:graphicData>
            </a:graphic>
          </wp:anchor>
        </w:drawing>
      </w:r>
    </w:p>
    <w:p>
      <w:pPr>
        <w:spacing w:after="0" w:line="232" w:lineRule="exact"/>
        <w:rPr>
          <w:sz w:val="20"/>
          <w:szCs w:val="20"/>
          <w:color w:val="auto"/>
        </w:rPr>
      </w:pPr>
    </w:p>
    <w:p>
      <w:pPr>
        <w:ind w:left="1520" w:right="7220" w:hanging="902"/>
        <w:spacing w:after="0" w:line="276" w:lineRule="auto"/>
        <w:tabs>
          <w:tab w:leader="none" w:pos="1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NAMES OF REPORTING PERSONS James G. Coulter</w:t>
      </w:r>
    </w:p>
    <w:p>
      <w:pPr>
        <w:spacing w:after="0" w:line="49" w:lineRule="exact"/>
        <w:rPr>
          <w:sz w:val="20"/>
          <w:szCs w:val="20"/>
          <w:color w:val="auto"/>
        </w:rPr>
      </w:pPr>
    </w:p>
    <w:p>
      <w:pPr>
        <w:ind w:left="1520" w:hanging="902"/>
        <w:spacing w:after="0"/>
        <w:tabs>
          <w:tab w:leader="none" w:pos="1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CHECK THE APPROPRIATE BOX IF A MEMBER OF A</w:t>
      </w:r>
    </w:p>
    <w:p>
      <w:pPr>
        <w:sectPr>
          <w:pgSz w:w="11900" w:h="16838" w:orient="portrait"/>
          <w:cols w:equalWidth="0" w:num="1">
            <w:col w:w="11520"/>
          </w:cols>
          <w:pgMar w:left="240" w:top="507" w:right="139" w:bottom="1440" w:gutter="0" w:footer="0" w:header="0"/>
        </w:sectPr>
      </w:pP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GROUP</w:t>
      </w:r>
    </w:p>
    <w:p>
      <w:pPr>
        <w:spacing w:after="0" w:line="8"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(see</w:t>
      </w:r>
    </w:p>
    <w:p>
      <w:pPr>
        <w:spacing w:after="0" w:line="8"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instructions)</w:t>
      </w:r>
    </w:p>
    <w:p>
      <w:pPr>
        <w:spacing w:after="0" w:line="3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 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317" w:lineRule="exact"/>
        <w:rPr>
          <w:sz w:val="20"/>
          <w:szCs w:val="20"/>
          <w:color w:val="auto"/>
        </w:rPr>
      </w:pPr>
    </w:p>
    <w:p>
      <w:pPr>
        <w:sectPr>
          <w:pgSz w:w="11900" w:h="16838" w:orient="portrait"/>
          <w:cols w:equalWidth="0" w:num="3">
            <w:col w:w="7020" w:space="720"/>
            <w:col w:w="2820" w:space="720"/>
            <w:col w:w="240"/>
          </w:cols>
          <w:pgMar w:left="240" w:top="507" w:right="139" w:bottom="1440" w:gutter="0" w:footer="0" w:header="0"/>
          <w:type w:val="continuous"/>
        </w:sectPr>
      </w:pPr>
    </w:p>
    <w:p>
      <w:pPr>
        <w:ind w:left="1520" w:hanging="902"/>
        <w:spacing w:after="0"/>
        <w:tabs>
          <w:tab w:leader="none" w:pos="1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03" w:lineRule="exact"/>
        <w:rPr>
          <w:sz w:val="20"/>
          <w:szCs w:val="20"/>
          <w:color w:val="auto"/>
        </w:rPr>
      </w:pPr>
    </w:p>
    <w:p>
      <w:pPr>
        <w:ind w:left="1520" w:right="7120" w:hanging="902"/>
        <w:spacing w:after="0" w:line="276" w:lineRule="auto"/>
        <w:tabs>
          <w:tab w:leader="none" w:pos="1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49" w:lineRule="exact"/>
        <w:rPr>
          <w:sz w:val="20"/>
          <w:szCs w:val="20"/>
          <w:color w:val="auto"/>
        </w:rPr>
      </w:pPr>
    </w:p>
    <w:p>
      <w:pPr>
        <w:ind w:left="1520" w:hanging="902"/>
        <w:spacing w:after="0"/>
        <w:tabs>
          <w:tab w:leader="none" w:pos="1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w:t>
      </w:r>
    </w:p>
    <w:p>
      <w:pPr>
        <w:spacing w:after="0" w:line="23" w:lineRule="exact"/>
        <w:rPr>
          <w:sz w:val="20"/>
          <w:szCs w:val="20"/>
          <w:color w:val="auto"/>
        </w:rPr>
      </w:pPr>
    </w:p>
    <w:p>
      <w:pPr>
        <w:ind w:left="1520"/>
        <w:spacing w:after="0"/>
        <w:tabs>
          <w:tab w:leader="none" w:pos="3900" w:val="left"/>
        </w:tabs>
        <w:rPr>
          <w:sz w:val="20"/>
          <w:szCs w:val="20"/>
          <w:color w:val="auto"/>
        </w:rPr>
      </w:pPr>
      <w:r>
        <w:rPr>
          <w:rFonts w:ascii="Arial" w:cs="Arial" w:eastAsia="Arial" w:hAnsi="Arial"/>
          <w:sz w:val="18"/>
          <w:szCs w:val="18"/>
          <w:color w:val="auto"/>
        </w:rPr>
        <w:t>2(e)</w:t>
      </w:r>
      <w:r>
        <w:rPr>
          <w:sz w:val="20"/>
          <w:szCs w:val="20"/>
          <w:color w:val="auto"/>
        </w:rPr>
        <w:tab/>
      </w:r>
      <w:r>
        <w:rPr>
          <w:rFonts w:ascii="Arial" w:cs="Arial" w:eastAsia="Arial" w:hAnsi="Arial"/>
          <w:sz w:val="18"/>
          <w:szCs w:val="18"/>
          <w:color w:val="auto"/>
        </w:rPr>
        <w:t>o</w:t>
      </w:r>
    </w:p>
    <w:p>
      <w:pPr>
        <w:spacing w:after="0" w:line="88" w:lineRule="exact"/>
        <w:rPr>
          <w:sz w:val="20"/>
          <w:szCs w:val="20"/>
          <w:color w:val="auto"/>
        </w:rPr>
      </w:pPr>
    </w:p>
    <w:p>
      <w:pPr>
        <w:ind w:left="1520" w:right="6340" w:hanging="902"/>
        <w:spacing w:after="0" w:line="276" w:lineRule="auto"/>
        <w:tabs>
          <w:tab w:leader="none" w:pos="1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49" w:lineRule="exact"/>
        <w:rPr>
          <w:sz w:val="20"/>
          <w:szCs w:val="20"/>
          <w:color w:val="auto"/>
        </w:rPr>
      </w:pPr>
    </w:p>
    <w:tbl>
      <w:tblPr>
        <w:tblLayout w:type="fixed"/>
        <w:tblInd w:w="360" w:type="dxa"/>
        <w:tblCellMar>
          <w:top w:w="0" w:type="dxa"/>
          <w:left w:w="0" w:type="dxa"/>
          <w:bottom w:w="0" w:type="dxa"/>
          <w:right w:w="0" w:type="dxa"/>
        </w:tblCellMar>
      </w:tblPr>
      <w:tr>
        <w:trPr>
          <w:trHeight w:val="215"/>
        </w:trPr>
        <w:tc>
          <w:tcPr>
            <w:tcW w:w="16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8820" w:type="dxa"/>
            <w:vAlign w:val="bottom"/>
          </w:tcPr>
          <w:p>
            <w:pPr>
              <w:ind w:left="2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2"/>
        </w:trPr>
        <w:tc>
          <w:tcPr>
            <w:tcW w:w="1620" w:type="dxa"/>
            <w:vAlign w:val="bottom"/>
          </w:tcPr>
          <w:p>
            <w:pPr>
              <w:jc w:val="center"/>
              <w:ind w:right="250"/>
              <w:spacing w:after="0"/>
              <w:rPr>
                <w:sz w:val="20"/>
                <w:szCs w:val="20"/>
                <w:color w:val="auto"/>
              </w:rPr>
            </w:pPr>
            <w:r>
              <w:rPr>
                <w:rFonts w:ascii="Arial" w:cs="Arial" w:eastAsia="Arial" w:hAnsi="Arial"/>
                <w:sz w:val="18"/>
                <w:szCs w:val="18"/>
                <w:color w:val="auto"/>
                <w:w w:val="96"/>
              </w:rPr>
              <w:t>NUMBER OF</w:t>
            </w:r>
          </w:p>
        </w:tc>
        <w:tc>
          <w:tcPr>
            <w:tcW w:w="720" w:type="dxa"/>
            <w:vAlign w:val="bottom"/>
          </w:tcPr>
          <w:p>
            <w:pPr>
              <w:spacing w:after="0"/>
              <w:rPr>
                <w:sz w:val="21"/>
                <w:szCs w:val="21"/>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1"/>
              </w:rPr>
              <w:t>SHARES</w:t>
            </w:r>
          </w:p>
        </w:tc>
        <w:tc>
          <w:tcPr>
            <w:tcW w:w="72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20" w:type="dxa"/>
            <w:vAlign w:val="bottom"/>
            <w:vMerge w:val="continue"/>
          </w:tcPr>
          <w:p>
            <w:pPr>
              <w:spacing w:after="0"/>
              <w:rPr>
                <w:sz w:val="14"/>
                <w:szCs w:val="14"/>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79"/>
              </w:rPr>
              <w:t>8</w:t>
            </w:r>
          </w:p>
        </w:tc>
        <w:tc>
          <w:tcPr>
            <w:tcW w:w="882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7"/>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rPr>
              <w:t>BENEFICIALLY</w:t>
            </w:r>
          </w:p>
        </w:tc>
        <w:tc>
          <w:tcPr>
            <w:tcW w:w="720" w:type="dxa"/>
            <w:vAlign w:val="bottom"/>
            <w:vMerge w:val="continue"/>
          </w:tcPr>
          <w:p>
            <w:pPr>
              <w:spacing w:after="0"/>
              <w:rPr>
                <w:sz w:val="5"/>
                <w:szCs w:val="5"/>
                <w:color w:val="auto"/>
              </w:rPr>
            </w:pPr>
          </w:p>
        </w:tc>
        <w:tc>
          <w:tcPr>
            <w:tcW w:w="8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6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8820" w:type="dxa"/>
            <w:vAlign w:val="bottom"/>
            <w:vMerge w:val="restart"/>
          </w:tcPr>
          <w:p>
            <w:pPr>
              <w:ind w:left="260"/>
              <w:spacing w:after="0"/>
              <w:rPr>
                <w:sz w:val="20"/>
                <w:szCs w:val="20"/>
                <w:color w:val="auto"/>
              </w:rPr>
            </w:pPr>
            <w:r>
              <w:rPr>
                <w:rFonts w:ascii="Arial" w:cs="Arial" w:eastAsia="Arial" w:hAnsi="Arial"/>
                <w:sz w:val="18"/>
                <w:szCs w:val="18"/>
                <w:color w:val="auto"/>
              </w:rPr>
              <w:t>14,008 (See Items 3, 4 and 5)</w:t>
            </w:r>
          </w:p>
        </w:tc>
        <w:tc>
          <w:tcPr>
            <w:tcW w:w="0" w:type="dxa"/>
            <w:vAlign w:val="bottom"/>
          </w:tcPr>
          <w:p>
            <w:pPr>
              <w:spacing w:after="0"/>
              <w:rPr>
                <w:sz w:val="1"/>
                <w:szCs w:val="1"/>
                <w:color w:val="auto"/>
              </w:rPr>
            </w:pPr>
          </w:p>
        </w:tc>
      </w:tr>
      <w:tr>
        <w:trPr>
          <w:trHeight w:val="82"/>
        </w:trPr>
        <w:tc>
          <w:tcPr>
            <w:tcW w:w="1620" w:type="dxa"/>
            <w:vAlign w:val="bottom"/>
            <w:vMerge w:val="restart"/>
          </w:tcPr>
          <w:p>
            <w:pPr>
              <w:jc w:val="center"/>
              <w:ind w:right="250"/>
              <w:spacing w:after="0"/>
              <w:rPr>
                <w:sz w:val="20"/>
                <w:szCs w:val="20"/>
                <w:color w:val="auto"/>
              </w:rPr>
            </w:pPr>
            <w:r>
              <w:rPr>
                <w:rFonts w:ascii="Arial" w:cs="Arial" w:eastAsia="Arial" w:hAnsi="Arial"/>
                <w:sz w:val="18"/>
                <w:szCs w:val="18"/>
                <w:color w:val="auto"/>
                <w:w w:val="97"/>
              </w:rPr>
              <w:t>OWNED BY</w:t>
            </w:r>
          </w:p>
        </w:tc>
        <w:tc>
          <w:tcPr>
            <w:tcW w:w="720" w:type="dxa"/>
            <w:vAlign w:val="bottom"/>
          </w:tcPr>
          <w:p>
            <w:pPr>
              <w:spacing w:after="0"/>
              <w:rPr>
                <w:sz w:val="7"/>
                <w:szCs w:val="7"/>
                <w:color w:val="auto"/>
              </w:rPr>
            </w:pPr>
          </w:p>
        </w:tc>
        <w:tc>
          <w:tcPr>
            <w:tcW w:w="8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620" w:type="dxa"/>
            <w:vAlign w:val="bottom"/>
            <w:vMerge w:val="continue"/>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3"/>
        </w:trPr>
        <w:tc>
          <w:tcPr>
            <w:tcW w:w="1620" w:type="dxa"/>
            <w:vAlign w:val="bottom"/>
            <w:vMerge w:val="continue"/>
          </w:tcPr>
          <w:p>
            <w:pPr>
              <w:spacing w:after="0"/>
              <w:rPr>
                <w:sz w:val="6"/>
                <w:szCs w:val="6"/>
                <w:color w:val="auto"/>
              </w:rPr>
            </w:pP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79"/>
              </w:rPr>
              <w:t>9</w:t>
            </w:r>
          </w:p>
        </w:tc>
        <w:tc>
          <w:tcPr>
            <w:tcW w:w="882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62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5"/>
              </w:rPr>
              <w:t>EACH</w:t>
            </w:r>
          </w:p>
        </w:tc>
        <w:tc>
          <w:tcPr>
            <w:tcW w:w="720" w:type="dxa"/>
            <w:vAlign w:val="bottom"/>
            <w:vMerge w:val="continue"/>
          </w:tcPr>
          <w:p>
            <w:pPr>
              <w:spacing w:after="0"/>
              <w:rPr>
                <w:sz w:val="15"/>
                <w:szCs w:val="15"/>
                <w:color w:val="auto"/>
              </w:rPr>
            </w:pPr>
          </w:p>
        </w:tc>
        <w:tc>
          <w:tcPr>
            <w:tcW w:w="8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620" w:type="dxa"/>
            <w:vAlign w:val="bottom"/>
          </w:tcPr>
          <w:p>
            <w:pPr>
              <w:jc w:val="center"/>
              <w:ind w:right="250"/>
              <w:spacing w:after="0"/>
              <w:rPr>
                <w:sz w:val="20"/>
                <w:szCs w:val="20"/>
                <w:color w:val="auto"/>
              </w:rPr>
            </w:pPr>
            <w:r>
              <w:rPr>
                <w:rFonts w:ascii="Arial" w:cs="Arial" w:eastAsia="Arial" w:hAnsi="Arial"/>
                <w:sz w:val="18"/>
                <w:szCs w:val="18"/>
                <w:color w:val="auto"/>
                <w:w w:val="93"/>
              </w:rPr>
              <w:t>REPORTING</w:t>
            </w:r>
          </w:p>
        </w:tc>
        <w:tc>
          <w:tcPr>
            <w:tcW w:w="720" w:type="dxa"/>
            <w:vAlign w:val="bottom"/>
            <w:tcBorders>
              <w:bottom w:val="single" w:sz="8" w:color="auto"/>
            </w:tcBorders>
          </w:tcPr>
          <w:p>
            <w:pPr>
              <w:spacing w:after="0"/>
              <w:rPr>
                <w:sz w:val="22"/>
                <w:szCs w:val="22"/>
                <w:color w:val="auto"/>
              </w:rPr>
            </w:pPr>
          </w:p>
        </w:tc>
        <w:tc>
          <w:tcPr>
            <w:tcW w:w="88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5"/>
        </w:trPr>
        <w:tc>
          <w:tcPr>
            <w:tcW w:w="1620" w:type="dxa"/>
            <w:vAlign w:val="bottom"/>
          </w:tcPr>
          <w:p>
            <w:pPr>
              <w:jc w:val="center"/>
              <w:ind w:right="250"/>
              <w:spacing w:after="0"/>
              <w:rPr>
                <w:sz w:val="20"/>
                <w:szCs w:val="20"/>
                <w:color w:val="auto"/>
              </w:rPr>
            </w:pPr>
            <w:r>
              <w:rPr>
                <w:rFonts w:ascii="Arial" w:cs="Arial" w:eastAsia="Arial" w:hAnsi="Arial"/>
                <w:sz w:val="18"/>
                <w:szCs w:val="18"/>
                <w:color w:val="auto"/>
                <w:w w:val="94"/>
              </w:rPr>
              <w:t>PERSON WITH</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82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20" w:type="dxa"/>
            <w:vAlign w:val="bottom"/>
          </w:tcPr>
          <w:p>
            <w:pPr>
              <w:ind w:left="260"/>
              <w:spacing w:after="0"/>
              <w:rPr>
                <w:sz w:val="20"/>
                <w:szCs w:val="20"/>
                <w:color w:val="auto"/>
              </w:rPr>
            </w:pPr>
            <w:r>
              <w:rPr>
                <w:rFonts w:ascii="Arial" w:cs="Arial" w:eastAsia="Arial" w:hAnsi="Arial"/>
                <w:sz w:val="18"/>
                <w:szCs w:val="18"/>
                <w:color w:val="auto"/>
              </w:rPr>
              <w:t>14,008 (See Items 3, 4 and 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520" w:right="3480" w:hanging="944"/>
        <w:spacing w:after="0" w:line="276" w:lineRule="auto"/>
        <w:tabs>
          <w:tab w:leader="none" w:pos="1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14,008 (See Items 3, 4 and 5)</w:t>
      </w:r>
    </w:p>
    <w:p>
      <w:pPr>
        <w:spacing w:after="0" w:line="48" w:lineRule="exact"/>
        <w:rPr>
          <w:rFonts w:ascii="Arial" w:cs="Arial" w:eastAsia="Arial" w:hAnsi="Arial"/>
          <w:sz w:val="18"/>
          <w:szCs w:val="18"/>
          <w:color w:val="auto"/>
        </w:rPr>
      </w:pPr>
    </w:p>
    <w:p>
      <w:pPr>
        <w:ind w:left="1520" w:right="1940" w:hanging="947"/>
        <w:spacing w:after="0" w:line="276" w:lineRule="auto"/>
        <w:tabs>
          <w:tab w:leader="none" w:pos="1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48" w:lineRule="exact"/>
        <w:rPr>
          <w:rFonts w:ascii="Arial" w:cs="Arial" w:eastAsia="Arial" w:hAnsi="Arial"/>
          <w:sz w:val="18"/>
          <w:szCs w:val="18"/>
          <w:color w:val="auto"/>
        </w:rPr>
      </w:pPr>
    </w:p>
    <w:p>
      <w:pPr>
        <w:ind w:left="1520" w:right="5000" w:hanging="947"/>
        <w:spacing w:after="0" w:line="276" w:lineRule="auto"/>
        <w:tabs>
          <w:tab w:leader="none" w:pos="1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7.7% (See Item 5)*</w:t>
      </w:r>
    </w:p>
    <w:p>
      <w:pPr>
        <w:spacing w:after="0" w:line="44" w:lineRule="exact"/>
        <w:rPr>
          <w:rFonts w:ascii="Arial" w:cs="Arial" w:eastAsia="Arial" w:hAnsi="Arial"/>
          <w:sz w:val="18"/>
          <w:szCs w:val="18"/>
          <w:color w:val="auto"/>
        </w:rPr>
      </w:pPr>
    </w:p>
    <w:p>
      <w:pPr>
        <w:ind w:left="1520" w:hanging="947"/>
        <w:spacing w:after="0"/>
        <w:tabs>
          <w:tab w:leader="none" w:pos="1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6"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303" w:lineRule="exact"/>
        <w:rPr>
          <w:sz w:val="20"/>
          <w:szCs w:val="20"/>
          <w:color w:val="auto"/>
        </w:rPr>
      </w:pPr>
    </w:p>
    <w:p>
      <w:pPr>
        <w:ind w:left="5040" w:right="400" w:hanging="4424"/>
        <w:spacing w:after="0" w:line="791" w:lineRule="auto"/>
        <w:tabs>
          <w:tab w:leader="none" w:pos="152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calculation assumes that there are 183,058 shares of common stock of the Issuer outstanding as of February 1, 2012. See Item 5. Page 5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-694055</wp:posOffset>
            </wp:positionV>
            <wp:extent cx="73101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012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-234950</wp:posOffset>
            </wp:positionV>
            <wp:extent cx="725106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520"/>
          </w:cols>
          <w:pgMar w:left="240" w:top="507" w:right="139" w:bottom="1440" w:gutter="0" w:footer="0" w:header="0"/>
          <w:type w:val="continuous"/>
        </w:sectPr>
      </w:pPr>
    </w:p>
    <w:bookmarkStart w:id="5" w:name="page6"/>
    <w:bookmarkEnd w:id="5"/>
    <w:tbl>
      <w:tblPr>
        <w:tblLayout w:type="fixed"/>
        <w:tblInd w:w="10" w:type="dxa"/>
        <w:tblCellMar>
          <w:top w:w="0" w:type="dxa"/>
          <w:left w:w="0" w:type="dxa"/>
          <w:bottom w:w="0" w:type="dxa"/>
          <w:right w:w="0" w:type="dxa"/>
        </w:tblCellMar>
      </w:tblPr>
      <w:tr>
        <w:trPr>
          <w:trHeight w:val="273"/>
        </w:trPr>
        <w:tc>
          <w:tcPr>
            <w:tcW w:w="2860" w:type="dxa"/>
            <w:vAlign w:val="bottom"/>
            <w:tcBorders>
              <w:top w:val="single" w:sz="8" w:color="auto"/>
              <w:left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N/A</w:t>
            </w:r>
          </w:p>
        </w:tc>
        <w:tc>
          <w:tcPr>
            <w:tcW w:w="5720" w:type="dxa"/>
            <w:vAlign w:val="bottom"/>
            <w:tcBorders>
              <w:right w:val="single" w:sz="8" w:color="auto"/>
            </w:tcBorders>
          </w:tcPr>
          <w:p>
            <w:pPr>
              <w:ind w:left="2700"/>
              <w:spacing w:after="0"/>
              <w:rPr>
                <w:sz w:val="20"/>
                <w:szCs w:val="20"/>
                <w:color w:val="auto"/>
              </w:rPr>
            </w:pPr>
            <w:r>
              <w:rPr>
                <w:rFonts w:ascii="Arial" w:cs="Arial" w:eastAsia="Arial" w:hAnsi="Arial"/>
                <w:sz w:val="18"/>
                <w:szCs w:val="18"/>
                <w:b w:val="1"/>
                <w:bCs w:val="1"/>
                <w:color w:val="auto"/>
              </w:rPr>
              <w:t>13D</w:t>
            </w:r>
          </w:p>
        </w:tc>
        <w:tc>
          <w:tcPr>
            <w:tcW w:w="2840" w:type="dxa"/>
            <w:vAlign w:val="bottom"/>
            <w:tcBorders>
              <w:top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w w:val="87"/>
              </w:rPr>
              <w:t>Page 6 of 16 Pages</w:t>
            </w:r>
          </w:p>
        </w:tc>
      </w:tr>
      <w:tr>
        <w:trPr>
          <w:trHeight w:val="37"/>
        </w:trPr>
        <w:tc>
          <w:tcPr>
            <w:tcW w:w="2860" w:type="dxa"/>
            <w:vAlign w:val="bottom"/>
            <w:tcBorders>
              <w:left w:val="single" w:sz="8" w:color="auto"/>
              <w:bottom w:val="single" w:sz="8" w:color="auto"/>
              <w:right w:val="single" w:sz="8" w:color="auto"/>
            </w:tcBorders>
          </w:tcPr>
          <w:p>
            <w:pPr>
              <w:spacing w:after="0"/>
              <w:rPr>
                <w:sz w:val="3"/>
                <w:szCs w:val="3"/>
                <w:color w:val="auto"/>
              </w:rPr>
            </w:pPr>
          </w:p>
        </w:tc>
        <w:tc>
          <w:tcPr>
            <w:tcW w:w="5720" w:type="dxa"/>
            <w:vAlign w:val="bottom"/>
            <w:tcBorders>
              <w:right w:val="single" w:sz="8" w:color="auto"/>
            </w:tcBorders>
          </w:tcPr>
          <w:p>
            <w:pPr>
              <w:spacing w:after="0"/>
              <w:rPr>
                <w:sz w:val="3"/>
                <w:szCs w:val="3"/>
                <w:color w:val="auto"/>
              </w:rPr>
            </w:pPr>
          </w:p>
        </w:tc>
        <w:tc>
          <w:tcPr>
            <w:tcW w:w="284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132715</wp:posOffset>
            </wp:positionV>
            <wp:extent cx="7249160" cy="50184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9160" cy="5018405"/>
                    </a:xfrm>
                    <a:prstGeom prst="rect">
                      <a:avLst/>
                    </a:prstGeom>
                    <a:noFill/>
                  </pic:spPr>
                </pic:pic>
              </a:graphicData>
            </a:graphic>
          </wp:anchor>
        </w:drawing>
      </w:r>
    </w:p>
    <w:p>
      <w:pPr>
        <w:spacing w:after="0" w:line="232" w:lineRule="exact"/>
        <w:rPr>
          <w:sz w:val="20"/>
          <w:szCs w:val="20"/>
          <w:color w:val="auto"/>
        </w:rPr>
      </w:pPr>
    </w:p>
    <w:p>
      <w:pPr>
        <w:ind w:left="1520" w:right="7120" w:hanging="902"/>
        <w:spacing w:after="0" w:line="276" w:lineRule="auto"/>
        <w:tabs>
          <w:tab w:leader="none" w:pos="1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NAMES OF REPORTING PERSONS Alan Waxman</w:t>
      </w:r>
    </w:p>
    <w:p>
      <w:pPr>
        <w:spacing w:after="0" w:line="49" w:lineRule="exact"/>
        <w:rPr>
          <w:sz w:val="20"/>
          <w:szCs w:val="20"/>
          <w:color w:val="auto"/>
        </w:rPr>
      </w:pPr>
    </w:p>
    <w:p>
      <w:pPr>
        <w:ind w:left="1680" w:right="4780" w:hanging="1062"/>
        <w:spacing w:after="0" w:line="258" w:lineRule="auto"/>
        <w:tabs>
          <w:tab w:leader="none" w:pos="1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8860"/>
        <w:spacing w:after="0"/>
        <w:rPr>
          <w:sz w:val="20"/>
          <w:szCs w:val="20"/>
          <w:color w:val="auto"/>
        </w:rPr>
      </w:pPr>
      <w:r>
        <w:rPr>
          <w:rFonts w:ascii="Arial" w:cs="Arial" w:eastAsia="Arial" w:hAnsi="Arial"/>
          <w:sz w:val="17"/>
          <w:szCs w:val="17"/>
          <w:color w:val="auto"/>
        </w:rPr>
        <w:t>(a) o</w:t>
      </w:r>
    </w:p>
    <w:p>
      <w:pPr>
        <w:spacing w:after="0" w:line="65" w:lineRule="exact"/>
        <w:rPr>
          <w:sz w:val="20"/>
          <w:szCs w:val="20"/>
          <w:color w:val="auto"/>
        </w:rPr>
      </w:pPr>
    </w:p>
    <w:p>
      <w:pPr>
        <w:ind w:left="8860"/>
        <w:spacing w:after="0"/>
        <w:rPr>
          <w:sz w:val="20"/>
          <w:szCs w:val="20"/>
          <w:color w:val="auto"/>
        </w:rPr>
      </w:pPr>
      <w:r>
        <w:rPr>
          <w:rFonts w:ascii="Arial" w:cs="Arial" w:eastAsia="Arial" w:hAnsi="Arial"/>
          <w:sz w:val="17"/>
          <w:szCs w:val="17"/>
          <w:color w:val="auto"/>
        </w:rPr>
        <w:t>(b)</w:t>
      </w:r>
    </w:p>
    <w:p>
      <w:pPr>
        <w:spacing w:after="0" w:line="26"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o</w:t>
      </w:r>
    </w:p>
    <w:p>
      <w:pPr>
        <w:spacing w:after="0" w:line="155" w:lineRule="exact"/>
        <w:rPr>
          <w:sz w:val="20"/>
          <w:szCs w:val="20"/>
          <w:color w:val="auto"/>
        </w:rPr>
      </w:pPr>
    </w:p>
    <w:p>
      <w:pPr>
        <w:ind w:left="1560" w:hanging="942"/>
        <w:spacing w:after="0"/>
        <w:tabs>
          <w:tab w:leader="none" w:pos="1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03" w:lineRule="exact"/>
        <w:rPr>
          <w:sz w:val="20"/>
          <w:szCs w:val="20"/>
          <w:color w:val="auto"/>
        </w:rPr>
      </w:pPr>
    </w:p>
    <w:p>
      <w:pPr>
        <w:ind w:left="1520" w:right="7020" w:hanging="902"/>
        <w:spacing w:after="0" w:line="276" w:lineRule="auto"/>
        <w:tabs>
          <w:tab w:leader="none" w:pos="1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SOURCE OF FUNDS (see instructions) OO (See Item 3)</w:t>
      </w:r>
    </w:p>
    <w:p>
      <w:pPr>
        <w:spacing w:after="0" w:line="49" w:lineRule="exact"/>
        <w:rPr>
          <w:sz w:val="20"/>
          <w:szCs w:val="20"/>
          <w:color w:val="auto"/>
        </w:rPr>
      </w:pPr>
    </w:p>
    <w:p>
      <w:pPr>
        <w:ind w:left="1520" w:hanging="902"/>
        <w:spacing w:after="0"/>
        <w:tabs>
          <w:tab w:leader="none" w:pos="1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w:t>
      </w:r>
    </w:p>
    <w:p>
      <w:pPr>
        <w:spacing w:after="0" w:line="23" w:lineRule="exact"/>
        <w:rPr>
          <w:sz w:val="20"/>
          <w:szCs w:val="20"/>
          <w:color w:val="auto"/>
        </w:rPr>
      </w:pPr>
    </w:p>
    <w:p>
      <w:pPr>
        <w:ind w:left="1520"/>
        <w:spacing w:after="0"/>
        <w:tabs>
          <w:tab w:leader="none" w:pos="3940" w:val="left"/>
        </w:tabs>
        <w:rPr>
          <w:sz w:val="20"/>
          <w:szCs w:val="20"/>
          <w:color w:val="auto"/>
        </w:rPr>
      </w:pPr>
      <w:r>
        <w:rPr>
          <w:rFonts w:ascii="Arial" w:cs="Arial" w:eastAsia="Arial" w:hAnsi="Arial"/>
          <w:sz w:val="18"/>
          <w:szCs w:val="18"/>
          <w:color w:val="auto"/>
        </w:rPr>
        <w:t>2(e)</w:t>
      </w:r>
      <w:r>
        <w:rPr>
          <w:sz w:val="20"/>
          <w:szCs w:val="20"/>
          <w:color w:val="auto"/>
        </w:rPr>
        <w:tab/>
      </w:r>
      <w:r>
        <w:rPr>
          <w:rFonts w:ascii="Arial" w:cs="Arial" w:eastAsia="Arial" w:hAnsi="Arial"/>
          <w:sz w:val="18"/>
          <w:szCs w:val="18"/>
          <w:color w:val="auto"/>
        </w:rPr>
        <w:t>o</w:t>
      </w:r>
    </w:p>
    <w:p>
      <w:pPr>
        <w:spacing w:after="0" w:line="88" w:lineRule="exact"/>
        <w:rPr>
          <w:sz w:val="20"/>
          <w:szCs w:val="20"/>
          <w:color w:val="auto"/>
        </w:rPr>
      </w:pPr>
    </w:p>
    <w:p>
      <w:pPr>
        <w:ind w:left="1520" w:right="6240" w:hanging="902"/>
        <w:spacing w:after="0" w:line="276" w:lineRule="auto"/>
        <w:tabs>
          <w:tab w:leader="none" w:pos="1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49" w:lineRule="exact"/>
        <w:rPr>
          <w:sz w:val="20"/>
          <w:szCs w:val="20"/>
          <w:color w:val="auto"/>
        </w:rPr>
      </w:pPr>
    </w:p>
    <w:tbl>
      <w:tblPr>
        <w:tblLayout w:type="fixed"/>
        <w:tblInd w:w="360" w:type="dxa"/>
        <w:tblCellMar>
          <w:top w:w="0" w:type="dxa"/>
          <w:left w:w="0" w:type="dxa"/>
          <w:bottom w:w="0" w:type="dxa"/>
          <w:right w:w="0" w:type="dxa"/>
        </w:tblCellMar>
      </w:tblPr>
      <w:tr>
        <w:trPr>
          <w:trHeight w:val="215"/>
        </w:trPr>
        <w:tc>
          <w:tcPr>
            <w:tcW w:w="16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8720" w:type="dxa"/>
            <w:vAlign w:val="bottom"/>
          </w:tcPr>
          <w:p>
            <w:pPr>
              <w:ind w:left="2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2"/>
        </w:trPr>
        <w:tc>
          <w:tcPr>
            <w:tcW w:w="1600" w:type="dxa"/>
            <w:vAlign w:val="bottom"/>
          </w:tcPr>
          <w:p>
            <w:pPr>
              <w:jc w:val="center"/>
              <w:ind w:right="250"/>
              <w:spacing w:after="0"/>
              <w:rPr>
                <w:sz w:val="20"/>
                <w:szCs w:val="20"/>
                <w:color w:val="auto"/>
              </w:rPr>
            </w:pPr>
            <w:r>
              <w:rPr>
                <w:rFonts w:ascii="Arial" w:cs="Arial" w:eastAsia="Arial" w:hAnsi="Arial"/>
                <w:sz w:val="18"/>
                <w:szCs w:val="18"/>
                <w:color w:val="auto"/>
                <w:w w:val="98"/>
              </w:rPr>
              <w:t>NUMBER OF</w:t>
            </w:r>
          </w:p>
        </w:tc>
        <w:tc>
          <w:tcPr>
            <w:tcW w:w="740" w:type="dxa"/>
            <w:vAlign w:val="bottom"/>
          </w:tcPr>
          <w:p>
            <w:pPr>
              <w:spacing w:after="0"/>
              <w:rPr>
                <w:sz w:val="21"/>
                <w:szCs w:val="21"/>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740" w:type="dxa"/>
            <w:vAlign w:val="bottom"/>
            <w:tcBorders>
              <w:bottom w:val="single" w:sz="8" w:color="auto"/>
            </w:tcBorders>
          </w:tcPr>
          <w:p>
            <w:pPr>
              <w:spacing w:after="0"/>
              <w:rPr>
                <w:sz w:val="2"/>
                <w:szCs w:val="2"/>
                <w:color w:val="auto"/>
              </w:rPr>
            </w:pPr>
          </w:p>
        </w:tc>
        <w:tc>
          <w:tcPr>
            <w:tcW w:w="8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600" w:type="dxa"/>
            <w:vAlign w:val="bottom"/>
            <w:vMerge w:val="continue"/>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9"/>
              </w:rPr>
              <w:t>8</w:t>
            </w:r>
          </w:p>
        </w:tc>
        <w:tc>
          <w:tcPr>
            <w:tcW w:w="8720" w:type="dxa"/>
            <w:vAlign w:val="bottom"/>
            <w:vMerge w:val="restart"/>
          </w:tcPr>
          <w:p>
            <w:pPr>
              <w:ind w:left="2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7"/>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BENEFICIALLY</w:t>
            </w:r>
          </w:p>
        </w:tc>
        <w:tc>
          <w:tcPr>
            <w:tcW w:w="740" w:type="dxa"/>
            <w:vAlign w:val="bottom"/>
            <w:vMerge w:val="continue"/>
          </w:tcPr>
          <w:p>
            <w:pPr>
              <w:spacing w:after="0"/>
              <w:rPr>
                <w:sz w:val="5"/>
                <w:szCs w:val="5"/>
                <w:color w:val="auto"/>
              </w:rPr>
            </w:pPr>
          </w:p>
        </w:tc>
        <w:tc>
          <w:tcPr>
            <w:tcW w:w="8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60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8720" w:type="dxa"/>
            <w:vAlign w:val="bottom"/>
            <w:vMerge w:val="restart"/>
          </w:tcPr>
          <w:p>
            <w:pPr>
              <w:ind w:left="240"/>
              <w:spacing w:after="0"/>
              <w:rPr>
                <w:sz w:val="20"/>
                <w:szCs w:val="20"/>
                <w:color w:val="auto"/>
              </w:rPr>
            </w:pPr>
            <w:r>
              <w:rPr>
                <w:rFonts w:ascii="Arial" w:cs="Arial" w:eastAsia="Arial" w:hAnsi="Arial"/>
                <w:sz w:val="18"/>
                <w:szCs w:val="18"/>
                <w:color w:val="auto"/>
              </w:rPr>
              <w:t>11,716 (See Items 3, 4 and 5)</w:t>
            </w:r>
          </w:p>
        </w:tc>
        <w:tc>
          <w:tcPr>
            <w:tcW w:w="0" w:type="dxa"/>
            <w:vAlign w:val="bottom"/>
          </w:tcPr>
          <w:p>
            <w:pPr>
              <w:spacing w:after="0"/>
              <w:rPr>
                <w:sz w:val="1"/>
                <w:szCs w:val="1"/>
                <w:color w:val="auto"/>
              </w:rPr>
            </w:pPr>
          </w:p>
        </w:tc>
      </w:tr>
      <w:tr>
        <w:trPr>
          <w:trHeight w:val="82"/>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OWNED BY</w:t>
            </w:r>
          </w:p>
        </w:tc>
        <w:tc>
          <w:tcPr>
            <w:tcW w:w="740" w:type="dxa"/>
            <w:vAlign w:val="bottom"/>
          </w:tcPr>
          <w:p>
            <w:pPr>
              <w:spacing w:after="0"/>
              <w:rPr>
                <w:sz w:val="7"/>
                <w:szCs w:val="7"/>
                <w:color w:val="auto"/>
              </w:rPr>
            </w:pPr>
          </w:p>
        </w:tc>
        <w:tc>
          <w:tcPr>
            <w:tcW w:w="8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600" w:type="dxa"/>
            <w:vAlign w:val="bottom"/>
            <w:vMerge w:val="continue"/>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73"/>
        </w:trPr>
        <w:tc>
          <w:tcPr>
            <w:tcW w:w="1600" w:type="dxa"/>
            <w:vAlign w:val="bottom"/>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9"/>
              </w:rPr>
              <w:t>9</w:t>
            </w:r>
          </w:p>
        </w:tc>
        <w:tc>
          <w:tcPr>
            <w:tcW w:w="8720" w:type="dxa"/>
            <w:vAlign w:val="bottom"/>
            <w:vMerge w:val="restart"/>
          </w:tcPr>
          <w:p>
            <w:pPr>
              <w:ind w:left="2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76"/>
        </w:trPr>
        <w:tc>
          <w:tcPr>
            <w:tcW w:w="1600" w:type="dxa"/>
            <w:vAlign w:val="bottom"/>
          </w:tcPr>
          <w:p>
            <w:pPr>
              <w:jc w:val="center"/>
              <w:ind w:right="250"/>
              <w:spacing w:after="0" w:line="176" w:lineRule="exact"/>
              <w:rPr>
                <w:sz w:val="20"/>
                <w:szCs w:val="20"/>
                <w:color w:val="auto"/>
              </w:rPr>
            </w:pPr>
            <w:r>
              <w:rPr>
                <w:rFonts w:ascii="Arial" w:cs="Arial" w:eastAsia="Arial" w:hAnsi="Arial"/>
                <w:sz w:val="18"/>
                <w:szCs w:val="18"/>
                <w:color w:val="auto"/>
                <w:w w:val="99"/>
              </w:rPr>
              <w:t>EACH</w:t>
            </w:r>
          </w:p>
        </w:tc>
        <w:tc>
          <w:tcPr>
            <w:tcW w:w="740" w:type="dxa"/>
            <w:vAlign w:val="bottom"/>
            <w:vMerge w:val="continue"/>
          </w:tcPr>
          <w:p>
            <w:pPr>
              <w:spacing w:after="0"/>
              <w:rPr>
                <w:sz w:val="15"/>
                <w:szCs w:val="15"/>
                <w:color w:val="auto"/>
              </w:rPr>
            </w:pPr>
          </w:p>
        </w:tc>
        <w:tc>
          <w:tcPr>
            <w:tcW w:w="8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1600" w:type="dxa"/>
            <w:vAlign w:val="bottom"/>
          </w:tcPr>
          <w:p>
            <w:pPr>
              <w:jc w:val="center"/>
              <w:ind w:right="250"/>
              <w:spacing w:after="0"/>
              <w:rPr>
                <w:sz w:val="20"/>
                <w:szCs w:val="20"/>
                <w:color w:val="auto"/>
              </w:rPr>
            </w:pPr>
            <w:r>
              <w:rPr>
                <w:rFonts w:ascii="Arial" w:cs="Arial" w:eastAsia="Arial" w:hAnsi="Arial"/>
                <w:sz w:val="18"/>
                <w:szCs w:val="18"/>
                <w:color w:val="auto"/>
                <w:w w:val="91"/>
              </w:rPr>
              <w:t>REPORTING</w:t>
            </w:r>
          </w:p>
        </w:tc>
        <w:tc>
          <w:tcPr>
            <w:tcW w:w="740" w:type="dxa"/>
            <w:vAlign w:val="bottom"/>
            <w:tcBorders>
              <w:bottom w:val="single" w:sz="8" w:color="auto"/>
            </w:tcBorders>
          </w:tcPr>
          <w:p>
            <w:pPr>
              <w:spacing w:after="0"/>
              <w:rPr>
                <w:sz w:val="22"/>
                <w:szCs w:val="22"/>
                <w:color w:val="auto"/>
              </w:rPr>
            </w:pPr>
          </w:p>
        </w:tc>
        <w:tc>
          <w:tcPr>
            <w:tcW w:w="87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5"/>
        </w:trPr>
        <w:tc>
          <w:tcPr>
            <w:tcW w:w="1600" w:type="dxa"/>
            <w:vAlign w:val="bottom"/>
          </w:tcPr>
          <w:p>
            <w:pPr>
              <w:jc w:val="center"/>
              <w:ind w:right="250"/>
              <w:spacing w:after="0"/>
              <w:rPr>
                <w:sz w:val="20"/>
                <w:szCs w:val="20"/>
                <w:color w:val="auto"/>
              </w:rPr>
            </w:pPr>
            <w:r>
              <w:rPr>
                <w:rFonts w:ascii="Arial" w:cs="Arial" w:eastAsia="Arial" w:hAnsi="Arial"/>
                <w:sz w:val="18"/>
                <w:szCs w:val="18"/>
                <w:color w:val="auto"/>
                <w:w w:val="96"/>
              </w:rPr>
              <w:t>PERSON WITH</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8720" w:type="dxa"/>
            <w:vAlign w:val="bottom"/>
          </w:tcPr>
          <w:p>
            <w:pPr>
              <w:ind w:left="2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720" w:type="dxa"/>
            <w:vAlign w:val="bottom"/>
          </w:tcPr>
          <w:p>
            <w:pPr>
              <w:ind w:left="240"/>
              <w:spacing w:after="0"/>
              <w:rPr>
                <w:sz w:val="20"/>
                <w:szCs w:val="20"/>
                <w:color w:val="auto"/>
              </w:rPr>
            </w:pPr>
            <w:r>
              <w:rPr>
                <w:rFonts w:ascii="Arial" w:cs="Arial" w:eastAsia="Arial" w:hAnsi="Arial"/>
                <w:sz w:val="18"/>
                <w:szCs w:val="18"/>
                <w:color w:val="auto"/>
              </w:rPr>
              <w:t>11,716 (See Items 3, 4 and 5)</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520" w:right="3380" w:hanging="944"/>
        <w:spacing w:after="0" w:line="276" w:lineRule="auto"/>
        <w:tabs>
          <w:tab w:leader="none" w:pos="1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11,716 (See Items 3, 4 and 5)</w:t>
      </w:r>
    </w:p>
    <w:p>
      <w:pPr>
        <w:spacing w:after="0" w:line="48" w:lineRule="exact"/>
        <w:rPr>
          <w:rFonts w:ascii="Arial" w:cs="Arial" w:eastAsia="Arial" w:hAnsi="Arial"/>
          <w:sz w:val="18"/>
          <w:szCs w:val="18"/>
          <w:color w:val="auto"/>
        </w:rPr>
      </w:pPr>
    </w:p>
    <w:p>
      <w:pPr>
        <w:ind w:left="1520" w:hanging="947"/>
        <w:spacing w:after="0"/>
        <w:tabs>
          <w:tab w:leader="none" w:pos="1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w:t>
      </w:r>
    </w:p>
    <w:p>
      <w:pPr>
        <w:spacing w:after="0" w:line="23" w:lineRule="exact"/>
        <w:rPr>
          <w:sz w:val="20"/>
          <w:szCs w:val="20"/>
          <w:color w:val="auto"/>
        </w:rPr>
      </w:pPr>
    </w:p>
    <w:p>
      <w:pPr>
        <w:ind w:left="1520"/>
        <w:spacing w:after="0"/>
        <w:tabs>
          <w:tab w:leader="none" w:pos="4400" w:val="left"/>
        </w:tabs>
        <w:rPr>
          <w:sz w:val="20"/>
          <w:szCs w:val="20"/>
          <w:color w:val="auto"/>
        </w:rPr>
      </w:pPr>
      <w:r>
        <w:rPr>
          <w:rFonts w:ascii="Arial" w:cs="Arial" w:eastAsia="Arial" w:hAnsi="Arial"/>
          <w:sz w:val="18"/>
          <w:szCs w:val="18"/>
          <w:color w:val="auto"/>
        </w:rPr>
        <w:t>instructions)*</w:t>
      </w:r>
      <w:r>
        <w:rPr>
          <w:sz w:val="20"/>
          <w:szCs w:val="20"/>
          <w:color w:val="auto"/>
        </w:rPr>
        <w:tab/>
      </w:r>
      <w:r>
        <w:rPr>
          <w:rFonts w:ascii="Arial" w:cs="Arial" w:eastAsia="Arial" w:hAnsi="Arial"/>
          <w:sz w:val="18"/>
          <w:szCs w:val="18"/>
          <w:color w:val="auto"/>
        </w:rPr>
        <w:t>o</w:t>
      </w:r>
    </w:p>
    <w:p>
      <w:pPr>
        <w:spacing w:after="0" w:line="88" w:lineRule="exact"/>
        <w:rPr>
          <w:sz w:val="20"/>
          <w:szCs w:val="20"/>
          <w:color w:val="auto"/>
        </w:rPr>
      </w:pPr>
    </w:p>
    <w:p>
      <w:pPr>
        <w:ind w:left="1520" w:right="4900" w:hanging="947"/>
        <w:spacing w:after="0" w:line="276" w:lineRule="auto"/>
        <w:tabs>
          <w:tab w:leader="none" w:pos="1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6.4% (See Item 5)*</w:t>
      </w:r>
    </w:p>
    <w:p>
      <w:pPr>
        <w:spacing w:after="0" w:line="44" w:lineRule="exact"/>
        <w:rPr>
          <w:rFonts w:ascii="Arial" w:cs="Arial" w:eastAsia="Arial" w:hAnsi="Arial"/>
          <w:sz w:val="18"/>
          <w:szCs w:val="18"/>
          <w:color w:val="auto"/>
        </w:rPr>
      </w:pPr>
    </w:p>
    <w:p>
      <w:pPr>
        <w:ind w:left="1520" w:hanging="947"/>
        <w:spacing w:after="0"/>
        <w:tabs>
          <w:tab w:leader="none" w:pos="1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TYPE OF REPORTING PERSON (see instructions)</w:t>
      </w:r>
      <w:r>
        <w:rPr>
          <w:rFonts w:ascii="Arial" w:cs="Arial" w:eastAsia="Arial" w:hAnsi="Arial"/>
          <w:sz w:val="18"/>
          <w:szCs w:val="18"/>
          <w:b w:val="1"/>
          <w:bCs w:val="1"/>
          <w:color w:val="auto"/>
        </w:rPr>
        <w:t>*</w:t>
      </w:r>
    </w:p>
    <w:p>
      <w:pPr>
        <w:spacing w:after="0" w:line="26"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303" w:lineRule="exact"/>
        <w:rPr>
          <w:sz w:val="20"/>
          <w:szCs w:val="20"/>
          <w:color w:val="auto"/>
        </w:rPr>
      </w:pPr>
    </w:p>
    <w:p>
      <w:pPr>
        <w:ind w:left="5040" w:right="300" w:hanging="4424"/>
        <w:spacing w:after="0" w:line="791" w:lineRule="auto"/>
        <w:tabs>
          <w:tab w:leader="none" w:pos="15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calculation assumes that there are 183,058 shares of common stock of the Issuer outstanding as of February 1, 2012. See Item 5. Page 6 of 16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-694055</wp:posOffset>
            </wp:positionV>
            <wp:extent cx="7247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-234950</wp:posOffset>
            </wp:positionV>
            <wp:extent cx="725106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07" w:right="239" w:bottom="1440" w:gutter="0" w:footer="0" w:header="0"/>
        </w:sectPr>
      </w:pPr>
    </w:p>
    <w:bookmarkStart w:id="6" w:name="page7"/>
    <w:bookmarkEnd w:id="6"/>
    <w:p>
      <w:pPr>
        <w:ind w:right="300"/>
        <w:spacing w:after="0" w:line="256" w:lineRule="auto"/>
        <w:rPr>
          <w:sz w:val="20"/>
          <w:szCs w:val="20"/>
          <w:color w:val="auto"/>
        </w:rPr>
      </w:pPr>
      <w:r>
        <w:rPr>
          <w:rFonts w:ascii="Arial" w:cs="Arial" w:eastAsia="Arial" w:hAnsi="Arial"/>
          <w:sz w:val="18"/>
          <w:szCs w:val="18"/>
          <w:color w:val="auto"/>
        </w:rPr>
        <w:t>This Amendment No. 4 (this “</w:t>
      </w:r>
      <w:r>
        <w:rPr>
          <w:rFonts w:ascii="Arial" w:cs="Arial" w:eastAsia="Arial" w:hAnsi="Arial"/>
          <w:sz w:val="18"/>
          <w:szCs w:val="18"/>
          <w:u w:val="single" w:color="auto"/>
          <w:color w:val="auto"/>
        </w:rPr>
        <w:t>Amendment</w:t>
      </w:r>
      <w:r>
        <w:rPr>
          <w:rFonts w:ascii="Arial" w:cs="Arial" w:eastAsia="Arial" w:hAnsi="Arial"/>
          <w:sz w:val="18"/>
          <w:szCs w:val="18"/>
          <w:color w:val="auto"/>
        </w:rPr>
        <w:t>”) amends and restates in its entirety the Schedule 13D filed on June 27, 2011 (the “</w:t>
      </w:r>
      <w:r>
        <w:rPr>
          <w:rFonts w:ascii="Arial" w:cs="Arial" w:eastAsia="Arial" w:hAnsi="Arial"/>
          <w:sz w:val="18"/>
          <w:szCs w:val="18"/>
          <w:u w:val="single" w:color="auto"/>
          <w:color w:val="auto"/>
        </w:rPr>
        <w:t>Original Schedule 13D</w:t>
      </w:r>
      <w:r>
        <w:rPr>
          <w:rFonts w:ascii="Arial" w:cs="Arial" w:eastAsia="Arial" w:hAnsi="Arial"/>
          <w:sz w:val="18"/>
          <w:szCs w:val="18"/>
          <w:color w:val="auto"/>
        </w:rPr>
        <w:t>”), as amended by Amendment No. 1 filed on August 2, 2011 (“</w:t>
      </w:r>
      <w:r>
        <w:rPr>
          <w:rFonts w:ascii="Arial" w:cs="Arial" w:eastAsia="Arial" w:hAnsi="Arial"/>
          <w:sz w:val="18"/>
          <w:szCs w:val="18"/>
          <w:u w:val="single" w:color="auto"/>
          <w:color w:val="auto"/>
        </w:rPr>
        <w:t>Amendment No. 1</w:t>
      </w:r>
      <w:r>
        <w:rPr>
          <w:rFonts w:ascii="Arial" w:cs="Arial" w:eastAsia="Arial" w:hAnsi="Arial"/>
          <w:sz w:val="18"/>
          <w:szCs w:val="18"/>
          <w:color w:val="auto"/>
        </w:rPr>
        <w:t>”), Amendment No. 2 filed on December 2, 2011 (“</w:t>
      </w:r>
      <w:r>
        <w:rPr>
          <w:rFonts w:ascii="Arial" w:cs="Arial" w:eastAsia="Arial" w:hAnsi="Arial"/>
          <w:sz w:val="18"/>
          <w:szCs w:val="18"/>
          <w:u w:val="single" w:color="auto"/>
          <w:color w:val="auto"/>
        </w:rPr>
        <w:t>Amendment No. 2</w:t>
      </w:r>
      <w:r>
        <w:rPr>
          <w:rFonts w:ascii="Arial" w:cs="Arial" w:eastAsia="Arial" w:hAnsi="Arial"/>
          <w:sz w:val="18"/>
          <w:szCs w:val="18"/>
          <w:color w:val="auto"/>
        </w:rPr>
        <w:t>”) and Amendment No. 3 filed on December 20, 2011 (“</w:t>
      </w:r>
      <w:r>
        <w:rPr>
          <w:rFonts w:ascii="Arial" w:cs="Arial" w:eastAsia="Arial" w:hAnsi="Arial"/>
          <w:sz w:val="18"/>
          <w:szCs w:val="18"/>
          <w:u w:val="single" w:color="auto"/>
          <w:color w:val="auto"/>
        </w:rPr>
        <w:t>Amendment 3</w:t>
      </w:r>
      <w:r>
        <w:rPr>
          <w:rFonts w:ascii="Arial" w:cs="Arial" w:eastAsia="Arial" w:hAnsi="Arial"/>
          <w:sz w:val="18"/>
          <w:szCs w:val="18"/>
          <w:color w:val="auto"/>
        </w:rPr>
        <w:t>” and, as amended and restated by this Amendment, the “</w:t>
      </w:r>
      <w:r>
        <w:rPr>
          <w:rFonts w:ascii="Arial" w:cs="Arial" w:eastAsia="Arial" w:hAnsi="Arial"/>
          <w:sz w:val="18"/>
          <w:szCs w:val="18"/>
          <w:u w:val="single" w:color="auto"/>
          <w:color w:val="auto"/>
        </w:rPr>
        <w:t>Schedule 13D</w:t>
      </w:r>
      <w:r>
        <w:rPr>
          <w:rFonts w:ascii="Arial" w:cs="Arial" w:eastAsia="Arial" w:hAnsi="Arial"/>
          <w:sz w:val="18"/>
          <w:szCs w:val="18"/>
          <w:color w:val="auto"/>
        </w:rPr>
        <w:t>”) by TPG Group Holdings (SBS) Advisors, Inc., Tarrant Capital Advisors, Inc. and Messrs. David Bonderman, James G. Coulter and Alan Waxman with respect to the common stock of the Issuer.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55" w:lineRule="exact"/>
        <w:rPr>
          <w:sz w:val="20"/>
          <w:szCs w:val="20"/>
          <w:color w:val="auto"/>
        </w:rPr>
      </w:pPr>
    </w:p>
    <w:p>
      <w:pPr>
        <w:ind w:right="200" w:firstLine="646"/>
        <w:spacing w:after="0" w:line="276" w:lineRule="auto"/>
        <w:rPr>
          <w:sz w:val="20"/>
          <w:szCs w:val="20"/>
          <w:color w:val="auto"/>
        </w:rPr>
      </w:pPr>
      <w:r>
        <w:rPr>
          <w:rFonts w:ascii="Arial" w:cs="Arial" w:eastAsia="Arial" w:hAnsi="Arial"/>
          <w:sz w:val="18"/>
          <w:szCs w:val="18"/>
          <w:color w:val="auto"/>
        </w:rPr>
        <w:t>This Schedule 13D relates to the common stock, par value $0.01 per share (“</w:t>
      </w:r>
      <w:r>
        <w:rPr>
          <w:rFonts w:ascii="Arial" w:cs="Arial" w:eastAsia="Arial" w:hAnsi="Arial"/>
          <w:sz w:val="18"/>
          <w:szCs w:val="18"/>
          <w:u w:val="single" w:color="auto"/>
          <w:color w:val="auto"/>
        </w:rPr>
        <w:t>Common Stock</w:t>
      </w:r>
      <w:r>
        <w:rPr>
          <w:rFonts w:ascii="Arial" w:cs="Arial" w:eastAsia="Arial" w:hAnsi="Arial"/>
          <w:sz w:val="18"/>
          <w:szCs w:val="18"/>
          <w:color w:val="auto"/>
        </w:rPr>
        <w:t>”) of the Issuer, a Delaware corporation. The principal executive offices of the Issuer are located at 301 Commerce Street, Suite 3300, Fort Worth, TX 76102.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55" w:lineRule="exact"/>
        <w:rPr>
          <w:sz w:val="20"/>
          <w:szCs w:val="20"/>
          <w:color w:val="auto"/>
        </w:rPr>
      </w:pPr>
    </w:p>
    <w:p>
      <w:pPr>
        <w:ind w:firstLine="646"/>
        <w:spacing w:after="0" w:line="258" w:lineRule="auto"/>
        <w:rPr>
          <w:sz w:val="20"/>
          <w:szCs w:val="20"/>
          <w:color w:val="auto"/>
        </w:rPr>
      </w:pPr>
      <w:r>
        <w:rPr>
          <w:rFonts w:ascii="Arial" w:cs="Arial" w:eastAsia="Arial" w:hAnsi="Arial"/>
          <w:sz w:val="18"/>
          <w:szCs w:val="18"/>
          <w:color w:val="auto"/>
        </w:rPr>
        <w:t>This Schedule 13D is being filed jointly on behalf of TPG Group Holdings (SBS) Advisors, Inc., a Delaware corporation (“</w:t>
      </w:r>
      <w:r>
        <w:rPr>
          <w:rFonts w:ascii="Arial" w:cs="Arial" w:eastAsia="Arial" w:hAnsi="Arial"/>
          <w:sz w:val="18"/>
          <w:szCs w:val="18"/>
          <w:u w:val="single" w:color="auto"/>
          <w:color w:val="auto"/>
        </w:rPr>
        <w:t>Group Advisors</w:t>
      </w:r>
      <w:r>
        <w:rPr>
          <w:rFonts w:ascii="Arial" w:cs="Arial" w:eastAsia="Arial" w:hAnsi="Arial"/>
          <w:sz w:val="18"/>
          <w:szCs w:val="18"/>
          <w:color w:val="auto"/>
        </w:rPr>
        <w:t>”), Tarrant Capital Advisors, Inc., a Delaware corporation (“</w:t>
      </w:r>
      <w:r>
        <w:rPr>
          <w:rFonts w:ascii="Arial" w:cs="Arial" w:eastAsia="Arial" w:hAnsi="Arial"/>
          <w:sz w:val="18"/>
          <w:szCs w:val="18"/>
          <w:u w:val="single" w:color="auto"/>
          <w:color w:val="auto"/>
        </w:rPr>
        <w:t>Tarrant Capital</w:t>
      </w:r>
      <w:r>
        <w:rPr>
          <w:rFonts w:ascii="Arial" w:cs="Arial" w:eastAsia="Arial" w:hAnsi="Arial"/>
          <w:sz w:val="18"/>
          <w:szCs w:val="18"/>
          <w:color w:val="auto"/>
        </w:rPr>
        <w:t>”), David Bonderman, James G. Coulter and Alan Waxman (each, a “</w:t>
      </w:r>
      <w:r>
        <w:rPr>
          <w:rFonts w:ascii="Arial" w:cs="Arial" w:eastAsia="Arial" w:hAnsi="Arial"/>
          <w:sz w:val="18"/>
          <w:szCs w:val="18"/>
          <w:u w:val="single" w:color="auto"/>
          <w:color w:val="auto"/>
        </w:rPr>
        <w:t>Reporting Person</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 The business address of each Reporting Person is c/o TPG Capital, L.P., 301 Commerce Street, Suite 3300, Fort Worth, TX 76102.</w:t>
      </w:r>
    </w:p>
    <w:p>
      <w:pPr>
        <w:spacing w:after="0" w:line="214" w:lineRule="exact"/>
        <w:rPr>
          <w:sz w:val="20"/>
          <w:szCs w:val="20"/>
          <w:color w:val="auto"/>
        </w:rPr>
      </w:pPr>
    </w:p>
    <w:p>
      <w:pPr>
        <w:ind w:right="100" w:firstLine="646"/>
        <w:spacing w:after="0" w:line="262" w:lineRule="auto"/>
        <w:rPr>
          <w:sz w:val="20"/>
          <w:szCs w:val="20"/>
          <w:color w:val="auto"/>
        </w:rPr>
      </w:pPr>
      <w:r>
        <w:rPr>
          <w:rFonts w:ascii="Arial" w:cs="Arial" w:eastAsia="Arial" w:hAnsi="Arial"/>
          <w:sz w:val="18"/>
          <w:szCs w:val="18"/>
          <w:color w:val="auto"/>
        </w:rPr>
        <w:t>TSL Advisers, LLC, a Delaware limited liability company (“</w:t>
      </w:r>
      <w:r>
        <w:rPr>
          <w:rFonts w:ascii="Arial" w:cs="Arial" w:eastAsia="Arial" w:hAnsi="Arial"/>
          <w:sz w:val="18"/>
          <w:szCs w:val="18"/>
          <w:u w:val="single" w:color="auto"/>
          <w:color w:val="auto"/>
        </w:rPr>
        <w:t>TSL Advisers</w:t>
      </w:r>
      <w:r>
        <w:rPr>
          <w:rFonts w:ascii="Arial" w:cs="Arial" w:eastAsia="Arial" w:hAnsi="Arial"/>
          <w:sz w:val="18"/>
          <w:szCs w:val="18"/>
          <w:color w:val="auto"/>
        </w:rPr>
        <w:t>”), directly holds 11,716 shares of Common Stock of the Issuer (the “</w:t>
      </w:r>
      <w:r>
        <w:rPr>
          <w:rFonts w:ascii="Arial" w:cs="Arial" w:eastAsia="Arial" w:hAnsi="Arial"/>
          <w:sz w:val="18"/>
          <w:szCs w:val="18"/>
          <w:u w:val="single" w:color="auto"/>
          <w:color w:val="auto"/>
        </w:rPr>
        <w:t>TSL</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reported herein. The business and affairs of TSL Advisers are managed by its board of managers, whose sole members are Messrs. Bonderman, Coulter and Waxman.</w:t>
      </w:r>
    </w:p>
    <w:p>
      <w:pPr>
        <w:spacing w:after="0" w:line="210" w:lineRule="exact"/>
        <w:rPr>
          <w:sz w:val="20"/>
          <w:szCs w:val="20"/>
          <w:color w:val="auto"/>
        </w:rPr>
      </w:pPr>
    </w:p>
    <w:p>
      <w:pPr>
        <w:ind w:right="180" w:firstLine="646"/>
        <w:spacing w:after="0" w:line="300" w:lineRule="auto"/>
        <w:rPr>
          <w:sz w:val="20"/>
          <w:szCs w:val="20"/>
          <w:color w:val="auto"/>
        </w:rPr>
      </w:pPr>
      <w:r>
        <w:rPr>
          <w:rFonts w:ascii="Arial" w:cs="Arial" w:eastAsia="Arial" w:hAnsi="Arial"/>
          <w:sz w:val="16"/>
          <w:szCs w:val="16"/>
          <w:color w:val="auto"/>
        </w:rPr>
        <w:t>Group Advisors is the general partner of TPG Group Holdings (SBS), L.P., a Delaware limited partnership, which is the sole member of TPG Holdings II-A, LLC, a Delaware limited liability company, which is the general partner of TPG Holdings II, L.P., a Delaware limited partnership (“</w:t>
      </w:r>
      <w:r>
        <w:rPr>
          <w:rFonts w:ascii="Arial" w:cs="Arial" w:eastAsia="Arial" w:hAnsi="Arial"/>
          <w:sz w:val="16"/>
          <w:szCs w:val="16"/>
          <w:u w:val="single" w:color="auto"/>
          <w:color w:val="auto"/>
        </w:rPr>
        <w:t>Holdings</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which is the general partner of TPG Holdings II Sub, L.P., a Delaware limited partnership (“</w:t>
      </w:r>
      <w:r>
        <w:rPr>
          <w:rFonts w:ascii="Arial" w:cs="Arial" w:eastAsia="Arial" w:hAnsi="Arial"/>
          <w:sz w:val="16"/>
          <w:szCs w:val="16"/>
          <w:u w:val="single" w:color="auto"/>
          <w:color w:val="auto"/>
        </w:rPr>
        <w:t>Holdings II Sub</w:t>
      </w:r>
      <w:r>
        <w:rPr>
          <w:rFonts w:ascii="Arial" w:cs="Arial" w:eastAsia="Arial" w:hAnsi="Arial"/>
          <w:sz w:val="16"/>
          <w:szCs w:val="16"/>
          <w:color w:val="auto"/>
        </w:rPr>
        <w:t>”), which is a member of TSL Advisers. Because of the relationship between Holdings II Sub and TSL Advisers, Group Advisors may be deemed to beneficially own the TSL Shares.</w:t>
      </w:r>
    </w:p>
    <w:p>
      <w:pPr>
        <w:spacing w:after="0" w:line="184" w:lineRule="exact"/>
        <w:rPr>
          <w:sz w:val="20"/>
          <w:szCs w:val="20"/>
          <w:color w:val="auto"/>
        </w:rPr>
      </w:pPr>
    </w:p>
    <w:p>
      <w:pPr>
        <w:jc w:val="both"/>
        <w:ind w:right="20" w:firstLine="646"/>
        <w:spacing w:after="0" w:line="285" w:lineRule="auto"/>
        <w:rPr>
          <w:sz w:val="20"/>
          <w:szCs w:val="20"/>
          <w:color w:val="auto"/>
        </w:rPr>
      </w:pPr>
      <w:r>
        <w:rPr>
          <w:rFonts w:ascii="Arial" w:cs="Arial" w:eastAsia="Arial" w:hAnsi="Arial"/>
          <w:sz w:val="17"/>
          <w:szCs w:val="17"/>
          <w:color w:val="auto"/>
        </w:rPr>
        <w:t>Tarrant Capital is the sole stockholder of Tarrant Advisors, Inc., a Texas corporation (“</w:t>
      </w:r>
      <w:r>
        <w:rPr>
          <w:rFonts w:ascii="Arial" w:cs="Arial" w:eastAsia="Arial" w:hAnsi="Arial"/>
          <w:sz w:val="17"/>
          <w:szCs w:val="17"/>
          <w:u w:val="single" w:color="auto"/>
          <w:color w:val="auto"/>
        </w:rPr>
        <w:t>Tarrant</w:t>
      </w:r>
      <w:r>
        <w:rPr>
          <w:rFonts w:ascii="Arial" w:cs="Arial" w:eastAsia="Arial" w:hAnsi="Arial"/>
          <w:sz w:val="17"/>
          <w:szCs w:val="17"/>
          <w:color w:val="auto"/>
        </w:rPr>
        <w:t>”), which is the general partner of TSL Equity Partners, L.P., a Delaware limited partnership (“</w:t>
      </w:r>
      <w:r>
        <w:rPr>
          <w:rFonts w:ascii="Arial" w:cs="Arial" w:eastAsia="Arial" w:hAnsi="Arial"/>
          <w:sz w:val="17"/>
          <w:szCs w:val="17"/>
          <w:u w:val="single" w:color="auto"/>
          <w:color w:val="auto"/>
        </w:rPr>
        <w:t>Equity Partners</w:t>
      </w:r>
      <w:r>
        <w:rPr>
          <w:rFonts w:ascii="Arial" w:cs="Arial" w:eastAsia="Arial" w:hAnsi="Arial"/>
          <w:sz w:val="17"/>
          <w:szCs w:val="17"/>
          <w:color w:val="auto"/>
        </w:rPr>
        <w:t>”), which is a member of TSL Advisers. Because of the investment by Equity Partners in TSL Advisers, Tarrant Capital may be deemed to beneficially own 9,522 shares of the TSL Shares (the “</w:t>
      </w:r>
      <w:r>
        <w:rPr>
          <w:rFonts w:ascii="Arial" w:cs="Arial" w:eastAsia="Arial" w:hAnsi="Arial"/>
          <w:sz w:val="17"/>
          <w:szCs w:val="17"/>
          <w:u w:val="single" w:color="auto"/>
          <w:color w:val="auto"/>
        </w:rPr>
        <w:t>Tarrant TSL Shares</w:t>
      </w:r>
      <w:r>
        <w:rPr>
          <w:rFonts w:ascii="Arial" w:cs="Arial" w:eastAsia="Arial" w:hAnsi="Arial"/>
          <w:sz w:val="17"/>
          <w:szCs w:val="17"/>
          <w:color w:val="auto"/>
        </w:rPr>
        <w:t>”).</w:t>
      </w:r>
    </w:p>
    <w:p>
      <w:pPr>
        <w:spacing w:after="0" w:line="192" w:lineRule="exact"/>
        <w:rPr>
          <w:sz w:val="20"/>
          <w:szCs w:val="20"/>
          <w:color w:val="auto"/>
        </w:rPr>
      </w:pPr>
    </w:p>
    <w:p>
      <w:pPr>
        <w:ind w:right="40" w:firstLine="646"/>
        <w:spacing w:after="0" w:line="258" w:lineRule="auto"/>
        <w:rPr>
          <w:sz w:val="20"/>
          <w:szCs w:val="20"/>
          <w:color w:val="auto"/>
        </w:rPr>
      </w:pPr>
      <w:r>
        <w:rPr>
          <w:rFonts w:ascii="Arial" w:cs="Arial" w:eastAsia="Arial" w:hAnsi="Arial"/>
          <w:sz w:val="18"/>
          <w:szCs w:val="18"/>
          <w:color w:val="auto"/>
        </w:rPr>
        <w:t>Tarrant is the general partner of TSL FOF, L.P., a Delaware limited partnership (“</w:t>
      </w:r>
      <w:r>
        <w:rPr>
          <w:rFonts w:ascii="Arial" w:cs="Arial" w:eastAsia="Arial" w:hAnsi="Arial"/>
          <w:sz w:val="18"/>
          <w:szCs w:val="18"/>
          <w:u w:val="single" w:color="auto"/>
          <w:color w:val="auto"/>
        </w:rPr>
        <w:t>TSL FOF</w:t>
      </w:r>
      <w:r>
        <w:rPr>
          <w:rFonts w:ascii="Arial" w:cs="Arial" w:eastAsia="Arial" w:hAnsi="Arial"/>
          <w:sz w:val="18"/>
          <w:szCs w:val="18"/>
          <w:color w:val="auto"/>
        </w:rPr>
        <w:t>”), which directly holds 2,291 shares of Common Stock of the Issuer (the “</w:t>
      </w:r>
      <w:r>
        <w:rPr>
          <w:rFonts w:ascii="Arial" w:cs="Arial" w:eastAsia="Arial" w:hAnsi="Arial"/>
          <w:sz w:val="18"/>
          <w:szCs w:val="18"/>
          <w:u w:val="single" w:color="auto"/>
          <w:color w:val="auto"/>
        </w:rPr>
        <w:t>Tarrant FOF Shares</w:t>
      </w:r>
      <w:r>
        <w:rPr>
          <w:rFonts w:ascii="Arial" w:cs="Arial" w:eastAsia="Arial" w:hAnsi="Arial"/>
          <w:sz w:val="18"/>
          <w:szCs w:val="18"/>
          <w:color w:val="auto"/>
        </w:rPr>
        <w:t>”) reported herein. Because of the relationship between Tarrant and TSL FOF, Tarrant Capital may be deemed to beneficially own the TSL FOF Shares. In addition, Tarrant Capital directly holds 1 share of Common Stock of the Issuer (the “</w:t>
      </w:r>
      <w:r>
        <w:rPr>
          <w:rFonts w:ascii="Arial" w:cs="Arial" w:eastAsia="Arial" w:hAnsi="Arial"/>
          <w:sz w:val="18"/>
          <w:szCs w:val="18"/>
          <w:u w:val="single" w:color="auto"/>
          <w:color w:val="auto"/>
        </w:rPr>
        <w:t>Tarrant Share</w:t>
      </w:r>
      <w:r>
        <w:rPr>
          <w:rFonts w:ascii="Arial" w:cs="Arial" w:eastAsia="Arial" w:hAnsi="Arial"/>
          <w:sz w:val="18"/>
          <w:szCs w:val="18"/>
          <w:color w:val="auto"/>
        </w:rPr>
        <w:t>” and, together with the Tarrant TSL Shares and the Tarrant FOF Shares, the “</w:t>
      </w:r>
      <w:r>
        <w:rPr>
          <w:rFonts w:ascii="Arial" w:cs="Arial" w:eastAsia="Arial" w:hAnsi="Arial"/>
          <w:sz w:val="18"/>
          <w:szCs w:val="18"/>
          <w:u w:val="single" w:color="auto"/>
          <w:color w:val="auto"/>
        </w:rPr>
        <w:t>Tarrant Shares</w:t>
      </w:r>
      <w:r>
        <w:rPr>
          <w:rFonts w:ascii="Arial" w:cs="Arial" w:eastAsia="Arial" w:hAnsi="Arial"/>
          <w:sz w:val="18"/>
          <w:szCs w:val="18"/>
          <w:color w:val="auto"/>
        </w:rPr>
        <w:t>”).</w:t>
      </w:r>
    </w:p>
    <w:p>
      <w:pPr>
        <w:spacing w:after="0" w:line="214" w:lineRule="exact"/>
        <w:rPr>
          <w:sz w:val="20"/>
          <w:szCs w:val="20"/>
          <w:color w:val="auto"/>
        </w:rPr>
      </w:pPr>
    </w:p>
    <w:p>
      <w:pPr>
        <w:ind w:right="280" w:firstLine="646"/>
        <w:spacing w:after="0" w:line="254" w:lineRule="auto"/>
        <w:rPr>
          <w:sz w:val="20"/>
          <w:szCs w:val="20"/>
          <w:color w:val="auto"/>
        </w:rPr>
      </w:pPr>
      <w:r>
        <w:rPr>
          <w:rFonts w:ascii="Arial" w:cs="Arial" w:eastAsia="Arial" w:hAnsi="Arial"/>
          <w:sz w:val="18"/>
          <w:szCs w:val="18"/>
          <w:color w:val="auto"/>
        </w:rPr>
        <w:t>Messrs. Bonderman and Coulter are the directors, officers and sole stockholders of each of Tarrant Capital and Group Advisors. Because of the relationship of Messrs. Bonderman and Coulter to Tarrant Capital and Group Advisors, each of Messrs. Bonderman and Coulter may be deemed to beneficially own the TSL Shares and the Tarrant Shares. Messrs. Bonderman and Coulter disclaim beneficial ownership of the TSL Shares and the Tarrant Shares except to the extent of their pecuniary interest therein. Because Mr. Waxman is a member of the board of managers of TSL Advisers, he may be deemed to beneficially own the TSL Shares. Mr. Waxman disclaims beneficial ownership of the TSL Shares except to the extent of his pecuniary interest therein.</w:t>
      </w:r>
    </w:p>
    <w:p>
      <w:pPr>
        <w:spacing w:after="0" w:line="220" w:lineRule="exact"/>
        <w:rPr>
          <w:sz w:val="20"/>
          <w:szCs w:val="20"/>
          <w:color w:val="auto"/>
        </w:rPr>
      </w:pPr>
    </w:p>
    <w:p>
      <w:pPr>
        <w:ind w:right="20" w:firstLine="646"/>
        <w:spacing w:after="0" w:line="258" w:lineRule="auto"/>
        <w:rPr>
          <w:sz w:val="20"/>
          <w:szCs w:val="20"/>
          <w:color w:val="auto"/>
        </w:rPr>
      </w:pPr>
      <w:r>
        <w:rPr>
          <w:rFonts w:ascii="Arial" w:cs="Arial" w:eastAsia="Arial" w:hAnsi="Arial"/>
          <w:sz w:val="18"/>
          <w:szCs w:val="18"/>
          <w:color w:val="auto"/>
        </w:rPr>
        <w:t>The principal business of Group Advisors is serving as the sole ultimate general partner, managing member or similar entity of related entities (including TSL Advisers) engaged in making or recommending investments in securities of public and private companies. The principal business of Tarrant Capital is serving as the sole ultimate general partner, managing member or similar entity of related entities (including Equity Partners and TSL FOF) engaged in making or recommending investments in securities of public and private companies.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15" w:right="239" w:bottom="1440" w:gutter="0" w:footer="0" w:header="0"/>
        </w:sectPr>
      </w:pPr>
    </w:p>
    <w:bookmarkStart w:id="7" w:name="page8"/>
    <w:bookmarkEnd w:id="7"/>
    <w:p>
      <w:pPr>
        <w:ind w:right="120"/>
        <w:spacing w:after="0" w:line="276" w:lineRule="auto"/>
        <w:rPr>
          <w:sz w:val="20"/>
          <w:szCs w:val="20"/>
          <w:color w:val="auto"/>
        </w:rPr>
      </w:pPr>
      <w:r>
        <w:rPr>
          <w:rFonts w:ascii="Arial" w:cs="Arial" w:eastAsia="Arial" w:hAnsi="Arial"/>
          <w:sz w:val="18"/>
          <w:szCs w:val="18"/>
          <w:color w:val="auto"/>
        </w:rPr>
        <w:t>The present principal occupation of David Bonderman is Chairman of the Board and President of Group Advisors and Tarrant Capital and officer, director or manager of other affiliated entities.</w:t>
      </w:r>
    </w:p>
    <w:p>
      <w:pPr>
        <w:spacing w:after="0" w:line="197" w:lineRule="exact"/>
        <w:rPr>
          <w:sz w:val="20"/>
          <w:szCs w:val="20"/>
          <w:color w:val="auto"/>
        </w:rPr>
      </w:pPr>
    </w:p>
    <w:p>
      <w:pPr>
        <w:ind w:right="500"/>
        <w:spacing w:after="0" w:line="276" w:lineRule="auto"/>
        <w:rPr>
          <w:sz w:val="20"/>
          <w:szCs w:val="20"/>
          <w:color w:val="auto"/>
        </w:rPr>
      </w:pPr>
      <w:r>
        <w:rPr>
          <w:rFonts w:ascii="Arial" w:cs="Arial" w:eastAsia="Arial" w:hAnsi="Arial"/>
          <w:sz w:val="18"/>
          <w:szCs w:val="18"/>
          <w:color w:val="auto"/>
        </w:rPr>
        <w:t>The present principal occupation of James G. Coulter is director and Senior Vice President of Group Advisors, director and Executive Vice President of Tarrant Capital and officer, director or manager of other affiliated entities.</w:t>
      </w:r>
    </w:p>
    <w:p>
      <w:pPr>
        <w:spacing w:after="0" w:line="197"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The present principal occupation of Alan Waxman is manager of TSL Advisers, Vice President of the Issuer and officer, director or manager of other affiliated entities.</w:t>
      </w:r>
    </w:p>
    <w:p>
      <w:pPr>
        <w:spacing w:after="0" w:line="197" w:lineRule="exact"/>
        <w:rPr>
          <w:sz w:val="20"/>
          <w:szCs w:val="20"/>
          <w:color w:val="auto"/>
        </w:rPr>
      </w:pPr>
    </w:p>
    <w:p>
      <w:pPr>
        <w:ind w:right="160" w:firstLine="646"/>
        <w:spacing w:after="0" w:line="276" w:lineRule="auto"/>
        <w:rPr>
          <w:sz w:val="20"/>
          <w:szCs w:val="20"/>
          <w:color w:val="auto"/>
        </w:rPr>
      </w:pPr>
      <w:r>
        <w:rPr>
          <w:rFonts w:ascii="Arial" w:cs="Arial" w:eastAsia="Arial" w:hAnsi="Arial"/>
          <w:sz w:val="18"/>
          <w:szCs w:val="18"/>
          <w:color w:val="auto"/>
        </w:rPr>
        <w:t>The name, residence or business address, and present principal occupation or employment of each director, executive officer and controlling person of Group Advisors is listed on Schedule I hereto.</w:t>
      </w:r>
    </w:p>
    <w:p>
      <w:pPr>
        <w:spacing w:after="0" w:line="197" w:lineRule="exact"/>
        <w:rPr>
          <w:sz w:val="20"/>
          <w:szCs w:val="20"/>
          <w:color w:val="auto"/>
        </w:rPr>
      </w:pPr>
    </w:p>
    <w:p>
      <w:pPr>
        <w:ind w:right="160" w:firstLine="646"/>
        <w:spacing w:after="0" w:line="276" w:lineRule="auto"/>
        <w:rPr>
          <w:sz w:val="20"/>
          <w:szCs w:val="20"/>
          <w:color w:val="auto"/>
        </w:rPr>
      </w:pPr>
      <w:r>
        <w:rPr>
          <w:rFonts w:ascii="Arial" w:cs="Arial" w:eastAsia="Arial" w:hAnsi="Arial"/>
          <w:sz w:val="18"/>
          <w:szCs w:val="18"/>
          <w:color w:val="auto"/>
        </w:rPr>
        <w:t>The name, residence or business address, and present principal occupation or employment of each director, executive officer and controlling person of Tarrant Capital is listed on Schedule II hereto.</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of Messrs. Bonderman, Coulter and Waxman and the individuals referred to on Schedule I and Schedule II hereto is a United States citizen.</w:t>
      </w:r>
    </w:p>
    <w:p>
      <w:pPr>
        <w:spacing w:after="0" w:line="2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agreement among the Reporting Persons relating to the joint filing of this Schedule 13D is attached as Exhibit 1 hereto.</w:t>
      </w:r>
    </w:p>
    <w:p>
      <w:pPr>
        <w:spacing w:after="0" w:line="251" w:lineRule="exact"/>
        <w:rPr>
          <w:sz w:val="20"/>
          <w:szCs w:val="20"/>
          <w:color w:val="auto"/>
        </w:rPr>
      </w:pPr>
    </w:p>
    <w:p>
      <w:pPr>
        <w:ind w:right="20" w:firstLine="646"/>
        <w:spacing w:after="0" w:line="256" w:lineRule="auto"/>
        <w:rPr>
          <w:sz w:val="20"/>
          <w:szCs w:val="20"/>
          <w:color w:val="auto"/>
        </w:rPr>
      </w:pPr>
      <w:r>
        <w:rPr>
          <w:rFonts w:ascii="Arial" w:cs="Arial" w:eastAsia="Arial" w:hAnsi="Arial"/>
          <w:sz w:val="18"/>
          <w:szCs w:val="18"/>
          <w:color w:val="auto"/>
        </w:rPr>
        <w:t>During the past five years, none of the Reporting Persons (or, to the knowledge of each of the Reporting Persons, any of the persons listed on Schedule I and Schedule II hereto) (i) has been convicted in any criminal proceeding (excluding traffic violations or similar misdemeanors) or (ii) 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55" w:lineRule="exact"/>
        <w:rPr>
          <w:sz w:val="20"/>
          <w:szCs w:val="20"/>
          <w:color w:val="auto"/>
        </w:rPr>
      </w:pPr>
    </w:p>
    <w:p>
      <w:pPr>
        <w:ind w:firstLine="646"/>
        <w:spacing w:after="0" w:line="290" w:lineRule="auto"/>
        <w:rPr>
          <w:sz w:val="20"/>
          <w:szCs w:val="20"/>
          <w:color w:val="auto"/>
        </w:rPr>
      </w:pPr>
      <w:r>
        <w:rPr>
          <w:rFonts w:ascii="Arial" w:cs="Arial" w:eastAsia="Arial" w:hAnsi="Arial"/>
          <w:sz w:val="16"/>
          <w:szCs w:val="16"/>
          <w:color w:val="auto"/>
        </w:rPr>
        <w:t>Pursuant to the Subscription Agreement, dated as of April 15, 2011 (the “</w:t>
      </w:r>
      <w:r>
        <w:rPr>
          <w:rFonts w:ascii="Arial" w:cs="Arial" w:eastAsia="Arial" w:hAnsi="Arial"/>
          <w:sz w:val="16"/>
          <w:szCs w:val="16"/>
          <w:u w:val="single" w:color="auto"/>
          <w:color w:val="auto"/>
        </w:rPr>
        <w:t>Original Subscription Agreement</w:t>
      </w:r>
      <w:r>
        <w:rPr>
          <w:rFonts w:ascii="Arial" w:cs="Arial" w:eastAsia="Arial" w:hAnsi="Arial"/>
          <w:sz w:val="16"/>
          <w:szCs w:val="16"/>
          <w:color w:val="auto"/>
        </w:rPr>
        <w:t>”), as amended by the Amendment to the Subscription Agreement, dated as of January 31, 2012 (the “</w:t>
      </w:r>
      <w:r>
        <w:rPr>
          <w:rFonts w:ascii="Arial" w:cs="Arial" w:eastAsia="Arial" w:hAnsi="Arial"/>
          <w:sz w:val="16"/>
          <w:szCs w:val="16"/>
          <w:u w:val="single" w:color="auto"/>
          <w:color w:val="auto"/>
        </w:rPr>
        <w:t>Amendment to the Subscription Agreement</w:t>
      </w:r>
      <w:r>
        <w:rPr>
          <w:rFonts w:ascii="Arial" w:cs="Arial" w:eastAsia="Arial" w:hAnsi="Arial"/>
          <w:sz w:val="16"/>
          <w:szCs w:val="16"/>
          <w:color w:val="auto"/>
        </w:rPr>
        <w:t>” and, together with the Original Subscription Agreement, the “</w:t>
      </w:r>
      <w:r>
        <w:rPr>
          <w:rFonts w:ascii="Arial" w:cs="Arial" w:eastAsia="Arial" w:hAnsi="Arial"/>
          <w:sz w:val="16"/>
          <w:szCs w:val="16"/>
          <w:u w:val="single" w:color="auto"/>
          <w:color w:val="auto"/>
        </w:rPr>
        <w:t>Subscription Agreement</w:t>
      </w:r>
      <w:r>
        <w:rPr>
          <w:rFonts w:ascii="Arial" w:cs="Arial" w:eastAsia="Arial" w:hAnsi="Arial"/>
          <w:sz w:val="16"/>
          <w:szCs w:val="16"/>
          <w:color w:val="auto"/>
        </w:rPr>
        <w:t>”), by and between the Issuer and TSL Advisers, on June 17, 2011, the Issuer delivered a capital drawdown notice to TSL Advisers relating to the issuance of the TSL Shares for a cash purchase price of $1,000 per share in a private placement, for an aggregate purchase price of $2,868,000 (the “</w:t>
      </w:r>
      <w:r>
        <w:rPr>
          <w:rFonts w:ascii="Arial" w:cs="Arial" w:eastAsia="Arial" w:hAnsi="Arial"/>
          <w:sz w:val="16"/>
          <w:szCs w:val="16"/>
          <w:u w:val="single" w:color="auto"/>
          <w:color w:val="auto"/>
        </w:rPr>
        <w:t>April 15, 2011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April 15, 2011 Purchase Price was funded by equity contributions from Equity Partners and Holdings II.</w:t>
      </w:r>
    </w:p>
    <w:p>
      <w:pPr>
        <w:spacing w:after="0" w:line="193" w:lineRule="exact"/>
        <w:rPr>
          <w:sz w:val="20"/>
          <w:szCs w:val="20"/>
          <w:color w:val="auto"/>
        </w:rPr>
      </w:pPr>
    </w:p>
    <w:p>
      <w:pPr>
        <w:ind w:right="120" w:firstLine="646"/>
        <w:spacing w:after="0" w:line="274" w:lineRule="auto"/>
        <w:rPr>
          <w:sz w:val="20"/>
          <w:szCs w:val="20"/>
          <w:color w:val="auto"/>
        </w:rPr>
      </w:pPr>
      <w:r>
        <w:rPr>
          <w:rFonts w:ascii="Arial" w:cs="Arial" w:eastAsia="Arial" w:hAnsi="Arial"/>
          <w:sz w:val="17"/>
          <w:szCs w:val="17"/>
          <w:color w:val="auto"/>
        </w:rPr>
        <w:t>Pursuant to the Subscription Agreement, on August 1, 2011, the Issuer delivered a capital drawdown notice to TSL Advisers relating to the issuance of the TSL Shares for a cash purchase price of $960.56 per share in a private placement, for an aggregate purchase price of $4,355,172 (the “</w:t>
      </w:r>
      <w:r>
        <w:rPr>
          <w:rFonts w:ascii="Arial" w:cs="Arial" w:eastAsia="Arial" w:hAnsi="Arial"/>
          <w:sz w:val="17"/>
          <w:szCs w:val="17"/>
          <w:u w:val="single" w:color="auto"/>
          <w:color w:val="auto"/>
        </w:rPr>
        <w:t>August 1, 2011</w:t>
      </w:r>
      <w:r>
        <w:rPr>
          <w:rFonts w:ascii="Arial" w:cs="Arial" w:eastAsia="Arial" w:hAnsi="Arial"/>
          <w:sz w:val="17"/>
          <w:szCs w:val="17"/>
          <w:color w:val="auto"/>
        </w:rPr>
        <w:t xml:space="preserve"> </w:t>
      </w:r>
      <w:r>
        <w:rPr>
          <w:rFonts w:ascii="Arial" w:cs="Arial" w:eastAsia="Arial" w:hAnsi="Arial"/>
          <w:sz w:val="17"/>
          <w:szCs w:val="17"/>
          <w:u w:val="single" w:color="auto"/>
          <w:color w:val="auto"/>
        </w:rPr>
        <w:t>Purchase Price</w:t>
      </w:r>
      <w:r>
        <w:rPr>
          <w:rFonts w:ascii="Arial" w:cs="Arial" w:eastAsia="Arial" w:hAnsi="Arial"/>
          <w:sz w:val="17"/>
          <w:szCs w:val="17"/>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August 1, 2011 Purchase Price was funded by equity contributions from Equity Partners and Holdings II.</w:t>
      </w:r>
    </w:p>
    <w:p>
      <w:pPr>
        <w:spacing w:after="0" w:line="203" w:lineRule="exact"/>
        <w:rPr>
          <w:sz w:val="20"/>
          <w:szCs w:val="20"/>
          <w:color w:val="auto"/>
        </w:rPr>
      </w:pPr>
    </w:p>
    <w:p>
      <w:pPr>
        <w:ind w:firstLine="646"/>
        <w:spacing w:after="0" w:line="254" w:lineRule="auto"/>
        <w:rPr>
          <w:sz w:val="20"/>
          <w:szCs w:val="20"/>
          <w:color w:val="auto"/>
        </w:rPr>
      </w:pPr>
      <w:r>
        <w:rPr>
          <w:rFonts w:ascii="Arial" w:cs="Arial" w:eastAsia="Arial" w:hAnsi="Arial"/>
          <w:sz w:val="18"/>
          <w:szCs w:val="18"/>
          <w:color w:val="auto"/>
        </w:rPr>
        <w:t>Pursuant to the Subscription Agreement, dated as of December 2, 2011 (the “</w:t>
      </w:r>
      <w:r>
        <w:rPr>
          <w:rFonts w:ascii="Arial" w:cs="Arial" w:eastAsia="Arial" w:hAnsi="Arial"/>
          <w:sz w:val="18"/>
          <w:szCs w:val="18"/>
          <w:u w:val="single" w:color="auto"/>
          <w:color w:val="auto"/>
        </w:rPr>
        <w:t>TSL FOF Subscription Agreement</w:t>
      </w:r>
      <w:r>
        <w:rPr>
          <w:rFonts w:ascii="Arial" w:cs="Arial" w:eastAsia="Arial" w:hAnsi="Arial"/>
          <w:sz w:val="18"/>
          <w:szCs w:val="18"/>
          <w:color w:val="auto"/>
        </w:rPr>
        <w:t>”), by and among the Issuer, TSL Advisers and TSL FOF, the Issuer delivered a capital drawdown notice on December 2, 2011 to TSL FOF relating to the issuance of the TSL FOF Shares for a cash purchase price of $988.56 per share in a private placement, for an aggregate purchase price of $2,100,693 (the “</w:t>
      </w:r>
      <w:r>
        <w:rPr>
          <w:rFonts w:ascii="Arial" w:cs="Arial" w:eastAsia="Arial" w:hAnsi="Arial"/>
          <w:sz w:val="18"/>
          <w:szCs w:val="18"/>
          <w:u w:val="single" w:color="auto"/>
          <w:color w:val="auto"/>
        </w:rPr>
        <w:t>December 2, 2011 Purchase Price</w:t>
      </w:r>
      <w:r>
        <w:rPr>
          <w:rFonts w:ascii="Arial" w:cs="Arial" w:eastAsia="Arial" w:hAnsi="Arial"/>
          <w:sz w:val="18"/>
          <w:szCs w:val="18"/>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December 2, 2011 Purchase Price was funded by equity contributions from TSL FOF.</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273" w:right="259" w:bottom="1440" w:gutter="0" w:footer="0" w:header="0"/>
        </w:sectPr>
      </w:pPr>
    </w:p>
    <w:bookmarkStart w:id="8" w:name="page9"/>
    <w:bookmarkEnd w:id="8"/>
    <w:p>
      <w:pPr>
        <w:ind w:right="40" w:firstLine="646"/>
        <w:spacing w:after="0" w:line="295" w:lineRule="auto"/>
        <w:rPr>
          <w:sz w:val="20"/>
          <w:szCs w:val="20"/>
          <w:color w:val="auto"/>
        </w:rPr>
      </w:pPr>
      <w:r>
        <w:rPr>
          <w:rFonts w:ascii="Arial" w:cs="Arial" w:eastAsia="Arial" w:hAnsi="Arial"/>
          <w:sz w:val="16"/>
          <w:szCs w:val="16"/>
          <w:color w:val="auto"/>
        </w:rPr>
        <w:t>Pursuant to the Subscription Agreement, on December 16, 2011, the Issuer delivered a capital drawdown notice to TSL Advisers relating to the issuance of the TSL Shares for a cash purchase price of $981.57 per share in a private placement, for an aggregate purchase price of $562,438 (the “</w:t>
      </w:r>
      <w:r>
        <w:rPr>
          <w:rFonts w:ascii="Arial" w:cs="Arial" w:eastAsia="Arial" w:hAnsi="Arial"/>
          <w:sz w:val="16"/>
          <w:szCs w:val="16"/>
          <w:u w:val="single" w:color="auto"/>
          <w:color w:val="auto"/>
        </w:rPr>
        <w:t>December</w:t>
      </w:r>
      <w:r>
        <w:rPr>
          <w:rFonts w:ascii="Arial" w:cs="Arial" w:eastAsia="Arial" w:hAnsi="Arial"/>
          <w:sz w:val="16"/>
          <w:szCs w:val="16"/>
          <w:color w:val="auto"/>
        </w:rPr>
        <w:t xml:space="preserve"> </w:t>
      </w:r>
      <w:r>
        <w:rPr>
          <w:rFonts w:ascii="Arial" w:cs="Arial" w:eastAsia="Arial" w:hAnsi="Arial"/>
          <w:sz w:val="16"/>
          <w:szCs w:val="16"/>
          <w:u w:val="single" w:color="auto"/>
          <w:color w:val="auto"/>
        </w:rPr>
        <w:t>16, 2011 TSL Advisers Purchase Price</w:t>
      </w:r>
      <w:r>
        <w:rPr>
          <w:rFonts w:ascii="Arial" w:cs="Arial" w:eastAsia="Arial" w:hAnsi="Arial"/>
          <w:sz w:val="16"/>
          <w:szCs w:val="16"/>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December 16, 2011 TSL Advisers Purchase Price was funded by equity contributions from Equity Partners and Holdings II.</w:t>
      </w:r>
    </w:p>
    <w:p>
      <w:pPr>
        <w:spacing w:after="0" w:line="188" w:lineRule="exact"/>
        <w:rPr>
          <w:sz w:val="20"/>
          <w:szCs w:val="20"/>
          <w:color w:val="auto"/>
        </w:rPr>
      </w:pPr>
    </w:p>
    <w:p>
      <w:pPr>
        <w:ind w:right="60" w:firstLine="646"/>
        <w:spacing w:after="0" w:line="295" w:lineRule="auto"/>
        <w:rPr>
          <w:sz w:val="20"/>
          <w:szCs w:val="20"/>
          <w:color w:val="auto"/>
        </w:rPr>
      </w:pPr>
      <w:r>
        <w:rPr>
          <w:rFonts w:ascii="Arial" w:cs="Arial" w:eastAsia="Arial" w:hAnsi="Arial"/>
          <w:sz w:val="16"/>
          <w:szCs w:val="16"/>
          <w:color w:val="auto"/>
        </w:rPr>
        <w:t>Pursuant to the TSL FOF Subscription Agreement, on December 16, 2011, the Issuer delivered a capital drawdown notice to TSL FOF relating to the issuance of the TSL FOF Shares for a cash purchase price of $985.37 per share in a private placement, for an aggregate purchase price of $163,571 (the “</w:t>
      </w:r>
      <w:r>
        <w:rPr>
          <w:rFonts w:ascii="Arial" w:cs="Arial" w:eastAsia="Arial" w:hAnsi="Arial"/>
          <w:sz w:val="16"/>
          <w:szCs w:val="16"/>
          <w:u w:val="single" w:color="auto"/>
          <w:color w:val="auto"/>
        </w:rPr>
        <w:t>December 16, 2011 TSL FOF Purchase Price</w:t>
      </w:r>
      <w:r>
        <w:rPr>
          <w:rFonts w:ascii="Arial" w:cs="Arial" w:eastAsia="Arial" w:hAnsi="Arial"/>
          <w:sz w:val="16"/>
          <w:szCs w:val="16"/>
          <w:color w:val="auto"/>
        </w:rPr>
        <w:t>”). The TSL FOF Subscription Agreement sets forth the terms and conditions of the private placement, and contains customary representations and warranties from the Issuer and TSL FOF with respect to the qualifications and ability of each to enter into and complete the private placement. The December 16, 2011 TSL FOF Purchase Price was funded by equity contributions from TSL FOF.</w:t>
      </w:r>
    </w:p>
    <w:p>
      <w:pPr>
        <w:spacing w:after="0" w:line="188" w:lineRule="exact"/>
        <w:rPr>
          <w:sz w:val="20"/>
          <w:szCs w:val="20"/>
          <w:color w:val="auto"/>
        </w:rPr>
      </w:pPr>
    </w:p>
    <w:p>
      <w:pPr>
        <w:ind w:firstLine="646"/>
        <w:spacing w:after="0" w:line="274" w:lineRule="auto"/>
        <w:rPr>
          <w:sz w:val="20"/>
          <w:szCs w:val="20"/>
          <w:color w:val="auto"/>
        </w:rPr>
      </w:pPr>
      <w:r>
        <w:rPr>
          <w:rFonts w:ascii="Arial" w:cs="Arial" w:eastAsia="Arial" w:hAnsi="Arial"/>
          <w:sz w:val="17"/>
          <w:szCs w:val="17"/>
          <w:color w:val="auto"/>
        </w:rPr>
        <w:t>Pursuant to the Subscription Agreement, on February 1, 2012, the Issuer delivered a capital drawdown notice to TSL Advisers relating to the issuance of the TSL Shares for a cash purchase price of $985.21 per share in a private placement, for an aggregate purchase price of $3,685,680 (the “</w:t>
      </w:r>
      <w:r>
        <w:rPr>
          <w:rFonts w:ascii="Arial" w:cs="Arial" w:eastAsia="Arial" w:hAnsi="Arial"/>
          <w:sz w:val="17"/>
          <w:szCs w:val="17"/>
          <w:u w:val="single" w:color="auto"/>
          <w:color w:val="auto"/>
        </w:rPr>
        <w:t>February 1, 2012</w:t>
      </w:r>
      <w:r>
        <w:rPr>
          <w:rFonts w:ascii="Arial" w:cs="Arial" w:eastAsia="Arial" w:hAnsi="Arial"/>
          <w:sz w:val="17"/>
          <w:szCs w:val="17"/>
          <w:color w:val="auto"/>
        </w:rPr>
        <w:t xml:space="preserve"> </w:t>
      </w:r>
      <w:r>
        <w:rPr>
          <w:rFonts w:ascii="Arial" w:cs="Arial" w:eastAsia="Arial" w:hAnsi="Arial"/>
          <w:sz w:val="17"/>
          <w:szCs w:val="17"/>
          <w:u w:val="single" w:color="auto"/>
          <w:color w:val="auto"/>
        </w:rPr>
        <w:t>TSL Advisers Purchase Price</w:t>
      </w:r>
      <w:r>
        <w:rPr>
          <w:rFonts w:ascii="Arial" w:cs="Arial" w:eastAsia="Arial" w:hAnsi="Arial"/>
          <w:sz w:val="17"/>
          <w:szCs w:val="17"/>
          <w:color w:val="auto"/>
        </w:rPr>
        <w:t>”). The Subscription Agreement sets forth the terms and conditions of the private placement, and contains customary representations and warranties from the Issuer and TSL Advisers with respect to the qualifications and ability of each to enter into and complete the private placement. The February 1, 2012 TSL Advisers Purchase Price will be funded by equity contributions from Equity Partners.</w:t>
      </w:r>
    </w:p>
    <w:p>
      <w:pPr>
        <w:spacing w:after="0" w:line="176" w:lineRule="exact"/>
        <w:rPr>
          <w:sz w:val="20"/>
          <w:szCs w:val="20"/>
          <w:color w:val="auto"/>
        </w:rPr>
      </w:pPr>
    </w:p>
    <w:p>
      <w:pPr>
        <w:ind w:firstLine="646"/>
        <w:spacing w:after="0" w:line="258" w:lineRule="auto"/>
        <w:rPr>
          <w:sz w:val="20"/>
          <w:szCs w:val="20"/>
          <w:color w:val="auto"/>
        </w:rPr>
      </w:pPr>
      <w:r>
        <w:rPr>
          <w:rFonts w:ascii="Arial" w:cs="Arial" w:eastAsia="Arial" w:hAnsi="Arial"/>
          <w:sz w:val="18"/>
          <w:szCs w:val="18"/>
          <w:color w:val="auto"/>
        </w:rPr>
        <w:t>References to and descriptions of the Subscription Agreement and the TSL FOF Subscription Agreement set forth above in this Item 3 do not purport to be complete and are qualified in their entirety by reference to the full text of the Original Subscription Agreement, the Amendment to the Subscription Agreement and the TSL FOF Subscription Agreement which are attached as Exhibit 2, Exhibit 3 and Exhibit 5, respectively, hereto and incorporated herein by this reference.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 3 is hereby incorporated herein by this reference.</w:t>
      </w:r>
    </w:p>
    <w:p>
      <w:pPr>
        <w:spacing w:after="0" w:line="251" w:lineRule="exact"/>
        <w:rPr>
          <w:sz w:val="20"/>
          <w:szCs w:val="20"/>
          <w:color w:val="auto"/>
        </w:rPr>
      </w:pPr>
    </w:p>
    <w:p>
      <w:pPr>
        <w:ind w:right="360" w:firstLine="646"/>
        <w:spacing w:after="0" w:line="262" w:lineRule="auto"/>
        <w:rPr>
          <w:sz w:val="20"/>
          <w:szCs w:val="20"/>
          <w:color w:val="auto"/>
        </w:rPr>
      </w:pPr>
      <w:r>
        <w:rPr>
          <w:rFonts w:ascii="Arial" w:cs="Arial" w:eastAsia="Arial" w:hAnsi="Arial"/>
          <w:sz w:val="18"/>
          <w:szCs w:val="18"/>
          <w:color w:val="auto"/>
        </w:rPr>
        <w:t>The Reporting Persons may seek to dispose all or part of the TSL Shares and/or the Tarrant Shares from time to time, subject to limitations in the Subscription Agreement or the TSL FOF Subscription Agreement, as applicable, applicable legal restrictions, prevailing market conditions, liquidity requirements of such Reporting Persons and/or other investment considerations.</w:t>
      </w:r>
    </w:p>
    <w:p>
      <w:pPr>
        <w:spacing w:after="0" w:line="210" w:lineRule="exact"/>
        <w:rPr>
          <w:sz w:val="20"/>
          <w:szCs w:val="20"/>
          <w:color w:val="auto"/>
        </w:rPr>
      </w:pPr>
    </w:p>
    <w:p>
      <w:pPr>
        <w:ind w:right="60" w:firstLine="646"/>
        <w:spacing w:after="0" w:line="274" w:lineRule="auto"/>
        <w:rPr>
          <w:sz w:val="20"/>
          <w:szCs w:val="20"/>
          <w:color w:val="auto"/>
        </w:rPr>
      </w:pPr>
      <w:r>
        <w:rPr>
          <w:rFonts w:ascii="Arial" w:cs="Arial" w:eastAsia="Arial" w:hAnsi="Arial"/>
          <w:sz w:val="17"/>
          <w:szCs w:val="17"/>
          <w:color w:val="auto"/>
        </w:rPr>
        <w:t>In addition to the foregoing, as required by the Subscription Agreement, the TSL FOF Subscription Agreement, or otherwise, each Reporting Person, at any time and from time to time may directly or indirectly acquire additional shares of Common Stock or, if any, associated rights or securities exercisable for or convertible into Common Stock, depending upon an ongoing evaluation of its investment in the Common Stock and any securities exercisable for or convertible into Common Stock, limitations in the Subscription Agreement or TSL FOF Subscription Agreement, applicable legal restrictions, prevailing market conditions, liquidity requirements of such Reporting Person and/or other investment considerations.</w:t>
      </w:r>
    </w:p>
    <w:p>
      <w:pPr>
        <w:spacing w:after="0" w:line="203" w:lineRule="exact"/>
        <w:rPr>
          <w:sz w:val="20"/>
          <w:szCs w:val="20"/>
          <w:color w:val="auto"/>
        </w:rPr>
      </w:pPr>
    </w:p>
    <w:p>
      <w:pPr>
        <w:ind w:right="80" w:firstLine="646"/>
        <w:spacing w:after="0" w:line="258" w:lineRule="auto"/>
        <w:rPr>
          <w:sz w:val="20"/>
          <w:szCs w:val="20"/>
          <w:color w:val="auto"/>
        </w:rPr>
      </w:pPr>
      <w:r>
        <w:rPr>
          <w:rFonts w:ascii="Arial" w:cs="Arial" w:eastAsia="Arial" w:hAnsi="Arial"/>
          <w:sz w:val="18"/>
          <w:szCs w:val="18"/>
          <w:color w:val="auto"/>
        </w:rPr>
        <w:t>TSL Advisers acts as the investment adviser to the Issuer. Pursuant to an advisory agreement between TSL Advisers and the Issuer, TSL Advisers is responsible for sourcing and managing the Issuer’s portfolio. In addition, the Reporting Persons may engage in discussions with management, the Board of Directors of the Issuer, other stockholders of the Issuer and other relevant parties concerning the business, operations, board composition, management, strategy and future plans of the Issuer.</w:t>
      </w:r>
    </w:p>
    <w:p>
      <w:pPr>
        <w:spacing w:after="0" w:line="214" w:lineRule="exact"/>
        <w:rPr>
          <w:sz w:val="20"/>
          <w:szCs w:val="20"/>
          <w:color w:val="auto"/>
        </w:rPr>
      </w:pPr>
    </w:p>
    <w:p>
      <w:pPr>
        <w:ind w:right="20" w:firstLine="646"/>
        <w:spacing w:after="0" w:line="268" w:lineRule="auto"/>
        <w:rPr>
          <w:sz w:val="20"/>
          <w:szCs w:val="20"/>
          <w:color w:val="auto"/>
        </w:rPr>
      </w:pPr>
      <w:r>
        <w:rPr>
          <w:rFonts w:ascii="Arial" w:cs="Arial" w:eastAsia="Arial" w:hAnsi="Arial"/>
          <w:sz w:val="17"/>
          <w:szCs w:val="17"/>
          <w:color w:val="auto"/>
        </w:rPr>
        <w:t>As a result of these activities, one or more of the Reporting Persons may suggest or take a position with respect to potential changes in the operations, management or capital structure of the Issuer as a means of enhancing stockholder value. Such suggestions or positions may include one or more plans or proposals that relate to or would result in any of the actions required to be reported herein, including, without limitation, such matters as acquiring additional securities of the Issuer or disposing of securities of the Issuer; entering into an extraordinary corporate transaction such as a merger, reorganization or liquidation, involving the Issuer or any of its subsidiaries; selling or transferring a material amount of assets of the Issuer or any of its subsidiaries; changing the present Board of Directors or management of the Issuer, including changing the number or term of directors or filling any existing vacancies on the Issuer’s Board of Directors; materially changing the present capitalization or dividend policy of the Issuer; materially changing the Issuer’s business or corporate structure; changing the Issuer’s certificate of incorporation, bylaws or instruments corresponding thereto or taking other actions which may impede the acquisition of control of the Issuer by any person; causing a class of securities of the Issuer to be listed or delisted from a national securities exchange or to cease to be authorized to be quoted in an inter-dealer quotation system of a registered national securities association; causing a class of equity securities of the Issuer to become eligible for termination of registration pursuant to Section 12(g)(4) of the Act; and taking any action similar to any of those enumerated above.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9" w:name="page10"/>
    <w:bookmarkEnd w:id="9"/>
    <w:p>
      <w:pPr>
        <w:ind w:right="260" w:firstLine="646"/>
        <w:spacing w:after="0" w:line="258" w:lineRule="auto"/>
        <w:rPr>
          <w:sz w:val="20"/>
          <w:szCs w:val="20"/>
          <w:color w:val="auto"/>
        </w:rPr>
      </w:pPr>
      <w:r>
        <w:rPr>
          <w:rFonts w:ascii="Arial" w:cs="Arial" w:eastAsia="Arial" w:hAnsi="Arial"/>
          <w:sz w:val="18"/>
          <w:szCs w:val="18"/>
          <w:color w:val="auto"/>
        </w:rPr>
        <w:t>Other than as described above, none of the Reporting Persons nor, to the best knowledge of each of the Reporting Persons, without independent verification, any of the persons listed on Schedule I hereto, currently has any plans or proposals that relate to, or would result in, any of the matters listed in Items 4(a)–(j) of Schedule 13D, although the Reporting Persons may, at any time and from time to time, review or reconsider their position and/or change their purpose and/or formulate plans or proposals with respect thereto.</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55" w:lineRule="exact"/>
        <w:rPr>
          <w:sz w:val="20"/>
          <w:szCs w:val="20"/>
          <w:color w:val="auto"/>
        </w:rPr>
      </w:pPr>
    </w:p>
    <w:p>
      <w:pPr>
        <w:ind w:right="240" w:firstLine="646"/>
        <w:spacing w:after="0" w:line="276" w:lineRule="auto"/>
        <w:rPr>
          <w:sz w:val="20"/>
          <w:szCs w:val="20"/>
          <w:color w:val="auto"/>
        </w:rPr>
      </w:pPr>
      <w:r>
        <w:rPr>
          <w:rFonts w:ascii="Arial" w:cs="Arial" w:eastAsia="Arial" w:hAnsi="Arial"/>
          <w:sz w:val="18"/>
          <w:szCs w:val="18"/>
          <w:color w:val="auto"/>
        </w:rPr>
        <w:t>The information contained on each of the cover pages of this Schedule 13D and the information set forth or incorporated in Items 2, 3, 4, and 6 are hereby incorporated herein by reference.</w:t>
      </w:r>
    </w:p>
    <w:p>
      <w:pPr>
        <w:spacing w:after="0" w:line="197" w:lineRule="exact"/>
        <w:rPr>
          <w:sz w:val="20"/>
          <w:szCs w:val="20"/>
          <w:color w:val="auto"/>
        </w:rPr>
      </w:pPr>
    </w:p>
    <w:p>
      <w:pPr>
        <w:ind w:firstLine="646"/>
        <w:spacing w:after="0" w:line="270" w:lineRule="auto"/>
        <w:rPr>
          <w:sz w:val="20"/>
          <w:szCs w:val="20"/>
          <w:color w:val="auto"/>
        </w:rPr>
      </w:pPr>
      <w:r>
        <w:rPr>
          <w:rFonts w:ascii="Arial" w:cs="Arial" w:eastAsia="Arial" w:hAnsi="Arial"/>
          <w:sz w:val="17"/>
          <w:szCs w:val="17"/>
          <w:color w:val="auto"/>
        </w:rPr>
        <w:t>(a)-(b) The following disclosure assumes that there are a total of 183,058 shares of Common Stock of the Issuer outstanding as of February 1, 2012 (including 6,525 shares of Common Stock of the Issuer that shall be issued on February 15, 2012 pursuant to the February 1, 2012 capital call), which figure is based on information provided to the Reporting Persons by the Issuer. Pursuant to Rule 13d-3 of the Act, (i) through TSL Advisers and Tarrant, Messrs. Bonderman and Coulter may be deemed to beneficially own 14,008 shares of Common Stock, which constitute approximately 7.7% of outstanding Common Stock; (ii) through TSL Advisers, Mr. Waxman may be deemed to beneficially own 11,716 shares of Common Stock, which constitute approximately 6.4% of the outstanding Common Stock; (iii) through TSL Advisers, Group Advisors may be deemed to beneficially own 11,716 shares of Common Stock, which constitute approximately 6.4% of the outstanding Common Stock; and (iv) through Tarrant, Tarrant Capital may be deemed to beneficially own 11,814 shares of Common Stock, which constitute approximately 6.5% of the outstanding Common Stock.</w:t>
      </w:r>
    </w:p>
    <w:p>
      <w:pPr>
        <w:spacing w:after="0" w:line="206" w:lineRule="exact"/>
        <w:rPr>
          <w:sz w:val="20"/>
          <w:szCs w:val="20"/>
          <w:color w:val="auto"/>
        </w:rPr>
      </w:pPr>
    </w:p>
    <w:p>
      <w:pPr>
        <w:ind w:right="180" w:firstLine="977"/>
        <w:spacing w:after="0" w:line="276" w:lineRule="auto"/>
        <w:tabs>
          <w:tab w:leader="none" w:pos="1258"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None of the Reporting Persons nor, to the best knowledge of the Reporting Persons, without independent verification, any person named in Item 2 hereof, has effected any transaction in the Common Stock since the filing of the Original Schedule 13D.</w:t>
      </w:r>
    </w:p>
    <w:p>
      <w:pPr>
        <w:spacing w:after="0" w:line="196" w:lineRule="exact"/>
        <w:rPr>
          <w:rFonts w:ascii="Arial" w:cs="Arial" w:eastAsia="Arial" w:hAnsi="Arial"/>
          <w:sz w:val="18"/>
          <w:szCs w:val="18"/>
          <w:color w:val="auto"/>
        </w:rPr>
      </w:pPr>
    </w:p>
    <w:p>
      <w:pPr>
        <w:ind w:right="480" w:firstLine="977"/>
        <w:spacing w:after="0" w:line="276" w:lineRule="auto"/>
        <w:tabs>
          <w:tab w:leader="none" w:pos="1268"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than the Reporting Persons, no other persons have the right to receive or the power to direct the receipt of dividends from, or the proceeds from the sale of, the securities beneficially owned by the Reporting Persons identified in this Item 5.</w:t>
      </w:r>
    </w:p>
    <w:p>
      <w:pPr>
        <w:spacing w:after="0" w:line="196" w:lineRule="exact"/>
        <w:rPr>
          <w:rFonts w:ascii="Arial" w:cs="Arial" w:eastAsia="Arial" w:hAnsi="Arial"/>
          <w:sz w:val="18"/>
          <w:szCs w:val="18"/>
          <w:color w:val="auto"/>
        </w:rPr>
      </w:pPr>
    </w:p>
    <w:p>
      <w:pPr>
        <w:ind w:left="1220" w:hanging="243"/>
        <w:spacing w:after="0"/>
        <w:tabs>
          <w:tab w:leader="none" w:pos="1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or incorporated by reference in Items 2, 3, 4, and 5 is hereby incorporated herein by reference.</w:t>
      </w:r>
    </w:p>
    <w:p>
      <w:pPr>
        <w:spacing w:after="0" w:line="251" w:lineRule="exact"/>
        <w:rPr>
          <w:sz w:val="20"/>
          <w:szCs w:val="20"/>
          <w:color w:val="auto"/>
        </w:rPr>
      </w:pPr>
    </w:p>
    <w:p>
      <w:pPr>
        <w:ind w:right="40" w:firstLine="646"/>
        <w:spacing w:after="0" w:line="262" w:lineRule="auto"/>
        <w:rPr>
          <w:sz w:val="20"/>
          <w:szCs w:val="20"/>
          <w:color w:val="auto"/>
        </w:rPr>
      </w:pPr>
      <w:r>
        <w:rPr>
          <w:rFonts w:ascii="Arial" w:cs="Arial" w:eastAsia="Arial" w:hAnsi="Arial"/>
          <w:sz w:val="18"/>
          <w:szCs w:val="18"/>
          <w:color w:val="auto"/>
        </w:rPr>
        <w:t>As discussed in Item 2 above, the business and affairs of TSL Advisers are managed by its board of managers, whose members are Messrs. Bonderman, Coulter and Waxman. Any decision or determination by the board of managers requires the approval of each of Messrs. Bonderman, Coulter and Waxman.</w:t>
      </w:r>
    </w:p>
    <w:p>
      <w:pPr>
        <w:spacing w:after="0" w:line="210" w:lineRule="exact"/>
        <w:rPr>
          <w:sz w:val="20"/>
          <w:szCs w:val="20"/>
          <w:color w:val="auto"/>
        </w:rPr>
      </w:pPr>
    </w:p>
    <w:p>
      <w:pPr>
        <w:ind w:right="220" w:firstLine="646"/>
        <w:spacing w:after="0" w:line="285" w:lineRule="auto"/>
        <w:rPr>
          <w:sz w:val="20"/>
          <w:szCs w:val="20"/>
          <w:color w:val="auto"/>
        </w:rPr>
      </w:pPr>
      <w:r>
        <w:rPr>
          <w:rFonts w:ascii="Arial" w:cs="Arial" w:eastAsia="Arial" w:hAnsi="Arial"/>
          <w:sz w:val="17"/>
          <w:szCs w:val="17"/>
          <w:color w:val="auto"/>
        </w:rPr>
        <w:t>TSL Advisers is required to solicit voting instructions from Equity Partners and Holdings II Sub in respect of the shares of Common Stock of the Issuer beneficially owned by Holdings II Sub and Equity Partners, respectively, in connection with any matter on which TSL Advisers is entitled to vote the TSL Shares. TSL Advisers is required to vote all proxies in respect of the TSL Shares proportionately in accordance with such instructions.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10" w:name="page11"/>
    <w:bookmarkEnd w:id="10"/>
    <w:p>
      <w:pPr>
        <w:ind w:firstLine="646"/>
        <w:spacing w:after="0" w:line="276" w:lineRule="auto"/>
        <w:rPr>
          <w:sz w:val="20"/>
          <w:szCs w:val="20"/>
          <w:color w:val="auto"/>
        </w:rPr>
      </w:pPr>
      <w:r>
        <w:rPr>
          <w:rFonts w:ascii="Arial" w:cs="Arial" w:eastAsia="Arial" w:hAnsi="Arial"/>
          <w:sz w:val="18"/>
          <w:szCs w:val="18"/>
          <w:color w:val="auto"/>
        </w:rPr>
        <w:t>As the directors, officers and sole stockholders of Group Advisors, Mr. Bonderman and Mr. Coulter may indirectly issue voting instructions to TSL Advisers in respect of the shares of Common Stock of the Issuer beneficially owned by Holdings II Sub.</w:t>
      </w:r>
    </w:p>
    <w:p>
      <w:pPr>
        <w:spacing w:after="0" w:line="197" w:lineRule="exact"/>
        <w:rPr>
          <w:sz w:val="20"/>
          <w:szCs w:val="20"/>
          <w:color w:val="auto"/>
        </w:rPr>
      </w:pPr>
    </w:p>
    <w:p>
      <w:pPr>
        <w:ind w:right="340" w:firstLine="646"/>
        <w:spacing w:after="0" w:line="340" w:lineRule="auto"/>
        <w:rPr>
          <w:sz w:val="20"/>
          <w:szCs w:val="20"/>
          <w:color w:val="auto"/>
        </w:rPr>
      </w:pPr>
      <w:r>
        <w:rPr>
          <w:rFonts w:ascii="Arial" w:cs="Arial" w:eastAsia="Arial" w:hAnsi="Arial"/>
          <w:sz w:val="16"/>
          <w:szCs w:val="16"/>
          <w:color w:val="auto"/>
        </w:rPr>
        <w:t>Equity Partners is required to solicit voting instructions from its limited partners in respect of their indirect interests in the TSL Shares. Equity Partners is required to instruct TSL Advisers to vote proxies in respect of its TSL Shares proportionately in accordance with such instructions.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8" w:lineRule="exact"/>
        <w:rPr>
          <w:sz w:val="20"/>
          <w:szCs w:val="20"/>
          <w:color w:val="auto"/>
        </w:rPr>
      </w:pPr>
    </w:p>
    <w:p>
      <w:pPr>
        <w:ind w:left="340" w:right="340" w:hanging="329"/>
        <w:spacing w:after="0" w:line="262"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Agreement of Joint Filing, as required by Rule 13d-1(k)(1) under the Act, dated as of June 27, 2011, by and among TPG Group Holdings (SBS) Advisors, Inc., Tarrant Capital Advisors, Inc., David Bonderman, James G. Coulter and Alan Waxman (previously filed with the Original Schedule 13D).</w:t>
      </w:r>
    </w:p>
    <w:p>
      <w:pPr>
        <w:spacing w:after="0" w:line="183" w:lineRule="exact"/>
        <w:rPr>
          <w:rFonts w:ascii="Arial" w:cs="Arial" w:eastAsia="Arial" w:hAnsi="Arial"/>
          <w:sz w:val="18"/>
          <w:szCs w:val="18"/>
          <w:color w:val="auto"/>
        </w:rPr>
      </w:pPr>
    </w:p>
    <w:p>
      <w:pPr>
        <w:ind w:left="340" w:right="760" w:hanging="329"/>
        <w:spacing w:after="0" w:line="276"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Subscription Agreement, dated as of April 15, 2011, between TPG Specialty Lending, Inc. and TSL Advisers, LLC (previously filed with the Original Schedule 13D).</w:t>
      </w:r>
    </w:p>
    <w:p>
      <w:pPr>
        <w:spacing w:after="0" w:line="169" w:lineRule="exact"/>
        <w:rPr>
          <w:rFonts w:ascii="Arial" w:cs="Arial" w:eastAsia="Arial" w:hAnsi="Arial"/>
          <w:sz w:val="18"/>
          <w:szCs w:val="18"/>
          <w:color w:val="auto"/>
        </w:rPr>
      </w:pPr>
    </w:p>
    <w:p>
      <w:pPr>
        <w:ind w:left="340" w:hanging="329"/>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Amendment to the Subscription Agreement, dated as of January 31, 2012, between TPG Specialty Lending, Inc. and TSL Advisers, LLC.</w:t>
      </w:r>
    </w:p>
    <w:p>
      <w:pPr>
        <w:spacing w:after="0" w:line="223" w:lineRule="exact"/>
        <w:rPr>
          <w:rFonts w:ascii="Arial" w:cs="Arial" w:eastAsia="Arial" w:hAnsi="Arial"/>
          <w:sz w:val="18"/>
          <w:szCs w:val="18"/>
          <w:color w:val="auto"/>
        </w:rPr>
      </w:pPr>
    </w:p>
    <w:p>
      <w:pPr>
        <w:ind w:left="340" w:right="780" w:hanging="329"/>
        <w:spacing w:after="0" w:line="276"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Agreement to Tender, dated as of March 13, 2011, between TPG Specialty Lending, Inc. and Tarrant Advisors, Inc. (previously filed with the Original Schedule 13D).</w:t>
      </w:r>
    </w:p>
    <w:p>
      <w:pPr>
        <w:spacing w:after="0" w:line="169" w:lineRule="exact"/>
        <w:rPr>
          <w:rFonts w:ascii="Arial" w:cs="Arial" w:eastAsia="Arial" w:hAnsi="Arial"/>
          <w:sz w:val="18"/>
          <w:szCs w:val="18"/>
          <w:color w:val="auto"/>
        </w:rPr>
      </w:pPr>
    </w:p>
    <w:p>
      <w:pPr>
        <w:ind w:left="340" w:right="420" w:hanging="329"/>
        <w:spacing w:after="0" w:line="276"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Subscription Agreement, dated as of December 2, 2011 between TPG Specialty Lending, Inc., TSL FOF, L.P. and TSL Advisers, LLC (previously filed with Amendment No. 2).</w:t>
      </w:r>
    </w:p>
    <w:p>
      <w:pPr>
        <w:spacing w:after="0" w:line="200" w:lineRule="exact"/>
        <w:rPr>
          <w:sz w:val="20"/>
          <w:szCs w:val="20"/>
          <w:color w:val="auto"/>
        </w:rPr>
      </w:pPr>
    </w:p>
    <w:p>
      <w:pPr>
        <w:spacing w:after="0" w:line="36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Page 11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240"/>
          </w:cols>
          <w:pgMar w:left="240" w:top="273" w:right="4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SIGNATURE</w:t>
      </w:r>
    </w:p>
    <w:p>
      <w:pPr>
        <w:spacing w:after="0" w:line="25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 2012</w:t>
      </w:r>
    </w:p>
    <w:p>
      <w:pPr>
        <w:spacing w:after="0" w:line="25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TPG Group Holdings (SBS) Advisors, Inc.</w:t>
      </w:r>
    </w:p>
    <w:p>
      <w:pPr>
        <w:spacing w:after="0" w:line="22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2947035</wp:posOffset>
            </wp:positionH>
            <wp:positionV relativeFrom="paragraph">
              <wp:posOffset>-10795</wp:posOffset>
            </wp:positionV>
            <wp:extent cx="9398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9800" cy="8255"/>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w:t>
      </w:r>
    </w:p>
    <w:p>
      <w:pPr>
        <w:spacing w:after="0" w:line="8"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Tarrant Capital Advisors, Inc.</w:t>
      </w:r>
    </w:p>
    <w:p>
      <w:pPr>
        <w:spacing w:after="0" w:line="22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2947035</wp:posOffset>
            </wp:positionH>
            <wp:positionV relativeFrom="paragraph">
              <wp:posOffset>-10795</wp:posOffset>
            </wp:positionV>
            <wp:extent cx="9398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9800" cy="8255"/>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w:t>
      </w:r>
    </w:p>
    <w:p>
      <w:pPr>
        <w:spacing w:after="0" w:line="8"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David Bonderman</w:t>
      </w:r>
    </w:p>
    <w:p>
      <w:pPr>
        <w:spacing w:after="0" w:line="22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2947035</wp:posOffset>
            </wp:positionH>
            <wp:positionV relativeFrom="paragraph">
              <wp:posOffset>-10795</wp:posOffset>
            </wp:positionV>
            <wp:extent cx="9398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0" cy="8255"/>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 on behalf of David Bonderman (1)</w:t>
      </w:r>
    </w:p>
    <w:p>
      <w:pPr>
        <w:spacing w:after="0" w:line="200" w:lineRule="exact"/>
        <w:rPr>
          <w:sz w:val="20"/>
          <w:szCs w:val="20"/>
          <w:color w:val="auto"/>
        </w:rPr>
      </w:pP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James G. Coulter</w:t>
      </w:r>
    </w:p>
    <w:p>
      <w:pPr>
        <w:spacing w:after="0" w:line="22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2947035</wp:posOffset>
            </wp:positionH>
            <wp:positionV relativeFrom="paragraph">
              <wp:posOffset>-10795</wp:posOffset>
            </wp:positionV>
            <wp:extent cx="9398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9800" cy="8255"/>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 on behalf of James G. Coulter (2)</w:t>
      </w:r>
    </w:p>
    <w:p>
      <w:pPr>
        <w:spacing w:after="0" w:line="200" w:lineRule="exact"/>
        <w:rPr>
          <w:sz w:val="20"/>
          <w:szCs w:val="20"/>
          <w:color w:val="auto"/>
        </w:rPr>
      </w:pP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Alan Waxman</w:t>
      </w:r>
    </w:p>
    <w:p>
      <w:pPr>
        <w:spacing w:after="0" w:line="22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2947035</wp:posOffset>
            </wp:positionH>
            <wp:positionV relativeFrom="paragraph">
              <wp:posOffset>-10795</wp:posOffset>
            </wp:positionV>
            <wp:extent cx="9398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39800" cy="8255"/>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 on behalf of Alan Waxman (3)</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12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00"/>
          </w:cols>
          <w:pgMar w:left="240" w:top="511" w:right="359" w:bottom="1440" w:gutter="0" w:footer="0" w:header="0"/>
        </w:sectPr>
      </w:pPr>
    </w:p>
    <w:bookmarkStart w:id="12" w:name="page13"/>
    <w:bookmarkEnd w:id="12"/>
    <w:p>
      <w:pPr>
        <w:ind w:left="332" w:right="120" w:hanging="332"/>
        <w:spacing w:after="0" w:line="340" w:lineRule="auto"/>
        <w:tabs>
          <w:tab w:leader="none" w:pos="332" w:val="left"/>
        </w:tabs>
        <w:numPr>
          <w:ilvl w:val="0"/>
          <w:numId w:val="48"/>
        </w:numPr>
        <w:rPr>
          <w:rFonts w:ascii="Arial" w:cs="Arial" w:eastAsia="Arial" w:hAnsi="Arial"/>
          <w:sz w:val="16"/>
          <w:szCs w:val="16"/>
          <w:color w:val="auto"/>
        </w:rPr>
      </w:pPr>
      <w:r>
        <w:rPr>
          <w:rFonts w:ascii="Arial" w:cs="Arial" w:eastAsia="Arial" w:hAnsi="Arial"/>
          <w:sz w:val="16"/>
          <w:szCs w:val="16"/>
          <w:color w:val="auto"/>
        </w:rPr>
        <w:t>Ronald Cami is signing on behalf of Mr. Bonderman pursuant to an authorization and designation letter dated July 1, 2010, which was previously filed with the Securities and Exchange Commission as an exhibit to a Schedule 13D filed by Mr. Bonderman on July 26, 2010 (SEC File No. 005-43571).</w:t>
      </w:r>
    </w:p>
    <w:p>
      <w:pPr>
        <w:spacing w:after="0" w:line="151" w:lineRule="exact"/>
        <w:rPr>
          <w:rFonts w:ascii="Arial" w:cs="Arial" w:eastAsia="Arial" w:hAnsi="Arial"/>
          <w:sz w:val="16"/>
          <w:szCs w:val="16"/>
          <w:color w:val="auto"/>
        </w:rPr>
      </w:pPr>
    </w:p>
    <w:p>
      <w:pPr>
        <w:ind w:left="332" w:hanging="332"/>
        <w:spacing w:after="0" w:line="340" w:lineRule="auto"/>
        <w:tabs>
          <w:tab w:leader="none" w:pos="332" w:val="left"/>
        </w:tabs>
        <w:numPr>
          <w:ilvl w:val="0"/>
          <w:numId w:val="48"/>
        </w:numPr>
        <w:rPr>
          <w:rFonts w:ascii="Arial" w:cs="Arial" w:eastAsia="Arial" w:hAnsi="Arial"/>
          <w:sz w:val="16"/>
          <w:szCs w:val="16"/>
          <w:color w:val="auto"/>
        </w:rPr>
      </w:pPr>
      <w:r>
        <w:rPr>
          <w:rFonts w:ascii="Arial" w:cs="Arial" w:eastAsia="Arial" w:hAnsi="Arial"/>
          <w:sz w:val="16"/>
          <w:szCs w:val="16"/>
          <w:color w:val="auto"/>
        </w:rPr>
        <w:t>Ronald Cami is signing on behalf of Mr. Coulter pursuant to the authorization and designation letter dated July 1, 2010, which was previously filed with the Securities and Exchange Commission as an exhibit to a Schedule 13D filed by Mr. Coulter on July 26, 2010 (SEC File No. 005-43571).</w:t>
      </w:r>
    </w:p>
    <w:p>
      <w:pPr>
        <w:spacing w:after="0" w:line="151" w:lineRule="exact"/>
        <w:rPr>
          <w:rFonts w:ascii="Arial" w:cs="Arial" w:eastAsia="Arial" w:hAnsi="Arial"/>
          <w:sz w:val="16"/>
          <w:szCs w:val="16"/>
          <w:color w:val="auto"/>
        </w:rPr>
      </w:pPr>
    </w:p>
    <w:p>
      <w:pPr>
        <w:ind w:left="332" w:right="20" w:hanging="332"/>
        <w:spacing w:after="0" w:line="340" w:lineRule="auto"/>
        <w:tabs>
          <w:tab w:leader="none" w:pos="332" w:val="left"/>
        </w:tabs>
        <w:numPr>
          <w:ilvl w:val="0"/>
          <w:numId w:val="48"/>
        </w:numPr>
        <w:rPr>
          <w:rFonts w:ascii="Arial" w:cs="Arial" w:eastAsia="Arial" w:hAnsi="Arial"/>
          <w:sz w:val="16"/>
          <w:szCs w:val="16"/>
          <w:color w:val="auto"/>
        </w:rPr>
      </w:pPr>
      <w:r>
        <w:rPr>
          <w:rFonts w:ascii="Arial" w:cs="Arial" w:eastAsia="Arial" w:hAnsi="Arial"/>
          <w:sz w:val="16"/>
          <w:szCs w:val="16"/>
          <w:color w:val="auto"/>
        </w:rPr>
        <w:t>Ronald Cami is signing on behalf of Mr. Waxman pursuant to the authorization and designation letter dated March 10, 2011, which was previously filed with the Securities and Exchange Commission as an exhibit to a Schedule 13D filed by Mr. Waxman on June 27, 2011 (SEC File No. 005-86304).</w:t>
      </w:r>
    </w:p>
    <w:p>
      <w:pPr>
        <w:spacing w:after="0" w:line="200" w:lineRule="exact"/>
        <w:rPr>
          <w:sz w:val="20"/>
          <w:szCs w:val="20"/>
          <w:color w:val="auto"/>
        </w:rPr>
      </w:pPr>
    </w:p>
    <w:p>
      <w:pPr>
        <w:spacing w:after="0" w:line="342"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Page 13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25106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252"/>
          </w:cols>
          <w:pgMar w:left="248" w:top="515" w:right="39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u w:val="single" w:color="auto"/>
          <w:color w:val="auto"/>
        </w:rPr>
        <w:t>Schedule I</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All addresses are c/o TPG Capital L.P., 301 Commerce Street, Suite 3300, Fort Worth, TX 76102.</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w w:val="87"/>
              </w:rPr>
              <w:t>Name</w:t>
            </w:r>
          </w:p>
        </w:tc>
        <w:tc>
          <w:tcPr>
            <w:tcW w:w="2900" w:type="dxa"/>
            <w:vAlign w:val="bottom"/>
          </w:tcPr>
          <w:p>
            <w:pPr>
              <w:spacing w:after="0"/>
              <w:rPr>
                <w:sz w:val="17"/>
                <w:szCs w:val="17"/>
                <w:color w:val="auto"/>
              </w:rPr>
            </w:pPr>
          </w:p>
        </w:tc>
        <w:tc>
          <w:tcPr>
            <w:tcW w:w="8080" w:type="dxa"/>
            <w:vAlign w:val="bottom"/>
            <w:gridSpan w:val="3"/>
          </w:tcPr>
          <w:p>
            <w:pPr>
              <w:ind w:left="2160"/>
              <w:spacing w:after="0"/>
              <w:rPr>
                <w:sz w:val="20"/>
                <w:szCs w:val="20"/>
                <w:color w:val="auto"/>
              </w:rPr>
            </w:pPr>
            <w:r>
              <w:rPr>
                <w:rFonts w:ascii="Arial" w:cs="Arial" w:eastAsia="Arial" w:hAnsi="Arial"/>
                <w:sz w:val="18"/>
                <w:szCs w:val="18"/>
                <w:color w:val="auto"/>
              </w:rPr>
              <w:t>Title</w:t>
            </w:r>
          </w:p>
        </w:tc>
      </w:tr>
      <w:tr>
        <w:trPr>
          <w:trHeight w:val="20"/>
        </w:trPr>
        <w:tc>
          <w:tcPr>
            <w:tcW w:w="44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r>
        <w:trPr>
          <w:trHeight w:val="491"/>
        </w:trPr>
        <w:tc>
          <w:tcPr>
            <w:tcW w:w="3340" w:type="dxa"/>
            <w:vAlign w:val="bottom"/>
            <w:gridSpan w:val="2"/>
          </w:tcPr>
          <w:p>
            <w:pPr>
              <w:spacing w:after="0"/>
              <w:rPr>
                <w:sz w:val="20"/>
                <w:szCs w:val="20"/>
                <w:color w:val="auto"/>
              </w:rPr>
            </w:pPr>
            <w:r>
              <w:rPr>
                <w:rFonts w:ascii="Arial" w:cs="Arial" w:eastAsia="Arial" w:hAnsi="Arial"/>
                <w:sz w:val="18"/>
                <w:szCs w:val="18"/>
                <w:color w:val="auto"/>
              </w:rPr>
              <w:t>David Bonderman</w:t>
            </w:r>
          </w:p>
        </w:tc>
        <w:tc>
          <w:tcPr>
            <w:tcW w:w="8080" w:type="dxa"/>
            <w:vAlign w:val="bottom"/>
            <w:gridSpan w:val="3"/>
          </w:tcPr>
          <w:p>
            <w:pPr>
              <w:ind w:left="2160"/>
              <w:spacing w:after="0"/>
              <w:rPr>
                <w:sz w:val="20"/>
                <w:szCs w:val="20"/>
                <w:color w:val="auto"/>
              </w:rPr>
            </w:pPr>
            <w:r>
              <w:rPr>
                <w:rFonts w:ascii="Arial" w:cs="Arial" w:eastAsia="Arial" w:hAnsi="Arial"/>
                <w:sz w:val="18"/>
                <w:szCs w:val="18"/>
                <w:color w:val="auto"/>
              </w:rPr>
              <w:t>President and Chairman of the Board</w:t>
            </w:r>
          </w:p>
        </w:tc>
      </w:tr>
      <w:tr>
        <w:trPr>
          <w:trHeight w:val="215"/>
        </w:trPr>
        <w:tc>
          <w:tcPr>
            <w:tcW w:w="3340" w:type="dxa"/>
            <w:vAlign w:val="bottom"/>
            <w:gridSpan w:val="2"/>
          </w:tcPr>
          <w:p>
            <w:pPr>
              <w:spacing w:after="0"/>
              <w:rPr>
                <w:sz w:val="20"/>
                <w:szCs w:val="20"/>
                <w:color w:val="auto"/>
              </w:rPr>
            </w:pPr>
            <w:r>
              <w:rPr>
                <w:rFonts w:ascii="Arial" w:cs="Arial" w:eastAsia="Arial" w:hAnsi="Arial"/>
                <w:sz w:val="18"/>
                <w:szCs w:val="18"/>
                <w:color w:val="auto"/>
              </w:rPr>
              <w:t>James G. Coulter</w:t>
            </w:r>
          </w:p>
        </w:tc>
        <w:tc>
          <w:tcPr>
            <w:tcW w:w="8080" w:type="dxa"/>
            <w:vAlign w:val="bottom"/>
            <w:gridSpan w:val="3"/>
          </w:tcPr>
          <w:p>
            <w:pPr>
              <w:ind w:left="2160"/>
              <w:spacing w:after="0"/>
              <w:rPr>
                <w:sz w:val="20"/>
                <w:szCs w:val="20"/>
                <w:color w:val="auto"/>
              </w:rPr>
            </w:pPr>
            <w:r>
              <w:rPr>
                <w:rFonts w:ascii="Arial" w:cs="Arial" w:eastAsia="Arial" w:hAnsi="Arial"/>
                <w:sz w:val="18"/>
                <w:szCs w:val="18"/>
                <w:color w:val="auto"/>
              </w:rPr>
              <w:t>Senior Vice President and Director</w:t>
            </w:r>
          </w:p>
        </w:tc>
      </w:tr>
      <w:tr>
        <w:trPr>
          <w:trHeight w:val="215"/>
        </w:trPr>
        <w:tc>
          <w:tcPr>
            <w:tcW w:w="3340" w:type="dxa"/>
            <w:vAlign w:val="bottom"/>
            <w:gridSpan w:val="2"/>
          </w:tcPr>
          <w:p>
            <w:pPr>
              <w:spacing w:after="0"/>
              <w:rPr>
                <w:sz w:val="20"/>
                <w:szCs w:val="20"/>
                <w:color w:val="auto"/>
              </w:rPr>
            </w:pPr>
            <w:r>
              <w:rPr>
                <w:rFonts w:ascii="Arial" w:cs="Arial" w:eastAsia="Arial" w:hAnsi="Arial"/>
                <w:sz w:val="18"/>
                <w:szCs w:val="18"/>
                <w:color w:val="auto"/>
              </w:rPr>
              <w:t>John E. Viola</w:t>
            </w:r>
          </w:p>
        </w:tc>
        <w:tc>
          <w:tcPr>
            <w:tcW w:w="8080" w:type="dxa"/>
            <w:vAlign w:val="bottom"/>
            <w:gridSpan w:val="3"/>
          </w:tcPr>
          <w:p>
            <w:pPr>
              <w:ind w:left="2160"/>
              <w:spacing w:after="0"/>
              <w:rPr>
                <w:sz w:val="20"/>
                <w:szCs w:val="20"/>
                <w:color w:val="auto"/>
              </w:rPr>
            </w:pPr>
            <w:r>
              <w:rPr>
                <w:rFonts w:ascii="Arial" w:cs="Arial" w:eastAsia="Arial" w:hAnsi="Arial"/>
                <w:sz w:val="18"/>
                <w:szCs w:val="18"/>
                <w:color w:val="auto"/>
              </w:rPr>
              <w:t>Vice President and Treasurer</w:t>
            </w:r>
          </w:p>
        </w:tc>
      </w:tr>
      <w:tr>
        <w:trPr>
          <w:trHeight w:val="215"/>
        </w:trPr>
        <w:tc>
          <w:tcPr>
            <w:tcW w:w="3340" w:type="dxa"/>
            <w:vAlign w:val="bottom"/>
            <w:gridSpan w:val="2"/>
          </w:tcPr>
          <w:p>
            <w:pPr>
              <w:spacing w:after="0"/>
              <w:rPr>
                <w:sz w:val="20"/>
                <w:szCs w:val="20"/>
                <w:color w:val="auto"/>
              </w:rPr>
            </w:pPr>
            <w:r>
              <w:rPr>
                <w:rFonts w:ascii="Arial" w:cs="Arial" w:eastAsia="Arial" w:hAnsi="Arial"/>
                <w:sz w:val="18"/>
                <w:szCs w:val="18"/>
                <w:color w:val="auto"/>
              </w:rPr>
              <w:t>Ronald Cami</w:t>
            </w:r>
          </w:p>
        </w:tc>
        <w:tc>
          <w:tcPr>
            <w:tcW w:w="8080" w:type="dxa"/>
            <w:vAlign w:val="bottom"/>
            <w:gridSpan w:val="3"/>
          </w:tcPr>
          <w:p>
            <w:pPr>
              <w:ind w:left="2160"/>
              <w:spacing w:after="0"/>
              <w:rPr>
                <w:sz w:val="20"/>
                <w:szCs w:val="20"/>
                <w:color w:val="auto"/>
              </w:rPr>
            </w:pPr>
            <w:r>
              <w:rPr>
                <w:rFonts w:ascii="Arial" w:cs="Arial" w:eastAsia="Arial" w:hAnsi="Arial"/>
                <w:sz w:val="18"/>
                <w:szCs w:val="18"/>
                <w:color w:val="auto"/>
              </w:rPr>
              <w:t>Vice President and Secretary</w:t>
            </w:r>
          </w:p>
        </w:tc>
      </w:tr>
      <w:tr>
        <w:trPr>
          <w:trHeight w:val="215"/>
        </w:trPr>
        <w:tc>
          <w:tcPr>
            <w:tcW w:w="3340" w:type="dxa"/>
            <w:vAlign w:val="bottom"/>
            <w:gridSpan w:val="2"/>
          </w:tcPr>
          <w:p>
            <w:pPr>
              <w:spacing w:after="0"/>
              <w:rPr>
                <w:sz w:val="20"/>
                <w:szCs w:val="20"/>
                <w:color w:val="auto"/>
              </w:rPr>
            </w:pPr>
            <w:r>
              <w:rPr>
                <w:rFonts w:ascii="Arial" w:cs="Arial" w:eastAsia="Arial" w:hAnsi="Arial"/>
                <w:sz w:val="18"/>
                <w:szCs w:val="18"/>
                <w:color w:val="auto"/>
              </w:rPr>
              <w:t>David C. Reintjes</w:t>
            </w:r>
          </w:p>
        </w:tc>
        <w:tc>
          <w:tcPr>
            <w:tcW w:w="8080" w:type="dxa"/>
            <w:vAlign w:val="bottom"/>
            <w:gridSpan w:val="3"/>
          </w:tcPr>
          <w:p>
            <w:pPr>
              <w:ind w:left="2160"/>
              <w:spacing w:after="0"/>
              <w:rPr>
                <w:sz w:val="20"/>
                <w:szCs w:val="20"/>
                <w:color w:val="auto"/>
              </w:rPr>
            </w:pPr>
            <w:r>
              <w:rPr>
                <w:rFonts w:ascii="Arial" w:cs="Arial" w:eastAsia="Arial" w:hAnsi="Arial"/>
                <w:sz w:val="18"/>
                <w:szCs w:val="18"/>
                <w:color w:val="auto"/>
              </w:rPr>
              <w:t>Chief Compliance Officer and Assistant Secretary</w:t>
            </w:r>
          </w:p>
        </w:tc>
      </w:tr>
      <w:tr>
        <w:trPr>
          <w:trHeight w:val="215"/>
        </w:trPr>
        <w:tc>
          <w:tcPr>
            <w:tcW w:w="3340" w:type="dxa"/>
            <w:vAlign w:val="bottom"/>
            <w:gridSpan w:val="2"/>
          </w:tcPr>
          <w:p>
            <w:pPr>
              <w:spacing w:after="0"/>
              <w:rPr>
                <w:sz w:val="20"/>
                <w:szCs w:val="20"/>
                <w:color w:val="auto"/>
              </w:rPr>
            </w:pPr>
            <w:r>
              <w:rPr>
                <w:rFonts w:ascii="Arial" w:cs="Arial" w:eastAsia="Arial" w:hAnsi="Arial"/>
                <w:sz w:val="18"/>
                <w:szCs w:val="18"/>
                <w:color w:val="auto"/>
              </w:rPr>
              <w:t>G. Douglas Puckett</w:t>
            </w:r>
          </w:p>
        </w:tc>
        <w:tc>
          <w:tcPr>
            <w:tcW w:w="8080" w:type="dxa"/>
            <w:vAlign w:val="bottom"/>
            <w:gridSpan w:val="3"/>
          </w:tcPr>
          <w:p>
            <w:pPr>
              <w:ind w:left="2160"/>
              <w:spacing w:after="0"/>
              <w:rPr>
                <w:sz w:val="20"/>
                <w:szCs w:val="20"/>
                <w:color w:val="auto"/>
              </w:rPr>
            </w:pPr>
            <w:r>
              <w:rPr>
                <w:rFonts w:ascii="Arial" w:cs="Arial" w:eastAsia="Arial" w:hAnsi="Arial"/>
                <w:sz w:val="18"/>
                <w:szCs w:val="18"/>
                <w:color w:val="auto"/>
              </w:rPr>
              <w:t>Assistant Treasurer</w:t>
            </w: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Steven A. Willmann</w:t>
            </w:r>
          </w:p>
        </w:tc>
        <w:tc>
          <w:tcPr>
            <w:tcW w:w="8080" w:type="dxa"/>
            <w:vAlign w:val="bottom"/>
            <w:gridSpan w:val="3"/>
          </w:tcPr>
          <w:p>
            <w:pPr>
              <w:ind w:left="2160"/>
              <w:spacing w:after="0"/>
              <w:rPr>
                <w:sz w:val="20"/>
                <w:szCs w:val="20"/>
                <w:color w:val="auto"/>
              </w:rPr>
            </w:pPr>
            <w:r>
              <w:rPr>
                <w:rFonts w:ascii="Arial" w:cs="Arial" w:eastAsia="Arial" w:hAnsi="Arial"/>
                <w:sz w:val="18"/>
                <w:szCs w:val="18"/>
                <w:color w:val="auto"/>
              </w:rPr>
              <w:t>Assistant Treasurer</w:t>
            </w:r>
          </w:p>
        </w:tc>
      </w:tr>
      <w:tr>
        <w:trPr>
          <w:trHeight w:val="821"/>
        </w:trPr>
        <w:tc>
          <w:tcPr>
            <w:tcW w:w="4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8080" w:type="dxa"/>
            <w:vAlign w:val="bottom"/>
            <w:gridSpan w:val="3"/>
          </w:tcPr>
          <w:p>
            <w:pPr>
              <w:ind w:left="1880"/>
              <w:spacing w:after="0"/>
              <w:rPr>
                <w:sz w:val="20"/>
                <w:szCs w:val="20"/>
                <w:color w:val="auto"/>
              </w:rPr>
            </w:pPr>
            <w:r>
              <w:rPr>
                <w:rFonts w:ascii="Arial" w:cs="Arial" w:eastAsia="Arial" w:hAnsi="Arial"/>
                <w:sz w:val="18"/>
                <w:szCs w:val="18"/>
                <w:color w:val="auto"/>
              </w:rPr>
              <w:t>Page 14 of 16</w:t>
            </w:r>
          </w:p>
        </w:tc>
      </w:tr>
      <w:tr>
        <w:trPr>
          <w:trHeight w:val="118"/>
        </w:trPr>
        <w:tc>
          <w:tcPr>
            <w:tcW w:w="440" w:type="dxa"/>
            <w:vAlign w:val="bottom"/>
            <w:tcBorders>
              <w:bottom w:val="single" w:sz="8" w:color="808080"/>
            </w:tcBorders>
          </w:tcPr>
          <w:p>
            <w:pPr>
              <w:spacing w:after="0"/>
              <w:rPr>
                <w:sz w:val="10"/>
                <w:szCs w:val="10"/>
                <w:color w:val="auto"/>
              </w:rPr>
            </w:pPr>
          </w:p>
        </w:tc>
        <w:tc>
          <w:tcPr>
            <w:tcW w:w="2900" w:type="dxa"/>
            <w:vAlign w:val="bottom"/>
            <w:tcBorders>
              <w:bottom w:val="single" w:sz="8" w:color="808080"/>
            </w:tcBorders>
          </w:tcPr>
          <w:p>
            <w:pPr>
              <w:spacing w:after="0"/>
              <w:rPr>
                <w:sz w:val="10"/>
                <w:szCs w:val="10"/>
                <w:color w:val="auto"/>
              </w:rPr>
            </w:pPr>
          </w:p>
        </w:tc>
        <w:tc>
          <w:tcPr>
            <w:tcW w:w="21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5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7241540</wp:posOffset>
            </wp:positionH>
            <wp:positionV relativeFrom="paragraph">
              <wp:posOffset>-13970</wp:posOffset>
            </wp:positionV>
            <wp:extent cx="12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14" w:name="page15"/>
    <w:bookmarkEnd w:id="14"/>
    <w:p>
      <w:pPr>
        <w:ind w:left="5280"/>
        <w:spacing w:after="0"/>
        <w:rPr>
          <w:sz w:val="20"/>
          <w:szCs w:val="20"/>
          <w:color w:val="auto"/>
        </w:rPr>
      </w:pPr>
      <w:r>
        <w:rPr>
          <w:rFonts w:ascii="Arial" w:cs="Arial" w:eastAsia="Arial" w:hAnsi="Arial"/>
          <w:sz w:val="18"/>
          <w:szCs w:val="18"/>
          <w:b w:val="1"/>
          <w:bCs w:val="1"/>
          <w:u w:val="single" w:color="auto"/>
          <w:color w:val="auto"/>
        </w:rPr>
        <w:t>Schedule II</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All addresses are c/o TPG Capital L.P., 301 Commerce Street, Suite 3300, Fort Worth, TX 76102.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w w:val="87"/>
              </w:rPr>
              <w:t>Name</w:t>
            </w:r>
          </w:p>
        </w:tc>
        <w:tc>
          <w:tcPr>
            <w:tcW w:w="3080" w:type="dxa"/>
            <w:vAlign w:val="bottom"/>
          </w:tcPr>
          <w:p>
            <w:pPr>
              <w:spacing w:after="0"/>
              <w:rPr>
                <w:sz w:val="17"/>
                <w:szCs w:val="17"/>
                <w:color w:val="auto"/>
              </w:rPr>
            </w:pPr>
          </w:p>
        </w:tc>
        <w:tc>
          <w:tcPr>
            <w:tcW w:w="5580" w:type="dxa"/>
            <w:vAlign w:val="bottom"/>
            <w:gridSpan w:val="3"/>
          </w:tcPr>
          <w:p>
            <w:pPr>
              <w:ind w:left="1980"/>
              <w:spacing w:after="0"/>
              <w:rPr>
                <w:sz w:val="20"/>
                <w:szCs w:val="20"/>
                <w:color w:val="auto"/>
              </w:rPr>
            </w:pPr>
            <w:r>
              <w:rPr>
                <w:rFonts w:ascii="Arial" w:cs="Arial" w:eastAsia="Arial" w:hAnsi="Arial"/>
                <w:sz w:val="18"/>
                <w:szCs w:val="18"/>
                <w:color w:val="auto"/>
              </w:rPr>
              <w:t>Title</w:t>
            </w:r>
          </w:p>
        </w:tc>
      </w:tr>
      <w:tr>
        <w:trPr>
          <w:trHeight w:val="20"/>
        </w:trPr>
        <w:tc>
          <w:tcPr>
            <w:tcW w:w="440" w:type="dxa"/>
            <w:vAlign w:val="bottom"/>
            <w:shd w:val="clear" w:color="auto" w:fill="000000"/>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437"/>
        </w:trPr>
        <w:tc>
          <w:tcPr>
            <w:tcW w:w="3520" w:type="dxa"/>
            <w:vAlign w:val="bottom"/>
            <w:gridSpan w:val="2"/>
          </w:tcPr>
          <w:p>
            <w:pPr>
              <w:spacing w:after="0"/>
              <w:rPr>
                <w:sz w:val="20"/>
                <w:szCs w:val="20"/>
                <w:color w:val="auto"/>
              </w:rPr>
            </w:pPr>
            <w:r>
              <w:rPr>
                <w:rFonts w:ascii="Arial" w:cs="Arial" w:eastAsia="Arial" w:hAnsi="Arial"/>
                <w:sz w:val="18"/>
                <w:szCs w:val="18"/>
                <w:color w:val="auto"/>
              </w:rPr>
              <w:t>David Bonderman</w:t>
            </w:r>
          </w:p>
        </w:tc>
        <w:tc>
          <w:tcPr>
            <w:tcW w:w="5580" w:type="dxa"/>
            <w:vAlign w:val="bottom"/>
            <w:gridSpan w:val="3"/>
          </w:tcPr>
          <w:p>
            <w:pPr>
              <w:ind w:left="1980"/>
              <w:spacing w:after="0"/>
              <w:rPr>
                <w:sz w:val="20"/>
                <w:szCs w:val="20"/>
                <w:color w:val="auto"/>
              </w:rPr>
            </w:pPr>
            <w:r>
              <w:rPr>
                <w:rFonts w:ascii="Arial" w:cs="Arial" w:eastAsia="Arial" w:hAnsi="Arial"/>
                <w:sz w:val="18"/>
                <w:szCs w:val="18"/>
                <w:color w:val="auto"/>
              </w:rPr>
              <w:t>President and Chairman of the Board</w:t>
            </w:r>
          </w:p>
        </w:tc>
      </w:tr>
      <w:tr>
        <w:trPr>
          <w:trHeight w:val="215"/>
        </w:trPr>
        <w:tc>
          <w:tcPr>
            <w:tcW w:w="3520" w:type="dxa"/>
            <w:vAlign w:val="bottom"/>
            <w:gridSpan w:val="2"/>
          </w:tcPr>
          <w:p>
            <w:pPr>
              <w:spacing w:after="0"/>
              <w:rPr>
                <w:sz w:val="20"/>
                <w:szCs w:val="20"/>
                <w:color w:val="auto"/>
              </w:rPr>
            </w:pPr>
            <w:r>
              <w:rPr>
                <w:rFonts w:ascii="Arial" w:cs="Arial" w:eastAsia="Arial" w:hAnsi="Arial"/>
                <w:sz w:val="18"/>
                <w:szCs w:val="18"/>
                <w:color w:val="auto"/>
              </w:rPr>
              <w:t>James G. Coulter</w:t>
            </w:r>
          </w:p>
        </w:tc>
        <w:tc>
          <w:tcPr>
            <w:tcW w:w="5580" w:type="dxa"/>
            <w:vAlign w:val="bottom"/>
            <w:gridSpan w:val="3"/>
          </w:tcPr>
          <w:p>
            <w:pPr>
              <w:ind w:left="1980"/>
              <w:spacing w:after="0"/>
              <w:rPr>
                <w:sz w:val="20"/>
                <w:szCs w:val="20"/>
                <w:color w:val="auto"/>
              </w:rPr>
            </w:pPr>
            <w:r>
              <w:rPr>
                <w:rFonts w:ascii="Arial" w:cs="Arial" w:eastAsia="Arial" w:hAnsi="Arial"/>
                <w:sz w:val="18"/>
                <w:szCs w:val="18"/>
                <w:color w:val="auto"/>
              </w:rPr>
              <w:t>Executive Vice President and Director</w:t>
            </w:r>
          </w:p>
        </w:tc>
      </w:tr>
      <w:tr>
        <w:trPr>
          <w:trHeight w:val="215"/>
        </w:trPr>
        <w:tc>
          <w:tcPr>
            <w:tcW w:w="3520" w:type="dxa"/>
            <w:vAlign w:val="bottom"/>
            <w:gridSpan w:val="2"/>
          </w:tcPr>
          <w:p>
            <w:pPr>
              <w:spacing w:after="0"/>
              <w:rPr>
                <w:sz w:val="20"/>
                <w:szCs w:val="20"/>
                <w:color w:val="auto"/>
              </w:rPr>
            </w:pPr>
            <w:r>
              <w:rPr>
                <w:rFonts w:ascii="Arial" w:cs="Arial" w:eastAsia="Arial" w:hAnsi="Arial"/>
                <w:sz w:val="18"/>
                <w:szCs w:val="18"/>
                <w:color w:val="auto"/>
              </w:rPr>
              <w:t>John E. Viola</w:t>
            </w:r>
          </w:p>
        </w:tc>
        <w:tc>
          <w:tcPr>
            <w:tcW w:w="5580" w:type="dxa"/>
            <w:vAlign w:val="bottom"/>
            <w:gridSpan w:val="3"/>
          </w:tcPr>
          <w:p>
            <w:pPr>
              <w:ind w:left="1980"/>
              <w:spacing w:after="0"/>
              <w:rPr>
                <w:sz w:val="20"/>
                <w:szCs w:val="20"/>
                <w:color w:val="auto"/>
              </w:rPr>
            </w:pPr>
            <w:r>
              <w:rPr>
                <w:rFonts w:ascii="Arial" w:cs="Arial" w:eastAsia="Arial" w:hAnsi="Arial"/>
                <w:sz w:val="18"/>
                <w:szCs w:val="18"/>
                <w:color w:val="auto"/>
              </w:rPr>
              <w:t>Vice President and Treasurer</w:t>
            </w:r>
          </w:p>
        </w:tc>
      </w:tr>
      <w:tr>
        <w:trPr>
          <w:trHeight w:val="215"/>
        </w:trPr>
        <w:tc>
          <w:tcPr>
            <w:tcW w:w="3520" w:type="dxa"/>
            <w:vAlign w:val="bottom"/>
            <w:gridSpan w:val="2"/>
          </w:tcPr>
          <w:p>
            <w:pPr>
              <w:spacing w:after="0"/>
              <w:rPr>
                <w:sz w:val="20"/>
                <w:szCs w:val="20"/>
                <w:color w:val="auto"/>
              </w:rPr>
            </w:pPr>
            <w:r>
              <w:rPr>
                <w:rFonts w:ascii="Arial" w:cs="Arial" w:eastAsia="Arial" w:hAnsi="Arial"/>
                <w:sz w:val="18"/>
                <w:szCs w:val="18"/>
                <w:color w:val="auto"/>
              </w:rPr>
              <w:t>Ronald Cami</w:t>
            </w:r>
          </w:p>
        </w:tc>
        <w:tc>
          <w:tcPr>
            <w:tcW w:w="5580" w:type="dxa"/>
            <w:vAlign w:val="bottom"/>
            <w:gridSpan w:val="3"/>
          </w:tcPr>
          <w:p>
            <w:pPr>
              <w:ind w:left="1980"/>
              <w:spacing w:after="0"/>
              <w:rPr>
                <w:sz w:val="20"/>
                <w:szCs w:val="20"/>
                <w:color w:val="auto"/>
              </w:rPr>
            </w:pPr>
            <w:r>
              <w:rPr>
                <w:rFonts w:ascii="Arial" w:cs="Arial" w:eastAsia="Arial" w:hAnsi="Arial"/>
                <w:sz w:val="18"/>
                <w:szCs w:val="18"/>
                <w:color w:val="auto"/>
              </w:rPr>
              <w:t>Vice President and Secretary</w:t>
            </w:r>
          </w:p>
        </w:tc>
      </w:tr>
      <w:tr>
        <w:trPr>
          <w:trHeight w:val="215"/>
        </w:trPr>
        <w:tc>
          <w:tcPr>
            <w:tcW w:w="3520" w:type="dxa"/>
            <w:vAlign w:val="bottom"/>
            <w:gridSpan w:val="2"/>
          </w:tcPr>
          <w:p>
            <w:pPr>
              <w:spacing w:after="0"/>
              <w:rPr>
                <w:sz w:val="20"/>
                <w:szCs w:val="20"/>
                <w:color w:val="auto"/>
              </w:rPr>
            </w:pPr>
            <w:r>
              <w:rPr>
                <w:rFonts w:ascii="Arial" w:cs="Arial" w:eastAsia="Arial" w:hAnsi="Arial"/>
                <w:sz w:val="18"/>
                <w:szCs w:val="18"/>
                <w:color w:val="auto"/>
              </w:rPr>
              <w:t>Clive D. Bode</w:t>
            </w:r>
          </w:p>
        </w:tc>
        <w:tc>
          <w:tcPr>
            <w:tcW w:w="5580" w:type="dxa"/>
            <w:vAlign w:val="bottom"/>
            <w:gridSpan w:val="3"/>
          </w:tcPr>
          <w:p>
            <w:pPr>
              <w:ind w:left="1980"/>
              <w:spacing w:after="0"/>
              <w:rPr>
                <w:sz w:val="20"/>
                <w:szCs w:val="20"/>
                <w:color w:val="auto"/>
              </w:rPr>
            </w:pPr>
            <w:r>
              <w:rPr>
                <w:rFonts w:ascii="Arial" w:cs="Arial" w:eastAsia="Arial" w:hAnsi="Arial"/>
                <w:sz w:val="18"/>
                <w:szCs w:val="18"/>
                <w:color w:val="auto"/>
              </w:rPr>
              <w:t>Vice President</w:t>
            </w:r>
          </w:p>
        </w:tc>
      </w:tr>
      <w:tr>
        <w:trPr>
          <w:trHeight w:val="215"/>
        </w:trPr>
        <w:tc>
          <w:tcPr>
            <w:tcW w:w="3520" w:type="dxa"/>
            <w:vAlign w:val="bottom"/>
            <w:gridSpan w:val="2"/>
          </w:tcPr>
          <w:p>
            <w:pPr>
              <w:spacing w:after="0"/>
              <w:rPr>
                <w:sz w:val="20"/>
                <w:szCs w:val="20"/>
                <w:color w:val="auto"/>
              </w:rPr>
            </w:pPr>
            <w:r>
              <w:rPr>
                <w:rFonts w:ascii="Arial" w:cs="Arial" w:eastAsia="Arial" w:hAnsi="Arial"/>
                <w:sz w:val="18"/>
                <w:szCs w:val="18"/>
                <w:color w:val="auto"/>
              </w:rPr>
              <w:t>Richard W. Boyce</w:t>
            </w:r>
          </w:p>
        </w:tc>
        <w:tc>
          <w:tcPr>
            <w:tcW w:w="5580" w:type="dxa"/>
            <w:vAlign w:val="bottom"/>
            <w:gridSpan w:val="3"/>
          </w:tcPr>
          <w:p>
            <w:pPr>
              <w:ind w:left="1980"/>
              <w:spacing w:after="0"/>
              <w:rPr>
                <w:sz w:val="20"/>
                <w:szCs w:val="20"/>
                <w:color w:val="auto"/>
              </w:rPr>
            </w:pPr>
            <w:r>
              <w:rPr>
                <w:rFonts w:ascii="Arial" w:cs="Arial" w:eastAsia="Arial" w:hAnsi="Arial"/>
                <w:sz w:val="18"/>
                <w:szCs w:val="18"/>
                <w:color w:val="auto"/>
              </w:rPr>
              <w:t>Vice President</w:t>
            </w:r>
          </w:p>
        </w:tc>
      </w:tr>
      <w:tr>
        <w:trPr>
          <w:trHeight w:val="215"/>
        </w:trPr>
        <w:tc>
          <w:tcPr>
            <w:tcW w:w="3520" w:type="dxa"/>
            <w:vAlign w:val="bottom"/>
            <w:gridSpan w:val="2"/>
          </w:tcPr>
          <w:p>
            <w:pPr>
              <w:spacing w:after="0"/>
              <w:rPr>
                <w:sz w:val="20"/>
                <w:szCs w:val="20"/>
                <w:color w:val="auto"/>
              </w:rPr>
            </w:pPr>
            <w:r>
              <w:rPr>
                <w:rFonts w:ascii="Arial" w:cs="Arial" w:eastAsia="Arial" w:hAnsi="Arial"/>
                <w:sz w:val="18"/>
                <w:szCs w:val="18"/>
                <w:color w:val="auto"/>
              </w:rPr>
              <w:t>Kevin R. Burns</w:t>
            </w:r>
          </w:p>
        </w:tc>
        <w:tc>
          <w:tcPr>
            <w:tcW w:w="5580" w:type="dxa"/>
            <w:vAlign w:val="bottom"/>
            <w:gridSpan w:val="3"/>
          </w:tcPr>
          <w:p>
            <w:pPr>
              <w:ind w:left="1980"/>
              <w:spacing w:after="0"/>
              <w:rPr>
                <w:sz w:val="20"/>
                <w:szCs w:val="20"/>
                <w:color w:val="auto"/>
              </w:rPr>
            </w:pPr>
            <w:r>
              <w:rPr>
                <w:rFonts w:ascii="Arial" w:cs="Arial" w:eastAsia="Arial" w:hAnsi="Arial"/>
                <w:sz w:val="18"/>
                <w:szCs w:val="18"/>
                <w:color w:val="auto"/>
              </w:rPr>
              <w:t>Vice President</w:t>
            </w:r>
          </w:p>
        </w:tc>
      </w:tr>
      <w:tr>
        <w:trPr>
          <w:trHeight w:val="215"/>
        </w:trPr>
        <w:tc>
          <w:tcPr>
            <w:tcW w:w="3520" w:type="dxa"/>
            <w:vAlign w:val="bottom"/>
            <w:gridSpan w:val="2"/>
          </w:tcPr>
          <w:p>
            <w:pPr>
              <w:spacing w:after="0"/>
              <w:rPr>
                <w:sz w:val="20"/>
                <w:szCs w:val="20"/>
                <w:color w:val="auto"/>
              </w:rPr>
            </w:pPr>
            <w:r>
              <w:rPr>
                <w:rFonts w:ascii="Arial" w:cs="Arial" w:eastAsia="Arial" w:hAnsi="Arial"/>
                <w:sz w:val="18"/>
                <w:szCs w:val="18"/>
                <w:color w:val="auto"/>
              </w:rPr>
              <w:t>Jonathan J. Coslet</w:t>
            </w:r>
          </w:p>
        </w:tc>
        <w:tc>
          <w:tcPr>
            <w:tcW w:w="5580" w:type="dxa"/>
            <w:vAlign w:val="bottom"/>
            <w:gridSpan w:val="3"/>
          </w:tcPr>
          <w:p>
            <w:pPr>
              <w:ind w:left="1980"/>
              <w:spacing w:after="0"/>
              <w:rPr>
                <w:sz w:val="20"/>
                <w:szCs w:val="20"/>
                <w:color w:val="auto"/>
              </w:rPr>
            </w:pPr>
            <w:r>
              <w:rPr>
                <w:rFonts w:ascii="Arial" w:cs="Arial" w:eastAsia="Arial" w:hAnsi="Arial"/>
                <w:sz w:val="18"/>
                <w:szCs w:val="18"/>
                <w:color w:val="auto"/>
              </w:rPr>
              <w:t>Vice President</w:t>
            </w:r>
          </w:p>
        </w:tc>
      </w:tr>
      <w:tr>
        <w:trPr>
          <w:trHeight w:val="215"/>
        </w:trPr>
        <w:tc>
          <w:tcPr>
            <w:tcW w:w="3520" w:type="dxa"/>
            <w:vAlign w:val="bottom"/>
            <w:gridSpan w:val="2"/>
          </w:tcPr>
          <w:p>
            <w:pPr>
              <w:spacing w:after="0"/>
              <w:rPr>
                <w:sz w:val="20"/>
                <w:szCs w:val="20"/>
                <w:color w:val="auto"/>
              </w:rPr>
            </w:pPr>
            <w:r>
              <w:rPr>
                <w:rFonts w:ascii="Arial" w:cs="Arial" w:eastAsia="Arial" w:hAnsi="Arial"/>
                <w:sz w:val="18"/>
                <w:szCs w:val="18"/>
                <w:color w:val="auto"/>
              </w:rPr>
              <w:t>Timothy D. Dattels</w:t>
            </w:r>
          </w:p>
        </w:tc>
        <w:tc>
          <w:tcPr>
            <w:tcW w:w="5580" w:type="dxa"/>
            <w:vAlign w:val="bottom"/>
            <w:gridSpan w:val="3"/>
          </w:tcPr>
          <w:p>
            <w:pPr>
              <w:ind w:left="1980"/>
              <w:spacing w:after="0"/>
              <w:rPr>
                <w:sz w:val="20"/>
                <w:szCs w:val="20"/>
                <w:color w:val="auto"/>
              </w:rPr>
            </w:pPr>
            <w:r>
              <w:rPr>
                <w:rFonts w:ascii="Arial" w:cs="Arial" w:eastAsia="Arial" w:hAnsi="Arial"/>
                <w:sz w:val="18"/>
                <w:szCs w:val="18"/>
                <w:color w:val="auto"/>
              </w:rPr>
              <w:t>Vice President</w:t>
            </w:r>
          </w:p>
        </w:tc>
      </w:tr>
      <w:tr>
        <w:trPr>
          <w:trHeight w:val="215"/>
        </w:trPr>
        <w:tc>
          <w:tcPr>
            <w:tcW w:w="3520" w:type="dxa"/>
            <w:vAlign w:val="bottom"/>
            <w:gridSpan w:val="2"/>
          </w:tcPr>
          <w:p>
            <w:pPr>
              <w:spacing w:after="0"/>
              <w:rPr>
                <w:sz w:val="20"/>
                <w:szCs w:val="20"/>
                <w:color w:val="auto"/>
              </w:rPr>
            </w:pPr>
            <w:r>
              <w:rPr>
                <w:rFonts w:ascii="Arial" w:cs="Arial" w:eastAsia="Arial" w:hAnsi="Arial"/>
                <w:sz w:val="18"/>
                <w:szCs w:val="18"/>
                <w:color w:val="auto"/>
              </w:rPr>
              <w:t>Kelvin L. Davis</w:t>
            </w:r>
          </w:p>
        </w:tc>
        <w:tc>
          <w:tcPr>
            <w:tcW w:w="5580" w:type="dxa"/>
            <w:vAlign w:val="bottom"/>
            <w:gridSpan w:val="3"/>
          </w:tcPr>
          <w:p>
            <w:pPr>
              <w:ind w:left="1980"/>
              <w:spacing w:after="0"/>
              <w:rPr>
                <w:sz w:val="20"/>
                <w:szCs w:val="20"/>
                <w:color w:val="auto"/>
              </w:rPr>
            </w:pPr>
            <w:r>
              <w:rPr>
                <w:rFonts w:ascii="Arial" w:cs="Arial" w:eastAsia="Arial" w:hAnsi="Arial"/>
                <w:sz w:val="18"/>
                <w:szCs w:val="18"/>
                <w:color w:val="auto"/>
              </w:rPr>
              <w:t>Vice President</w:t>
            </w:r>
          </w:p>
        </w:tc>
      </w:tr>
      <w:tr>
        <w:trPr>
          <w:trHeight w:val="215"/>
        </w:trPr>
        <w:tc>
          <w:tcPr>
            <w:tcW w:w="3520" w:type="dxa"/>
            <w:vAlign w:val="bottom"/>
            <w:gridSpan w:val="2"/>
          </w:tcPr>
          <w:p>
            <w:pPr>
              <w:spacing w:after="0"/>
              <w:rPr>
                <w:sz w:val="20"/>
                <w:szCs w:val="20"/>
                <w:color w:val="auto"/>
              </w:rPr>
            </w:pPr>
            <w:r>
              <w:rPr>
                <w:rFonts w:ascii="Arial" w:cs="Arial" w:eastAsia="Arial" w:hAnsi="Arial"/>
                <w:sz w:val="18"/>
                <w:szCs w:val="18"/>
                <w:color w:val="auto"/>
              </w:rPr>
              <w:t>Eugene J. Frantz</w:t>
            </w:r>
          </w:p>
        </w:tc>
        <w:tc>
          <w:tcPr>
            <w:tcW w:w="5580" w:type="dxa"/>
            <w:vAlign w:val="bottom"/>
            <w:gridSpan w:val="3"/>
          </w:tcPr>
          <w:p>
            <w:pPr>
              <w:ind w:left="1980"/>
              <w:spacing w:after="0"/>
              <w:rPr>
                <w:sz w:val="20"/>
                <w:szCs w:val="20"/>
                <w:color w:val="auto"/>
              </w:rPr>
            </w:pPr>
            <w:r>
              <w:rPr>
                <w:rFonts w:ascii="Arial" w:cs="Arial" w:eastAsia="Arial" w:hAnsi="Arial"/>
                <w:sz w:val="18"/>
                <w:szCs w:val="18"/>
                <w:color w:val="auto"/>
              </w:rPr>
              <w:t>Vice President</w:t>
            </w:r>
          </w:p>
        </w:tc>
      </w:tr>
      <w:tr>
        <w:trPr>
          <w:trHeight w:val="215"/>
        </w:trPr>
        <w:tc>
          <w:tcPr>
            <w:tcW w:w="3520" w:type="dxa"/>
            <w:vAlign w:val="bottom"/>
            <w:gridSpan w:val="2"/>
          </w:tcPr>
          <w:p>
            <w:pPr>
              <w:spacing w:after="0"/>
              <w:rPr>
                <w:sz w:val="20"/>
                <w:szCs w:val="20"/>
                <w:color w:val="auto"/>
              </w:rPr>
            </w:pPr>
            <w:r>
              <w:rPr>
                <w:rFonts w:ascii="Arial" w:cs="Arial" w:eastAsia="Arial" w:hAnsi="Arial"/>
                <w:sz w:val="18"/>
                <w:szCs w:val="18"/>
                <w:color w:val="auto"/>
              </w:rPr>
              <w:t>James R. Gates</w:t>
            </w:r>
          </w:p>
        </w:tc>
        <w:tc>
          <w:tcPr>
            <w:tcW w:w="5580" w:type="dxa"/>
            <w:vAlign w:val="bottom"/>
            <w:gridSpan w:val="3"/>
          </w:tcPr>
          <w:p>
            <w:pPr>
              <w:ind w:left="1980"/>
              <w:spacing w:after="0"/>
              <w:rPr>
                <w:sz w:val="20"/>
                <w:szCs w:val="20"/>
                <w:color w:val="auto"/>
              </w:rPr>
            </w:pPr>
            <w:r>
              <w:rPr>
                <w:rFonts w:ascii="Arial" w:cs="Arial" w:eastAsia="Arial" w:hAnsi="Arial"/>
                <w:sz w:val="18"/>
                <w:szCs w:val="18"/>
                <w:color w:val="auto"/>
              </w:rPr>
              <w:t>Vice President</w:t>
            </w:r>
          </w:p>
        </w:tc>
      </w:tr>
      <w:tr>
        <w:trPr>
          <w:trHeight w:val="215"/>
        </w:trPr>
        <w:tc>
          <w:tcPr>
            <w:tcW w:w="3520" w:type="dxa"/>
            <w:vAlign w:val="bottom"/>
            <w:gridSpan w:val="2"/>
          </w:tcPr>
          <w:p>
            <w:pPr>
              <w:spacing w:after="0"/>
              <w:rPr>
                <w:sz w:val="20"/>
                <w:szCs w:val="20"/>
                <w:color w:val="auto"/>
              </w:rPr>
            </w:pPr>
            <w:r>
              <w:rPr>
                <w:rFonts w:ascii="Arial" w:cs="Arial" w:eastAsia="Arial" w:hAnsi="Arial"/>
                <w:sz w:val="18"/>
                <w:szCs w:val="18"/>
                <w:color w:val="auto"/>
              </w:rPr>
              <w:t>Asiff Hirji</w:t>
            </w:r>
          </w:p>
        </w:tc>
        <w:tc>
          <w:tcPr>
            <w:tcW w:w="5580" w:type="dxa"/>
            <w:vAlign w:val="bottom"/>
            <w:gridSpan w:val="3"/>
          </w:tcPr>
          <w:p>
            <w:pPr>
              <w:ind w:left="1980"/>
              <w:spacing w:after="0"/>
              <w:rPr>
                <w:sz w:val="20"/>
                <w:szCs w:val="20"/>
                <w:color w:val="auto"/>
              </w:rPr>
            </w:pPr>
            <w:r>
              <w:rPr>
                <w:rFonts w:ascii="Arial" w:cs="Arial" w:eastAsia="Arial" w:hAnsi="Arial"/>
                <w:sz w:val="18"/>
                <w:szCs w:val="18"/>
                <w:color w:val="auto"/>
              </w:rPr>
              <w:t>Vice President</w:t>
            </w:r>
          </w:p>
        </w:tc>
      </w:tr>
      <w:tr>
        <w:trPr>
          <w:trHeight w:val="215"/>
        </w:trPr>
        <w:tc>
          <w:tcPr>
            <w:tcW w:w="3520" w:type="dxa"/>
            <w:vAlign w:val="bottom"/>
            <w:gridSpan w:val="2"/>
          </w:tcPr>
          <w:p>
            <w:pPr>
              <w:spacing w:after="0"/>
              <w:rPr>
                <w:sz w:val="20"/>
                <w:szCs w:val="20"/>
                <w:color w:val="auto"/>
              </w:rPr>
            </w:pPr>
            <w:r>
              <w:rPr>
                <w:rFonts w:ascii="Arial" w:cs="Arial" w:eastAsia="Arial" w:hAnsi="Arial"/>
                <w:sz w:val="18"/>
                <w:szCs w:val="18"/>
                <w:color w:val="auto"/>
              </w:rPr>
              <w:t>Michael MacDougall</w:t>
            </w:r>
          </w:p>
        </w:tc>
        <w:tc>
          <w:tcPr>
            <w:tcW w:w="5580" w:type="dxa"/>
            <w:vAlign w:val="bottom"/>
            <w:gridSpan w:val="3"/>
          </w:tcPr>
          <w:p>
            <w:pPr>
              <w:ind w:left="1980"/>
              <w:spacing w:after="0"/>
              <w:rPr>
                <w:sz w:val="20"/>
                <w:szCs w:val="20"/>
                <w:color w:val="auto"/>
              </w:rPr>
            </w:pPr>
            <w:r>
              <w:rPr>
                <w:rFonts w:ascii="Arial" w:cs="Arial" w:eastAsia="Arial" w:hAnsi="Arial"/>
                <w:sz w:val="18"/>
                <w:szCs w:val="18"/>
                <w:color w:val="auto"/>
              </w:rPr>
              <w:t>Vice President</w:t>
            </w:r>
          </w:p>
        </w:tc>
      </w:tr>
      <w:tr>
        <w:trPr>
          <w:trHeight w:val="215"/>
        </w:trPr>
        <w:tc>
          <w:tcPr>
            <w:tcW w:w="3520" w:type="dxa"/>
            <w:vAlign w:val="bottom"/>
            <w:gridSpan w:val="2"/>
          </w:tcPr>
          <w:p>
            <w:pPr>
              <w:spacing w:after="0"/>
              <w:rPr>
                <w:sz w:val="20"/>
                <w:szCs w:val="20"/>
                <w:color w:val="auto"/>
              </w:rPr>
            </w:pPr>
            <w:r>
              <w:rPr>
                <w:rFonts w:ascii="Arial" w:cs="Arial" w:eastAsia="Arial" w:hAnsi="Arial"/>
                <w:sz w:val="18"/>
                <w:szCs w:val="18"/>
                <w:color w:val="auto"/>
              </w:rPr>
              <w:t>John W. Marren</w:t>
            </w:r>
          </w:p>
        </w:tc>
        <w:tc>
          <w:tcPr>
            <w:tcW w:w="5580" w:type="dxa"/>
            <w:vAlign w:val="bottom"/>
            <w:gridSpan w:val="3"/>
          </w:tcPr>
          <w:p>
            <w:pPr>
              <w:ind w:left="1980"/>
              <w:spacing w:after="0"/>
              <w:rPr>
                <w:sz w:val="20"/>
                <w:szCs w:val="20"/>
                <w:color w:val="auto"/>
              </w:rPr>
            </w:pPr>
            <w:r>
              <w:rPr>
                <w:rFonts w:ascii="Arial" w:cs="Arial" w:eastAsia="Arial" w:hAnsi="Arial"/>
                <w:sz w:val="18"/>
                <w:szCs w:val="18"/>
                <w:color w:val="auto"/>
              </w:rPr>
              <w:t>Vice President</w:t>
            </w:r>
          </w:p>
        </w:tc>
      </w:tr>
      <w:tr>
        <w:trPr>
          <w:trHeight w:val="215"/>
        </w:trPr>
        <w:tc>
          <w:tcPr>
            <w:tcW w:w="3520" w:type="dxa"/>
            <w:vAlign w:val="bottom"/>
            <w:gridSpan w:val="2"/>
          </w:tcPr>
          <w:p>
            <w:pPr>
              <w:spacing w:after="0"/>
              <w:rPr>
                <w:sz w:val="20"/>
                <w:szCs w:val="20"/>
                <w:color w:val="auto"/>
              </w:rPr>
            </w:pPr>
            <w:r>
              <w:rPr>
                <w:rFonts w:ascii="Arial" w:cs="Arial" w:eastAsia="Arial" w:hAnsi="Arial"/>
                <w:sz w:val="18"/>
                <w:szCs w:val="18"/>
                <w:color w:val="auto"/>
              </w:rPr>
              <w:t>Todd Sisitsky</w:t>
            </w:r>
          </w:p>
        </w:tc>
        <w:tc>
          <w:tcPr>
            <w:tcW w:w="5580" w:type="dxa"/>
            <w:vAlign w:val="bottom"/>
            <w:gridSpan w:val="3"/>
          </w:tcPr>
          <w:p>
            <w:pPr>
              <w:ind w:left="1980"/>
              <w:spacing w:after="0"/>
              <w:rPr>
                <w:sz w:val="20"/>
                <w:szCs w:val="20"/>
                <w:color w:val="auto"/>
              </w:rPr>
            </w:pPr>
            <w:r>
              <w:rPr>
                <w:rFonts w:ascii="Arial" w:cs="Arial" w:eastAsia="Arial" w:hAnsi="Arial"/>
                <w:sz w:val="18"/>
                <w:szCs w:val="18"/>
                <w:color w:val="auto"/>
              </w:rPr>
              <w:t>Vice President</w:t>
            </w:r>
          </w:p>
        </w:tc>
      </w:tr>
      <w:tr>
        <w:trPr>
          <w:trHeight w:val="215"/>
        </w:trPr>
        <w:tc>
          <w:tcPr>
            <w:tcW w:w="3520" w:type="dxa"/>
            <w:vAlign w:val="bottom"/>
            <w:gridSpan w:val="2"/>
          </w:tcPr>
          <w:p>
            <w:pPr>
              <w:spacing w:after="0"/>
              <w:rPr>
                <w:sz w:val="20"/>
                <w:szCs w:val="20"/>
                <w:color w:val="auto"/>
              </w:rPr>
            </w:pPr>
            <w:r>
              <w:rPr>
                <w:rFonts w:ascii="Arial" w:cs="Arial" w:eastAsia="Arial" w:hAnsi="Arial"/>
                <w:sz w:val="18"/>
                <w:szCs w:val="18"/>
                <w:color w:val="auto"/>
              </w:rPr>
              <w:t>Bryan Taylor</w:t>
            </w:r>
          </w:p>
        </w:tc>
        <w:tc>
          <w:tcPr>
            <w:tcW w:w="5580" w:type="dxa"/>
            <w:vAlign w:val="bottom"/>
            <w:gridSpan w:val="3"/>
          </w:tcPr>
          <w:p>
            <w:pPr>
              <w:ind w:left="1980"/>
              <w:spacing w:after="0"/>
              <w:rPr>
                <w:sz w:val="20"/>
                <w:szCs w:val="20"/>
                <w:color w:val="auto"/>
              </w:rPr>
            </w:pPr>
            <w:r>
              <w:rPr>
                <w:rFonts w:ascii="Arial" w:cs="Arial" w:eastAsia="Arial" w:hAnsi="Arial"/>
                <w:sz w:val="18"/>
                <w:szCs w:val="18"/>
                <w:color w:val="auto"/>
              </w:rPr>
              <w:t>Vice President</w:t>
            </w:r>
          </w:p>
        </w:tc>
      </w:tr>
      <w:tr>
        <w:trPr>
          <w:trHeight w:val="215"/>
        </w:trPr>
        <w:tc>
          <w:tcPr>
            <w:tcW w:w="3520" w:type="dxa"/>
            <w:vAlign w:val="bottom"/>
            <w:gridSpan w:val="2"/>
          </w:tcPr>
          <w:p>
            <w:pPr>
              <w:spacing w:after="0"/>
              <w:rPr>
                <w:sz w:val="20"/>
                <w:szCs w:val="20"/>
                <w:color w:val="auto"/>
              </w:rPr>
            </w:pPr>
            <w:r>
              <w:rPr>
                <w:rFonts w:ascii="Arial" w:cs="Arial" w:eastAsia="Arial" w:hAnsi="Arial"/>
                <w:sz w:val="18"/>
                <w:szCs w:val="18"/>
                <w:color w:val="auto"/>
              </w:rPr>
              <w:t>Jerome C. Vascellaro</w:t>
            </w:r>
          </w:p>
        </w:tc>
        <w:tc>
          <w:tcPr>
            <w:tcW w:w="5580" w:type="dxa"/>
            <w:vAlign w:val="bottom"/>
            <w:gridSpan w:val="3"/>
          </w:tcPr>
          <w:p>
            <w:pPr>
              <w:ind w:left="1980"/>
              <w:spacing w:after="0"/>
              <w:rPr>
                <w:sz w:val="20"/>
                <w:szCs w:val="20"/>
                <w:color w:val="auto"/>
              </w:rPr>
            </w:pPr>
            <w:r>
              <w:rPr>
                <w:rFonts w:ascii="Arial" w:cs="Arial" w:eastAsia="Arial" w:hAnsi="Arial"/>
                <w:sz w:val="18"/>
                <w:szCs w:val="18"/>
                <w:color w:val="auto"/>
              </w:rPr>
              <w:t>Vice President</w:t>
            </w:r>
          </w:p>
        </w:tc>
      </w:tr>
      <w:tr>
        <w:trPr>
          <w:trHeight w:val="215"/>
        </w:trPr>
        <w:tc>
          <w:tcPr>
            <w:tcW w:w="3520" w:type="dxa"/>
            <w:vAlign w:val="bottom"/>
            <w:gridSpan w:val="2"/>
          </w:tcPr>
          <w:p>
            <w:pPr>
              <w:spacing w:after="0"/>
              <w:rPr>
                <w:sz w:val="20"/>
                <w:szCs w:val="20"/>
                <w:color w:val="auto"/>
              </w:rPr>
            </w:pPr>
            <w:r>
              <w:rPr>
                <w:rFonts w:ascii="Arial" w:cs="Arial" w:eastAsia="Arial" w:hAnsi="Arial"/>
                <w:sz w:val="18"/>
                <w:szCs w:val="18"/>
                <w:color w:val="auto"/>
              </w:rPr>
              <w:t>Jack C. Weingart</w:t>
            </w:r>
          </w:p>
        </w:tc>
        <w:tc>
          <w:tcPr>
            <w:tcW w:w="5580" w:type="dxa"/>
            <w:vAlign w:val="bottom"/>
            <w:gridSpan w:val="3"/>
          </w:tcPr>
          <w:p>
            <w:pPr>
              <w:ind w:left="1980"/>
              <w:spacing w:after="0"/>
              <w:rPr>
                <w:sz w:val="20"/>
                <w:szCs w:val="20"/>
                <w:color w:val="auto"/>
              </w:rPr>
            </w:pPr>
            <w:r>
              <w:rPr>
                <w:rFonts w:ascii="Arial" w:cs="Arial" w:eastAsia="Arial" w:hAnsi="Arial"/>
                <w:sz w:val="18"/>
                <w:szCs w:val="18"/>
                <w:color w:val="auto"/>
              </w:rPr>
              <w:t>Vice President</w:t>
            </w:r>
          </w:p>
        </w:tc>
      </w:tr>
      <w:tr>
        <w:trPr>
          <w:trHeight w:val="215"/>
        </w:trPr>
        <w:tc>
          <w:tcPr>
            <w:tcW w:w="3520" w:type="dxa"/>
            <w:vAlign w:val="bottom"/>
            <w:gridSpan w:val="2"/>
          </w:tcPr>
          <w:p>
            <w:pPr>
              <w:spacing w:after="0"/>
              <w:rPr>
                <w:sz w:val="20"/>
                <w:szCs w:val="20"/>
                <w:color w:val="auto"/>
              </w:rPr>
            </w:pPr>
            <w:r>
              <w:rPr>
                <w:rFonts w:ascii="Arial" w:cs="Arial" w:eastAsia="Arial" w:hAnsi="Arial"/>
                <w:sz w:val="18"/>
                <w:szCs w:val="18"/>
                <w:color w:val="auto"/>
              </w:rPr>
              <w:t>Carrie A. Wheeler</w:t>
            </w:r>
          </w:p>
        </w:tc>
        <w:tc>
          <w:tcPr>
            <w:tcW w:w="5580" w:type="dxa"/>
            <w:vAlign w:val="bottom"/>
            <w:gridSpan w:val="3"/>
          </w:tcPr>
          <w:p>
            <w:pPr>
              <w:ind w:left="1980"/>
              <w:spacing w:after="0"/>
              <w:rPr>
                <w:sz w:val="20"/>
                <w:szCs w:val="20"/>
                <w:color w:val="auto"/>
              </w:rPr>
            </w:pPr>
            <w:r>
              <w:rPr>
                <w:rFonts w:ascii="Arial" w:cs="Arial" w:eastAsia="Arial" w:hAnsi="Arial"/>
                <w:sz w:val="18"/>
                <w:szCs w:val="18"/>
                <w:color w:val="auto"/>
              </w:rPr>
              <w:t>Vice President</w:t>
            </w:r>
          </w:p>
        </w:tc>
      </w:tr>
      <w:tr>
        <w:trPr>
          <w:trHeight w:val="215"/>
        </w:trPr>
        <w:tc>
          <w:tcPr>
            <w:tcW w:w="3520" w:type="dxa"/>
            <w:vAlign w:val="bottom"/>
            <w:gridSpan w:val="2"/>
          </w:tcPr>
          <w:p>
            <w:pPr>
              <w:spacing w:after="0"/>
              <w:rPr>
                <w:sz w:val="20"/>
                <w:szCs w:val="20"/>
                <w:color w:val="auto"/>
              </w:rPr>
            </w:pPr>
            <w:r>
              <w:rPr>
                <w:rFonts w:ascii="Arial" w:cs="Arial" w:eastAsia="Arial" w:hAnsi="Arial"/>
                <w:sz w:val="18"/>
                <w:szCs w:val="18"/>
                <w:color w:val="auto"/>
              </w:rPr>
              <w:t>James B. Williams</w:t>
            </w:r>
          </w:p>
        </w:tc>
        <w:tc>
          <w:tcPr>
            <w:tcW w:w="5580" w:type="dxa"/>
            <w:vAlign w:val="bottom"/>
            <w:gridSpan w:val="3"/>
          </w:tcPr>
          <w:p>
            <w:pPr>
              <w:ind w:left="1980"/>
              <w:spacing w:after="0"/>
              <w:rPr>
                <w:sz w:val="20"/>
                <w:szCs w:val="20"/>
                <w:color w:val="auto"/>
              </w:rPr>
            </w:pPr>
            <w:r>
              <w:rPr>
                <w:rFonts w:ascii="Arial" w:cs="Arial" w:eastAsia="Arial" w:hAnsi="Arial"/>
                <w:sz w:val="18"/>
                <w:szCs w:val="18"/>
                <w:color w:val="auto"/>
              </w:rPr>
              <w:t>Vice President</w:t>
            </w:r>
          </w:p>
        </w:tc>
      </w:tr>
      <w:tr>
        <w:trPr>
          <w:trHeight w:val="215"/>
        </w:trPr>
        <w:tc>
          <w:tcPr>
            <w:tcW w:w="3520" w:type="dxa"/>
            <w:vAlign w:val="bottom"/>
            <w:gridSpan w:val="2"/>
          </w:tcPr>
          <w:p>
            <w:pPr>
              <w:spacing w:after="0"/>
              <w:rPr>
                <w:sz w:val="20"/>
                <w:szCs w:val="20"/>
                <w:color w:val="auto"/>
              </w:rPr>
            </w:pPr>
            <w:r>
              <w:rPr>
                <w:rFonts w:ascii="Arial" w:cs="Arial" w:eastAsia="Arial" w:hAnsi="Arial"/>
                <w:sz w:val="18"/>
                <w:szCs w:val="18"/>
                <w:color w:val="auto"/>
              </w:rPr>
              <w:t>Nathan H. Wright</w:t>
            </w:r>
          </w:p>
        </w:tc>
        <w:tc>
          <w:tcPr>
            <w:tcW w:w="5580" w:type="dxa"/>
            <w:vAlign w:val="bottom"/>
            <w:gridSpan w:val="3"/>
          </w:tcPr>
          <w:p>
            <w:pPr>
              <w:ind w:left="1980"/>
              <w:spacing w:after="0"/>
              <w:rPr>
                <w:sz w:val="20"/>
                <w:szCs w:val="20"/>
                <w:color w:val="auto"/>
              </w:rPr>
            </w:pPr>
            <w:r>
              <w:rPr>
                <w:rFonts w:ascii="Arial" w:cs="Arial" w:eastAsia="Arial" w:hAnsi="Arial"/>
                <w:sz w:val="18"/>
                <w:szCs w:val="18"/>
                <w:color w:val="auto"/>
              </w:rPr>
              <w:t>Vice President</w:t>
            </w:r>
          </w:p>
        </w:tc>
      </w:tr>
      <w:tr>
        <w:trPr>
          <w:trHeight w:val="215"/>
        </w:trPr>
        <w:tc>
          <w:tcPr>
            <w:tcW w:w="3520" w:type="dxa"/>
            <w:vAlign w:val="bottom"/>
            <w:gridSpan w:val="2"/>
          </w:tcPr>
          <w:p>
            <w:pPr>
              <w:spacing w:after="0"/>
              <w:rPr>
                <w:sz w:val="20"/>
                <w:szCs w:val="20"/>
                <w:color w:val="auto"/>
              </w:rPr>
            </w:pPr>
            <w:r>
              <w:rPr>
                <w:rFonts w:ascii="Arial" w:cs="Arial" w:eastAsia="Arial" w:hAnsi="Arial"/>
                <w:sz w:val="18"/>
                <w:szCs w:val="18"/>
                <w:color w:val="auto"/>
              </w:rPr>
              <w:t>David C. Reintjes</w:t>
            </w:r>
          </w:p>
        </w:tc>
        <w:tc>
          <w:tcPr>
            <w:tcW w:w="5580" w:type="dxa"/>
            <w:vAlign w:val="bottom"/>
            <w:gridSpan w:val="3"/>
          </w:tcPr>
          <w:p>
            <w:pPr>
              <w:ind w:left="1980"/>
              <w:spacing w:after="0"/>
              <w:rPr>
                <w:sz w:val="20"/>
                <w:szCs w:val="20"/>
                <w:color w:val="auto"/>
              </w:rPr>
            </w:pPr>
            <w:r>
              <w:rPr>
                <w:rFonts w:ascii="Arial" w:cs="Arial" w:eastAsia="Arial" w:hAnsi="Arial"/>
                <w:sz w:val="18"/>
                <w:szCs w:val="18"/>
                <w:color w:val="auto"/>
                <w:w w:val="90"/>
              </w:rPr>
              <w:t>Chief Compliance Officer and Assistant Secretary</w:t>
            </w:r>
          </w:p>
        </w:tc>
      </w:tr>
      <w:tr>
        <w:trPr>
          <w:trHeight w:val="215"/>
        </w:trPr>
        <w:tc>
          <w:tcPr>
            <w:tcW w:w="3520" w:type="dxa"/>
            <w:vAlign w:val="bottom"/>
            <w:gridSpan w:val="2"/>
          </w:tcPr>
          <w:p>
            <w:pPr>
              <w:spacing w:after="0"/>
              <w:rPr>
                <w:sz w:val="20"/>
                <w:szCs w:val="20"/>
                <w:color w:val="auto"/>
              </w:rPr>
            </w:pPr>
            <w:r>
              <w:rPr>
                <w:rFonts w:ascii="Arial" w:cs="Arial" w:eastAsia="Arial" w:hAnsi="Arial"/>
                <w:sz w:val="18"/>
                <w:szCs w:val="18"/>
                <w:color w:val="auto"/>
              </w:rPr>
              <w:t>G. Douglas Puckett</w:t>
            </w:r>
          </w:p>
        </w:tc>
        <w:tc>
          <w:tcPr>
            <w:tcW w:w="5580" w:type="dxa"/>
            <w:vAlign w:val="bottom"/>
            <w:gridSpan w:val="3"/>
          </w:tcPr>
          <w:p>
            <w:pPr>
              <w:ind w:left="1980"/>
              <w:spacing w:after="0"/>
              <w:rPr>
                <w:sz w:val="20"/>
                <w:szCs w:val="20"/>
                <w:color w:val="auto"/>
              </w:rPr>
            </w:pPr>
            <w:r>
              <w:rPr>
                <w:rFonts w:ascii="Arial" w:cs="Arial" w:eastAsia="Arial" w:hAnsi="Arial"/>
                <w:sz w:val="18"/>
                <w:szCs w:val="18"/>
                <w:color w:val="auto"/>
              </w:rPr>
              <w:t>Assistant Treasurer</w:t>
            </w: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Steven A. Willmann</w:t>
            </w:r>
          </w:p>
        </w:tc>
        <w:tc>
          <w:tcPr>
            <w:tcW w:w="5580" w:type="dxa"/>
            <w:vAlign w:val="bottom"/>
            <w:gridSpan w:val="3"/>
          </w:tcPr>
          <w:p>
            <w:pPr>
              <w:ind w:left="1980"/>
              <w:spacing w:after="0"/>
              <w:rPr>
                <w:sz w:val="20"/>
                <w:szCs w:val="20"/>
                <w:color w:val="auto"/>
              </w:rPr>
            </w:pPr>
            <w:r>
              <w:rPr>
                <w:rFonts w:ascii="Arial" w:cs="Arial" w:eastAsia="Arial" w:hAnsi="Arial"/>
                <w:sz w:val="18"/>
                <w:szCs w:val="18"/>
                <w:color w:val="auto"/>
              </w:rPr>
              <w:t>Assistant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Page 15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19"/>
          </w:cols>
          <w:pgMar w:left="240" w:top="511" w:right="1440"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INDEX TO EXHIBITS</w:t>
      </w:r>
    </w:p>
    <w:p>
      <w:pPr>
        <w:sectPr>
          <w:pgSz w:w="11900" w:h="16838" w:orient="portrait"/>
          <w:cols w:equalWidth="0" w:num="1">
            <w:col w:w="11400"/>
          </w:cols>
          <w:pgMar w:left="240" w:top="511" w:right="259" w:bottom="1440" w:gutter="0" w:footer="0" w:header="0"/>
        </w:sect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31750</wp:posOffset>
            </wp:positionV>
            <wp:extent cx="7247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760" w:space="720"/>
            <w:col w:w="9920"/>
          </w:cols>
          <w:pgMar w:left="240" w:top="511" w:right="259" w:bottom="1440" w:gutter="0" w:footer="0" w:header="0"/>
          <w:type w:val="continuous"/>
        </w:sectPr>
      </w:pPr>
    </w:p>
    <w:p>
      <w:pPr>
        <w:spacing w:after="0" w:line="73" w:lineRule="exact"/>
        <w:rPr>
          <w:sz w:val="20"/>
          <w:szCs w:val="20"/>
          <w:color w:val="auto"/>
        </w:rPr>
      </w:pPr>
    </w:p>
    <w:p>
      <w:pPr>
        <w:ind w:left="340" w:hanging="332"/>
        <w:spacing w:after="0" w:line="340"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Agreement of Joint Filing, as required by Rule 13d-1(k)(1) under the Act, dated as of June 27, 2011, by and among TPG Group Holdings (SBS) Advisors, Inc., Tarrant Capital Advisors, Inc., David Bonderman, James G. Coulter and Alan Waxman (previously filed with the Original Schedule 13D).</w:t>
      </w:r>
    </w:p>
    <w:p>
      <w:pPr>
        <w:spacing w:after="0" w:line="151" w:lineRule="exact"/>
        <w:rPr>
          <w:rFonts w:ascii="Arial" w:cs="Arial" w:eastAsia="Arial" w:hAnsi="Arial"/>
          <w:sz w:val="16"/>
          <w:szCs w:val="16"/>
          <w:color w:val="auto"/>
        </w:rPr>
      </w:pPr>
    </w:p>
    <w:p>
      <w:pPr>
        <w:ind w:left="340" w:right="300" w:hanging="332"/>
        <w:spacing w:after="0" w:line="276"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Subscription Agreement, dated as of April 15, 2011, between TPG Specialty Lending, Inc. and TSL Advisers, LLC (previously filed with the Original Schedule 13D).</w:t>
      </w:r>
    </w:p>
    <w:p>
      <w:pPr>
        <w:spacing w:after="0" w:line="196" w:lineRule="exact"/>
        <w:rPr>
          <w:rFonts w:ascii="Arial" w:cs="Arial" w:eastAsia="Arial" w:hAnsi="Arial"/>
          <w:sz w:val="18"/>
          <w:szCs w:val="18"/>
          <w:color w:val="auto"/>
        </w:rPr>
      </w:pPr>
    </w:p>
    <w:p>
      <w:pPr>
        <w:ind w:left="340" w:hanging="332"/>
        <w:spacing w:after="0"/>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Amendment to the Subscription Agreement, dated as of January 31, 2012, between TPG Specialty Lending, Inc. and TSL Advisers, LLC.</w:t>
      </w:r>
    </w:p>
    <w:p>
      <w:pPr>
        <w:spacing w:after="0" w:line="250" w:lineRule="exact"/>
        <w:rPr>
          <w:rFonts w:ascii="Arial" w:cs="Arial" w:eastAsia="Arial" w:hAnsi="Arial"/>
          <w:sz w:val="18"/>
          <w:szCs w:val="18"/>
          <w:color w:val="auto"/>
        </w:rPr>
      </w:pPr>
    </w:p>
    <w:p>
      <w:pPr>
        <w:ind w:left="340" w:right="300" w:hanging="332"/>
        <w:spacing w:after="0" w:line="276"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Agreement to Tender, dated as of March 13, 2011, between TPG Specialty Lending, Inc. and Tarrant Advisors, Inc. (previously filed with the Original Schedule 13D).</w:t>
      </w:r>
    </w:p>
    <w:p>
      <w:pPr>
        <w:spacing w:after="0" w:line="196" w:lineRule="exact"/>
        <w:rPr>
          <w:rFonts w:ascii="Arial" w:cs="Arial" w:eastAsia="Arial" w:hAnsi="Arial"/>
          <w:sz w:val="18"/>
          <w:szCs w:val="18"/>
          <w:color w:val="auto"/>
        </w:rPr>
      </w:pPr>
    </w:p>
    <w:p>
      <w:pPr>
        <w:ind w:left="340" w:right="200" w:hanging="332"/>
        <w:spacing w:after="0" w:line="276"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Subscription Agreement, dated as of December 2, 2011 between TPG Specialty Lending, Inc., TSL FOF, L.P. and TSL Advisers, LLC (previously filed with Amendment No. 2).</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16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5106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511" w:right="259" w:bottom="1440" w:gutter="0" w:footer="0" w:header="0"/>
          <w:type w:val="continuous"/>
        </w:sectPr>
      </w:pPr>
    </w:p>
    <w:bookmarkStart w:id="16" w:name="page17"/>
    <w:bookmarkEnd w:id="1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7" w:name="page18"/>
    <w:bookmarkEnd w:id="17"/>
    <w:p>
      <w:pPr>
        <w:jc w:val="center"/>
        <w:ind w:right="-199"/>
        <w:spacing w:after="0"/>
        <w:rPr>
          <w:sz w:val="20"/>
          <w:szCs w:val="20"/>
          <w:color w:val="auto"/>
        </w:rPr>
      </w:pPr>
      <w:r>
        <w:rPr>
          <w:rFonts w:ascii="Arial" w:cs="Arial" w:eastAsia="Arial" w:hAnsi="Arial"/>
          <w:sz w:val="18"/>
          <w:szCs w:val="18"/>
          <w:b w:val="1"/>
          <w:bCs w:val="1"/>
          <w:color w:val="auto"/>
        </w:rPr>
        <w:t>TPG Specialty Lending, Inc.</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January 31, 2012</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TSL Advisers,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301 Commerce Street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Suite 3300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Fort Worth, TX 76102</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1"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Reference is made to the Subscription Agreement dated as of April 15, 2011 (the “</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between TPG Specialty Lending, Inc. (the “</w:t>
      </w:r>
      <w:r>
        <w:rPr>
          <w:rFonts w:ascii="Arial" w:cs="Arial" w:eastAsia="Arial" w:hAnsi="Arial"/>
          <w:sz w:val="18"/>
          <w:szCs w:val="18"/>
          <w:u w:val="single" w:color="auto"/>
          <w:color w:val="auto"/>
        </w:rPr>
        <w:t>Company</w:t>
      </w:r>
      <w:r>
        <w:rPr>
          <w:rFonts w:ascii="Arial" w:cs="Arial" w:eastAsia="Arial" w:hAnsi="Arial"/>
          <w:sz w:val="18"/>
          <w:szCs w:val="18"/>
          <w:color w:val="auto"/>
        </w:rPr>
        <w:t>”) and TSL Advisers, LLC. Pursuant to Section 7.04 of the Subscription Agreement, this letter agreement (the “</w:t>
      </w:r>
      <w:r>
        <w:rPr>
          <w:rFonts w:ascii="Arial" w:cs="Arial" w:eastAsia="Arial" w:hAnsi="Arial"/>
          <w:sz w:val="18"/>
          <w:szCs w:val="18"/>
          <w:u w:val="single" w:color="auto"/>
          <w:color w:val="auto"/>
        </w:rPr>
        <w:t>Amendment</w:t>
      </w:r>
      <w:r>
        <w:rPr>
          <w:rFonts w:ascii="Arial" w:cs="Arial" w:eastAsia="Arial" w:hAnsi="Arial"/>
          <w:sz w:val="18"/>
          <w:szCs w:val="18"/>
          <w:color w:val="auto"/>
        </w:rPr>
        <w:t>”) amends certain terms of the Subscription Agreement. Each capitalized term used and not otherwise defined herein shall have the meaning given to it in the Subscription Agreement.</w:t>
      </w:r>
    </w:p>
    <w:p>
      <w:pPr>
        <w:spacing w:after="0" w:line="214" w:lineRule="exact"/>
        <w:rPr>
          <w:sz w:val="20"/>
          <w:szCs w:val="20"/>
          <w:color w:val="auto"/>
        </w:rPr>
      </w:pPr>
    </w:p>
    <w:p>
      <w:pPr>
        <w:ind w:right="60" w:firstLine="8"/>
        <w:spacing w:after="0" w:line="340" w:lineRule="auto"/>
        <w:tabs>
          <w:tab w:leader="none" w:pos="625"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parties hereto agree that references to “$54,500,000” in each of (i) the executed signature page of the Subscription Agreement and (ii) the first page of the Investor Suitability Questionnaire attached to the Subscription Agreement as Appendix A are hereby replaced with “$80,300,000.”</w:t>
      </w:r>
    </w:p>
    <w:p>
      <w:pPr>
        <w:spacing w:after="0" w:line="151" w:lineRule="exact"/>
        <w:rPr>
          <w:rFonts w:ascii="Arial" w:cs="Arial" w:eastAsia="Arial" w:hAnsi="Arial"/>
          <w:sz w:val="16"/>
          <w:szCs w:val="16"/>
          <w:color w:val="auto"/>
        </w:rPr>
      </w:pPr>
    </w:p>
    <w:p>
      <w:pPr>
        <w:ind w:firstLine="8"/>
        <w:spacing w:after="0" w:line="276" w:lineRule="auto"/>
        <w:tabs>
          <w:tab w:leader="none" w:pos="628"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accordance with Section 7.04 of the Subscription Agreement, each party hereto agrees that all representations and warranties made by such party under the Subscription Agreement are hereby affirmed as of the date of this Amendment.</w:t>
      </w:r>
    </w:p>
    <w:p>
      <w:pPr>
        <w:spacing w:after="0" w:line="197"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Except as expressly amended hereby, the provisions of the Subscription Agreement are and shall continue to be in full force and effect and are hereby in all respects ratified and confirmed. This Amendment shall be effective on the date hereof.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shall be governed by and construed in accordance with the laws of the State of Delaware.</w:t>
      </w: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422275</wp:posOffset>
            </wp:positionV>
            <wp:extent cx="725106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220"/>
          </w:cols>
          <w:pgMar w:left="240" w:top="121" w:right="4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If you are in agreement with the foregoing, please so indicate by signing below.</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140"/>
        <w:spacing w:after="0"/>
        <w:rPr>
          <w:sz w:val="20"/>
          <w:szCs w:val="20"/>
          <w:color w:val="auto"/>
        </w:rPr>
      </w:pPr>
      <w:r>
        <w:rPr>
          <w:rFonts w:ascii="Arial" w:cs="Arial" w:eastAsia="Arial" w:hAnsi="Arial"/>
          <w:sz w:val="18"/>
          <w:szCs w:val="18"/>
          <w:b w:val="1"/>
          <w:bCs w:val="1"/>
          <w:color w:val="auto"/>
        </w:rPr>
        <w:t>TPG SPECIALTY LENDING, INC.</w:t>
      </w:r>
    </w:p>
    <w:p>
      <w:pPr>
        <w:spacing w:after="0" w:line="255"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4017645</wp:posOffset>
            </wp:positionH>
            <wp:positionV relativeFrom="paragraph">
              <wp:posOffset>-10795</wp:posOffset>
            </wp:positionV>
            <wp:extent cx="15659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65910" cy="8255"/>
                    </a:xfrm>
                    <a:prstGeom prst="rect">
                      <a:avLst/>
                    </a:prstGeom>
                    <a:noFill/>
                  </pic:spPr>
                </pic:pic>
              </a:graphicData>
            </a:graphic>
          </wp:anchor>
        </w:drawing>
      </w:r>
    </w:p>
    <w:p>
      <w:pPr>
        <w:spacing w:after="0" w:line="3" w:lineRule="exact"/>
        <w:rPr>
          <w:sz w:val="20"/>
          <w:szCs w:val="20"/>
          <w:color w:val="auto"/>
        </w:rPr>
      </w:pPr>
    </w:p>
    <w:p>
      <w:pPr>
        <w:jc w:val="right"/>
        <w:ind w:right="2499"/>
        <w:spacing w:after="0"/>
        <w:rPr>
          <w:sz w:val="20"/>
          <w:szCs w:val="20"/>
          <w:color w:val="auto"/>
        </w:rPr>
      </w:pPr>
      <w:r>
        <w:rPr>
          <w:rFonts w:ascii="Arial" w:cs="Arial" w:eastAsia="Arial" w:hAnsi="Arial"/>
          <w:sz w:val="18"/>
          <w:szCs w:val="18"/>
          <w:color w:val="auto"/>
        </w:rPr>
        <w:t>Name: Ronald Cami</w:t>
      </w:r>
    </w:p>
    <w:p>
      <w:pPr>
        <w:spacing w:after="0" w:line="8" w:lineRule="exact"/>
        <w:rPr>
          <w:sz w:val="20"/>
          <w:szCs w:val="20"/>
          <w:color w:val="auto"/>
        </w:rPr>
      </w:pPr>
    </w:p>
    <w:p>
      <w:pPr>
        <w:jc w:val="right"/>
        <w:ind w:right="2499"/>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720725</wp:posOffset>
            </wp:positionV>
            <wp:extent cx="725106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219"/>
          </w:cols>
          <w:pgMar w:left="240" w:top="758" w:right="1440"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ACCEPTED AND AGREED TO AS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160"/>
        <w:spacing w:after="0"/>
        <w:rPr>
          <w:sz w:val="20"/>
          <w:szCs w:val="20"/>
          <w:color w:val="auto"/>
        </w:rPr>
      </w:pPr>
      <w:r>
        <w:rPr>
          <w:rFonts w:ascii="Arial" w:cs="Arial" w:eastAsia="Arial" w:hAnsi="Arial"/>
          <w:sz w:val="17"/>
          <w:szCs w:val="17"/>
          <w:b w:val="1"/>
          <w:bCs w:val="1"/>
          <w:color w:val="auto"/>
        </w:rPr>
        <w:t>TSL ADVISERS, LLC</w:t>
      </w:r>
    </w:p>
    <w:p>
      <w:pPr>
        <w:spacing w:after="0" w:line="266"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4017645</wp:posOffset>
            </wp:positionH>
            <wp:positionV relativeFrom="paragraph">
              <wp:posOffset>-10795</wp:posOffset>
            </wp:positionV>
            <wp:extent cx="15659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65910" cy="8255"/>
                    </a:xfrm>
                    <a:prstGeom prst="rect">
                      <a:avLst/>
                    </a:prstGeom>
                    <a:noFill/>
                  </pic:spPr>
                </pic:pic>
              </a:graphicData>
            </a:graphic>
          </wp:anchor>
        </w:drawing>
      </w:r>
    </w:p>
    <w:p>
      <w:pPr>
        <w:spacing w:after="0" w:line="3" w:lineRule="exact"/>
        <w:rPr>
          <w:sz w:val="20"/>
          <w:szCs w:val="20"/>
          <w:color w:val="auto"/>
        </w:rPr>
      </w:pPr>
    </w:p>
    <w:p>
      <w:pPr>
        <w:jc w:val="right"/>
        <w:ind w:right="2499"/>
        <w:spacing w:after="0"/>
        <w:rPr>
          <w:sz w:val="20"/>
          <w:szCs w:val="20"/>
          <w:color w:val="auto"/>
        </w:rPr>
      </w:pPr>
      <w:r>
        <w:rPr>
          <w:rFonts w:ascii="Arial" w:cs="Arial" w:eastAsia="Arial" w:hAnsi="Arial"/>
          <w:sz w:val="18"/>
          <w:szCs w:val="18"/>
          <w:color w:val="auto"/>
        </w:rPr>
        <w:t>Name: Ronald Cami</w:t>
      </w:r>
    </w:p>
    <w:p>
      <w:pPr>
        <w:spacing w:after="0" w:line="8" w:lineRule="exact"/>
        <w:rPr>
          <w:sz w:val="20"/>
          <w:szCs w:val="20"/>
          <w:color w:val="auto"/>
        </w:rPr>
      </w:pPr>
    </w:p>
    <w:p>
      <w:pPr>
        <w:jc w:val="right"/>
        <w:ind w:right="2499"/>
        <w:spacing w:after="0"/>
        <w:rPr>
          <w:sz w:val="20"/>
          <w:szCs w:val="20"/>
          <w:color w:val="auto"/>
        </w:rPr>
      </w:pPr>
      <w:r>
        <w:rPr>
          <w:rFonts w:ascii="Arial" w:cs="Arial" w:eastAsia="Arial" w:hAnsi="Arial"/>
          <w:sz w:val="18"/>
          <w:szCs w:val="18"/>
          <w:color w:val="auto"/>
        </w:rPr>
        <w:t>Title:  Vice President</w:t>
      </w:r>
    </w:p>
    <w:sectPr>
      <w:pgSz w:w="11900" w:h="16838" w:orient="portrait"/>
      <w:cols w:equalWidth="0" w:num="1">
        <w:col w:w="10219"/>
      </w:cols>
      <w:pgMar w:left="240" w:top="75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1"/>
      <w:numFmt w:val="bullet"/>
      <w:start w:val="1"/>
    </w:lvl>
  </w:abstractNum>
  <w:abstractNum w:abstractNumId="2">
    <w:nsid w:val="189A769B"/>
    <w:multiLevelType w:val="hybridMultilevel"/>
    <w:lvl w:ilvl="0">
      <w:lvlJc w:val="left"/>
      <w:lvlText w:val="2"/>
      <w:numFmt w:val="bullet"/>
      <w:start w:val="1"/>
    </w:lvl>
  </w:abstractNum>
  <w:abstractNum w:abstractNumId="3">
    <w:nsid w:val="54E49EB4"/>
    <w:multiLevelType w:val="hybridMultilevel"/>
    <w:lvl w:ilvl="0">
      <w:lvlJc w:val="left"/>
      <w:lvlText w:val="3"/>
      <w:numFmt w:val="bullet"/>
      <w:start w:val="1"/>
    </w:lvl>
  </w:abstractNum>
  <w:abstractNum w:abstractNumId="4">
    <w:nsid w:val="71F32454"/>
    <w:multiLevelType w:val="hybridMultilevel"/>
    <w:lvl w:ilvl="0">
      <w:lvlJc w:val="left"/>
      <w:lvlText w:val="4"/>
      <w:numFmt w:val="bullet"/>
      <w:start w:val="1"/>
    </w:lvl>
  </w:abstractNum>
  <w:abstractNum w:abstractNumId="5">
    <w:nsid w:val="2CA88611"/>
    <w:multiLevelType w:val="hybridMultilevel"/>
    <w:lvl w:ilvl="0">
      <w:lvlJc w:val="left"/>
      <w:lvlText w:val="5"/>
      <w:numFmt w:val="bullet"/>
      <w:start w:val="1"/>
    </w:lvl>
  </w:abstractNum>
  <w:abstractNum w:abstractNumId="6">
    <w:nsid w:val="836C40E"/>
    <w:multiLevelType w:val="hybridMultilevel"/>
    <w:lvl w:ilvl="0">
      <w:lvlJc w:val="left"/>
      <w:lvlText w:val="6"/>
      <w:numFmt w:val="bullet"/>
      <w:start w:val="1"/>
    </w:lvl>
  </w:abstractNum>
  <w:abstractNum w:abstractNumId="7">
    <w:nsid w:val="2901D82"/>
    <w:multiLevelType w:val="hybridMultilevel"/>
    <w:lvl w:ilvl="0">
      <w:lvlJc w:val="left"/>
      <w:lvlText w:val="%1"/>
      <w:numFmt w:val="decimal"/>
      <w:start w:val="11"/>
    </w:lvl>
  </w:abstractNum>
  <w:abstractNum w:abstractNumId="8">
    <w:nsid w:val="3A95F874"/>
    <w:multiLevelType w:val="hybridMultilevel"/>
    <w:lvl w:ilvl="0">
      <w:lvlJc w:val="left"/>
      <w:lvlText w:val="%1"/>
      <w:numFmt w:val="decimal"/>
      <w:start w:val="13"/>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1"/>
      <w:numFmt w:val="bullet"/>
      <w:start w:val="1"/>
    </w:lvl>
  </w:abstractNum>
  <w:abstractNum w:abstractNumId="11">
    <w:nsid w:val="7C3DBD3D"/>
    <w:multiLevelType w:val="hybridMultilevel"/>
    <w:lvl w:ilvl="0">
      <w:lvlJc w:val="left"/>
      <w:lvlText w:val="2"/>
      <w:numFmt w:val="bullet"/>
      <w:start w:val="1"/>
    </w:lvl>
  </w:abstractNum>
  <w:abstractNum w:abstractNumId="12">
    <w:nsid w:val="737B8DDC"/>
    <w:multiLevelType w:val="hybridMultilevel"/>
    <w:lvl w:ilvl="0">
      <w:lvlJc w:val="left"/>
      <w:lvlText w:val="3"/>
      <w:numFmt w:val="bullet"/>
      <w:start w:val="1"/>
    </w:lvl>
  </w:abstractNum>
  <w:abstractNum w:abstractNumId="13">
    <w:nsid w:val="6CEAF087"/>
    <w:multiLevelType w:val="hybridMultilevel"/>
    <w:lvl w:ilvl="0">
      <w:lvlJc w:val="left"/>
      <w:lvlText w:val="4"/>
      <w:numFmt w:val="bullet"/>
      <w:start w:val="1"/>
    </w:lvl>
  </w:abstractNum>
  <w:abstractNum w:abstractNumId="14">
    <w:nsid w:val="22221A70"/>
    <w:multiLevelType w:val="hybridMultilevel"/>
    <w:lvl w:ilvl="0">
      <w:lvlJc w:val="left"/>
      <w:lvlText w:val="5"/>
      <w:numFmt w:val="bullet"/>
      <w:start w:val="1"/>
    </w:lvl>
  </w:abstractNum>
  <w:abstractNum w:abstractNumId="15">
    <w:nsid w:val="4516DDE9"/>
    <w:multiLevelType w:val="hybridMultilevel"/>
    <w:lvl w:ilvl="0">
      <w:lvlJc w:val="left"/>
      <w:lvlText w:val="6"/>
      <w:numFmt w:val="bullet"/>
      <w:start w:val="1"/>
    </w:lvl>
  </w:abstractNum>
  <w:abstractNum w:abstractNumId="16">
    <w:nsid w:val="3006C83E"/>
    <w:multiLevelType w:val="hybridMultilevel"/>
    <w:lvl w:ilvl="0">
      <w:lvlJc w:val="left"/>
      <w:lvlText w:val="%1"/>
      <w:numFmt w:val="decimal"/>
      <w:start w:val="11"/>
    </w:lvl>
  </w:abstractNum>
  <w:abstractNum w:abstractNumId="17">
    <w:nsid w:val="614FD4A1"/>
    <w:multiLevelType w:val="hybridMultilevel"/>
    <w:lvl w:ilvl="0">
      <w:lvlJc w:val="left"/>
      <w:lvlText w:val="%1"/>
      <w:numFmt w:val="decimal"/>
      <w:start w:val="13"/>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1"/>
      <w:numFmt w:val="bullet"/>
      <w:start w:val="1"/>
    </w:lvl>
  </w:abstractNum>
  <w:abstractNum w:abstractNumId="20">
    <w:nsid w:val="440BADFC"/>
    <w:multiLevelType w:val="hybridMultilevel"/>
    <w:lvl w:ilvl="0">
      <w:lvlJc w:val="left"/>
      <w:lvlText w:val="2"/>
      <w:numFmt w:val="bullet"/>
      <w:start w:val="1"/>
    </w:lvl>
  </w:abstractNum>
  <w:abstractNum w:abstractNumId="21">
    <w:nsid w:val="5072367"/>
    <w:multiLevelType w:val="hybridMultilevel"/>
    <w:lvl w:ilvl="0">
      <w:lvlJc w:val="left"/>
      <w:lvlText w:val="3"/>
      <w:numFmt w:val="bullet"/>
      <w:start w:val="1"/>
    </w:lvl>
  </w:abstractNum>
  <w:abstractNum w:abstractNumId="22">
    <w:nsid w:val="3804823E"/>
    <w:multiLevelType w:val="hybridMultilevel"/>
    <w:lvl w:ilvl="0">
      <w:lvlJc w:val="left"/>
      <w:lvlText w:val="4"/>
      <w:numFmt w:val="bullet"/>
      <w:start w:val="1"/>
    </w:lvl>
  </w:abstractNum>
  <w:abstractNum w:abstractNumId="23">
    <w:nsid w:val="77465F01"/>
    <w:multiLevelType w:val="hybridMultilevel"/>
    <w:lvl w:ilvl="0">
      <w:lvlJc w:val="left"/>
      <w:lvlText w:val="5"/>
      <w:numFmt w:val="bullet"/>
      <w:start w:val="1"/>
    </w:lvl>
  </w:abstractNum>
  <w:abstractNum w:abstractNumId="24">
    <w:nsid w:val="7724C67E"/>
    <w:multiLevelType w:val="hybridMultilevel"/>
    <w:lvl w:ilvl="0">
      <w:lvlJc w:val="left"/>
      <w:lvlText w:val="6"/>
      <w:numFmt w:val="bullet"/>
      <w:start w:val="1"/>
    </w:lvl>
  </w:abstractNum>
  <w:abstractNum w:abstractNumId="25">
    <w:nsid w:val="5C482A97"/>
    <w:multiLevelType w:val="hybridMultilevel"/>
    <w:lvl w:ilvl="0">
      <w:lvlJc w:val="left"/>
      <w:lvlText w:val="%1"/>
      <w:numFmt w:val="decimal"/>
      <w:start w:val="11"/>
    </w:lvl>
  </w:abstractNum>
  <w:abstractNum w:abstractNumId="26">
    <w:nsid w:val="2463B9EA"/>
    <w:multiLevelType w:val="hybridMultilevel"/>
    <w:lvl w:ilvl="0">
      <w:lvlJc w:val="left"/>
      <w:lvlText w:val="%1"/>
      <w:numFmt w:val="decimal"/>
      <w:start w:val="13"/>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1"/>
      <w:numFmt w:val="bullet"/>
      <w:start w:val="1"/>
    </w:lvl>
  </w:abstractNum>
  <w:abstractNum w:abstractNumId="29">
    <w:nsid w:val="2D517796"/>
    <w:multiLevelType w:val="hybridMultilevel"/>
    <w:lvl w:ilvl="0">
      <w:lvlJc w:val="left"/>
      <w:lvlText w:val="2"/>
      <w:numFmt w:val="bullet"/>
      <w:start w:val="1"/>
    </w:lvl>
  </w:abstractNum>
  <w:abstractNum w:abstractNumId="30">
    <w:nsid w:val="580BD78F"/>
    <w:multiLevelType w:val="hybridMultilevel"/>
    <w:lvl w:ilvl="0">
      <w:lvlJc w:val="left"/>
      <w:lvlText w:val="3"/>
      <w:numFmt w:val="bullet"/>
      <w:start w:val="1"/>
    </w:lvl>
  </w:abstractNum>
  <w:abstractNum w:abstractNumId="31">
    <w:nsid w:val="153EA438"/>
    <w:multiLevelType w:val="hybridMultilevel"/>
    <w:lvl w:ilvl="0">
      <w:lvlJc w:val="left"/>
      <w:lvlText w:val="4"/>
      <w:numFmt w:val="bullet"/>
      <w:start w:val="1"/>
    </w:lvl>
  </w:abstractNum>
  <w:abstractNum w:abstractNumId="32">
    <w:nsid w:val="3855585C"/>
    <w:multiLevelType w:val="hybridMultilevel"/>
    <w:lvl w:ilvl="0">
      <w:lvlJc w:val="left"/>
      <w:lvlText w:val="5"/>
      <w:numFmt w:val="bullet"/>
      <w:start w:val="1"/>
    </w:lvl>
  </w:abstractNum>
  <w:abstractNum w:abstractNumId="33">
    <w:nsid w:val="70A64E2A"/>
    <w:multiLevelType w:val="hybridMultilevel"/>
    <w:lvl w:ilvl="0">
      <w:lvlJc w:val="left"/>
      <w:lvlText w:val="6"/>
      <w:numFmt w:val="bullet"/>
      <w:start w:val="1"/>
    </w:lvl>
  </w:abstractNum>
  <w:abstractNum w:abstractNumId="34">
    <w:nsid w:val="6A2342EC"/>
    <w:multiLevelType w:val="hybridMultilevel"/>
    <w:lvl w:ilvl="0">
      <w:lvlJc w:val="left"/>
      <w:lvlText w:val="%1"/>
      <w:numFmt w:val="decimal"/>
      <w:start w:val="1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1"/>
      <w:numFmt w:val="bullet"/>
      <w:start w:val="1"/>
    </w:lvl>
  </w:abstractNum>
  <w:abstractNum w:abstractNumId="37">
    <w:nsid w:val="725A06FB"/>
    <w:multiLevelType w:val="hybridMultilevel"/>
    <w:lvl w:ilvl="0">
      <w:lvlJc w:val="left"/>
      <w:lvlText w:val="2"/>
      <w:numFmt w:val="bullet"/>
      <w:start w:val="1"/>
    </w:lvl>
  </w:abstractNum>
  <w:abstractNum w:abstractNumId="38">
    <w:nsid w:val="2CD89A32"/>
    <w:multiLevelType w:val="hybridMultilevel"/>
    <w:lvl w:ilvl="0">
      <w:lvlJc w:val="left"/>
      <w:lvlText w:val="3"/>
      <w:numFmt w:val="bullet"/>
      <w:start w:val="1"/>
    </w:lvl>
  </w:abstractNum>
  <w:abstractNum w:abstractNumId="39">
    <w:nsid w:val="57E4CCAF"/>
    <w:multiLevelType w:val="hybridMultilevel"/>
    <w:lvl w:ilvl="0">
      <w:lvlJc w:val="left"/>
      <w:lvlText w:val="4"/>
      <w:numFmt w:val="bullet"/>
      <w:start w:val="1"/>
    </w:lvl>
  </w:abstractNum>
  <w:abstractNum w:abstractNumId="40">
    <w:nsid w:val="7A6D8D3C"/>
    <w:multiLevelType w:val="hybridMultilevel"/>
    <w:lvl w:ilvl="0">
      <w:lvlJc w:val="left"/>
      <w:lvlText w:val="5"/>
      <w:numFmt w:val="bullet"/>
      <w:start w:val="1"/>
    </w:lvl>
  </w:abstractNum>
  <w:abstractNum w:abstractNumId="41">
    <w:nsid w:val="4B588F54"/>
    <w:multiLevelType w:val="hybridMultilevel"/>
    <w:lvl w:ilvl="0">
      <w:lvlJc w:val="left"/>
      <w:lvlText w:val="6"/>
      <w:numFmt w:val="bullet"/>
      <w:start w:val="1"/>
    </w:lvl>
  </w:abstractNum>
  <w:abstractNum w:abstractNumId="42">
    <w:nsid w:val="542289EC"/>
    <w:multiLevelType w:val="hybridMultilevel"/>
    <w:lvl w:ilvl="0">
      <w:lvlJc w:val="left"/>
      <w:lvlText w:val="%1"/>
      <w:numFmt w:val="decimal"/>
      <w:start w:val="11"/>
    </w:lvl>
  </w:abstractNum>
  <w:abstractNum w:abstractNumId="43">
    <w:nsid w:val="6DE91B18"/>
    <w:multiLevelType w:val="hybridMultilevel"/>
    <w:lvl w:ilvl="0">
      <w:lvlJc w:val="left"/>
      <w:lvlText w:val="%1"/>
      <w:numFmt w:val="decimal"/>
      <w:start w:val="13"/>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1)"/>
      <w:numFmt w:val="lowerLetter"/>
      <w:start w:val="3"/>
    </w:lvl>
  </w:abstractNum>
  <w:abstractNum w:abstractNumId="46">
    <w:nsid w:val="32FFF902"/>
    <w:multiLevelType w:val="hybridMultilevel"/>
    <w:lvl w:ilvl="0">
      <w:lvlJc w:val="left"/>
      <w:lvlText w:val="%1."/>
      <w:numFmt w:val="decimal"/>
      <w:start w:val="1"/>
    </w:lvl>
  </w:abstractNum>
  <w:abstractNum w:abstractNumId="47">
    <w:nsid w:val="684A481A"/>
    <w:multiLevelType w:val="hybridMultilevel"/>
    <w:lvl w:ilvl="0">
      <w:lvlJc w:val="left"/>
      <w:lvlText w:val="(%1)"/>
      <w:numFmt w:val="decimal"/>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2019-12-09T21:00:57Z</dcterms:created>
  <dcterms:modified xsi:type="dcterms:W3CDTF">2019-12-09T21:00:57Z</dcterms:modified>
</cp:coreProperties>
</file>