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4240" w:right="1520" w:hanging="4219"/>
        <w:spacing w:after="0" w:line="293" w:lineRule="auto"/>
        <w:tabs>
          <w:tab w:leader="none" w:pos="9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7"/>
          <w:szCs w:val="17"/>
          <w:b w:val="1"/>
          <w:bCs w:val="1"/>
          <w:color w:val="auto"/>
        </w:rPr>
        <w:t>For the fiscal year ended December 31, 2022</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8" w:lineRule="exact"/>
        <w:rPr>
          <w:sz w:val="24"/>
          <w:szCs w:val="24"/>
          <w:color w:val="auto"/>
        </w:rPr>
      </w:pPr>
    </w:p>
    <w:p>
      <w:pPr>
        <w:jc w:val="center"/>
        <w:ind w:left="4320" w:right="1160" w:hanging="4299"/>
        <w:spacing w:after="0" w:line="295" w:lineRule="auto"/>
        <w:tabs>
          <w:tab w:leader="none" w:pos="93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7800" w:type="dxa"/>
            <w:vAlign w:val="bottom"/>
            <w:gridSpan w:val="5"/>
          </w:tcPr>
          <w:p>
            <w:pPr>
              <w:jc w:val="center"/>
              <w:ind w:left="33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27-3380000</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40" w:type="dxa"/>
            <w:vAlign w:val="bottom"/>
            <w:gridSpan w:val="3"/>
          </w:tcPr>
          <w:p>
            <w:pPr>
              <w:jc w:val="center"/>
              <w:ind w:right="2095"/>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gridSpan w:val="3"/>
          </w:tcPr>
          <w:p>
            <w:pPr>
              <w:jc w:val="center"/>
              <w:ind w:right="2095"/>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5"/>
        </w:trPr>
        <w:tc>
          <w:tcPr>
            <w:tcW w:w="4500" w:type="dxa"/>
            <w:vAlign w:val="bottom"/>
            <w:gridSpan w:val="2"/>
          </w:tcPr>
          <w:p>
            <w:pPr>
              <w:jc w:val="center"/>
              <w:ind w:left="1040"/>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00" w:type="dxa"/>
            <w:vAlign w:val="bottom"/>
            <w:gridSpan w:val="2"/>
          </w:tcPr>
          <w:p>
            <w:pPr>
              <w:jc w:val="center"/>
              <w:ind w:left="1040"/>
              <w:spacing w:after="0"/>
              <w:rPr>
                <w:sz w:val="20"/>
                <w:szCs w:val="20"/>
                <w:color w:val="auto"/>
              </w:rPr>
            </w:pPr>
            <w:r>
              <w:rPr>
                <w:rFonts w:ascii="Times New Roman" w:cs="Times New Roman" w:eastAsia="Times New Roman" w:hAnsi="Times New Roman"/>
                <w:sz w:val="17"/>
                <w:szCs w:val="17"/>
                <w:b w:val="1"/>
                <w:bCs w:val="1"/>
                <w:color w:val="auto"/>
              </w:rPr>
              <w:t>Dallas, TX</w:t>
            </w:r>
          </w:p>
        </w:tc>
        <w:tc>
          <w:tcPr>
            <w:tcW w:w="2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8"/>
              </w:rPr>
              <w:t>75201</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200" w:type="dxa"/>
            <w:vAlign w:val="bottom"/>
            <w:gridSpan w:val="6"/>
          </w:tcPr>
          <w:p>
            <w:pPr>
              <w:jc w:val="center"/>
              <w:ind w:left="2920"/>
              <w:spacing w:after="0"/>
              <w:rPr>
                <w:sz w:val="20"/>
                <w:szCs w:val="20"/>
                <w:color w:val="auto"/>
              </w:rPr>
            </w:pPr>
            <w:r>
              <w:rPr>
                <w:rFonts w:ascii="Times New Roman" w:cs="Times New Roman" w:eastAsia="Times New Roman" w:hAnsi="Times New Roman"/>
                <w:sz w:val="17"/>
                <w:szCs w:val="17"/>
                <w:b w:val="1"/>
                <w:bCs w:val="1"/>
                <w:color w:val="auto"/>
                <w:w w:val="99"/>
              </w:rPr>
              <w:t>Registrant’s Telephone Number, Including Area Code: (469) 621-3001</w:t>
            </w:r>
          </w:p>
        </w:tc>
        <w:tc>
          <w:tcPr>
            <w:tcW w:w="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5"/>
          </w:tcPr>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38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70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gridSpan w:val="2"/>
          </w:tcPr>
          <w:p>
            <w:pPr>
              <w:jc w:val="center"/>
              <w:ind w:right="675"/>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0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74"/>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700" w:type="dxa"/>
            <w:vAlign w:val="bottom"/>
            <w:tcBorders>
              <w:bottom w:val="single" w:sz="8" w:color="auto"/>
            </w:tcBorders>
          </w:tcPr>
          <w:p>
            <w:pPr>
              <w:spacing w:after="0"/>
              <w:rPr>
                <w:sz w:val="23"/>
                <w:szCs w:val="23"/>
                <w:color w:val="auto"/>
              </w:rPr>
            </w:pPr>
          </w:p>
        </w:tc>
        <w:tc>
          <w:tcPr>
            <w:tcW w:w="3000" w:type="dxa"/>
            <w:vAlign w:val="bottom"/>
            <w:tcBorders>
              <w:bottom w:val="single" w:sz="8" w:color="auto"/>
              <w:right w:val="single" w:sz="8" w:color="auto"/>
            </w:tcBorders>
            <w:gridSpan w:val="2"/>
          </w:tcPr>
          <w:p>
            <w:pPr>
              <w:jc w:val="center"/>
              <w:ind w:right="675"/>
              <w:spacing w:after="0"/>
              <w:rPr>
                <w:sz w:val="20"/>
                <w:szCs w:val="20"/>
                <w:color w:val="auto"/>
              </w:rPr>
            </w:pPr>
            <w:r>
              <w:rPr>
                <w:rFonts w:ascii="Times New Roman" w:cs="Times New Roman" w:eastAsia="Times New Roman" w:hAnsi="Times New Roman"/>
                <w:sz w:val="17"/>
                <w:szCs w:val="17"/>
                <w:b w:val="1"/>
                <w:bCs w:val="1"/>
                <w:color w:val="auto"/>
                <w:w w:val="98"/>
              </w:rPr>
              <w:t>TSLX</w:t>
            </w:r>
          </w:p>
        </w:tc>
        <w:tc>
          <w:tcPr>
            <w:tcW w:w="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040" w:type="dxa"/>
            <w:vAlign w:val="bottom"/>
            <w:tcBorders>
              <w:bottom w:val="single" w:sz="8" w:color="auto"/>
              <w:right w:val="single" w:sz="8" w:color="auto"/>
            </w:tcBorders>
            <w:gridSpan w:val="2"/>
          </w:tcPr>
          <w:p>
            <w:pPr>
              <w:jc w:val="center"/>
              <w:ind w:right="615"/>
              <w:spacing w:after="0"/>
              <w:rPr>
                <w:sz w:val="20"/>
                <w:szCs w:val="20"/>
                <w:color w:val="auto"/>
              </w:rPr>
            </w:pPr>
            <w:r>
              <w:rPr>
                <w:rFonts w:ascii="Times New Roman" w:cs="Times New Roman" w:eastAsia="Times New Roman" w:hAnsi="Times New Roman"/>
                <w:sz w:val="17"/>
                <w:szCs w:val="17"/>
                <w:b w:val="1"/>
                <w:bCs w:val="1"/>
                <w:color w:val="auto"/>
                <w:w w:val="99"/>
              </w:rPr>
              <w:t>The New York Stock Exchange</w:t>
            </w:r>
          </w:p>
        </w:tc>
        <w:tc>
          <w:tcPr>
            <w:tcW w:w="0" w:type="dxa"/>
            <w:vAlign w:val="bottom"/>
          </w:tcPr>
          <w:p>
            <w:pPr>
              <w:spacing w:after="0"/>
              <w:rPr>
                <w:sz w:val="1"/>
                <w:szCs w:val="1"/>
                <w:color w:val="auto"/>
              </w:rPr>
            </w:pPr>
          </w:p>
        </w:tc>
      </w:tr>
      <w:tr>
        <w:trPr>
          <w:trHeight w:val="227"/>
        </w:trPr>
        <w:tc>
          <w:tcPr>
            <w:tcW w:w="7800" w:type="dxa"/>
            <w:vAlign w:val="bottom"/>
            <w:gridSpan w:val="5"/>
          </w:tcPr>
          <w:p>
            <w:pPr>
              <w:jc w:val="center"/>
              <w:ind w:left="33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None</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300" w:type="dxa"/>
            <w:vAlign w:val="bottom"/>
            <w:gridSpan w:val="3"/>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(Title of class)</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8200" w:type="dxa"/>
            <w:vAlign w:val="bottom"/>
            <w:gridSpan w:val="6"/>
          </w:tcPr>
          <w:p>
            <w:pPr>
              <w:spacing w:after="0"/>
              <w:rPr>
                <w:sz w:val="7"/>
                <w:szCs w:val="7"/>
                <w:color w:val="auto"/>
              </w:rPr>
            </w:pPr>
          </w:p>
        </w:tc>
        <w:tc>
          <w:tcPr>
            <w:tcW w:w="660" w:type="dxa"/>
            <w:vAlign w:val="bottom"/>
            <w:vMerge w:val="restart"/>
          </w:tcPr>
          <w:p>
            <w:pPr>
              <w:jc w:val="center"/>
              <w:ind w:right="95"/>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38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3"/>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w:t>
            </w: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issuer, as defined in Rule 405 of</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the Securities Act.</w:t>
            </w:r>
          </w:p>
        </w:tc>
        <w:tc>
          <w:tcPr>
            <w:tcW w:w="66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38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20"/>
        <w:spacing w:after="0" w:line="23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560"/>
              <w:spacing w:after="0"/>
              <w:rPr>
                <w:sz w:val="20"/>
                <w:szCs w:val="20"/>
                <w:color w:val="auto"/>
              </w:rPr>
            </w:pPr>
            <w:r>
              <w:rPr>
                <w:rFonts w:ascii="Wingdings" w:cs="Wingdings" w:eastAsia="Wingdings" w:hAnsi="Wingdings"/>
                <w:sz w:val="18"/>
                <w:szCs w:val="18"/>
                <w:b w:val="1"/>
                <w:bCs w:val="1"/>
                <w:color w:val="auto"/>
              </w:rPr>
              <w:t>x</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 w:lineRule="exact"/>
        <w:rPr>
          <w:sz w:val="24"/>
          <w:szCs w:val="24"/>
          <w:color w:val="auto"/>
        </w:rPr>
      </w:pPr>
    </w:p>
    <w:p>
      <w:pPr>
        <w:ind w:right="300"/>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4"/>
          <w:szCs w:val="24"/>
          <w:color w:val="auto"/>
        </w:rPr>
      </w:pPr>
    </w:p>
    <w:p>
      <w:pPr>
        <w:ind w:right="10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7200" w:val="left"/>
          <w:tab w:leader="none" w:pos="78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64" w:lineRule="exact"/>
        <w:rPr>
          <w:sz w:val="24"/>
          <w:szCs w:val="24"/>
          <w:color w:val="auto"/>
        </w:rPr>
      </w:pPr>
    </w:p>
    <w:p>
      <w:pPr>
        <w:jc w:val="both"/>
        <w:ind w:right="260"/>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voting stock held by non-affiliates of the registrant on June 30, 2022, based on the closing price on that date of $18.50 on The New York Stock Exchange, was approximately $1,357,265,548. The number of shares of the registrant’s common stock, $.01 par value per share, outstanding at February 16, 2023 was 81,389,287.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Portions of the Registrant’s proxy statement for the 2023 annual meeting of stockholders are incorporated by reference in Part III.</w:t>
      </w:r>
    </w:p>
    <w:p>
      <w:pPr>
        <w:spacing w:after="0" w:line="27" w:lineRule="exact"/>
        <w:rPr>
          <w:sz w:val="24"/>
          <w:szCs w:val="24"/>
          <w:color w:val="auto"/>
        </w:rPr>
      </w:pPr>
    </w:p>
    <w:p>
      <w:pPr>
        <w:spacing w:after="0"/>
        <w:tabs>
          <w:tab w:leader="none" w:pos="1640" w:val="left"/>
          <w:tab w:leader="none" w:pos="3800" w:val="left"/>
        </w:tabs>
        <w:rPr>
          <w:sz w:val="20"/>
          <w:szCs w:val="20"/>
          <w:color w:val="auto"/>
        </w:rPr>
      </w:pPr>
      <w:r>
        <w:rPr>
          <w:rFonts w:ascii="Times New Roman" w:cs="Times New Roman" w:eastAsia="Times New Roman" w:hAnsi="Times New Roman"/>
          <w:sz w:val="17"/>
          <w:szCs w:val="17"/>
          <w:color w:val="auto"/>
        </w:rPr>
        <w:t>Auditor Firm Id:185</w:t>
        <w:tab/>
        <w:t>Auditor Name: KPMG LLP</w:t>
      </w:r>
      <w:r>
        <w:rPr>
          <w:sz w:val="20"/>
          <w:szCs w:val="20"/>
          <w:color w:val="auto"/>
        </w:rPr>
        <w:tab/>
      </w:r>
      <w:r>
        <w:rPr>
          <w:rFonts w:ascii="Times New Roman" w:cs="Times New Roman" w:eastAsia="Times New Roman" w:hAnsi="Times New Roman"/>
          <w:sz w:val="16"/>
          <w:szCs w:val="16"/>
          <w:color w:val="auto"/>
        </w:rPr>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SIXTH STREET SPECIALTY LENDING, INC.</w:t>
            </w: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80" w:type="dxa"/>
            <w:vAlign w:val="bottom"/>
            <w:gridSpan w:val="10"/>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 for</w:t>
            </w:r>
          </w:p>
        </w:tc>
        <w:tc>
          <w:tcPr>
            <w:tcW w:w="1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8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1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72"/>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4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72"/>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72"/>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gridSpan w:val="5"/>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68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Borders>
              <w:top w:val="single" w:sz="8" w:color="0000FF"/>
            </w:tcBorders>
            <w:gridSpan w:val="5"/>
          </w:tcPr>
          <w:p>
            <w:pPr>
              <w:spacing w:after="0"/>
              <w:rPr>
                <w:sz w:val="24"/>
                <w:szCs w:val="24"/>
                <w:color w:val="auto"/>
              </w:rPr>
            </w:pPr>
          </w:p>
        </w:tc>
        <w:tc>
          <w:tcPr>
            <w:tcW w:w="3340" w:type="dxa"/>
            <w:vAlign w:val="bottom"/>
            <w:gridSpan w:val="9"/>
          </w:tcPr>
          <w:p>
            <w:pPr>
              <w:jc w:val="center"/>
              <w:ind w:left="249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5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0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and elsewhere in our filings with the SEC.</w:t>
      </w:r>
    </w:p>
    <w:p>
      <w:pPr>
        <w:spacing w:after="0" w:line="22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2022, we have originated approximately $24.4 billion aggregate principal amount of investments and retained approximately $9.2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2022, our core portfolio companies, which exclude certain investments that fall outside of our typical borrower profile and represent 91.7% of our total investments based on fair value, had weighted average annual revenue of $152.0 million and weighted average annual EBITDA of $45.9 million.</w:t>
      </w:r>
    </w:p>
    <w:p>
      <w:pPr>
        <w:spacing w:after="0" w:line="188"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62"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2022, based on fair value our portfolio consisted of 90.3% first-lien debt investments, 1.5% second-lien debt investments, 0.4% mezzanine investments, 6.0% equity and other investments and 1.8% structured credit investments. As of December 31, 2022, 98.9% of our debt investments based on fair value bore interest at floating rates, with 100.0% of these subject to interest rate floors, which we believe helps act as a portfolio-wide hedge against inflation. As of December 31, 2022 we had investments in 121 portfolio companies (including 43 structured credit investments, which include each series of collateralized loan obligation as a separate portfolio company investment), with an average investment size of approximately $23.0 million based on fair value. When excluding investments in structured credit investments, the average investment in our remaining portfolio companies was approximately $35.1 million as of December 31, 2022. As of December 31, 2022, the largest single investment based on fair value represented 2.8% of our total investment portfolio.</w:t>
      </w:r>
    </w:p>
    <w:p>
      <w:pPr>
        <w:spacing w:after="0" w:line="18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our portfolio was invested across 18 different industries. The largest industries in our portfolio as of December 31, 2022 were Business Services and Internet Services, which represented, as a percentage of our portfolio, 14.4%, and 13.9% respectively, based on fair value.</w:t>
      </w:r>
    </w:p>
    <w:p>
      <w:pPr>
        <w:spacing w:after="0" w:line="16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3"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our ratio of total assets (less total liabilities other than indebtedness) to total indebtedness plus preferred stock is at least 150%. In determining whether to borrow money, we analyze the maturity, covenant package and rate structure of the proposed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40"/>
        <w:spacing w:after="0" w:line="258" w:lineRule="auto"/>
        <w:rPr>
          <w:sz w:val="20"/>
          <w:szCs w:val="20"/>
          <w:color w:val="auto"/>
        </w:rPr>
      </w:pPr>
      <w:r>
        <w:rPr>
          <w:rFonts w:ascii="Times New Roman" w:cs="Times New Roman" w:eastAsia="Times New Roman" w:hAnsi="Times New Roman"/>
          <w:sz w:val="18"/>
          <w:szCs w:val="18"/>
          <w:color w:val="auto"/>
        </w:rPr>
        <w:t>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 Structure—We borrow money,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magnifies the potential for gain or loss and increases the risk of investing in us.” </w:t>
      </w: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7"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$65 billion of assets under management as of December 31, 2022.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475 investment and operating professionals. As of December 31, 2022, forty-four (44) of these personnel are dedicated to our business, including thirty-four (34) investment professionals.</w:t>
      </w:r>
    </w:p>
    <w:p>
      <w:pPr>
        <w:spacing w:after="0" w:line="192" w:lineRule="exact"/>
        <w:rPr>
          <w:sz w:val="20"/>
          <w:szCs w:val="20"/>
          <w:color w:val="auto"/>
        </w:rPr>
      </w:pPr>
    </w:p>
    <w:p>
      <w:pPr>
        <w:ind w:right="38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8"/>
          <w:szCs w:val="18"/>
          <w:i w:val="1"/>
          <w:iCs w:val="1"/>
          <w:color w:val="auto"/>
        </w:rPr>
        <w:t>Regulation as a Business Development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our affiliates.”</w:t>
      </w:r>
    </w:p>
    <w:p>
      <w:pPr>
        <w:spacing w:after="0" w:line="183"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6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Times New Roman" w:cs="Times New Roman" w:eastAsia="Times New Roman" w:hAnsi="Times New Roman"/>
          <w:sz w:val="18"/>
          <w:szCs w:val="18"/>
          <w:i w:val="1"/>
          <w:iCs w:val="1"/>
          <w:color w:val="auto"/>
        </w:rPr>
        <w:t>Management Agreements—Investment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Advisory Agreement; Administration Agreement; License Agreement</w:t>
      </w:r>
      <w:r>
        <w:rPr>
          <w:rFonts w:ascii="Times New Roman" w:cs="Times New Roman" w:eastAsia="Times New Roman" w:hAnsi="Times New Roman"/>
          <w:sz w:val="18"/>
          <w:szCs w:val="18"/>
          <w:color w:val="auto"/>
        </w:rPr>
        <w:t>.” Our Board monitors the mix and performance of our investments over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seeks to satisfy itself that the Adviser is acting in our interests and that our fee structure appropriately incentivizes the Adviser to do so.</w:t>
      </w:r>
    </w:p>
    <w:p>
      <w:pPr>
        <w:spacing w:after="0" w:line="183"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In November 2022, our Board renewed the Investment Advisory Agreement. Unless earlier terminated, the Investment Advisory Agreement will remain in effect until November 2023, and may be extended subject to required approvals.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17" w:lineRule="exact"/>
        <w:rPr>
          <w:sz w:val="20"/>
          <w:szCs w:val="20"/>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740" w:firstLine="255"/>
        <w:spacing w:after="0" w:line="312"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2" w:lineRule="exact"/>
        <w:rPr>
          <w:sz w:val="20"/>
          <w:szCs w:val="20"/>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2" w:lineRule="exact"/>
        <w:rPr>
          <w:sz w:val="20"/>
          <w:szCs w:val="20"/>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17" w:lineRule="exact"/>
        <w:rPr>
          <w:rFonts w:ascii="Times New Roman" w:cs="Times New Roman" w:eastAsia="Times New Roman" w:hAnsi="Times New Roman"/>
          <w:sz w:val="18"/>
          <w:szCs w:val="18"/>
          <w:color w:val="auto"/>
        </w:rPr>
      </w:pPr>
    </w:p>
    <w:p>
      <w:pPr>
        <w:ind w:left="520" w:right="560" w:hanging="257"/>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7"/>
          <w:szCs w:val="17"/>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60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 w:name="page8"/>
    <w:bookmarkEnd w:id="7"/>
    <w:p>
      <w:pPr>
        <w:ind w:left="520" w:right="100" w:hanging="257"/>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hanging="257"/>
        <w:spacing w:after="0" w:line="25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00" w:hanging="257"/>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8" w:lineRule="exact"/>
        <w:rPr>
          <w:sz w:val="20"/>
          <w:szCs w:val="20"/>
          <w:color w:val="auto"/>
        </w:rPr>
      </w:pPr>
    </w:p>
    <w:p>
      <w:pPr>
        <w:ind w:right="320" w:firstLine="255"/>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investment performance ratings of our portfolio, see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OPERATIONS—Portfolio and Investment Activity.”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4" w:lineRule="exact"/>
        <w:rPr>
          <w:sz w:val="20"/>
          <w:szCs w:val="20"/>
          <w:color w:val="auto"/>
        </w:rPr>
      </w:pPr>
    </w:p>
    <w:p>
      <w:pPr>
        <w:ind w:left="520" w:right="40" w:hanging="257"/>
        <w:spacing w:after="0" w:line="26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68" w:lineRule="exact"/>
        <w:rPr>
          <w:rFonts w:ascii="Times New Roman" w:cs="Times New Roman" w:eastAsia="Times New Roman" w:hAnsi="Times New Roman"/>
          <w:sz w:val="18"/>
          <w:szCs w:val="18"/>
          <w:color w:val="auto"/>
        </w:rPr>
      </w:pPr>
    </w:p>
    <w:p>
      <w:pPr>
        <w:ind w:left="520" w:right="60" w:hanging="257"/>
        <w:spacing w:after="0" w:line="28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Stand-alone first-lien loans. </w:t>
      </w:r>
      <w:r>
        <w:rPr>
          <w:rFonts w:ascii="Times New Roman" w:cs="Times New Roman" w:eastAsia="Times New Roman" w:hAnsi="Times New Roman"/>
          <w:sz w:val="18"/>
          <w:szCs w:val="18"/>
          <w:color w:val="auto"/>
        </w:rPr>
        <w:t>Stand-alone first-lien loans are traditional first-lien loans. All lenders in the facility have equal rights to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subject to the first-priority security interest.</w:t>
      </w:r>
    </w:p>
    <w:p>
      <w:pPr>
        <w:spacing w:after="0" w:line="46" w:lineRule="exact"/>
        <w:rPr>
          <w:rFonts w:ascii="Times New Roman" w:cs="Times New Roman" w:eastAsia="Times New Roman" w:hAnsi="Times New Roman"/>
          <w:sz w:val="18"/>
          <w:szCs w:val="18"/>
          <w:color w:val="auto"/>
        </w:rPr>
      </w:pPr>
    </w:p>
    <w:p>
      <w:pPr>
        <w:ind w:left="520" w:hanging="257"/>
        <w:spacing w:after="0" w:line="25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6" w:lineRule="exact"/>
        <w:rPr>
          <w:rFonts w:ascii="Times New Roman" w:cs="Times New Roman" w:eastAsia="Times New Roman" w:hAnsi="Times New Roman"/>
          <w:sz w:val="18"/>
          <w:szCs w:val="18"/>
          <w:color w:val="auto"/>
        </w:rPr>
      </w:pPr>
    </w:p>
    <w:p>
      <w:pPr>
        <w:ind w:left="520" w:hanging="257"/>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8" w:name="page9"/>
    <w:bookmarkEnd w:id="8"/>
    <w:p>
      <w:pPr>
        <w:ind w:left="520" w:right="200" w:hanging="257"/>
        <w:spacing w:after="0" w:line="259"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1" w:lineRule="exact"/>
        <w:rPr>
          <w:rFonts w:ascii="Times New Roman" w:cs="Times New Roman" w:eastAsia="Times New Roman" w:hAnsi="Times New Roman"/>
          <w:sz w:val="18"/>
          <w:szCs w:val="18"/>
          <w:color w:val="auto"/>
        </w:rPr>
      </w:pPr>
    </w:p>
    <w:p>
      <w:pPr>
        <w:ind w:left="520" w:right="60" w:hanging="257"/>
        <w:spacing w:after="0" w:line="254"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 second-lien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4" w:lineRule="exact"/>
        <w:rPr>
          <w:sz w:val="20"/>
          <w:szCs w:val="20"/>
          <w:color w:val="auto"/>
        </w:rPr>
      </w:pPr>
    </w:p>
    <w:p>
      <w:pPr>
        <w:ind w:left="520" w:hanging="25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17" w:lineRule="exact"/>
        <w:rPr>
          <w:rFonts w:ascii="Times New Roman" w:cs="Times New Roman" w:eastAsia="Times New Roman" w:hAnsi="Times New Roman"/>
          <w:sz w:val="18"/>
          <w:szCs w:val="18"/>
          <w:color w:val="auto"/>
        </w:rPr>
      </w:pPr>
    </w:p>
    <w:p>
      <w:pPr>
        <w:ind w:left="520" w:right="260" w:hanging="257"/>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and Other Investments</w:t>
      </w:r>
    </w:p>
    <w:p>
      <w:pPr>
        <w:spacing w:after="0" w:line="119" w:lineRule="exact"/>
        <w:rPr>
          <w:sz w:val="20"/>
          <w:szCs w:val="20"/>
          <w:color w:val="auto"/>
        </w:rPr>
      </w:pPr>
    </w:p>
    <w:p>
      <w:pPr>
        <w:jc w:val="both"/>
        <w:ind w:right="440" w:firstLine="255"/>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had made investments with an aggregate fair value of $2,787.9 million and $2,521.6 million, respectively, in 121 and 72 portfolio companies,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right"/>
              <w:ind w:right="436"/>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9"/>
                <w:szCs w:val="9"/>
                <w:color w:val="auto"/>
              </w:rPr>
            </w:pPr>
          </w:p>
        </w:tc>
        <w:tc>
          <w:tcPr>
            <w:tcW w:w="1040" w:type="dxa"/>
            <w:vAlign w:val="bottom"/>
            <w:gridSpan w:val="2"/>
            <w:vMerge w:val="restart"/>
          </w:tcPr>
          <w:p>
            <w:pPr>
              <w:jc w:val="right"/>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1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1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-616585</wp:posOffset>
            </wp:positionV>
            <wp:extent cx="5969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-616585</wp:posOffset>
            </wp:positionV>
            <wp:extent cx="5143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-616585</wp:posOffset>
            </wp:positionV>
            <wp:extent cx="5143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11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jc w:val="right"/>
              <w:ind w:right="416"/>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3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-187960</wp:posOffset>
            </wp:positionV>
            <wp:extent cx="603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5143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ind w:left="520" w:right="38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2022 and 2021 was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5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5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5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-2348230</wp:posOffset>
            </wp:positionV>
            <wp:extent cx="57003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-2039620</wp:posOffset>
            </wp:positionV>
            <wp:extent cx="570039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-1731010</wp:posOffset>
            </wp:positionV>
            <wp:extent cx="57003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78"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We classify the industries of our portfolio companies by end-market (such as Healthcare, and Business Services) and not by the product or services (such as Software) directed to those end-markets.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2022 and 2021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4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Midwest</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Northeast</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30.7 %</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264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Luxembourg</w:t>
            </w:r>
          </w:p>
        </w:tc>
        <w:tc>
          <w:tcPr>
            <w:tcW w:w="4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4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30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4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6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-2005330</wp:posOffset>
            </wp:positionV>
            <wp:extent cx="57003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-1696720</wp:posOffset>
            </wp:positionV>
            <wp:extent cx="570039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-1388110</wp:posOffset>
            </wp:positionV>
            <wp:extent cx="57003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-616585</wp:posOffset>
            </wp:positionV>
            <wp:extent cx="514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2022 and 2021, we had the following commitments to fund investments in current portfolio companies: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Alpha Midco, Inc. - Delayed Draw</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American Achievement, Corp.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ASG II,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Avalara,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AvidXchange,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Axonify,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Bayshore Intermediate #2, L.P. -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BCTO Ace Purchaser,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Bear OpCo,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Biohaven Pharmaceuticals,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BlueSnap, Inc.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BTRS Holdings, Inc.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Carlstar Group, LLC -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Clinicient,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Cordance Operations, LLC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CrunchTime Information Systems,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DaySmart Holdings,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Destiny Solutions Parent Holding Company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Dye &amp; Durham Corp.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EDB Parent, LLC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Erling Lux Bidco SARL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Elysian Finco Ltd.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Employment Hero Holdings Pty Ltd.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EMS Linq,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ExtraHop Networks,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ForeScout Technologies, Inc.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 Treasury SS,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Hornetsecurity Holding GmbH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Ibis Intermediate Co.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IntelePeer Holdings,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IRGSE Holding Corp. -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Kyriba Corp.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LeanTaaS Holdings,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Lithium Technologies, LLC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Lucidworks, Inc.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Murchison Oil and Gas, LLC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Netwrix Corp.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Neuintel, LLC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OutSystems Luxco SARL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PageUp People, Ltd.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Passport Labs, Inc.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Ping Identity Holding Corp.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PrimePay Intermediate,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PrimeRevenue, Inc.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Project44,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ReliaQuest Holdings, LLC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Tango Management Consulting, LLC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TRP Assets, LLC - Delayed Draw and Membership Interest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Verdad Resources Intermediate Holdings,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WideOrbit,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r>
      <w:tr>
        <w:trPr>
          <w:trHeight w:val="175"/>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Workwell Acquisition Co. - Delayed Draw</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664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338.0</w:t>
            </w:r>
          </w:p>
        </w:tc>
        <w:tc>
          <w:tcPr>
            <w:tcW w:w="32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332.2</w:t>
            </w:r>
          </w:p>
        </w:tc>
        <w:tc>
          <w:tcPr>
            <w:tcW w:w="80" w:type="dxa"/>
            <w:vAlign w:val="bottom"/>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-145415</wp:posOffset>
            </wp:positionV>
            <wp:extent cx="6032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-145415</wp:posOffset>
            </wp:positionV>
            <wp:extent cx="5143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146050"/>
                    </a:xfrm>
                    <a:prstGeom prst="rect">
                      <a:avLst/>
                    </a:prstGeom>
                    <a:noFill/>
                  </pic:spPr>
                </pic:pic>
              </a:graphicData>
            </a:graphic>
          </wp:anchor>
        </w:drawing>
      </w:r>
    </w:p>
    <w:p>
      <w:pPr>
        <w:spacing w:after="0" w:line="205" w:lineRule="exact"/>
        <w:rPr>
          <w:sz w:val="20"/>
          <w:szCs w:val="20"/>
          <w:color w:val="auto"/>
        </w:rPr>
      </w:pPr>
    </w:p>
    <w:p>
      <w:pPr>
        <w:jc w:val="both"/>
        <w:ind w:left="520" w:right="160" w:hanging="512"/>
        <w:spacing w:after="0" w:line="25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rFonts w:ascii="Times New Roman" w:cs="Times New Roman" w:eastAsia="Times New Roman" w:hAnsi="Times New Roman"/>
          <w:sz w:val="18"/>
          <w:szCs w:val="18"/>
          <w:color w:val="auto"/>
        </w:rPr>
      </w:pPr>
    </w:p>
    <w:p>
      <w:pPr>
        <w:ind w:left="520" w:right="580" w:hanging="512"/>
        <w:spacing w:after="0" w:line="26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as analysis of the fair value of any unfunded commitments.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did not have any unfunded commitments to fund investments to new borrowers that were not current portfolio companies as of such date.</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84" w:right="479" w:bottom="1440" w:gutter="0" w:footer="0" w:header="0"/>
        </w:sectPr>
      </w:pPr>
    </w:p>
    <w:bookmarkStart w:id="11" w:name="page12"/>
    <w:bookmarkEnd w:id="11"/>
    <w:p>
      <w:pPr>
        <w:jc w:val="both"/>
        <w:ind w:right="40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2022, management is not aware of any material pending or threatened litigation that would require accounting recognition or financial statement disclosure.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 in a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market for investment opportunities.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Borrowings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anticipate generating cash in the future from cash flows from operations, including interest received on our cash and cash equivalents,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and other high-quality debt investments that mature in one year or less, and through issuances of common stock.</w:t>
      </w:r>
    </w:p>
    <w:p>
      <w:pPr>
        <w:spacing w:after="0" w:line="207"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2022 and 2021, our asset coverage was 188.6% and 205.4%, respectively. See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debt obligations consisted of the following as of December 31, 2022 and 2021:</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95"/>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77"/>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5"/>
              <w:spacing w:after="0" w:line="206" w:lineRule="exact"/>
              <w:rPr>
                <w:sz w:val="20"/>
                <w:szCs w:val="20"/>
                <w:color w:val="auto"/>
              </w:rPr>
            </w:pPr>
            <w:r>
              <w:rPr>
                <w:rFonts w:ascii="Times New Roman" w:cs="Times New Roman" w:eastAsia="Times New Roman" w:hAnsi="Times New Roman"/>
                <w:sz w:val="14"/>
                <w:szCs w:val="14"/>
                <w:b w:val="1"/>
                <w:bCs w:val="1"/>
                <w:color w:val="auto"/>
                <w:w w:val="98"/>
              </w:rPr>
              <w:t xml:space="preserve">Available </w:t>
            </w:r>
            <w:r>
              <w:rPr>
                <w:rFonts w:ascii="Times New Roman" w:cs="Times New Roman" w:eastAsia="Times New Roman" w:hAnsi="Times New Roman"/>
                <w:sz w:val="19"/>
                <w:szCs w:val="19"/>
                <w:b w:val="1"/>
                <w:bCs w:val="1"/>
                <w:color w:val="auto"/>
                <w:w w:val="98"/>
                <w:vertAlign w:val="superscript"/>
              </w:rPr>
              <w:t>(1)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80" w:type="dxa"/>
            <w:vAlign w:val="bottom"/>
          </w:tcPr>
          <w:p>
            <w:pPr>
              <w:spacing w:after="0"/>
              <w:rPr>
                <w:sz w:val="17"/>
                <w:szCs w:val="17"/>
                <w:color w:val="auto"/>
              </w:rPr>
            </w:pPr>
          </w:p>
        </w:tc>
      </w:tr>
      <w:tr>
        <w:trPr>
          <w:trHeight w:val="23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shd w:val="clear" w:color="auto" w:fill="CFF0FC"/>
          </w:tcPr>
          <w:p>
            <w:pPr>
              <w:spacing w:after="0"/>
              <w:rPr>
                <w:sz w:val="20"/>
                <w:szCs w:val="20"/>
                <w:color w:val="auto"/>
              </w:rPr>
            </w:pPr>
          </w:p>
        </w:tc>
      </w:tr>
      <w:tr>
        <w:trPr>
          <w:trHeight w:val="2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20"/>
                <w:szCs w:val="20"/>
                <w:color w:val="auto"/>
              </w:rPr>
            </w:pPr>
          </w:p>
        </w:tc>
      </w:tr>
      <w:tr>
        <w:trPr>
          <w:trHeight w:val="247"/>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Notes</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shd w:val="clear" w:color="auto" w:fill="CFF0FC"/>
          </w:tcPr>
          <w:p>
            <w:pPr>
              <w:spacing w:after="0"/>
              <w:rPr>
                <w:sz w:val="21"/>
                <w:szCs w:val="2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21"/>
                <w:szCs w:val="21"/>
                <w:color w:val="auto"/>
              </w:rPr>
            </w:pPr>
          </w:p>
        </w:tc>
      </w:tr>
      <w:tr>
        <w:trPr>
          <w:trHeight w:val="276"/>
        </w:trPr>
        <w:tc>
          <w:tcPr>
            <w:tcW w:w="3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2,382.5</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-24765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right="86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right="38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2023 Notes, 2024 Notes and 2026 Notes are presented net of deferred financing costs and original issue discounts totaling $13.2 million, less than $0.1 million, $2.6 million and $4.1 million, respectively.</w:t>
      </w:r>
    </w:p>
    <w:p>
      <w:pPr>
        <w:ind w:left="520" w:right="360" w:hanging="512"/>
        <w:spacing w:after="0" w:line="290"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 of the 2024 Notes and 2026 Notes is presented inclusive of an incremental $(19.4) million and $(35.7) million, respectively, which represents an adjustment in the carrying values of the 2024 Notes and 2026 Notes, each resulting from a hedge accounting relationship.</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76"/>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98"/>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206"/>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5"/>
              <w:spacing w:after="0" w:line="206"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8"/>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80" w:type="dxa"/>
            <w:vAlign w:val="bottom"/>
          </w:tcPr>
          <w:p>
            <w:pPr>
              <w:spacing w:after="0"/>
              <w:rPr>
                <w:sz w:val="17"/>
                <w:szCs w:val="17"/>
                <w:color w:val="auto"/>
              </w:rPr>
            </w:pPr>
          </w:p>
        </w:tc>
      </w:tr>
      <w:tr>
        <w:trPr>
          <w:trHeight w:val="237"/>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shd w:val="clear" w:color="auto" w:fill="CFF0FC"/>
          </w:tcPr>
          <w:p>
            <w:pPr>
              <w:spacing w:after="0"/>
              <w:rPr>
                <w:sz w:val="20"/>
                <w:szCs w:val="20"/>
                <w:color w:val="auto"/>
              </w:rPr>
            </w:pP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20"/>
                <w:szCs w:val="20"/>
                <w:color w:val="auto"/>
              </w:rPr>
            </w:pPr>
          </w:p>
        </w:tc>
      </w:tr>
      <w:tr>
        <w:trPr>
          <w:trHeight w:val="247"/>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FF0FC"/>
          </w:tcPr>
          <w:p>
            <w:pPr>
              <w:spacing w:after="0"/>
              <w:rPr>
                <w:sz w:val="21"/>
                <w:szCs w:val="21"/>
                <w:color w:val="auto"/>
              </w:rPr>
            </w:pP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Pr>
          <w:p>
            <w:pPr>
              <w:spacing w:after="0"/>
              <w:rPr>
                <w:sz w:val="20"/>
                <w:szCs w:val="20"/>
                <w:color w:val="auto"/>
              </w:rPr>
            </w:pPr>
          </w:p>
        </w:tc>
      </w:tr>
      <w:tr>
        <w:trPr>
          <w:trHeight w:val="247"/>
        </w:trPr>
        <w:tc>
          <w:tcPr>
            <w:tcW w:w="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80" w:type="dxa"/>
            <w:vAlign w:val="bottom"/>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-187960</wp:posOffset>
            </wp:positionV>
            <wp:extent cx="6032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5143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5143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5" w:lineRule="exact"/>
        <w:rPr>
          <w:sz w:val="20"/>
          <w:szCs w:val="20"/>
          <w:color w:val="auto"/>
        </w:rPr>
      </w:pPr>
    </w:p>
    <w:p>
      <w:pPr>
        <w:ind w:left="520" w:right="88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right="1800" w:hanging="512"/>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2024 Notes and 2026 Notes are presented net of deferred financing costs and original issue discounts totaling $11.8 million, $0.3 million, $0.7 million, $4.0 million and $5.3 million, respectively.</w:t>
      </w:r>
    </w:p>
    <w:p>
      <w:pPr>
        <w:spacing w:after="0" w:line="1" w:lineRule="exact"/>
        <w:rPr>
          <w:rFonts w:ascii="Times New Roman" w:cs="Times New Roman" w:eastAsia="Times New Roman" w:hAnsi="Times New Roman"/>
          <w:sz w:val="18"/>
          <w:szCs w:val="18"/>
          <w:color w:val="auto"/>
        </w:rPr>
      </w:pPr>
    </w:p>
    <w:p>
      <w:pPr>
        <w:ind w:left="520" w:right="1540" w:hanging="512"/>
        <w:spacing w:after="0" w:line="255"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and 2026 Notes is presented inclusive of an incremental $4.4 million and $(10.2) million, respectively, which represents an adjustment in the carrying values of the 2024 Notes and 2026 Notes, each resulting from a hedge accounting relationship.</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components of interest expense were as follows: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Borders>
              <w:top w:val="single" w:sz="8" w:color="CFF0FC"/>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40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-490855</wp:posOffset>
            </wp:positionV>
            <wp:extent cx="5969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-490855</wp:posOffset>
            </wp:positionV>
            <wp:extent cx="5143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-490855</wp:posOffset>
            </wp:positionV>
            <wp:extent cx="5143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11" w:lineRule="exact"/>
        <w:rPr>
          <w:sz w:val="20"/>
          <w:szCs w:val="20"/>
          <w:color w:val="auto"/>
        </w:rPr>
      </w:pPr>
    </w:p>
    <w:p>
      <w:pPr>
        <w:ind w:right="80" w:firstLine="255"/>
        <w:spacing w:after="0" w:line="284" w:lineRule="auto"/>
        <w:rPr>
          <w:sz w:val="20"/>
          <w:szCs w:val="20"/>
          <w:color w:val="auto"/>
        </w:rPr>
      </w:pPr>
      <w:r>
        <w:rPr>
          <w:rFonts w:ascii="Times New Roman" w:cs="Times New Roman" w:eastAsia="Times New Roman" w:hAnsi="Times New Roman"/>
          <w:sz w:val="18"/>
          <w:szCs w:val="18"/>
          <w:color w:val="auto"/>
        </w:rPr>
        <w:t>For more information on our debt, see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OPERATIONS——Financial Condition, Liquidity and Capital Resources.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8"/>
          <w:szCs w:val="18"/>
          <w:i w:val="1"/>
          <w:iCs w:val="1"/>
          <w:color w:val="auto"/>
        </w:rPr>
        <w:t>See “ITEM 1A. RISK</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0" w:right="359" w:bottom="1440" w:gutter="0" w:footer="0" w:header="0"/>
        </w:sectPr>
      </w:pPr>
    </w:p>
    <w:bookmarkStart w:id="13" w:name="page14"/>
    <w:bookmarkEnd w:id="13"/>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FACTORS—Risks Related to Our Business and Structure—We will be subject to corporate-level income tax if we are unable to maintain our qualification as a RIC under Subchapter M of the Code.”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Reinvestment Plan</w:t>
      </w:r>
    </w:p>
    <w:p>
      <w:pPr>
        <w:spacing w:after="0" w:line="11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7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its cash dividend or other distribution reinvested in our common stock. A registered stockholder is able to elect to receive an entire cash dividend or distribution in cash by notifying American Stock Transfer &amp;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3"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8"/>
          <w:szCs w:val="18"/>
          <w:i w:val="1"/>
          <w:iCs w:val="1"/>
          <w:color w:val="auto"/>
        </w:rPr>
        <w:t>Investment Advisory Agreement; Administration Agreement; License Agreement</w:t>
      </w:r>
      <w:r>
        <w:rPr>
          <w:rFonts w:ascii="Times New Roman" w:cs="Times New Roman" w:eastAsia="Times New Roman" w:hAnsi="Times New Roman"/>
          <w:sz w:val="18"/>
          <w:szCs w:val="18"/>
          <w:color w:val="auto"/>
        </w:rPr>
        <w:t>” below.</w:t>
      </w:r>
    </w:p>
    <w:p>
      <w:pPr>
        <w:spacing w:after="0" w:line="84"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In addition to our Adviser, Sixth Street has a team of over 475 investment and operating professionals. As of December 31, 2022, forty-four (44) of these personnel are dedicated to our business, including thirty-four (34) investment professionals.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17" w:lineRule="exact"/>
        <w:rPr>
          <w:sz w:val="20"/>
          <w:szCs w:val="20"/>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17" w:lineRule="exact"/>
        <w:rPr>
          <w:rFonts w:ascii="Times New Roman" w:cs="Times New Roman" w:eastAsia="Times New Roman" w:hAnsi="Times New Roman"/>
          <w:sz w:val="18"/>
          <w:szCs w:val="18"/>
          <w:color w:val="auto"/>
        </w:rPr>
      </w:pPr>
    </w:p>
    <w:p>
      <w:pPr>
        <w:ind w:left="520" w:right="52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17" w:lineRule="exact"/>
        <w:rPr>
          <w:rFonts w:ascii="Times New Roman" w:cs="Times New Roman" w:eastAsia="Times New Roman" w:hAnsi="Times New Roman"/>
          <w:sz w:val="18"/>
          <w:szCs w:val="18"/>
          <w:color w:val="auto"/>
        </w:rPr>
      </w:pPr>
    </w:p>
    <w:p>
      <w:pPr>
        <w:ind w:left="520" w:right="44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or the “Management Fee,” and may also pay certain incentive fees, or “Incentive Fees”.</w:t>
      </w:r>
    </w:p>
    <w:p>
      <w:pPr>
        <w:spacing w:after="0" w:line="16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2022, 2021, and 2020, Management Fees (gross of waivers) were $39.9 million, $37.1 million and $32.1 million,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2022 and 2021, Management Fees of $0.4 million, and $0.2 million, respectively, have been waived pursuant to the Leverage Waiver. The Adviser did not waive any Management Fees for the year ended December 31, 2020 pursuant to the Leverage Waiver.</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40" w:hanging="257"/>
        <w:spacing w:after="0" w:line="25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0" w:lineRule="exact"/>
        <w:rPr>
          <w:rFonts w:ascii="Times New Roman" w:cs="Times New Roman" w:eastAsia="Times New Roman" w:hAnsi="Times New Roman"/>
          <w:sz w:val="18"/>
          <w:szCs w:val="18"/>
          <w:color w:val="auto"/>
        </w:rPr>
      </w:pPr>
    </w:p>
    <w:p>
      <w:pPr>
        <w:ind w:left="5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left="520" w:right="100"/>
        <w:spacing w:after="0" w:line="282" w:lineRule="auto"/>
        <w:rPr>
          <w:sz w:val="20"/>
          <w:szCs w:val="20"/>
          <w:color w:val="auto"/>
        </w:rPr>
      </w:pPr>
      <w:r>
        <w:rPr>
          <w:rFonts w:ascii="Times New Roman" w:cs="Times New Roman" w:eastAsia="Times New Roman" w:hAnsi="Times New Roman"/>
          <w:sz w:val="18"/>
          <w:szCs w:val="18"/>
          <w:color w:val="auto"/>
        </w:rPr>
        <w:t>income that we may not have received in cash. Pre-Incentive Fee net investment income does not include any realized capital gains, realized capital losses or unrealized capital gains or losses.</w:t>
      </w:r>
    </w:p>
    <w:p>
      <w:pPr>
        <w:spacing w:after="0" w:line="54" w:lineRule="exact"/>
        <w:rPr>
          <w:sz w:val="20"/>
          <w:szCs w:val="20"/>
          <w:color w:val="auto"/>
        </w:rPr>
      </w:pPr>
    </w:p>
    <w:p>
      <w:pPr>
        <w:ind w:left="520" w:hanging="257"/>
        <w:spacing w:after="0" w:line="253"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94"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2022, 2021 and 2020, Incentive Fees were $24.5 million, $46.6 million and $32.9 million, respectively,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$33.4 million, $33.1 million, and $31.5 million, respectively, were realized and payable to the Adviser. For the years ended December 31, 2022, 2021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$(8.9) million, $13.5 million, and $1.4 million, respectively, of Incentive Fees were accrued related to Capital Gains Fees. As of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accrued Incentive Fees are not contractually payable to the Adviser.</w:t>
      </w:r>
    </w:p>
    <w:p>
      <w:pPr>
        <w:spacing w:after="0" w:line="207"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The Adviser did not waive any Incentive Fees for the years ended December 31, 2022, 2021 and 2020. Any waived Incentive Fees are not subject to recoupment by the Adviser.</w:t>
      </w:r>
    </w:p>
    <w:p>
      <w:pPr>
        <w:spacing w:after="0" w:line="162"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200" w:firstLine="255"/>
        <w:spacing w:after="0" w:line="289" w:lineRule="auto"/>
        <w:rPr>
          <w:sz w:val="20"/>
          <w:szCs w:val="20"/>
          <w:color w:val="auto"/>
        </w:rPr>
      </w:pPr>
      <w:r>
        <w:rPr>
          <w:rFonts w:ascii="Times New Roman" w:cs="Times New Roman" w:eastAsia="Times New Roman" w:hAnsi="Times New Roman"/>
          <w:sz w:val="17"/>
          <w:szCs w:val="17"/>
          <w:color w:val="auto"/>
        </w:rPr>
        <w:t>In November 2022, the Board renewed the Investment Advisory Agreement. Unless earlier terminated as described below, the Investment Advisory Agreement will remain in effect until November 2023,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58"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8"/>
          <w:szCs w:val="18"/>
          <w:i w:val="1"/>
          <w:iCs w:val="1"/>
          <w:color w:val="auto"/>
        </w:rPr>
        <w:t>Payment of Our Expenses</w:t>
      </w:r>
      <w:r>
        <w:rPr>
          <w:rFonts w:ascii="Times New Roman" w:cs="Times New Roman" w:eastAsia="Times New Roman" w:hAnsi="Times New Roman"/>
          <w:sz w:val="18"/>
          <w:szCs w:val="18"/>
          <w:color w:val="auto"/>
        </w:rPr>
        <w:t>” below. In addition, the Adviser is permitted to delegate its duties under the Administration Agreement to affiliates or third parties and we pay or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80"/>
        <w:spacing w:after="0" w:line="266" w:lineRule="auto"/>
        <w:rPr>
          <w:sz w:val="20"/>
          <w:szCs w:val="20"/>
          <w:color w:val="auto"/>
        </w:rPr>
      </w:pPr>
      <w:r>
        <w:rPr>
          <w:rFonts w:ascii="Times New Roman" w:cs="Times New Roman" w:eastAsia="Times New Roman" w:hAnsi="Times New Roman"/>
          <w:sz w:val="18"/>
          <w:szCs w:val="18"/>
          <w:color w:val="auto"/>
        </w:rPr>
        <w:t>reimburse the Adviser expenses incurred by any such affiliates or third parties for work done on our behalf. For the years ended December 31, 2022, 2021, and 2020, we incurred expenses of $3.1 million, $4.8 million, and $3.8 million, respectively, for administrative services payable under the terms of the Administration Agreement, which are included in Other general and administrative expenses.</w:t>
      </w:r>
    </w:p>
    <w:p>
      <w:pPr>
        <w:spacing w:after="0" w:line="176"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14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171450</wp:posOffset>
            </wp:positionV>
            <wp:extent cx="4568825" cy="891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688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8"/>
          <w:szCs w:val="18"/>
          <w:color w:val="auto"/>
        </w:rPr>
        <w:t>Percentage of pre-Incentive Fee net investment income allocated to income-related portion of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right="5300"/>
        <w:spacing w:after="0" w:line="250"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1.425%</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2.375%</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right="5300"/>
        <w:spacing w:after="0" w:line="250"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Incentive Fee = 100% × pre-Incentive Fee net investment income, subject to the “catch-up” (4)</w:t>
      </w:r>
    </w:p>
    <w:p>
      <w:pPr>
        <w:spacing w:after="0" w:line="9" w:lineRule="exact"/>
        <w:rPr>
          <w:sz w:val="20"/>
          <w:szCs w:val="20"/>
          <w:color w:val="auto"/>
        </w:rPr>
      </w:pPr>
    </w:p>
    <w:p>
      <w:pPr>
        <w:ind w:left="920" w:hanging="148"/>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(1.8% – 1.5%)</w:t>
      </w:r>
    </w:p>
    <w:p>
      <w:pPr>
        <w:spacing w:after="0" w:line="9" w:lineRule="exact"/>
        <w:rPr>
          <w:rFonts w:ascii="Times New Roman" w:cs="Times New Roman" w:eastAsia="Times New Roman" w:hAnsi="Times New Roman"/>
          <w:sz w:val="18"/>
          <w:szCs w:val="18"/>
          <w:color w:val="auto"/>
        </w:rPr>
      </w:pPr>
    </w:p>
    <w:p>
      <w:pPr>
        <w:ind w:left="920" w:hanging="148"/>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right="5300"/>
        <w:spacing w:after="0" w:line="250"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2.925%</w:t>
      </w:r>
    </w:p>
    <w:p>
      <w:pPr>
        <w:spacing w:after="0" w:line="9" w:lineRule="exact"/>
        <w:rPr>
          <w:sz w:val="20"/>
          <w:szCs w:val="20"/>
          <w:color w:val="auto"/>
        </w:rPr>
      </w:pPr>
    </w:p>
    <w:p>
      <w:pPr>
        <w:ind w:left="260" w:right="3680"/>
        <w:spacing w:after="0" w:line="250" w:lineRule="auto"/>
        <w:rPr>
          <w:sz w:val="20"/>
          <w:szCs w:val="20"/>
          <w:color w:val="auto"/>
        </w:rPr>
      </w:pPr>
      <w:r>
        <w:rPr>
          <w:rFonts w:ascii="Times New Roman" w:cs="Times New Roman" w:eastAsia="Times New Roman" w:hAnsi="Times New Roman"/>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Incentive Fee = (100% × 0.32%) + (17.5% × (2.925% – 1.82%))</w:t>
      </w:r>
    </w:p>
    <w:p>
      <w:pPr>
        <w:spacing w:after="0" w:line="9" w:lineRule="exact"/>
        <w:rPr>
          <w:sz w:val="20"/>
          <w:szCs w:val="20"/>
          <w:color w:val="auto"/>
        </w:rPr>
      </w:pPr>
    </w:p>
    <w:p>
      <w:pPr>
        <w:ind w:left="920" w:hanging="148"/>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(17.5% × 1.105%)</w:t>
      </w:r>
    </w:p>
    <w:p>
      <w:pPr>
        <w:spacing w:after="0" w:line="9" w:lineRule="exact"/>
        <w:rPr>
          <w:rFonts w:ascii="Times New Roman" w:cs="Times New Roman" w:eastAsia="Times New Roman" w:hAnsi="Times New Roman"/>
          <w:sz w:val="18"/>
          <w:szCs w:val="18"/>
          <w:color w:val="auto"/>
        </w:rPr>
      </w:pPr>
    </w:p>
    <w:p>
      <w:pPr>
        <w:ind w:left="920" w:hanging="148"/>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+ 0.193%</w:t>
      </w:r>
    </w:p>
    <w:p>
      <w:pPr>
        <w:spacing w:after="0" w:line="9" w:lineRule="exact"/>
        <w:rPr>
          <w:rFonts w:ascii="Times New Roman" w:cs="Times New Roman" w:eastAsia="Times New Roman" w:hAnsi="Times New Roman"/>
          <w:sz w:val="18"/>
          <w:szCs w:val="18"/>
          <w:color w:val="auto"/>
        </w:rPr>
      </w:pPr>
    </w:p>
    <w:p>
      <w:pPr>
        <w:ind w:left="920" w:hanging="148"/>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0.513%</w:t>
      </w:r>
    </w:p>
    <w:p>
      <w:pPr>
        <w:spacing w:after="0" w:line="98"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 annualized hurdle rate.</w:t>
      </w:r>
    </w:p>
    <w:p>
      <w:pPr>
        <w:spacing w:after="0" w:line="117"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 annualized Management Fee. For the purposes of these examples the Management Fee is assumed to be based on net assets, rather than gross assets.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21" w:right="419" w:bottom="1440" w:gutter="0" w:footer="0" w:header="0"/>
        </w:sectPr>
      </w:pPr>
    </w:p>
    <w:bookmarkStart w:id="18" w:name="page19"/>
    <w:bookmarkEnd w:id="18"/>
    <w:p>
      <w:pPr>
        <w:ind w:left="520" w:right="120" w:hanging="257"/>
        <w:spacing w:after="0" w:line="26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520" w:hanging="257"/>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67" w:lineRule="exact"/>
        <w:rPr>
          <w:rFonts w:ascii="Times New Roman" w:cs="Times New Roman" w:eastAsia="Times New Roman" w:hAnsi="Times New Roman"/>
          <w:sz w:val="18"/>
          <w:szCs w:val="18"/>
          <w:color w:val="auto"/>
        </w:rPr>
      </w:pPr>
    </w:p>
    <w:p>
      <w:pPr>
        <w:ind w:left="520" w:right="68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3"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3"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3" w:lineRule="exact"/>
        <w:rPr>
          <w:rFonts w:ascii="Times New Roman" w:cs="Times New Roman" w:eastAsia="Times New Roman" w:hAnsi="Times New Roman"/>
          <w:sz w:val="18"/>
          <w:szCs w:val="18"/>
          <w:color w:val="auto"/>
        </w:rPr>
      </w:pPr>
    </w:p>
    <w:p>
      <w:pPr>
        <w:ind w:left="520" w:right="4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C sold for $20 million, FMV of Investment B determined to be $14 million, FMV of Investment E determined to be $10 million and FMV of Investment F determined to $12 million.</w:t>
      </w:r>
    </w:p>
    <w:p>
      <w:pPr>
        <w:spacing w:after="0" w:line="53" w:lineRule="exact"/>
        <w:rPr>
          <w:rFonts w:ascii="Times New Roman" w:cs="Times New Roman" w:eastAsia="Times New Roman" w:hAnsi="Times New Roman"/>
          <w:sz w:val="18"/>
          <w:szCs w:val="18"/>
          <w:color w:val="auto"/>
        </w:rPr>
      </w:pPr>
    </w:p>
    <w:p>
      <w:pPr>
        <w:ind w:left="520" w:right="44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 Investment B sold for $16 million, FMV of Investment E determined to be $8 million and FMV of Investment F determined to be $15 million.</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 Investment E sold for $8 million and FMV of Investment F determined to be $17 million.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 Investment F sold for $18 million.</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color w:val="auto"/>
        </w:rPr>
        <w:t>These assumptions are summarized in the following chart: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w:t>
            </w:r>
          </w:p>
        </w:tc>
        <w:tc>
          <w:tcPr>
            <w:tcW w:w="14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182"/>
        </w:trPr>
        <w:tc>
          <w:tcPr>
            <w:tcW w:w="1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Year 1</w:t>
            </w:r>
          </w:p>
        </w:tc>
        <w:tc>
          <w:tcPr>
            <w:tcW w:w="9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shd w:val="clear" w:color="auto" w:fill="CFF0FC"/>
          </w:tcPr>
          <w:p>
            <w:pPr>
              <w:spacing w:after="0"/>
              <w:rPr>
                <w:sz w:val="8"/>
                <w:szCs w:val="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(cost basis)</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(cost basis)</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(cost basis)</w:t>
            </w:r>
          </w:p>
        </w:tc>
        <w:tc>
          <w:tcPr>
            <w:tcW w:w="160" w:type="dxa"/>
            <w:vAlign w:val="bottom"/>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(cost basis)</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(cost basis)</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7"/>
        </w:trPr>
        <w:tc>
          <w:tcPr>
            <w:tcW w:w="104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Year 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million</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(sale price)</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million</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Year 3 (IPO)</w:t>
            </w: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million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million</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million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million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shd w:val="clear" w:color="auto" w:fill="CFF0FC"/>
          </w:tcPr>
          <w:p>
            <w:pPr>
              <w:spacing w:after="0"/>
              <w:rPr>
                <w:sz w:val="8"/>
                <w:szCs w:val="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 at IPO</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 at IPO</w:t>
            </w:r>
          </w:p>
        </w:tc>
        <w:tc>
          <w:tcPr>
            <w:tcW w:w="160" w:type="dxa"/>
            <w:vAlign w:val="bottom"/>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 at IPO</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 at IPO</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million</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0" w:type="dxa"/>
            <w:vAlign w:val="bottom"/>
          </w:tcPr>
          <w:p>
            <w:pPr>
              <w:spacing w:after="0"/>
              <w:rPr>
                <w:sz w:val="1"/>
                <w:szCs w:val="1"/>
                <w:color w:val="auto"/>
              </w:rPr>
            </w:pPr>
          </w:p>
        </w:tc>
      </w:tr>
      <w:tr>
        <w:trPr>
          <w:trHeight w:val="128"/>
        </w:trPr>
        <w:tc>
          <w:tcPr>
            <w:tcW w:w="104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Year 4</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million</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(sale price)</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(cost basis)</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 million</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Year 5</w:t>
            </w: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million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million</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million</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shd w:val="clear" w:color="auto" w:fill="CFF0FC"/>
          </w:tcPr>
          <w:p>
            <w:pPr>
              <w:spacing w:after="0"/>
              <w:rPr>
                <w:sz w:val="8"/>
                <w:szCs w:val="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(sale price)</w:t>
            </w:r>
          </w:p>
        </w:tc>
        <w:tc>
          <w:tcPr>
            <w:tcW w:w="160" w:type="dxa"/>
            <w:vAlign w:val="bottom"/>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million</w:t>
            </w:r>
          </w:p>
        </w:tc>
        <w:tc>
          <w:tcPr>
            <w:tcW w:w="0" w:type="dxa"/>
            <w:vAlign w:val="bottom"/>
          </w:tcPr>
          <w:p>
            <w:pPr>
              <w:spacing w:after="0"/>
              <w:rPr>
                <w:sz w:val="1"/>
                <w:szCs w:val="1"/>
                <w:color w:val="auto"/>
              </w:rPr>
            </w:pPr>
          </w:p>
        </w:tc>
      </w:tr>
      <w:tr>
        <w:trPr>
          <w:trHeight w:val="127"/>
        </w:trPr>
        <w:tc>
          <w:tcPr>
            <w:tcW w:w="104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Year 6</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million</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million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million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(sale price)</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million</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 million</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Year 7</w:t>
            </w: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million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million</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shd w:val="clear" w:color="auto" w:fill="CFF0FC"/>
          </w:tcPr>
          <w:p>
            <w:pPr>
              <w:spacing w:after="0"/>
              <w:rPr>
                <w:sz w:val="8"/>
                <w:szCs w:val="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(sale price)</w:t>
            </w:r>
          </w:p>
        </w:tc>
        <w:tc>
          <w:tcPr>
            <w:tcW w:w="16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FMV</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million</w:t>
            </w:r>
          </w:p>
        </w:tc>
        <w:tc>
          <w:tcPr>
            <w:tcW w:w="16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million</w:t>
            </w:r>
          </w:p>
        </w:tc>
        <w:tc>
          <w:tcPr>
            <w:tcW w:w="0" w:type="dxa"/>
            <w:vAlign w:val="bottom"/>
          </w:tcPr>
          <w:p>
            <w:pPr>
              <w:spacing w:after="0"/>
              <w:rPr>
                <w:sz w:val="1"/>
                <w:szCs w:val="1"/>
                <w:color w:val="auto"/>
              </w:rPr>
            </w:pPr>
          </w:p>
        </w:tc>
      </w:tr>
      <w:tr>
        <w:trPr>
          <w:trHeight w:val="127"/>
        </w:trPr>
        <w:tc>
          <w:tcPr>
            <w:tcW w:w="104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Year 8</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million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4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(sale price)</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million</w:t>
            </w: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 million</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117" w:lineRule="exact"/>
        <w:rPr>
          <w:sz w:val="20"/>
          <w:szCs w:val="20"/>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w:t>
      </w:r>
    </w:p>
    <w:p>
      <w:pPr>
        <w:spacing w:after="0" w:line="117"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15% multiplied by ($10 million realized capital gains on sale of Investment A less $2 million cumulative capital depreciation) = </w:t>
      </w:r>
      <w:r>
        <w:rPr>
          <w:rFonts w:ascii="Times New Roman" w:cs="Times New Roman" w:eastAsia="Times New Roman" w:hAnsi="Times New Roman"/>
          <w:sz w:val="18"/>
          <w:szCs w:val="18"/>
          <w:b w:val="1"/>
          <w:bCs w:val="1"/>
          <w:color w:val="auto"/>
        </w:rPr>
        <w:t>$1.2 million</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w:t>
      </w:r>
    </w:p>
    <w:p>
      <w:pPr>
        <w:spacing w:after="0" w:line="117" w:lineRule="exact"/>
        <w:rPr>
          <w:rFonts w:ascii="Times New Roman" w:cs="Times New Roman" w:eastAsia="Times New Roman" w:hAnsi="Times New Roman"/>
          <w:sz w:val="18"/>
          <w:szCs w:val="18"/>
          <w:color w:val="auto"/>
        </w:rPr>
      </w:pPr>
    </w:p>
    <w:p>
      <w:pPr>
        <w:ind w:left="520" w:righ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Times New Roman" w:cs="Times New Roman" w:eastAsia="Times New Roman" w:hAnsi="Times New Roman"/>
          <w:sz w:val="18"/>
          <w:szCs w:val="18"/>
          <w:b w:val="1"/>
          <w:bCs w:val="1"/>
          <w:color w:val="auto"/>
        </w:rPr>
        <w:t>$0.00</w:t>
      </w:r>
    </w:p>
    <w:p>
      <w:pPr>
        <w:spacing w:after="0" w:line="53"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w:t>
      </w:r>
    </w:p>
    <w:p>
      <w:pPr>
        <w:spacing w:after="0" w:line="117" w:lineRule="exact"/>
        <w:rPr>
          <w:rFonts w:ascii="Times New Roman" w:cs="Times New Roman" w:eastAsia="Times New Roman" w:hAnsi="Times New Roman"/>
          <w:sz w:val="18"/>
          <w:szCs w:val="18"/>
          <w:color w:val="auto"/>
        </w:rPr>
      </w:pPr>
    </w:p>
    <w:p>
      <w:pPr>
        <w:ind w:left="5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Times New Roman" w:cs="Times New Roman" w:eastAsia="Times New Roman" w:hAnsi="Times New Roman"/>
          <w:sz w:val="18"/>
          <w:szCs w:val="18"/>
          <w:b w:val="1"/>
          <w:bCs w:val="1"/>
          <w:color w:val="auto"/>
        </w:rPr>
        <w:t>$0.6 million</w:t>
      </w:r>
    </w:p>
    <w:p>
      <w:pPr>
        <w:spacing w:after="0" w:line="53" w:lineRule="exact"/>
        <w:rPr>
          <w:rFonts w:ascii="Times New Roman" w:cs="Times New Roman" w:eastAsia="Times New Roman" w:hAnsi="Times New Roman"/>
          <w:sz w:val="18"/>
          <w:szCs w:val="18"/>
          <w:color w:val="auto"/>
        </w:rPr>
      </w:pPr>
    </w:p>
    <w:p>
      <w:pPr>
        <w:ind w:left="5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($12 million Pre-IPO Gain Amount divided by $12 million Total Gain Amount)) plus (17.5% multiplied by ($0 Post-IPO Gain Amount divided by $12 million Total Gain Amount)) = </w:t>
      </w:r>
      <w:r>
        <w:rPr>
          <w:rFonts w:ascii="Times New Roman" w:cs="Times New Roman" w:eastAsia="Times New Roman" w:hAnsi="Times New Roman"/>
          <w:sz w:val="18"/>
          <w:szCs w:val="18"/>
          <w:b w:val="1"/>
          <w:bCs w:val="1"/>
          <w:color w:val="auto"/>
        </w:rPr>
        <w:t>15%</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w:t>
      </w:r>
    </w:p>
    <w:p>
      <w:pPr>
        <w:spacing w:after="0" w:line="117" w:lineRule="exact"/>
        <w:rPr>
          <w:rFonts w:ascii="Times New Roman" w:cs="Times New Roman" w:eastAsia="Times New Roman" w:hAnsi="Times New Roman"/>
          <w:sz w:val="18"/>
          <w:szCs w:val="18"/>
          <w:color w:val="auto"/>
        </w:rPr>
      </w:pPr>
    </w:p>
    <w:p>
      <w:pPr>
        <w:ind w:left="5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Times New Roman" w:cs="Times New Roman" w:eastAsia="Times New Roman" w:hAnsi="Times New Roman"/>
          <w:sz w:val="18"/>
          <w:szCs w:val="18"/>
          <w:b w:val="1"/>
          <w:bCs w:val="1"/>
          <w:color w:val="auto"/>
        </w:rPr>
        <w:t>$1.65 million</w:t>
      </w:r>
    </w:p>
    <w:p>
      <w:pPr>
        <w:spacing w:after="0" w:line="53" w:lineRule="exact"/>
        <w:rPr>
          <w:rFonts w:ascii="Times New Roman" w:cs="Times New Roman" w:eastAsia="Times New Roman" w:hAnsi="Times New Roman"/>
          <w:sz w:val="18"/>
          <w:szCs w:val="18"/>
          <w:color w:val="auto"/>
        </w:rPr>
      </w:pPr>
    </w:p>
    <w:p>
      <w:pPr>
        <w:ind w:left="5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Times New Roman" w:cs="Times New Roman" w:eastAsia="Times New Roman" w:hAnsi="Times New Roman"/>
          <w:sz w:val="18"/>
          <w:szCs w:val="18"/>
          <w:b w:val="1"/>
          <w:bCs w:val="1"/>
          <w:color w:val="auto"/>
        </w:rPr>
        <w:t>15.68%</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w:t>
      </w:r>
    </w:p>
    <w:p>
      <w:pPr>
        <w:spacing w:after="0" w:line="117" w:lineRule="exact"/>
        <w:rPr>
          <w:rFonts w:ascii="Times New Roman" w:cs="Times New Roman" w:eastAsia="Times New Roman" w:hAnsi="Times New Roman"/>
          <w:sz w:val="18"/>
          <w:szCs w:val="18"/>
          <w:color w:val="auto"/>
        </w:rPr>
      </w:pPr>
    </w:p>
    <w:p>
      <w:pPr>
        <w:ind w:left="520" w:righ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Times New Roman" w:cs="Times New Roman" w:eastAsia="Times New Roman" w:hAnsi="Times New Roman"/>
          <w:sz w:val="18"/>
          <w:szCs w:val="18"/>
          <w:b w:val="1"/>
          <w:bCs w:val="1"/>
          <w:color w:val="auto"/>
        </w:rPr>
        <w:t>$0.73 million</w:t>
      </w:r>
    </w:p>
    <w:p>
      <w:pPr>
        <w:spacing w:after="0" w:line="54"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w:t>
      </w:r>
    </w:p>
    <w:p>
      <w:pPr>
        <w:spacing w:after="0" w:line="117" w:lineRule="exact"/>
        <w:rPr>
          <w:rFonts w:ascii="Times New Roman" w:cs="Times New Roman" w:eastAsia="Times New Roman" w:hAnsi="Times New Roman"/>
          <w:sz w:val="18"/>
          <w:szCs w:val="18"/>
          <w:color w:val="auto"/>
        </w:rPr>
      </w:pPr>
    </w:p>
    <w:p>
      <w:pPr>
        <w:ind w:left="52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Times New Roman" w:cs="Times New Roman" w:eastAsia="Times New Roman" w:hAnsi="Times New Roman"/>
          <w:sz w:val="18"/>
          <w:szCs w:val="18"/>
          <w:b w:val="1"/>
          <w:bCs w:val="1"/>
          <w:color w:val="auto"/>
        </w:rPr>
        <w:t>$0.00</w:t>
      </w:r>
    </w:p>
    <w:p>
      <w:pPr>
        <w:spacing w:after="0" w:line="53"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w:t>
      </w:r>
    </w:p>
    <w:p>
      <w:pPr>
        <w:spacing w:after="0" w:line="117" w:lineRule="exact"/>
        <w:rPr>
          <w:rFonts w:ascii="Times New Roman" w:cs="Times New Roman" w:eastAsia="Times New Roman" w:hAnsi="Times New Roman"/>
          <w:sz w:val="18"/>
          <w:szCs w:val="18"/>
          <w:color w:val="auto"/>
        </w:rPr>
      </w:pPr>
    </w:p>
    <w:p>
      <w:pPr>
        <w:ind w:left="52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Times New Roman" w:cs="Times New Roman" w:eastAsia="Times New Roman" w:hAnsi="Times New Roman"/>
          <w:sz w:val="18"/>
          <w:szCs w:val="18"/>
          <w:b w:val="1"/>
          <w:bCs w:val="1"/>
          <w:color w:val="auto"/>
        </w:rPr>
        <w:t>$1.39 million</w:t>
      </w:r>
    </w:p>
    <w:p>
      <w:pPr>
        <w:spacing w:after="0" w:line="53"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Times New Roman" w:cs="Times New Roman" w:eastAsia="Times New Roman" w:hAnsi="Times New Roman"/>
          <w:sz w:val="18"/>
          <w:szCs w:val="18"/>
          <w:b w:val="1"/>
          <w:bCs w:val="1"/>
          <w:color w:val="auto"/>
        </w:rPr>
        <w:t>16.39%</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68" w:lineRule="exact"/>
        <w:rPr>
          <w:sz w:val="20"/>
          <w:szCs w:val="20"/>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260" w:hanging="257"/>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hanging="257"/>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1" w:name="page22"/>
    <w:bookmarkEnd w:id="21"/>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2023,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8"/>
          <w:szCs w:val="18"/>
          <w:i w:val="1"/>
          <w:iCs w:val="1"/>
          <w:color w:val="auto"/>
        </w:rPr>
        <w:t>ITEM 1A. 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Structure—We are dependent upon management personnel of the Adviser, Sixth Street, and their affiliates for our future success</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2022. In its consideration of the Investment Advisory Agreement at the time of approval and renewal, the Board focused on information it had received relating to, among other things:</w:t>
      </w:r>
    </w:p>
    <w:p>
      <w:pPr>
        <w:spacing w:after="0" w:line="72" w:lineRule="exact"/>
        <w:rPr>
          <w:sz w:val="20"/>
          <w:szCs w:val="20"/>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financial performance on a standalone basis and against a comparative universe of peers;</w:t>
      </w:r>
    </w:p>
    <w:p>
      <w:pPr>
        <w:spacing w:after="0" w:line="117" w:lineRule="exact"/>
        <w:rPr>
          <w:rFonts w:ascii="Times New Roman" w:cs="Times New Roman" w:eastAsia="Times New Roman" w:hAnsi="Times New Roman"/>
          <w:sz w:val="18"/>
          <w:szCs w:val="18"/>
          <w:color w:val="auto"/>
        </w:rPr>
      </w:pPr>
    </w:p>
    <w:p>
      <w:pPr>
        <w:ind w:left="520" w:right="460" w:hanging="257"/>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 ratio compared to BDCs with similar investment objectives;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and functional capabilities and financial condition of the Adviser and its respective affiliates;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76" w:lineRule="exact"/>
        <w:rPr>
          <w:sz w:val="20"/>
          <w:szCs w:val="20"/>
          <w:color w:val="auto"/>
        </w:rPr>
      </w:pPr>
    </w:p>
    <w:p>
      <w:pPr>
        <w:ind w:right="620" w:firstLine="255"/>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6" w:lineRule="exact"/>
        <w:rPr>
          <w:sz w:val="20"/>
          <w:szCs w:val="20"/>
          <w:color w:val="auto"/>
        </w:rPr>
      </w:pPr>
    </w:p>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See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8"/>
          <w:szCs w:val="18"/>
          <w:i w:val="1"/>
          <w:iCs w:val="1"/>
          <w:color w:val="auto"/>
        </w:rPr>
        <w:t>ITEM 1A. RISK FACTORS—Risks Related to Our Business and Structure—We borrow money, which magnifies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potential for gain or loss and increases the risk of investing in us</w:t>
      </w:r>
      <w:r>
        <w:rPr>
          <w:rFonts w:ascii="Times New Roman" w:cs="Times New Roman" w:eastAsia="Times New Roman" w:hAnsi="Times New Roman"/>
          <w:sz w:val="18"/>
          <w:szCs w:val="18"/>
          <w:color w:val="auto"/>
        </w:rPr>
        <w:t>.” As of December 31, 2022 and 2021, our asset coverage was 188.6% and 205.4%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92"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anticipate any substantial change in the nature of our business.</w:t>
      </w:r>
    </w:p>
    <w:p>
      <w:pPr>
        <w:spacing w:after="0" w:line="22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8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3" w:name="page24"/>
    <w:bookmarkEnd w:id="23"/>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Compliance with regulations has not had a material effect on our capital expenditure, earnings or competitive position.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w:t>
      </w:r>
      <w:r>
        <w:rPr>
          <w:rFonts w:ascii="Times New Roman" w:cs="Times New Roman" w:eastAsia="Times New Roman" w:hAnsi="Times New Roman"/>
          <w:sz w:val="18"/>
          <w:szCs w:val="18"/>
          <w:i w:val="1"/>
          <w:iCs w:val="1"/>
          <w:color w:val="auto"/>
        </w:rPr>
        <w:t>ITEM 1A. RISK FACTORS—Risks Related to Our Business and Structure.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our Affiliates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54" w:lineRule="exact"/>
        <w:rPr>
          <w:sz w:val="20"/>
          <w:szCs w:val="20"/>
          <w:color w:val="auto"/>
        </w:rPr>
      </w:pPr>
    </w:p>
    <w:p>
      <w:pPr>
        <w:ind w:left="520" w:right="180" w:hanging="257"/>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our investment strategies and policies;</w:t>
      </w:r>
    </w:p>
    <w:p>
      <w:pPr>
        <w:spacing w:after="0" w:line="11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Qualifying Assets</w:t>
      </w:r>
    </w:p>
    <w:p>
      <w:pPr>
        <w:spacing w:after="0" w:line="11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ind w:left="520" w:right="420" w:hanging="257"/>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17" w:lineRule="exact"/>
        <w:rPr>
          <w:rFonts w:ascii="Times New Roman" w:cs="Times New Roman" w:eastAsia="Times New Roman" w:hAnsi="Times New Roman"/>
          <w:sz w:val="18"/>
          <w:szCs w:val="18"/>
          <w:color w:val="auto"/>
        </w:rPr>
      </w:pPr>
    </w:p>
    <w:p>
      <w:pPr>
        <w:ind w:left="780" w:right="80" w:hanging="263"/>
        <w:spacing w:after="0" w:line="282" w:lineRule="auto"/>
        <w:tabs>
          <w:tab w:leader="none" w:pos="7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17" w:lineRule="exact"/>
        <w:rPr>
          <w:rFonts w:ascii="Times New Roman" w:cs="Times New Roman" w:eastAsia="Times New Roman" w:hAnsi="Times New Roman"/>
          <w:sz w:val="18"/>
          <w:szCs w:val="18"/>
          <w:color w:val="auto"/>
        </w:rPr>
      </w:pPr>
    </w:p>
    <w:p>
      <w:pPr>
        <w:ind w:left="1280" w:right="640" w:hanging="254"/>
        <w:spacing w:after="0" w:line="282" w:lineRule="auto"/>
        <w:tabs>
          <w:tab w:leader="none" w:pos="12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53" w:lineRule="exact"/>
        <w:rPr>
          <w:rFonts w:ascii="Times New Roman" w:cs="Times New Roman" w:eastAsia="Times New Roman" w:hAnsi="Times New Roman"/>
          <w:sz w:val="18"/>
          <w:szCs w:val="18"/>
          <w:color w:val="auto"/>
        </w:rPr>
      </w:pPr>
    </w:p>
    <w:p>
      <w:pPr>
        <w:ind w:left="1280" w:right="240" w:hanging="254"/>
        <w:spacing w:after="0" w:line="266" w:lineRule="auto"/>
        <w:tabs>
          <w:tab w:leader="none" w:pos="12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6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17" w:lineRule="exact"/>
        <w:rPr>
          <w:rFonts w:ascii="Times New Roman" w:cs="Times New Roman" w:eastAsia="Times New Roman" w:hAnsi="Times New Roman"/>
          <w:sz w:val="18"/>
          <w:szCs w:val="18"/>
          <w:color w:val="auto"/>
        </w:rPr>
      </w:pPr>
    </w:p>
    <w:p>
      <w:pPr>
        <w:ind w:left="520" w:right="320" w:hanging="257"/>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1" w:lineRule="exact"/>
        <w:rPr>
          <w:rFonts w:ascii="Times New Roman" w:cs="Times New Roman" w:eastAsia="Times New Roman" w:hAnsi="Times New Roman"/>
          <w:sz w:val="18"/>
          <w:szCs w:val="18"/>
          <w:color w:val="auto"/>
        </w:rPr>
      </w:pPr>
    </w:p>
    <w:p>
      <w:pPr>
        <w:ind w:left="520" w:right="100" w:hanging="257"/>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520" w:right="220" w:hanging="257"/>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Managerial Assistance to Portfolio Companies</w:t>
      </w:r>
    </w:p>
    <w:p>
      <w:pPr>
        <w:spacing w:after="0" w:line="11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19"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5" w:name="page26"/>
    <w:bookmarkEnd w:id="25"/>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1940 Act imposes limitations on a BDC’s issuance of preferred stock, which is considered a “senior security” and thus is subject to the 150% asset coverage requirement described above.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2022 and 2021, our asset coverage was 188.6% and 205.4%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Policies and Procedures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of 2002</w:t>
      </w:r>
    </w:p>
    <w:p>
      <w:pPr>
        <w:spacing w:after="0" w:line="119"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4" w:lineRule="exact"/>
        <w:rPr>
          <w:sz w:val="20"/>
          <w:szCs w:val="20"/>
          <w:color w:val="auto"/>
        </w:rPr>
      </w:pPr>
    </w:p>
    <w:p>
      <w:pPr>
        <w:ind w:left="520" w:right="740" w:hanging="257"/>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certify the accuracy of the financial statements contained in our periodic reports;</w:t>
      </w:r>
    </w:p>
    <w:p>
      <w:pPr>
        <w:spacing w:after="0" w:line="53" w:lineRule="exact"/>
        <w:rPr>
          <w:rFonts w:ascii="Times New Roman" w:cs="Times New Roman" w:eastAsia="Times New Roman" w:hAnsi="Times New Roman"/>
          <w:sz w:val="18"/>
          <w:szCs w:val="18"/>
          <w:color w:val="auto"/>
        </w:rPr>
      </w:pPr>
    </w:p>
    <w:p>
      <w:pPr>
        <w:ind w:left="520" w:right="680" w:hanging="257"/>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53" w:lineRule="exact"/>
        <w:rPr>
          <w:rFonts w:ascii="Times New Roman" w:cs="Times New Roman" w:eastAsia="Times New Roman" w:hAnsi="Times New Roman"/>
          <w:sz w:val="18"/>
          <w:szCs w:val="18"/>
          <w:color w:val="auto"/>
        </w:rPr>
      </w:pPr>
    </w:p>
    <w:p>
      <w:pPr>
        <w:ind w:left="520" w:right="120" w:hanging="257"/>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NYSE Corporate Governance Rules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NYSE has adopted corporate governance rules that listed companies must comply with. We believe we are in compliance with these rules.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Proxy Voting Policies and Procedures</w:t>
      </w:r>
    </w:p>
    <w:p>
      <w:pPr>
        <w:spacing w:after="0" w:line="119" w:lineRule="exact"/>
        <w:rPr>
          <w:sz w:val="20"/>
          <w:szCs w:val="20"/>
          <w:color w:val="auto"/>
        </w:rPr>
      </w:pPr>
    </w:p>
    <w:p>
      <w:pPr>
        <w:ind w:right="760" w:firstLine="255"/>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Principles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9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Obligations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make available on our website (www.sixthstreetspecialtylending.com) our proxy statements, our annual reports on Form 10-K, quarterly reports on Form 10-Q and our current reports on Form 8-K that we file with the SEC.</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SEC also maintains a website (www.sec.gov) that contains this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Investment Company Classification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17" w:lineRule="exact"/>
        <w:rPr>
          <w:sz w:val="20"/>
          <w:szCs w:val="20"/>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17" w:lineRule="exact"/>
        <w:rPr>
          <w:rFonts w:ascii="Times New Roman" w:cs="Times New Roman" w:eastAsia="Times New Roman" w:hAnsi="Times New Roman"/>
          <w:sz w:val="18"/>
          <w:szCs w:val="18"/>
          <w:color w:val="auto"/>
        </w:rPr>
      </w:pPr>
    </w:p>
    <w:p>
      <w:pPr>
        <w:ind w:left="780" w:right="100" w:hanging="263"/>
        <w:spacing w:after="0" w:line="266" w:lineRule="auto"/>
        <w:tabs>
          <w:tab w:leader="none" w:pos="7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7" w:lineRule="exact"/>
        <w:rPr>
          <w:rFonts w:ascii="Times New Roman" w:cs="Times New Roman" w:eastAsia="Times New Roman" w:hAnsi="Times New Roman"/>
          <w:sz w:val="18"/>
          <w:szCs w:val="18"/>
          <w:color w:val="auto"/>
        </w:rPr>
      </w:pPr>
    </w:p>
    <w:p>
      <w:pPr>
        <w:ind w:left="780" w:right="240" w:hanging="263"/>
        <w:spacing w:after="0" w:line="266" w:lineRule="auto"/>
        <w:tabs>
          <w:tab w:leader="none" w:pos="7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780" w:right="120" w:hanging="263"/>
        <w:spacing w:after="0" w:line="28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2" w:lineRule="exact"/>
        <w:rPr>
          <w:sz w:val="20"/>
          <w:szCs w:val="20"/>
          <w:color w:val="auto"/>
        </w:rPr>
      </w:pPr>
    </w:p>
    <w:p>
      <w:pPr>
        <w:ind w:left="520" w:hanging="257"/>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19"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4% U.S. federal excise tax.</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Investment Advisory Agreement, and we are required to indemnify the Adviser against certain liabilities, which may lead the Adviser to act in a riskier manner.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17"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19" w:lineRule="exact"/>
        <w:rPr>
          <w:sz w:val="20"/>
          <w:szCs w:val="20"/>
          <w:color w:val="auto"/>
        </w:rPr>
      </w:pPr>
    </w:p>
    <w:p>
      <w:pPr>
        <w:ind w:left="760" w:right="6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53"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19"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17"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w:t>
      </w:r>
    </w:p>
    <w:p>
      <w:pPr>
        <w:spacing w:after="0" w:line="117" w:lineRule="exact"/>
        <w:rPr>
          <w:rFonts w:ascii="Times New Roman" w:cs="Times New Roman" w:eastAsia="Times New Roman" w:hAnsi="Times New Roman"/>
          <w:sz w:val="18"/>
          <w:szCs w:val="18"/>
          <w:color w:val="auto"/>
        </w:rPr>
      </w:pPr>
    </w:p>
    <w:p>
      <w:pPr>
        <w:ind w:left="76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loss if any of these companies defaults on its obligations under any of its debt instruments or if there is a downturn in a particular industry.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5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17"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53" w:lineRule="exact"/>
        <w:rPr>
          <w:rFonts w:ascii="Times New Roman" w:cs="Times New Roman" w:eastAsia="Times New Roman" w:hAnsi="Times New Roman"/>
          <w:sz w:val="18"/>
          <w:szCs w:val="18"/>
          <w:color w:val="auto"/>
        </w:rPr>
      </w:pPr>
    </w:p>
    <w:p>
      <w:pPr>
        <w:ind w:left="760" w:right="154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53" w:lineRule="exact"/>
        <w:rPr>
          <w:rFonts w:ascii="Times New Roman" w:cs="Times New Roman" w:eastAsia="Times New Roman" w:hAnsi="Times New Roman"/>
          <w:sz w:val="18"/>
          <w:szCs w:val="18"/>
          <w:color w:val="auto"/>
        </w:rPr>
      </w:pPr>
    </w:p>
    <w:p>
      <w:pPr>
        <w:ind w:left="760" w:right="120" w:hanging="378"/>
        <w:spacing w:after="0" w:line="289"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19"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 and the market price of our common stock may fluctuate significantly and could decline.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19" w:lineRule="exact"/>
        <w:rPr>
          <w:sz w:val="20"/>
          <w:szCs w:val="20"/>
          <w:color w:val="auto"/>
        </w:rPr>
      </w:pPr>
    </w:p>
    <w:p>
      <w:pPr>
        <w:ind w:left="760" w:right="30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3"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w:t>
      </w:r>
      <w:r>
        <w:rPr>
          <w:rFonts w:ascii="Times New Roman" w:cs="Times New Roman" w:eastAsia="Times New Roman" w:hAnsi="Times New Roman"/>
          <w:sz w:val="18"/>
          <w:szCs w:val="18"/>
          <w:i w:val="1"/>
          <w:iCs w:val="1"/>
          <w:color w:val="auto"/>
        </w:rPr>
        <w:t>ITEM 1. BUSINESS—Regulation as a Business Development Company</w:t>
      </w:r>
      <w:r>
        <w:rPr>
          <w:rFonts w:ascii="Times New Roman" w:cs="Times New Roman" w:eastAsia="Times New Roman" w:hAnsi="Times New Roman"/>
          <w:sz w:val="18"/>
          <w:szCs w:val="18"/>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92"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2" w:name="page33"/>
    <w:bookmarkEnd w:id="32"/>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9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7"/>
          <w:szCs w:val="17"/>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7"/>
          <w:szCs w:val="17"/>
          <w:i w:val="1"/>
          <w:iCs w:val="1"/>
          <w:color w:val="auto"/>
        </w:rPr>
        <w:t>—Risks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Our Portfolio Company Investments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We may securitize certain of our investments, which may subject us to certain structured financing risks</w:t>
      </w:r>
      <w:r>
        <w:rPr>
          <w:rFonts w:ascii="Times New Roman" w:cs="Times New Roman" w:eastAsia="Times New Roman" w:hAnsi="Times New Roman"/>
          <w:sz w:val="17"/>
          <w:szCs w:val="17"/>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Structure—Even in the event the value of your investment declines, the Management Fee and, in certain circumstances, the Incentive Fee will still be payable to the Adviser</w:t>
      </w:r>
      <w:r>
        <w:rPr>
          <w:rFonts w:ascii="Times New Roman" w:cs="Times New Roman" w:eastAsia="Times New Roman" w:hAnsi="Times New Roman"/>
          <w:sz w:val="18"/>
          <w:szCs w:val="18"/>
          <w:color w:val="auto"/>
        </w:rPr>
        <w:t>.” The amount of leverage that we employ will depend on our Adviser’s and our Board’s assessment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other factors at the time of any proposed borrowing. We cannot assure you that we will be able to obtain credit at all or on terms acceptable to us.</w:t>
      </w:r>
    </w:p>
    <w:p>
      <w:pPr>
        <w:spacing w:after="0" w:line="19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2022, we had $1,516.8 million principal amount of outstanding indebtedness, which had an annualized interest cost of 3.9% under the terms of our debt, excluding fees (such as fees on undrawn amounts and amortization of upfront fees) and giving effect to the swap-adjusted interest rates on our 2023 Notes, 2024 Notes and 2026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2022, as adjusted to give effect to the interest rate swaps, the interest rate on the 2023 Notes was three-month LIBOR plus 1.99%, the interest rate on the 2024 Notes was three-month LIBOR plus 2.28% (on a weighted-average basis), and the interest rate on the 2026 Notes was three-month LIBOR plus 1.91%.</w:t>
      </w:r>
    </w:p>
    <w:p>
      <w:pPr>
        <w:spacing w:after="0" w:line="176"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2.1%.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Leverage Based on Actual Amount of Borrowings Incurred by us as of December 31, 2022</w:t>
      </w:r>
    </w:p>
    <w:p>
      <w:pPr>
        <w:spacing w:after="0" w:line="221"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jc w:val="center"/>
        <w:ind w:left="5100"/>
        <w:spacing w:after="0" w:line="215" w:lineRule="auto"/>
        <w:rPr>
          <w:sz w:val="20"/>
          <w:szCs w:val="20"/>
          <w:color w:val="auto"/>
        </w:rPr>
      </w:pPr>
      <w:r>
        <w:rPr>
          <w:rFonts w:ascii="Times New Roman" w:cs="Times New Roman" w:eastAsia="Times New Roman" w:hAnsi="Times New Roman"/>
          <w:sz w:val="14"/>
          <w:szCs w:val="14"/>
          <w:b w:val="1"/>
          <w:bCs w:val="1"/>
          <w:color w:val="auto"/>
        </w:rPr>
        <w:t xml:space="preserve">(net of expenses) </w:t>
      </w:r>
      <w:r>
        <w:rPr>
          <w:rFonts w:ascii="Times New Roman" w:cs="Times New Roman" w:eastAsia="Times New Roman" w:hAnsi="Times New Roman"/>
          <w:sz w:val="19"/>
          <w:szCs w:val="19"/>
          <w:b w:val="1"/>
          <w:bCs w:val="1"/>
          <w:color w:val="auto"/>
          <w:vertAlign w:val="superscript"/>
        </w:rPr>
        <w:t>(1)</w:t>
      </w:r>
    </w:p>
    <w:tbl>
      <w:tblPr>
        <w:tblLayout w:type="fixed"/>
        <w:tblInd w:w="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-10%</w:t>
            </w:r>
          </w:p>
        </w:tc>
        <w:tc>
          <w:tcPr>
            <w:tcW w:w="12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-5%</w:t>
            </w: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0%</w:t>
            </w: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5%</w:t>
            </w:r>
          </w:p>
        </w:tc>
        <w:tc>
          <w:tcPr>
            <w:tcW w:w="12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237"/>
        </w:trPr>
        <w:tc>
          <w:tcPr>
            <w:tcW w:w="51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Corresponding return to stockholder </w:t>
            </w:r>
            <w:r>
              <w:rPr>
                <w:rFonts w:ascii="Times New Roman" w:cs="Times New Roman" w:eastAsia="Times New Roman" w:hAnsi="Times New Roman"/>
                <w:sz w:val="24"/>
                <w:szCs w:val="24"/>
                <w:color w:val="auto"/>
                <w:vertAlign w:val="superscript"/>
              </w:rPr>
              <w:t>(2)</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16.7%</w:t>
            </w:r>
          </w:p>
        </w:tc>
      </w:tr>
    </w:tbl>
    <w:p>
      <w:pPr>
        <w:spacing w:after="0" w:line="198" w:lineRule="exact"/>
        <w:rPr>
          <w:sz w:val="20"/>
          <w:szCs w:val="20"/>
          <w:color w:val="auto"/>
        </w:rPr>
      </w:pPr>
    </w:p>
    <w:p>
      <w:pPr>
        <w:ind w:left="520" w:right="120" w:hanging="512"/>
        <w:spacing w:after="0" w:line="257"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2022. As a result, it has not been updated to take into account any changes in assets or leverage since December 31, 2022.</w:t>
      </w:r>
    </w:p>
    <w:p>
      <w:pPr>
        <w:spacing w:after="0" w:line="1"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stockholder,” the “Assumed Return on Our Portfolio” is multiplied by the total value of our assets at December 31, 2022 to obtain an assumed return to us. From this amount, the interest expense (calculated by multiplying the weighted average stated interest rate of 3.91% by the approximately $1,516.8 million of principal debt outstanding) is subtracted to determine the return available to stockholders. The return available to stockholders is then divided by the total value of our net assets as of December 31, 2022 to determine the “Corresponding return to stockholder.”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0" w:lineRule="exact"/>
        <w:rPr>
          <w:sz w:val="20"/>
          <w:szCs w:val="20"/>
          <w:color w:val="auto"/>
        </w:rPr>
      </w:pPr>
    </w:p>
    <w:p>
      <w:pPr>
        <w:jc w:val="both"/>
        <w:ind w:right="160" w:firstLine="255"/>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6" w:lineRule="exact"/>
        <w:rPr>
          <w:sz w:val="20"/>
          <w:szCs w:val="20"/>
          <w:color w:val="auto"/>
        </w:rPr>
      </w:pPr>
    </w:p>
    <w:p>
      <w:pPr>
        <w:jc w:val="both"/>
        <w:ind w:right="140" w:firstLine="255"/>
        <w:spacing w:after="0" w:line="262" w:lineRule="auto"/>
        <w:rPr>
          <w:sz w:val="20"/>
          <w:szCs w:val="20"/>
          <w:color w:val="auto"/>
        </w:rPr>
      </w:pPr>
      <w:r>
        <w:rPr>
          <w:rFonts w:ascii="Times New Roman" w:cs="Times New Roman" w:eastAsia="Times New Roman" w:hAnsi="Times New Roman"/>
          <w:sz w:val="18"/>
          <w:szCs w:val="18"/>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Any impact on returns or equity or our business associated with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may not outweigh the additional risk.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 borrow money, which magnifies the potential for gain or loss and increases the risk of investing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us.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jc w:val="both"/>
        <w:ind w:right="60" w:firstLine="255"/>
        <w:spacing w:after="0" w:line="272" w:lineRule="auto"/>
        <w:rPr>
          <w:sz w:val="20"/>
          <w:szCs w:val="20"/>
          <w:color w:val="auto"/>
        </w:rPr>
      </w:pPr>
      <w:r>
        <w:rPr>
          <w:rFonts w:ascii="Times New Roman" w:cs="Times New Roman" w:eastAsia="Times New Roman" w:hAnsi="Times New Roman"/>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w:t>
      </w:r>
    </w:p>
    <w:p>
      <w:pPr>
        <w:spacing w:after="0" w:line="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8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jc w:val="both"/>
        <w:ind w:right="20" w:firstLine="255"/>
        <w:spacing w:after="0" w:line="281" w:lineRule="auto"/>
        <w:rPr>
          <w:sz w:val="20"/>
          <w:szCs w:val="20"/>
          <w:color w:val="auto"/>
        </w:rPr>
      </w:pPr>
      <w:r>
        <w:rPr>
          <w:rFonts w:ascii="Times New Roman" w:cs="Times New Roman" w:eastAsia="Times New Roman" w:hAnsi="Times New Roman"/>
          <w:sz w:val="17"/>
          <w:szCs w:val="17"/>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56" w:lineRule="exact"/>
        <w:rPr>
          <w:sz w:val="20"/>
          <w:szCs w:val="20"/>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17" w:lineRule="exact"/>
        <w:rPr>
          <w:rFonts w:ascii="Times New Roman" w:cs="Times New Roman" w:eastAsia="Times New Roman" w:hAnsi="Times New Roman"/>
          <w:sz w:val="18"/>
          <w:szCs w:val="18"/>
          <w:color w:val="auto"/>
        </w:rPr>
      </w:pPr>
    </w:p>
    <w:p>
      <w:pPr>
        <w:ind w:left="520" w:right="660" w:hanging="257"/>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2" w:lineRule="exact"/>
        <w:rPr>
          <w:sz w:val="20"/>
          <w:szCs w:val="20"/>
          <w:color w:val="auto"/>
        </w:rPr>
      </w:pPr>
    </w:p>
    <w:p>
      <w:pPr>
        <w:ind w:left="520" w:right="180" w:hanging="257"/>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53" w:lineRule="exact"/>
        <w:rPr>
          <w:rFonts w:ascii="Times New Roman" w:cs="Times New Roman" w:eastAsia="Times New Roman" w:hAnsi="Times New Roman"/>
          <w:sz w:val="18"/>
          <w:szCs w:val="18"/>
          <w:color w:val="auto"/>
        </w:rPr>
      </w:pPr>
    </w:p>
    <w:p>
      <w:pPr>
        <w:ind w:left="520" w:right="240" w:hanging="257"/>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2022 and 2021, we elected to retain approximately $63 million and $32 million of taxable income and capital gains, respectively, in order to provide us with additional liquidity and we recorded an expense of $2.2 million and $0.7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8"/>
          <w:szCs w:val="18"/>
          <w:i w:val="1"/>
          <w:iCs w:val="1"/>
          <w:color w:val="auto"/>
        </w:rPr>
        <w:t>ITEM 1. BUSINESS—Regulation as a Business Development Company—Regulated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for more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SOFR,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such as U.S. dollar LIBOR. The use of SOFR is relatively new, and there could be unanticipated difficulties or disruptions with the calculation and publication of SOFR. Additionally, any successor rate to SOFR under our revolving credit facility may not have the same characteristics as SOFR or LIBOR. As a result, the amount of interest we may pay on our revolving credit facility is difficult to predict.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ind w:right="40"/>
        <w:spacing w:after="0" w:line="256" w:lineRule="auto"/>
        <w:rPr>
          <w:sz w:val="20"/>
          <w:szCs w:val="20"/>
          <w:color w:val="auto"/>
        </w:rPr>
      </w:pPr>
      <w:r>
        <w:rPr>
          <w:rFonts w:ascii="Times New Roman" w:cs="Times New Roman" w:eastAsia="Times New Roman" w:hAnsi="Times New Roman"/>
          <w:sz w:val="18"/>
          <w:szCs w:val="18"/>
          <w:color w:val="auto"/>
        </w:rPr>
        <w:t>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87"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189"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cannot assure you when or whether we will apply for any other exemptive relief in the future and whether such orders will be obtained.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229"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9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40"/>
        <w:spacing w:after="0" w:line="258" w:lineRule="auto"/>
        <w:rPr>
          <w:sz w:val="20"/>
          <w:szCs w:val="20"/>
          <w:color w:val="auto"/>
        </w:rPr>
      </w:pPr>
      <w:r>
        <w:rPr>
          <w:rFonts w:ascii="Times New Roman" w:cs="Times New Roman" w:eastAsia="Times New Roman" w:hAnsi="Times New Roman"/>
          <w:sz w:val="18"/>
          <w:szCs w:val="18"/>
          <w:color w:val="auto"/>
        </w:rPr>
        <w:t>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179" w:lineRule="exact"/>
        <w:rPr>
          <w:sz w:val="20"/>
          <w:szCs w:val="20"/>
          <w:color w:val="auto"/>
        </w:rPr>
      </w:pPr>
    </w:p>
    <w:p>
      <w:pPr>
        <w:ind w:right="46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67"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8"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failure to comply with the requirements imposed on BDCs by the 1940 Act could cause the SEC to bring an enforcement action against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2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right="440" w:firstLine="255"/>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7"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w:t>
      </w:r>
    </w:p>
    <w:p>
      <w:pPr>
        <w:spacing w:after="0" w:line="12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32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our indebtedness that extend beyond 2023 might be subject to change based on recent regulatory changes.</w:t>
      </w:r>
    </w:p>
    <w:p>
      <w:pPr>
        <w:spacing w:after="0" w:line="5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LIBOR, the London Interbank Offered Rate, is the basic rate of interest used in lending transactions between banks on the London interbank market and has been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in U.S. dollars also currently bear interest at LIBOR plus a margin, and obligations under interest rate swaps we enter into are referenced to LIBOR.</w:t>
      </w:r>
    </w:p>
    <w:p>
      <w:pPr>
        <w:spacing w:after="0" w:line="187"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(“FCA”), which regulates LIBOR, announced that it intends to phase out LIBOR by the end of 2021. As of January 1, 2022, consistent with FCA’s prior announcement, British pound, euro, Swiss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ind w:right="40"/>
        <w:spacing w:after="0" w:line="258" w:lineRule="auto"/>
        <w:rPr>
          <w:sz w:val="20"/>
          <w:szCs w:val="20"/>
          <w:color w:val="auto"/>
        </w:rPr>
      </w:pPr>
      <w:r>
        <w:rPr>
          <w:rFonts w:ascii="Times New Roman" w:cs="Times New Roman" w:eastAsia="Times New Roman" w:hAnsi="Times New Roman"/>
          <w:sz w:val="18"/>
          <w:szCs w:val="18"/>
          <w:color w:val="auto"/>
        </w:rPr>
        <w:t>franc and Japanese yen settings and the one-week and two-month U.S. dollar LIBOR settings are no longer available. Until March 31, 2023, one-month and six-month British pound settings will continue publication on a changed methodology (i.e., “synthetic”) basis, but these synthetic rates may only be used in legacy LIBOR contracts, other than cleared derivatives, that have not been changed at or ahead of the end of 2021. At the end of 2022, FCA ceased publication of synthetic Japanese yen LIBOR. The remaining U.S. dollar LIBOR settings will permanently cease immediately after June 30, 2023, though FCA has proposed to require the 1-, 3- and 6-month US dollar LIBOR settings to be published on a synthetic basis until September 30, 2024.</w:t>
      </w:r>
    </w:p>
    <w:p>
      <w:pPr>
        <w:spacing w:after="0" w:line="18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On December 16, 2022, the U.S. Federal Reserve adopted a final rule pursuant to Adjustable Interest Rate (LIBOR) Act of 2021 (LIBOR Act) that will replace US dollar LIBOR with a new index calculated by short term repurchase agreements, backed by Treasury securities called the Secured Overnight Financing Rate (“SOFR”) in certain financial contracts after June 30, 2023. However, the scope of LIBOR Act is limited and it is unclear whether SOFR will attain market traction as a LIBOR replacement beyond the extent required by LIBOR Act and the implementing regulation. Because of this uncertainty, we cannot reasonably estimate the expected impact of a transition away from LIBOR to our business.</w:t>
      </w:r>
    </w:p>
    <w:p>
      <w:pPr>
        <w:spacing w:after="0" w:line="183"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Further, on October 23, 2020, the International Swap and Derivatives Association (“ISDA”) launched (i) Supplement number 70 to the 2006 ISDA Definitions (“IBOR Supplement”) and (ii) the ISDA 2020 IBOR Fallbacks Protocol (“IBOR Protocol”). The IBOR Supplement is intended to enhance the robustness of derivatives contracts traded on or after January 25, 2021 by addressing the risk that some interbank offered rates (“IBORs”) are permanently discontinued or, in the case of LIBOR, cease to be representative, by applying fallbacks to specified alternative references rates upon such a trigger. The IBOR Protocol permits adhering parties to amend in-scope transactions entered into prior to January 25, 2021 on similar terms. On September 8, 2022, ISDA published guidance on the interaction between risk-free rate publications, IBOR Fallback publications, and the ISDA Definitions. These documents are a critical element to industry efforts to facilitate the derivatives markets’ transition away from LIBOR and other IBORs.</w:t>
      </w:r>
    </w:p>
    <w:p>
      <w:pPr>
        <w:spacing w:after="0" w:line="18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When LIBOR ceases to exist or degrades to the degree that it is no longer representative of the underlying market, we may need to renegotiate the credit agreements extending beyond 2023 with our portfolio companies that utilize LIBOR as a factor in determining the interest rate, in order to replace LIBOR with the new standard that is established, which may have an adverse effect on our ability to receive attractive returns. In addition, when LIBOR ceases to exist or degrades to the degree that it is no longer representative of the underlying market, we may need to renegotiate certain terms of our Revolving Credit Facility to replace LIBOR with new standards that are established in its place. If we are unable to do so, amounts drawn under the Revolving Credit Facility may bear interest at a higher rate, which would increase the cost of our borrowings and, in turn, affect our return on capital. In December 2021, we entered into an amendment to our Revolving Credit Facility to reflect alternative reference rates based on the Sterling Overnight Index Average for Sterling loans, the Swiss Average Rate Overnight for Swiss Franc loans, the Tokyo Interbank Offered Rate for Japanese Yen loans and the Euro Interbank Offered Rate for Euro loans. When LIBOR ceases to exist or degrades to the degree that it is no longer representative of the underlying market, we will also have to renegotiate the terms of any outstanding interest rate swaps.</w:t>
      </w:r>
    </w:p>
    <w:p>
      <w:pPr>
        <w:spacing w:after="0" w:line="194" w:lineRule="exact"/>
        <w:rPr>
          <w:sz w:val="20"/>
          <w:szCs w:val="20"/>
          <w:color w:val="auto"/>
        </w:rPr>
      </w:pPr>
    </w:p>
    <w:p>
      <w:pPr>
        <w:ind w:right="80" w:firstLine="255"/>
        <w:spacing w:after="0" w:line="272" w:lineRule="auto"/>
        <w:rPr>
          <w:sz w:val="20"/>
          <w:szCs w:val="20"/>
          <w:color w:val="auto"/>
        </w:rPr>
      </w:pPr>
      <w:r>
        <w:rPr>
          <w:rFonts w:ascii="Times New Roman" w:cs="Times New Roman" w:eastAsia="Times New Roman" w:hAnsi="Times New Roman"/>
          <w:sz w:val="17"/>
          <w:szCs w:val="17"/>
          <w:color w:val="auto"/>
        </w:rPr>
        <w:t>A significant majority of our investments have historically had interest rates with a LIBOR reference. As a result, the transition away from LIBOR could adversely impact us. Even if replacement conventions (e.g., SOFR) are adopted in the lending and bond markets, it is uncertain whether they might affect us as an investor in floating-rate instruments, including by: (a) affecting liquidity of our investments in the secondary market and their market value;</w:t>
      </w:r>
    </w:p>
    <w:p>
      <w:pPr>
        <w:spacing w:after="0" w:line="2" w:lineRule="exact"/>
        <w:rPr>
          <w:sz w:val="20"/>
          <w:szCs w:val="20"/>
          <w:color w:val="auto"/>
        </w:rPr>
      </w:pPr>
    </w:p>
    <w:p>
      <w:pPr>
        <w:ind w:right="140" w:firstLine="8"/>
        <w:spacing w:after="0" w:line="252"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interest rate earned by the Fund as a holder of such Investments (either generally or in certain market cycles) due to the use of a collateralized, overnight rate and credit spread adjustments instead of an unsecured, term rate; or (c) causing us to incur expenses to manage the transition away from LIBOR. Also, while it is common for recently issued instruments to contemplate a scenario where LIBOR is no longer available by providing for an alternative rate setting methodology and mechanisms to amend the applicable reference rate, not all instruments have such provisions and there are significant uncertainties regarding the effectiveness of any such alternative methodologies. As such, we may need to renegotiate the terms of credit agreements with certain issuers of investments that utilize LIBOR in order to replace it with the new standard convention that is established, which could result in increased costs for us.</w:t>
      </w:r>
    </w:p>
    <w:p>
      <w:pPr>
        <w:spacing w:after="0" w:line="188"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We may also enter into swaps and similar instruments that reference LIBOR, including swaps used to manage long-term interest rate risk related to assets and/or liabilities. In addition to us potentially needing to renegotiate some of those instruments to address a transition away from LIBOR, there also may be different conventions that arise in different but related market segments, which could result in mismatches between different assets and liabilities and, in turn, in possible unexpected gains and/or losses for us. In addition and as further described above, SOFR and other replacement rates are conceptually different than LIBOR, in that they are overnight, secured rates instead of unsecured, term rates, which could behave differently from LIBOR in ways that cause the Fund to owe greater payments or receive less payments under its derivatives, at least during certain market cycles. Some of these replacement rates may also be subject to compounding or similar adjustments that cause the amount of any payment referencing a replacement rate not to be determined until the end of the relevant calculation period, rather than at the beginning, which could lead to administrative challenges for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and the Inflation Reduction Act may adversely affect our business.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Recent changes to U.S. tax laws, including the Tax Cuts and Jobs Act enacted on December 22, 2017 (“Tax Reform”), the Coronavirus Aid, Relief, and Economic Security Act enacted on March 27, 2020 (the “CARES Act”) and the Inflation Reduction Act,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t>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 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51"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COVID-19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middle-market loans and the businesses of our portfolio companies in particular, this outbreak has resulted in, and is likely to continue to result in significant disruption to the businesses of many middle-market loan borrowers including supply chains, demand and practical aspects of their operations, as well as in lay-offs of employees and liquidity issues. We cannot predict when, or if, the impacts of the COVID-19 pandemic may lessen, including whether new variants will emerge and how severe they will be.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This outbreak and its effects are having, and the effects of any future outbreaks could have, an adverse impact on our portfolio companies and us and on the markets and the economy in general, and that impact could be material.</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effects of the COVID-19 pandemic may heighten the other risk factors described in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22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in recent years, on account of, but not solely owing to the spread of COVID-19 in the United States and globally, the large-scale invasion of Ukraine by Russia that began in February 2022 and related responses and the monetary policies of the Federal Reserve. Disruptions in the capital markets have increased the spread between the yields realized on risk-free and higher risk securities, resulting in illiquidity in parts of the capital markets.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121"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large-scale invasion of Ukraine by Russia that began in February 2022 and related responses, has led to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86"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5" w:lineRule="exact"/>
        <w:rPr>
          <w:sz w:val="20"/>
          <w:szCs w:val="20"/>
          <w:color w:val="auto"/>
        </w:rPr>
      </w:pPr>
    </w:p>
    <w:p>
      <w:pPr>
        <w:ind w:left="520" w:hanging="257"/>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Following recent heightened inflation, the Federal Reserve raised the target rate seven times in 2022, raising the fed funds rate by about three percentage points in six month period. In 2023, it is possible that the Federal Reserve will raise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9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As a result of the 2022 U.S. election, the Democratic Party currently controls the executive branch of government and the Senate, while the Republican Party controls the House. The divided U.S. Congress makes passage of legislation that could significantly affect the regulation of U.S. financial markets less likely. Despite the reduced likelihood of congressional action with respect to financial services, areas subject to potential change or amendment include the Wall Street Reform and Consumer Protection Act, or the Dodd-Frank Act, and the authority of the Federal Reserve and the Financial Stability Oversight Council. Additionally, under the divided control of the Congress, the likelihood of a failure to increase the debt ceiling and a default by the federal government is increased.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8" w:lineRule="exact"/>
        <w:rPr>
          <w:sz w:val="20"/>
          <w:szCs w:val="20"/>
          <w:color w:val="auto"/>
        </w:rPr>
      </w:pPr>
    </w:p>
    <w:p>
      <w:pPr>
        <w:jc w:val="both"/>
        <w:ind w:right="20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19" w:lineRule="exact"/>
        <w:rPr>
          <w:sz w:val="20"/>
          <w:szCs w:val="20"/>
          <w:color w:val="auto"/>
        </w:rPr>
      </w:pPr>
    </w:p>
    <w:p>
      <w:pPr>
        <w:ind w:left="520" w:right="300" w:hanging="257"/>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7" w:lineRule="exact"/>
        <w:rPr>
          <w:rFonts w:ascii="Times New Roman" w:cs="Times New Roman" w:eastAsia="Times New Roman" w:hAnsi="Times New Roman"/>
          <w:sz w:val="18"/>
          <w:szCs w:val="18"/>
          <w:color w:val="auto"/>
        </w:rPr>
      </w:pPr>
    </w:p>
    <w:p>
      <w:pPr>
        <w:ind w:left="520" w:right="260" w:hanging="257"/>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ind w:left="520" w:right="120" w:hanging="257"/>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17" w:lineRule="exact"/>
        <w:rPr>
          <w:sz w:val="20"/>
          <w:szCs w:val="20"/>
          <w:color w:val="auto"/>
        </w:rPr>
      </w:pPr>
    </w:p>
    <w:p>
      <w:pPr>
        <w:ind w:left="520" w:right="80" w:hanging="257"/>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3" w:lineRule="exact"/>
        <w:rPr>
          <w:rFonts w:ascii="Times New Roman" w:cs="Times New Roman" w:eastAsia="Times New Roman" w:hAnsi="Times New Roman"/>
          <w:sz w:val="18"/>
          <w:szCs w:val="18"/>
          <w:color w:val="auto"/>
        </w:rPr>
      </w:pPr>
    </w:p>
    <w:p>
      <w:pPr>
        <w:jc w:val="both"/>
        <w:ind w:left="520" w:right="40" w:hanging="257"/>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67" w:lineRule="exact"/>
        <w:rPr>
          <w:rFonts w:ascii="Times New Roman" w:cs="Times New Roman" w:eastAsia="Times New Roman" w:hAnsi="Times New Roman"/>
          <w:sz w:val="18"/>
          <w:szCs w:val="18"/>
          <w:color w:val="auto"/>
        </w:rPr>
      </w:pPr>
    </w:p>
    <w:p>
      <w:pPr>
        <w:ind w:left="520" w:right="160" w:hanging="257"/>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3" w:lineRule="exact"/>
        <w:rPr>
          <w:rFonts w:ascii="Times New Roman" w:cs="Times New Roman" w:eastAsia="Times New Roman" w:hAnsi="Times New Roman"/>
          <w:sz w:val="18"/>
          <w:szCs w:val="18"/>
          <w:color w:val="auto"/>
        </w:rPr>
      </w:pPr>
    </w:p>
    <w:p>
      <w:pPr>
        <w:ind w:left="520" w:right="760" w:hanging="257"/>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53"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3"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8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right="260" w:firstLine="255"/>
        <w:spacing w:after="0" w:line="289" w:lineRule="auto"/>
        <w:rPr>
          <w:sz w:val="20"/>
          <w:szCs w:val="20"/>
          <w:color w:val="auto"/>
        </w:rPr>
      </w:pPr>
      <w:r>
        <w:rPr>
          <w:rFonts w:ascii="Times New Roman" w:cs="Times New Roman" w:eastAsia="Times New Roman" w:hAnsi="Times New Roman"/>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5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jc w:val="center"/>
        <w:ind w:right="36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 – Regulation as a Business Development Company.”</w:t>
      </w:r>
    </w:p>
    <w:p>
      <w:pPr>
        <w:spacing w:after="0" w:line="2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51"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3"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17" w:lineRule="exact"/>
        <w:rPr>
          <w:sz w:val="20"/>
          <w:szCs w:val="20"/>
          <w:color w:val="auto"/>
        </w:rPr>
      </w:pPr>
    </w:p>
    <w:p>
      <w:pPr>
        <w:ind w:left="520" w:hanging="257"/>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9" w:name="page50"/>
    <w:bookmarkEnd w:id="49"/>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9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3"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firstLine="255"/>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as well as Russia’s invasion of Ukraine, among other current events, could have negative impacts on the economies of countries in Europe and elsewhere. In addition, interest income derived from loans to foreign companies is not eligible to be distributed to our non-U.S. stockholders free from withholding taxes.</w:t>
      </w:r>
    </w:p>
    <w:p>
      <w:pPr>
        <w:spacing w:after="0" w:line="192"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7"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2023 Notes, 2024 Notes and 2026 Notes which bear interest at fixed rates, we entered into fixed-to-floating interest rate swaps to align the interest rates of our liabilities with our investment portfolio, which consists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ind w:right="60"/>
        <w:spacing w:after="0" w:line="261" w:lineRule="auto"/>
        <w:rPr>
          <w:sz w:val="20"/>
          <w:szCs w:val="20"/>
          <w:color w:val="auto"/>
        </w:rPr>
      </w:pPr>
      <w:r>
        <w:rPr>
          <w:rFonts w:ascii="Times New Roman" w:cs="Times New Roman" w:eastAsia="Times New Roman" w:hAnsi="Times New Roman"/>
          <w:sz w:val="18"/>
          <w:szCs w:val="18"/>
          <w:color w:val="auto"/>
        </w:rPr>
        <w:t>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0"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Company Investments—The new market structure applicable to derivatives imposed by the Dodd-Frank Act may affect our ability to use over-the-counter (“OTC”) derivatives for hedging purposes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—Risks Related to Our Portfolio Company Investments—We are exposed to risks associated with changes in interest rates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MANAGEMENT’S DISCUSSION AND ANALYSIS OF FINANCIAL CONDITION AND RESULTS OF OPERATIONS—Results of Operations—Hedging</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market structure applicable to derivatives imposed by the Dodd-Frank Act may affect our ability to use over-the-counter (“OTC”) derivatives for hedging purposes.</w:t>
      </w:r>
    </w:p>
    <w:p>
      <w:pPr>
        <w:spacing w:after="0" w:line="51"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6"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2023 Notes, 2024 Notes and 2026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2"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-768350</wp:posOffset>
            </wp:positionV>
            <wp:extent cx="28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4" w:lineRule="exact"/>
        <w:rPr>
          <w:sz w:val="20"/>
          <w:szCs w:val="20"/>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as a Business Development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for more information.</w:t>
      </w:r>
    </w:p>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6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not deductible by individuals, trusts or estates for taxable years beginning after December 31, 2017 and before January 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jc w:val="both"/>
        <w:ind w:right="360" w:firstLine="255"/>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3" w:name="page54"/>
    <w:bookmarkEnd w:id="53"/>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80"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 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jc w:val="both"/>
        <w:ind w:right="80" w:firstLine="255"/>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3" w:lineRule="exact"/>
        <w:rPr>
          <w:sz w:val="20"/>
          <w:szCs w:val="20"/>
          <w:color w:val="auto"/>
        </w:rPr>
      </w:pPr>
    </w:p>
    <w:p>
      <w:pPr>
        <w:ind w:right="780" w:firstLine="255"/>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4" w:lineRule="exact"/>
        <w:rPr>
          <w:sz w:val="20"/>
          <w:szCs w:val="20"/>
          <w:color w:val="auto"/>
        </w:rPr>
      </w:pPr>
    </w:p>
    <w:p>
      <w:pPr>
        <w:ind w:left="520" w:right="40" w:hanging="257"/>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U.S. and global tariffs and trade policy;</w:t>
      </w:r>
    </w:p>
    <w:p>
      <w:pPr>
        <w:spacing w:after="0" w:line="117" w:lineRule="exact"/>
        <w:rPr>
          <w:rFonts w:ascii="Times New Roman" w:cs="Times New Roman" w:eastAsia="Times New Roman" w:hAnsi="Times New Roman"/>
          <w:sz w:val="18"/>
          <w:szCs w:val="18"/>
          <w:color w:val="auto"/>
        </w:rPr>
      </w:pPr>
    </w:p>
    <w:p>
      <w:pPr>
        <w:ind w:left="520" w:right="3020" w:hanging="257"/>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large-scale invasion of Ukraine by Russia that began in February 2022, related sanctions and other potential retaliatory actions or responses;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SOFR, EURIBOR, SONIA, the Federal Funds Rate or the Prime Rate;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the global economy, such as the COVID-19 pandemic and its worldwide impact;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8"/>
          <w:szCs w:val="18"/>
          <w:i w:val="1"/>
          <w:iCs w:val="1"/>
          <w:color w:val="auto"/>
        </w:rPr>
        <w:t>“—Risks Related to Our Business and Structure—Regulations governing our operation as a BDC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and the way in which we, raise additional capital.”</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jc w:val="both"/>
        <w:ind w:right="160" w:firstLine="255"/>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w:t>
      </w:r>
    </w:p>
    <w:p>
      <w:pPr>
        <w:spacing w:after="0" w:line="18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2023.</w:t>
      </w:r>
    </w:p>
    <w:p>
      <w:pPr>
        <w:spacing w:after="0" w:line="176"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10b5-1 Plan, the agent will increase the volume of purchases made as the price of our common stock declines, subject to volume restrictions.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76"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81" w:lineRule="exact"/>
        <w:rPr>
          <w:sz w:val="20"/>
          <w:szCs w:val="20"/>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wars or terrorist acts;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17"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22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92"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adversely affect our business and impact the operations of our portfolio companies.</w:t>
      </w:r>
    </w:p>
    <w:p>
      <w:pPr>
        <w:spacing w:after="0" w:line="22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maintain our principal executive office at 2100 McKinney Avenue, Suite 1500, Dallas, Texas 75201. We do not own any real estate.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7" w:right="439" w:bottom="1440" w:gutter="0" w:footer="0" w:header="0"/>
        </w:sectPr>
      </w:pPr>
    </w:p>
    <w:bookmarkStart w:id="59" w:name="page60"/>
    <w:bookmarkEnd w:id="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Range of Common Stock</w:t>
      </w:r>
    </w:p>
    <w:p>
      <w:pPr>
        <w:spacing w:after="0" w:line="119" w:lineRule="exact"/>
        <w:rPr>
          <w:sz w:val="20"/>
          <w:szCs w:val="20"/>
          <w:color w:val="auto"/>
        </w:rPr>
      </w:pPr>
    </w:p>
    <w:p>
      <w:pPr>
        <w:jc w:val="both"/>
        <w:ind w:right="20" w:firstLine="255"/>
        <w:spacing w:after="0" w:line="289" w:lineRule="auto"/>
        <w:rPr>
          <w:sz w:val="20"/>
          <w:szCs w:val="20"/>
          <w:color w:val="auto"/>
        </w:rPr>
      </w:pPr>
      <w:r>
        <w:rPr>
          <w:rFonts w:ascii="Times New Roman" w:cs="Times New Roman" w:eastAsia="Times New Roman" w:hAnsi="Times New Roman"/>
          <w:sz w:val="17"/>
          <w:szCs w:val="17"/>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7"/>
          <w:szCs w:val="17"/>
          <w:i w:val="1"/>
          <w:iCs w:val="1"/>
          <w:color w:val="auto"/>
        </w:rPr>
        <w:t>ITEM 1A. RISK FACTORS—Risks Related to Our Securities—We cannot assure you that the market price of shares of our common stock will not decline</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February 16, 2023, there were approximately 3 holders of record of our common stock (including Cede &amp; Co.).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jc w:val="both"/>
        <w:ind w:right="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shares of our common stock repurchased by the Company for each month in the three month period ending December 31,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share and per share amounts)</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Programs</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
              <w:spacing w:after="0" w:line="189" w:lineRule="exact"/>
              <w:rPr>
                <w:sz w:val="20"/>
                <w:szCs w:val="20"/>
                <w:color w:val="auto"/>
              </w:rPr>
            </w:pPr>
            <w:r>
              <w:rPr>
                <w:rFonts w:ascii="Times New Roman" w:cs="Times New Roman" w:eastAsia="Times New Roman" w:hAnsi="Times New Roman"/>
                <w:sz w:val="14"/>
                <w:szCs w:val="14"/>
                <w:b w:val="1"/>
                <w:bCs w:val="1"/>
                <w:color w:val="auto"/>
                <w:w w:val="97"/>
              </w:rPr>
              <w:t>Programs</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2022</w:t>
            </w:r>
          </w:p>
        </w:tc>
        <w:tc>
          <w:tcPr>
            <w:tcW w:w="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187,664</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187,664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2022</w:t>
            </w:r>
          </w:p>
        </w:tc>
        <w:tc>
          <w:tcPr>
            <w:tcW w:w="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2022</w:t>
            </w:r>
          </w:p>
        </w:tc>
        <w:tc>
          <w:tcPr>
            <w:tcW w:w="2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187,664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187,664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-144780</wp:posOffset>
            </wp:positionV>
            <wp:extent cx="7747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wp:posOffset>
            </wp:positionV>
            <wp:extent cx="6858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wp:posOffset>
            </wp:positionV>
            <wp:extent cx="6858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99" w:lineRule="exact"/>
        <w:rPr>
          <w:sz w:val="20"/>
          <w:szCs w:val="20"/>
          <w:color w:val="auto"/>
        </w:rPr>
      </w:pPr>
    </w:p>
    <w:p>
      <w:pPr>
        <w:jc w:val="both"/>
        <w:ind w:firstLine="258"/>
        <w:spacing w:after="0" w:line="261" w:lineRule="auto"/>
        <w:tabs>
          <w:tab w:leader="none" w:pos="5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under the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Graph</w:t>
      </w:r>
    </w:p>
    <w:p>
      <w:pPr>
        <w:spacing w:after="0" w:line="11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total return on our common stock from December 29, 2017 to December 31, 2022 with that of the Standard &amp; Poor’s BDC Index, the Standard &amp; Poor’s 500 Stock Index, the S&amp;P LSTA Leveraged Loan Index (“Leverage Loan Index”), and the Bloomberg Barclays US Corporate High Yield Total Return Index (“High Yield Bond Index”). This graph assumes that on December 29, 2017,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448945</wp:posOffset>
            </wp:positionV>
            <wp:extent cx="6172200" cy="28543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the last ten fiscal years. The report of our independent registered public accounting firm, KPMG LLP, on the senior securities table as of December 31, 2022 is attached as an exhibit to this annual report on Form 10-K. The “-” indicates information that the SEC expressly does not require to be disclosed for certain types of senior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Amount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75"/>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Exclusive of Treasury</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Liquidating</w:t>
            </w:r>
          </w:p>
        </w:tc>
        <w:tc>
          <w:tcPr>
            <w:tcW w:w="280" w:type="dxa"/>
            <w:vAlign w:val="bottom"/>
          </w:tcPr>
          <w:p>
            <w:pPr>
              <w:spacing w:after="0"/>
              <w:rPr>
                <w:sz w:val="15"/>
                <w:szCs w:val="15"/>
                <w:color w:val="auto"/>
              </w:rPr>
            </w:pPr>
          </w:p>
        </w:tc>
        <w:tc>
          <w:tcPr>
            <w:tcW w:w="18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30"/>
        </w:trPr>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6"/>
              </w:rPr>
              <w:t xml:space="preserve">Securities </w:t>
            </w:r>
            <w:r>
              <w:rPr>
                <w:rFonts w:ascii="Times New Roman" w:cs="Times New Roman" w:eastAsia="Times New Roman" w:hAnsi="Times New Roman"/>
                <w:sz w:val="21"/>
                <w:szCs w:val="21"/>
                <w:b w:val="1"/>
                <w:bCs w:val="1"/>
                <w:color w:val="auto"/>
                <w:w w:val="96"/>
                <w:vertAlign w:val="superscript"/>
              </w:rPr>
              <w:t>(1)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Asset Coverage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Preference Per</w:t>
            </w:r>
          </w:p>
        </w:tc>
        <w:tc>
          <w:tcPr>
            <w:tcW w:w="2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r>
      <w:tr>
        <w:trPr>
          <w:trHeight w:val="225"/>
        </w:trPr>
        <w:tc>
          <w:tcPr>
            <w:tcW w:w="306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Class and Year/Period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8"/>
              </w:rPr>
              <w:t>in millions)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2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Unit</w:t>
            </w:r>
          </w:p>
        </w:tc>
      </w:tr>
      <w:tr>
        <w:trPr>
          <w:trHeight w:val="229"/>
        </w:trPr>
        <w:tc>
          <w:tcPr>
            <w:tcW w:w="30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Revolving Credit Facilities</w:t>
            </w:r>
          </w:p>
        </w:tc>
        <w:tc>
          <w:tcPr>
            <w:tcW w:w="18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2017</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2015</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2,257.3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2013</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Convertible Senior Notes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2"/>
        </w:trPr>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due 2019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2016</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2,376.6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2014</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Convertible Senior Notes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2"/>
        </w:trPr>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due 2022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2023 Notes</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2024 Notes</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2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2026 Notes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8"/>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6"/>
                <w:szCs w:val="16"/>
                <w:color w:val="auto"/>
              </w:rPr>
              <w:t>N/A</w:t>
            </w: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8"/>
                <w:szCs w:val="18"/>
                <w:color w:val="auto"/>
              </w:rPr>
            </w:pPr>
          </w:p>
        </w:tc>
        <w:tc>
          <w:tcPr>
            <w:tcW w:w="18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17" w:lineRule="exact"/>
        <w:rPr>
          <w:sz w:val="20"/>
          <w:szCs w:val="20"/>
          <w:color w:val="auto"/>
        </w:rPr>
      </w:pPr>
    </w:p>
    <w:p>
      <w:pPr>
        <w:ind w:left="520" w:right="80" w:hanging="512"/>
        <w:spacing w:after="0" w:line="261"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jc w:val="both"/>
        <w:ind w:left="520" w:right="40" w:hanging="512"/>
        <w:spacing w:after="0" w:line="255"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62" w:name="page63"/>
    <w:bookmarkEnd w:id="62"/>
    <w:p>
      <w:pPr>
        <w:ind w:left="520" w:hanging="512"/>
        <w:spacing w:after="0" w:line="261"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63" w:name="page64"/>
    <w:bookmarkEnd w:id="63"/>
    <w:p>
      <w:pPr>
        <w:ind w:right="120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ind w:right="14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listed on the NYSE under the symbol “TSLX.”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2022, we have originated more than $24.4 billion aggregate principal amount of investments and retained approximately $9.2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and equity securities.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although we may invest in larger or smaller companies on occasion. As of December 31, 2022, our core portfolio companies, which exclude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investments that fall outside of our typical borrower profile and represent 91.7% of our total investments based on fair value, had weighted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revenue of $152.0 million and weighted average annual EBITDA of $45.9 million.</w:t>
      </w:r>
    </w:p>
    <w:p>
      <w:pPr>
        <w:spacing w:after="0" w:line="20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December 31, 2022, the largest single investment based on fair value represented 2.8% of our total investment portfolio.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4" w:name="page65"/>
    <w:bookmarkEnd w:id="64"/>
    <w:p>
      <w:pPr>
        <w:ind w:right="40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2022, the average investment size in each of our portfolio companies was approximately $23.0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$35.1 million as of December 31, 2022.</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2022, the largest industry represented 14.4% of our total investment portfolio based on fair value.</w:t>
      </w:r>
    </w:p>
    <w:p>
      <w:pPr>
        <w:spacing w:after="0" w:line="22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December 31, 2022,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91.7% of our portfolio was invested in secured debt, including 90.3%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2022, the weighted average term on new investment commitments in new portfolio companies was 6.1 years.</w:t>
      </w:r>
    </w:p>
    <w:p>
      <w:pPr>
        <w:spacing w:after="0" w:line="183" w:lineRule="exact"/>
        <w:rPr>
          <w:sz w:val="20"/>
          <w:szCs w:val="20"/>
          <w:color w:val="auto"/>
        </w:rPr>
      </w:pPr>
    </w:p>
    <w:p>
      <w:pPr>
        <w:ind w:right="140"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40" w:firstLine="25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Risk Mitigation. </w:t>
      </w:r>
      <w:r>
        <w:rPr>
          <w:rFonts w:ascii="Times New Roman" w:cs="Times New Roman" w:eastAsia="Times New Roman" w:hAnsi="Times New Roman"/>
          <w:sz w:val="17"/>
          <w:szCs w:val="17"/>
          <w:color w:val="auto"/>
        </w:rPr>
        <w:t>We seek to mitigate non-credit-related risk on our returns in several ways, including call protection provisions to protect future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As of December 31, 2022, we had call protection on 80.7% of our debt investments based on fair value, with weighted average call prices of</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107.0% for the first year, 103.7% for the second year and 101.3% for the third year, in each case from the date of the initial investment. As of December 31, 2022, 98.9% of our debt investments based on fair value bore interest at floating rates, with 100.0% of these subject to interest rate floors, which we believe helps act as a portfolio-wide hedge against inflation.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$65 billion of assets under management as of December 31, 2022.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475 investment and</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professionals. As of December 31, 2022, forty-four (44) of these personnel are dedicated to our business, including thirty-four (34) investment professionals.</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2022, 98.9% of these investments based on fair value bore interest at a floating rate, with 100.0% of these subject to interest rate floors. Interest on debt investments is generally payable quarterly or semiannually. Some of our investments provide for deferred interest payments or PIK interest. For the year ended December 31, 2022, 4.1% of our total investment income was comprised of PIK interest.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2024 Notes and 2026 Notes, after taking into account the effect of the interest rate swaps we have entered into in connection with these securities, all bear interest at floating rates. Macro trends in base interest rates like LIBOR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9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300" w:hanging="257"/>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right="40" w:hanging="257"/>
        <w:spacing w:after="0" w:line="261"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jc w:val="both"/>
        <w:ind w:right="180" w:firstLine="255"/>
        <w:spacing w:after="0" w:line="261"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8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spread rapidly across the world, including to the United States. This outbreak has led to, and for an unknown and potentially significant period of time will</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8" w:name="page69"/>
    <w:bookmarkEnd w:id="68"/>
    <w:p>
      <w:pPr>
        <w:spacing w:after="0" w:line="256" w:lineRule="auto"/>
        <w:rPr>
          <w:sz w:val="20"/>
          <w:szCs w:val="20"/>
          <w:color w:val="auto"/>
        </w:rPr>
      </w:pPr>
      <w:r>
        <w:rPr>
          <w:rFonts w:ascii="Times New Roman" w:cs="Times New Roman" w:eastAsia="Times New Roman" w:hAnsi="Times New Roman"/>
          <w:sz w:val="18"/>
          <w:szCs w:val="18"/>
          <w:color w:val="auto"/>
        </w:rPr>
        <w:t>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2022, our portfolio based on fair value consisted of 90.3% first-lien debt investments, 1.5% second-lien debt investments, 0.4% mezzanine investments, 6.0% equity and other investments and 1.8% structured credit investments. As of December 31, 2021, our portfolio based on fair value consisted of 91.2% first-lien debt investments, 1.7% second-lien debt investments, 0.7% mezzanine investments, 6.0% equity and other investments and 1.8% structured credit investments.</w:t>
      </w:r>
    </w:p>
    <w:p>
      <w:pPr>
        <w:spacing w:after="0" w:line="180" w:lineRule="exact"/>
        <w:rPr>
          <w:sz w:val="20"/>
          <w:szCs w:val="20"/>
          <w:color w:val="auto"/>
        </w:rPr>
      </w:pPr>
    </w:p>
    <w:p>
      <w:pPr>
        <w:ind w:right="20" w:firstLine="255"/>
        <w:spacing w:after="0" w:line="289" w:lineRule="auto"/>
        <w:rPr>
          <w:sz w:val="20"/>
          <w:szCs w:val="20"/>
          <w:color w:val="auto"/>
        </w:rPr>
      </w:pPr>
      <w:r>
        <w:rPr>
          <w:rFonts w:ascii="Times New Roman" w:cs="Times New Roman" w:eastAsia="Times New Roman" w:hAnsi="Times New Roman"/>
          <w:sz w:val="17"/>
          <w:szCs w:val="17"/>
          <w:color w:val="auto"/>
        </w:rPr>
        <w:t>As of December 31, 2022 and December 31, 2021, our weighted average total yield of debt and income producing securities at fair value (which includes interest income and amortization of fees and discounts) was 13.5% and 10.0%, respectively, and our weighted average total yield of debt and income-producing securities at amortized cost (which includes interest income and amortization of fees and discounts) was 13.4% and 10.2%, respectively.</w:t>
      </w:r>
    </w:p>
    <w:p>
      <w:pPr>
        <w:spacing w:after="0" w:line="158"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we had investments in 121 (including 43 structured credit investments, which include each series of collateralized loan obligation as a separate portfolio company investment) and 72 portfolio companies, respectively, with an aggregate fair value of $2,787.9 million and $2,521.6 million, respectively.</w:t>
      </w:r>
    </w:p>
    <w:p>
      <w:pPr>
        <w:spacing w:after="0" w:line="176"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principal amount of new investments funded was $864.0 million in 65 new portfolio companies and 20 existing portfolio companies. For this period, we had $653.8 million aggregate principal amount in exits and repayments.</w:t>
      </w:r>
    </w:p>
    <w:p>
      <w:pPr>
        <w:spacing w:after="0" w:line="162"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principal amount of new investments funded was $1,117.4 million in 25 new portfolio companies and 26 existing portfolio companies. For this period, we had $1,004.5 million aggregate principal amount in exits and repayments.</w:t>
      </w:r>
    </w:p>
    <w:p>
      <w:pPr>
        <w:spacing w:after="0" w:line="16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principal amount of new investments funded was $939.0 million in 31 new portfolio companies and 27 existing portfolio companies. For this period, we had $941.3 million aggregate principal amount in exits and repayments.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9" w:name="page70"/>
    <w:bookmarkEnd w:id="69"/>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years ended December 31, 2022, 2021 and 2020 is presented below (information presented herein is at par value unless otherwise indicated).</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originations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4,240.9</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3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Structured credit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3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Structured credit</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58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 new portfolio</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 new portfolio</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 commitments in new</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portfolio companies (in years)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87"/>
        </w:trPr>
        <w:tc>
          <w:tcPr>
            <w:tcW w:w="582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 at floating</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2"/>
        </w:trPr>
        <w:tc>
          <w:tcPr>
            <w:tcW w:w="5820" w:type="dxa"/>
            <w:vAlign w:val="bottom"/>
          </w:tcPr>
          <w:p>
            <w:pPr>
              <w:ind w:left="14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rates </w:t>
            </w:r>
            <w:r>
              <w:rPr>
                <w:rFonts w:ascii="Times New Roman" w:cs="Times New Roman" w:eastAsia="Times New Roman" w:hAnsi="Times New Roman"/>
                <w:sz w:val="24"/>
                <w:szCs w:val="24"/>
                <w:b w:val="1"/>
                <w:bCs w:val="1"/>
                <w:color w:val="auto"/>
                <w:vertAlign w:val="superscript"/>
              </w:rPr>
              <w:t>(1)</w:t>
            </w:r>
          </w:p>
        </w:tc>
        <w:tc>
          <w:tcPr>
            <w:tcW w:w="30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98.9 %</w:t>
            </w:r>
          </w:p>
        </w:tc>
        <w:tc>
          <w:tcPr>
            <w:tcW w:w="30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99.5 %</w:t>
            </w: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98.8 %</w:t>
            </w: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fixed rates</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0.5 %</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 investment commitments</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11.9 %</w:t>
            </w: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9.2 %</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 new floating rate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9.0 %</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 sold or paid down</w:t>
            </w:r>
          </w:p>
        </w:tc>
        <w:tc>
          <w:tcPr>
            <w:tcW w:w="3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9.9 %</w:t>
            </w:r>
          </w:p>
        </w:tc>
        <w:tc>
          <w:tcPr>
            <w:tcW w:w="3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9.1 %</w:t>
            </w:r>
          </w:p>
        </w:tc>
        <w:tc>
          <w:tcPr>
            <w:tcW w:w="3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-4260215</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-4260215</wp:posOffset>
            </wp:positionV>
            <wp:extent cx="6032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-4260215</wp:posOffset>
            </wp:positionV>
            <wp:extent cx="6032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-2082165</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-2082165</wp:posOffset>
            </wp:positionV>
            <wp:extent cx="60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-2082165</wp:posOffset>
            </wp:positionV>
            <wp:extent cx="603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-745490</wp:posOffset>
            </wp:positionV>
            <wp:extent cx="641223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-436880</wp:posOffset>
            </wp:positionV>
            <wp:extent cx="641223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18" w:lineRule="exact"/>
        <w:rPr>
          <w:sz w:val="20"/>
          <w:szCs w:val="20"/>
          <w:color w:val="auto"/>
        </w:rPr>
      </w:pPr>
    </w:p>
    <w:p>
      <w:pPr>
        <w:ind w:left="260" w:right="5220" w:hanging="252"/>
        <w:spacing w:after="0" w:line="551" w:lineRule="auto"/>
        <w:tabs>
          <w:tab w:leader="none" w:pos="5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fixed rate investment for the year ended December 31, 2020. As of December 31, 2022 and 2021, our investments consisted of the following:</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4"/>
                <w:szCs w:val="14"/>
                <w:color w:val="auto"/>
              </w:rPr>
            </w:pPr>
          </w:p>
        </w:tc>
      </w:tr>
      <w:tr>
        <w:trPr>
          <w:trHeight w:val="23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0"/>
                <w:szCs w:val="20"/>
                <w:color w:val="auto"/>
              </w:rPr>
            </w:pPr>
          </w:p>
        </w:tc>
      </w:tr>
      <w:tr>
        <w:trPr>
          <w:trHeight w:val="243"/>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03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140" w:type="dxa"/>
            <w:vAlign w:val="bottom"/>
            <w:gridSpan w:val="4"/>
          </w:tcPr>
          <w:p>
            <w:pPr>
              <w:jc w:val="right"/>
              <w:ind w:right="13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58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60" w:type="dxa"/>
            <w:vAlign w:val="bottom"/>
          </w:tcPr>
          <w:p>
            <w:pPr>
              <w:spacing w:after="0"/>
              <w:rPr>
                <w:sz w:val="14"/>
                <w:szCs w:val="14"/>
                <w:color w:val="auto"/>
              </w:rPr>
            </w:pPr>
          </w:p>
        </w:tc>
      </w:tr>
      <w:tr>
        <w:trPr>
          <w:trHeight w:val="212"/>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Performing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w:t>
            </w:r>
          </w:p>
        </w:tc>
      </w:tr>
      <w:tr>
        <w:trPr>
          <w:trHeight w:val="268"/>
        </w:trPr>
        <w:tc>
          <w:tcPr>
            <w:tcW w:w="580" w:type="dxa"/>
            <w:vAlign w:val="bottom"/>
          </w:tcPr>
          <w:p>
            <w:pPr>
              <w:spacing w:after="0"/>
              <w:rPr>
                <w:sz w:val="23"/>
                <w:szCs w:val="23"/>
                <w:color w:val="auto"/>
              </w:rPr>
            </w:pPr>
          </w:p>
        </w:tc>
        <w:tc>
          <w:tcPr>
            <w:tcW w:w="44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spacing w:after="0"/>
              <w:rPr>
                <w:sz w:val="23"/>
                <w:szCs w:val="23"/>
                <w:color w:val="auto"/>
              </w:rPr>
            </w:pPr>
          </w:p>
        </w:tc>
      </w:tr>
      <w:tr>
        <w:trPr>
          <w:trHeight w:val="232"/>
        </w:trPr>
        <w:tc>
          <w:tcPr>
            <w:tcW w:w="58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2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25"/>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-925195</wp:posOffset>
            </wp:positionV>
            <wp:extent cx="641223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tbl>
      <w:tblPr>
        <w:tblLayout w:type="fixed"/>
        <w:tblInd w:w="58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74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Pr>
          <w:p>
            <w:pPr>
              <w:spacing w:after="0"/>
              <w:rPr>
                <w:sz w:val="14"/>
                <w:szCs w:val="14"/>
                <w:color w:val="auto"/>
              </w:rPr>
            </w:pPr>
          </w:p>
        </w:tc>
      </w:tr>
      <w:tr>
        <w:trPr>
          <w:trHeight w:val="21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2,428.6</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68"/>
        </w:trPr>
        <w:tc>
          <w:tcPr>
            <w:tcW w:w="43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3"/>
                <w:szCs w:val="23"/>
                <w:color w:val="auto"/>
              </w:rPr>
            </w:pPr>
          </w:p>
        </w:tc>
      </w:tr>
      <w:tr>
        <w:trPr>
          <w:trHeight w:val="232"/>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2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1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178" w:lineRule="exact"/>
        <w:rPr>
          <w:sz w:val="20"/>
          <w:szCs w:val="20"/>
          <w:color w:val="auto"/>
        </w:rPr>
      </w:pPr>
    </w:p>
    <w:p>
      <w:pPr>
        <w:ind w:left="520" w:right="140" w:hanging="512"/>
        <w:spacing w:after="0" w:line="25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8"/>
          <w:szCs w:val="18"/>
          <w:i w:val="1"/>
          <w:iCs w:val="1"/>
          <w:color w:val="auto"/>
        </w:rPr>
        <w:t>“–Critical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 Interest and Dividend Income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December 31, 2022 and 2021 were as follows: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5"/>
        </w:trPr>
        <w:tc>
          <w:tcPr>
            <w:tcW w:w="50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68"/>
        </w:trPr>
        <w:tc>
          <w:tcPr>
            <w:tcW w:w="506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spread over LIBOR of all floating</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8"/>
        </w:trPr>
        <w:tc>
          <w:tcPr>
            <w:tcW w:w="506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rate investments </w:t>
            </w:r>
            <w:r>
              <w:rPr>
                <w:rFonts w:ascii="Times New Roman" w:cs="Times New Roman" w:eastAsia="Times New Roman" w:hAnsi="Times New Roman"/>
                <w:sz w:val="24"/>
                <w:szCs w:val="24"/>
                <w:color w:val="auto"/>
                <w:vertAlign w:val="superscript"/>
              </w:rPr>
              <w:t>(2)</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-873760</wp:posOffset>
            </wp:positionV>
            <wp:extent cx="4989195"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89195" cy="29146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-290830</wp:posOffset>
            </wp:positionV>
            <wp:extent cx="4989195"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89195" cy="29146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12.8% at December 31, 2022 and 9.4% at December 31, 2021.</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 rate investments for which we entered into interest rate swap agreements to swap to floating rates.</w:t>
      </w:r>
    </w:p>
    <w:p>
      <w:pPr>
        <w:spacing w:after="0" w:line="274"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600" w:hanging="257"/>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0" w:right="379" w:bottom="1440" w:gutter="0" w:footer="0" w:header="0"/>
        </w:sectPr>
      </w:pPr>
    </w:p>
    <w:bookmarkStart w:id="71" w:name="page72"/>
    <w:bookmarkEnd w:id="71"/>
    <w:p>
      <w:pPr>
        <w:ind w:left="520" w:hanging="257"/>
        <w:spacing w:after="0" w:line="25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00" w:hanging="257"/>
        <w:spacing w:after="0" w:line="261"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2022 and 2021. Investment performance ratings are accurate only as of those dates and may change due to subsequent developments relating to a portfolio company’s business or financial condition, market conditions or developments, and other factors.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8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3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5"/>
        </w:trPr>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80" w:type="dxa"/>
            <w:vAlign w:val="bottom"/>
            <w:tcBorders>
              <w:top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5"/>
        </w:trPr>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80" w:type="dxa"/>
            <w:vAlign w:val="bottom"/>
            <w:gridSpan w:val="2"/>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6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5"/>
                <w:szCs w:val="15"/>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20" w:type="dxa"/>
            <w:vAlign w:val="bottom"/>
          </w:tcPr>
          <w:p>
            <w:pPr>
              <w:spacing w:after="0"/>
              <w:rPr>
                <w:sz w:val="15"/>
                <w:szCs w:val="15"/>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87"/>
        </w:trPr>
        <w:tc>
          <w:tcPr>
            <w:tcW w:w="3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6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6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20" w:type="dxa"/>
            <w:vAlign w:val="bottom"/>
          </w:tcPr>
          <w:p>
            <w:pPr>
              <w:spacing w:after="0"/>
              <w:rPr>
                <w:sz w:val="16"/>
                <w:szCs w:val="16"/>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 Portfolio</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19"/>
                <w:szCs w:val="19"/>
                <w:color w:val="auto"/>
              </w:rPr>
            </w:pPr>
          </w:p>
        </w:tc>
        <w:tc>
          <w:tcPr>
            <w:tcW w:w="40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3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Total</w:t>
            </w: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3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03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investments with an amortized cost of $1.5 million for which the fair value as of December 31, 2021 was $0.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years ended December 31, 2022, 2021 and 2020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309.3</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168.9</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(1)</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(74.9 )</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tcBorders>
              <w:top w:val="single" w:sz="8" w:color="CFF0FC"/>
            </w:tcBorders>
            <w:gridSpan w:val="2"/>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2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60" w:type="dxa"/>
            <w:vAlign w:val="bottom"/>
            <w:vMerge w:val="continue"/>
          </w:tcPr>
          <w:p>
            <w:pPr>
              <w:spacing w:after="0"/>
              <w:rPr>
                <w:sz w:val="24"/>
                <w:szCs w:val="24"/>
                <w:color w:val="auto"/>
              </w:rPr>
            </w:pPr>
          </w:p>
        </w:tc>
        <w:tc>
          <w:tcPr>
            <w:tcW w:w="6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40" w:type="dxa"/>
            <w:vAlign w:val="bottom"/>
          </w:tcPr>
          <w:p>
            <w:pPr>
              <w:spacing w:after="0"/>
              <w:rPr>
                <w:sz w:val="20"/>
                <w:szCs w:val="20"/>
                <w:color w:val="auto"/>
              </w:rPr>
            </w:pP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-1851025</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-1851025</wp:posOffset>
            </wp:positionV>
            <wp:extent cx="603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-1851025</wp:posOffset>
            </wp:positionV>
            <wp:extent cx="603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$266.7 million for the year ended December 31, 2021 to $297.6 million for the year ended December 31, 2022, primarily due to an increase in interest rates and total assets outstanding for the year ended December 31, 2022 compared to the same period in 2021. Accelerated amortization of</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72" w:name="page73"/>
    <w:bookmarkEnd w:id="72"/>
    <w:p>
      <w:pPr>
        <w:spacing w:after="0" w:line="253" w:lineRule="auto"/>
        <w:rPr>
          <w:sz w:val="20"/>
          <w:szCs w:val="20"/>
          <w:color w:val="auto"/>
        </w:rPr>
      </w:pPr>
      <w:r>
        <w:rPr>
          <w:rFonts w:ascii="Times New Roman" w:cs="Times New Roman" w:eastAsia="Times New Roman" w:hAnsi="Times New Roman"/>
          <w:sz w:val="18"/>
          <w:szCs w:val="18"/>
          <w:color w:val="auto"/>
        </w:rPr>
        <w:t>upfront fees, from unscheduled paydowns, decreased from $17.3 million for the year ended December 31, 2021 to $6.5 million for the year ended December 31, 2022, and prepayment fees decreased from $16.9 million for the year ended December 31, 2021 to $15.0 million for the year ended December 31, 2022. The accelerated amortization and prepayment fees primarily resulted from full paydowns on 20 portfolio investments, partial paydowns on four portfolio investments, realizations on three portfolio investments, partial realizations on two portfolio investments and prepayment fees on 16 portfolio investments during the year ended December 31, 2021, and full paydowns on 12 portfolio investments, partial paydowns on ten portfolio investments, realizations on two portfolio investments, partial realization of one portfolio investments, and prepayment fees on 12 portfolio investments during the year ended December 31, 2022. Dividend income decreased from $4.2 million for the year ended December 31, 2021 to $2.2 million for the year ended December 31, 2022 due to decreased investment in dividend yielding securities in 2022. Other income increased from $7.7 million for the year ended December 31, 2021 to $9.5 million for the year ended December 31, 2022, primarily due to increased amendment and other miscellaneous fees earned during 2022.</w:t>
      </w:r>
    </w:p>
    <w:p>
      <w:pPr>
        <w:spacing w:after="0" w:line="194" w:lineRule="exact"/>
        <w:rPr>
          <w:sz w:val="20"/>
          <w:szCs w:val="20"/>
          <w:color w:val="auto"/>
        </w:rPr>
      </w:pPr>
    </w:p>
    <w:p>
      <w:pPr>
        <w:ind w:right="40" w:firstLine="255"/>
        <w:spacing w:after="0" w:line="267" w:lineRule="auto"/>
        <w:rPr>
          <w:sz w:val="20"/>
          <w:szCs w:val="20"/>
          <w:color w:val="auto"/>
        </w:rPr>
      </w:pPr>
      <w:r>
        <w:rPr>
          <w:rFonts w:ascii="Times New Roman" w:cs="Times New Roman" w:eastAsia="Times New Roman" w:hAnsi="Times New Roman"/>
          <w:sz w:val="17"/>
          <w:szCs w:val="17"/>
          <w:color w:val="auto"/>
        </w:rPr>
        <w:t>Interest from investments, which includes amortization of upfront fees and prepayment fees, increased from $245.7 million for the year ended December 31, 2020 to $266.7 million for the year ended December 31, 2021, primarily due to an increase in total assets outstanding for the year ended December 31, 2021 compared to the same period in 2020. Accelerated amortization of upfront fees, from unscheduled paydowns, increased from $14.0 million for the year ended December 31, 2020 to $17.3 million for the year ended December 31, 2021, and prepayment fees decreased from $21.5 million for the year ended December 31, 2020 to $16.9 million for the year ended December 31, 2021. The accelerated amortization and prepayment fees primarily resulted from full paydowns on 17 portfolio investments, partial paydowns on ten portfolio investments, partial realizations on four portfolio investments and prepayment fees on 18 portfolio investments during the year ended December 31, 2020, and full paydowns on 22 portfolio investments, partial paydowns on four portfolio investments, realizations on three portfolio investments, partial realizations on two portfolio investments, and prepayment fees on 16 portfolio investments during the year ended December 31, 2021. Dividend income increased from $1.8 million for the year ended December 31,</w:t>
      </w:r>
    </w:p>
    <w:p>
      <w:pPr>
        <w:spacing w:after="0" w:line="5"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2020 to $4.2 million for the year ended December 31, 2021 due to increased investment in dividend yielding securities in 2021. Other income decreased from $22.5 million for the year ended December 31, 2020 to $7.7 million for the year ended December 31, 2021, primarily due to decreased amendment and other miscellaneous fees earned during 2021.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years ended December 31, 2022, 2021 and 2020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w:t>
            </w: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(net of waivers)</w:t>
            </w: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(8.9 )</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4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-616585</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-616585</wp:posOffset>
            </wp:positionV>
            <wp:extent cx="603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3" w:name="page74"/>
    <w:bookmarkEnd w:id="73"/>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$38.8 million for the year ended December 31, 2021 to $63.0 million for the year ended December 31, 2022. This increase was primarily due to an increase in the average interest rate on our debt outstanding and an increase in the average debt outstanding from $1,223.4 million for the year ended December 31, 2021 to $1,342.0 million for the year ended December 31, 2022. The average interest rate on our debt outstanding increased from 2.3% for the year ended December 31, 2021 to 3.9% for the year ended December 31, 2022 due to a change in the mix of our debt financing sources and a change in SOFR rates.</w:t>
      </w:r>
    </w:p>
    <w:p>
      <w:pPr>
        <w:spacing w:after="0" w:line="18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Interest expense, including other debt financing expenses, decreased from $39.4 million for the year ended December 31, 2020 to $38.8 million for the year ended December 31, 2021. This decrease was primarily due to a decrease in the average interest rate on our debt outstanding following a decrease in LIBOR and a change in the mix of our debt financing sources, which was partially offset by an increase in the average debt outstanding from $1,001.6 million for the year ended December 31, 2020 to $1,223.4 million for the year ended December 31, 2021. The average interest rate on our debt outstanding decreased from 3.0% for the year ended December 31, 2020 to 2.3% for the year ended December 31, 2021 due to a change in the mix of our debt financing sources and a change in LIBOR rates. For the years ended December 31, 2020 and 2021, weighted average one-month LIBOR for the year was 0.5% and 0.1%, respectively.</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Management Fees (gross of waivers) increased from $37.1 million for the year ended December 31, 2021 to $39.9 million for the year ended December 31, 2022 due to an increase in average total assets. Management Fees waived were $0.4 million for the year ended December 31, 2022, pursuant to the Leverage Waiver. Management Fees waived were $0.2 million for the year ended December 31, 2021.</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Management Fees (gross of waivers) increased from $32.1 million for the year ended December 31, 2020 to $37.1 million for the year ended December 31, 2021 due to an increase in average total assets. Management Fees waived were $0.2 million for the year ended December 31, 2021, pursuant to the Leverage Waiver. The Adviser did not waive any Management Fees for the year ended December 31, 2020. Any waived Management Fees are not subject to recoupment by the Adviser.</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2022, 2021 and 2020, Incentive Fees were $24.5 million, $46.6 million and $32.9 million, respectively,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$33.4 million, $33.1 million, and $31.5 million, respectively, were realized and payable to the Adviser. For the years ended December 31, 2022, 2021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$(8.9) million, $13.5 million, and $1.4 million, respectively, of Incentive Fees were accrued related to Capital Gains Fees. As of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accrued Incentive Fees are not contractually payable to the Adviser.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Incentive Fees are not subject to recoupment by the Adviser.</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Professional fees increased from $6.6 million for the year ended December 31, 2021 to $7.2 million for the year ended December 31, 2022 due to higher legal fees and higher independent third-party valuation firm and sub-agent administration costs due to a larger portfolio. Other general and administrative fees decreased from $6.2 million for the year ended December 31, 2021 to $5.5 million for the year ended December 31, 2022 primarily driven by a decrease in administrative services incurred under the Administration Agreement.</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Professional fees decreased from $6.8 million for the year ended December 31, 2020 to $6.6 million for the year ended December 31, 2021 due to lower legal fees, partially offset by higher independent third-party valuation firm and sub-agent administration costs due to a larger portfolio. Other general and administrative fees increased from $5.3 million for the year ended December 31, 2020 to $6.2 million for the year ended December 31, 2021, primarily driven by an increase in administrative services incurred under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4" w:right="359" w:bottom="1440" w:gutter="0" w:footer="0" w:header="0"/>
        </w:sectPr>
      </w:pPr>
    </w:p>
    <w:bookmarkStart w:id="74" w:name="page75"/>
    <w:bookmarkEnd w:id="74"/>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2022, 2021 and 2020 we recorded a net expense of $2.6 million, $0.4 million and $5.8 million, respectively, for U.S. federal excise tax and other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years ended December 31, 2022, 2021 and 2020:</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extinguishment of debt</w:t>
            </w:r>
          </w:p>
        </w:tc>
        <w:tc>
          <w:tcPr>
            <w:tcW w:w="28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investments</w:t>
            </w:r>
          </w:p>
        </w:tc>
        <w:tc>
          <w:tcPr>
            <w:tcW w:w="28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(0.7 )</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borrowings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interest rate swaps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81"/>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5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8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(98.7 )</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(48.0 )</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41"/>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 on Investments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0"/>
                <w:szCs w:val="20"/>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(0.6 )</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cash</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interest rate swaps</w:t>
            </w:r>
          </w:p>
        </w:tc>
        <w:tc>
          <w:tcPr>
            <w:tcW w:w="28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(6.6 )</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(6.7 )</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on unrealized gains (losses)</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(0.6 )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3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920" w:type="dxa"/>
            <w:vAlign w:val="bottom"/>
            <w:tcBorders>
              <w:top w:val="single" w:sz="8" w:color="CFF0FC"/>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 Interest Rate Swaps and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r>
      <w:tr>
        <w:trPr>
          <w:trHeight w:val="250"/>
        </w:trPr>
        <w:tc>
          <w:tcPr>
            <w:tcW w:w="59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-2047875</wp:posOffset>
            </wp:positionV>
            <wp:extent cx="1877695"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77695" cy="1797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-779145</wp:posOffset>
            </wp:positionV>
            <wp:extent cx="68580" cy="436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4368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-779145</wp:posOffset>
            </wp:positionV>
            <wp:extent cx="60325" cy="436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43688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436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43688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2022, 2021, and 2020, we had net realized gains on investments of $14.7 million, net realized gains on investments of $28.8 million and net realized losses on investments of $3.1 million, respectively. For the years ended December 31, 2022 and 2021, there were no net realized gains or losses on extinguishment of debt. For the year ended December 31, 2020, we had net realized gains of $0.7 million on extinguishment of debt, as a result of repurchases of our debt securities. For the year ended December 31, 2022, we had net realized losses of $0.1 million, and for the years ended December 31, 2021 and 2020, we had net realized gains of $0.1 million and less than $0.1 million, respectively, on foreign currency transactions, primarily as a result of translating foreign currency related to our non-USD denominated investments. For the years ended December 31, 2022, 2021 and 2020, we had net realized losses on foreign currency investments of $(0.7) million, $(3.4) million and $1.1 million, respectively. For the years ended December 31, 2022, 2021, and 2020, we had net realized gains on foreign currency borrowings of $0.5 million, $3.4 million and $1.0 million, respectively. The net realized gains on foreign currency borrowings were a result of payments on our revolving credit facility. For the year ended December 31, 2022, we had net realized gains on interest rate swaps of $2.3 million related to the reversal of unrealized gains for upfront fees on the interest rate swaps associated with the 2022 Convertible Notes. For the years ended December 31, 2021 and 2020, there were no net realized gains or losses and net realized losses of $0.1 million, respectively, on interest rate swaps.</w:t>
      </w:r>
    </w:p>
    <w:p>
      <w:pPr>
        <w:spacing w:after="0" w:line="190"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had $22.3 million in unrealized gains on 26 portfolio company investments, which was offset by $98.7 million in unrealized losses on 106 portfolio company investments. Unrealized gains for the year ended December 31, 2022 resulted from an increase in fair value, primarily due to positive valuation adjustments, unwind of prior period unrealized losses, and changes in credit spreads. Unrealized losses for the year ended December 31, 2022 resulted from the reversal of prior period unrealized gains due to realizations, negative credit-related adjustments and changes in credit spreads.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5" w:name="page76"/>
    <w:bookmarkEnd w:id="75"/>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we had $97.7 million in unrealized gains on 47 portfolio company investments, which was offset by $48.0 million in unrealized losses on 44 portfolio company investments. Unrealized gains for the year ended December 31, 2021 resulted from an increase in fair value, primarily due to positive valuation adjustments, unwind of prior period unrealized losses, and changes in credit spreads. Unrealized losses for the year ended December 31, 2021 resulted from the reversal of prior period unrealized gains due to realizations and negative credit-related adjustments.</w:t>
      </w:r>
    </w:p>
    <w:p>
      <w:pPr>
        <w:spacing w:after="0" w:line="180"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we had $74.4 million in unrealized gains on 53 portfolio company investments, which was offset by $42.4 million in unrealized losses on 29 portfolio company investments. Unrealized gains for the year ended December 31, 2020 resulted from an increase in fair value, primarily due to positive valuation adjustments, the positive impact on valuations from the existence of LIBOR floors, and unwind of prior period unrealized losses. Unrealized losses for the year ended December 31, 2020 resulted from the reversal of prior period unrealized gains due to realizations and negative credit-related adjustments.</w:t>
      </w:r>
    </w:p>
    <w:p>
      <w:pPr>
        <w:spacing w:after="0" w:line="183" w:lineRule="exact"/>
        <w:rPr>
          <w:sz w:val="20"/>
          <w:szCs w:val="20"/>
          <w:color w:val="auto"/>
        </w:rPr>
      </w:pPr>
    </w:p>
    <w:p>
      <w:pPr>
        <w:ind w:right="20" w:firstLine="255"/>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we had unrealized gains on foreign currency borrowings of $8.4 million, primarily as a result of fluctuations in the AUD, CAD, GBP and EUR exchange rates. For the years ended December 31, 2021 and 2020, we had unrealized losses on foreign currency borrowings of $0.6 million and $5.1 million, respectively, primarily as a result of fluctuations in the AUD, CAD, and EUR exchange rates. For the years ended December 31, 2022, 2021 and 2020, we had unrealized gains of $0.3 million, less than $0.1 million, and less than $0.1 million, respectively, on foreign currency cash. For the year ended December 31, 2022 and 2021, we had unrealized losses on interest rate swaps of $6.7 million and $6.7 million, respectively, and for the year ended December 31, 2020, we had unrealized gains on interest rate swaps of $6.8 million, due to fluctuations in interest rates.</w:t>
      </w:r>
    </w:p>
    <w:p>
      <w:pPr>
        <w:spacing w:after="0" w:line="173" w:lineRule="exact"/>
        <w:rPr>
          <w:sz w:val="20"/>
          <w:szCs w:val="20"/>
          <w:color w:val="auto"/>
        </w:rPr>
      </w:pPr>
    </w:p>
    <w:p>
      <w:pPr>
        <w:jc w:val="both"/>
        <w:ind w:right="3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we had a deferred tax liability of $3.3 million pertaining to unrealized gains, related to five of its investments. Given the unrealized gains generated by this entity, the deferred tax liability has been offset by a deferred tax asset of $0.8 million pertaining to operating losses.</w:t>
      </w:r>
    </w:p>
    <w:p>
      <w:pPr>
        <w:spacing w:after="0" w:line="162"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2021, we had a deferred tax liability of $2.8 million pertaining to unrealized gains, related to six of its investments. Given the unrealized gains generated by the entity, the deferred tax liability has been offset by a deferred tax asset of $0.9 million pertaining to operating losses. We carried back a portion of its operating losses to the previous tax years generating a $0.3 million tax refund.</w:t>
      </w:r>
    </w:p>
    <w:p>
      <w:pPr>
        <w:spacing w:after="0" w:line="176"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we had a deferred tax asset of $0.4 million pertaining to operating losses, related to one of its investments. Given the losses generated by the entity, the deferred tax asset has been offset by a valuation allowance of $0.4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December 31, 2022, weighted by capital invested, our exited investments have generated an average realized gross internal rate of return to us of 17.7% (based on total capital invested of $6.6 billion and total proceeds from these exited investments of $8.3 billion). Ninety percent of these exited investments resulted in a realized gross internal rate of return to us of 10% or greater.</w:t>
      </w:r>
    </w:p>
    <w:p>
      <w:pPr>
        <w:spacing w:after="0" w:line="176"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right="120" w:firstLine="255"/>
        <w:spacing w:after="0" w:line="312" w:lineRule="auto"/>
        <w:rPr>
          <w:sz w:val="20"/>
          <w:szCs w:val="20"/>
          <w:color w:val="auto"/>
        </w:rPr>
      </w:pPr>
      <w:r>
        <w:rPr>
          <w:rFonts w:ascii="Times New Roman" w:cs="Times New Roman" w:eastAsia="Times New Roman" w:hAnsi="Times New Roman"/>
          <w:sz w:val="17"/>
          <w:szCs w:val="17"/>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4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6" w:name="page77"/>
    <w:bookmarkEnd w:id="76"/>
    <w:p>
      <w:pPr>
        <w:ind w:right="480"/>
        <w:spacing w:after="0" w:line="282" w:lineRule="auto"/>
        <w:rPr>
          <w:sz w:val="20"/>
          <w:szCs w:val="20"/>
          <w:color w:val="auto"/>
        </w:rPr>
      </w:pPr>
      <w:r>
        <w:rPr>
          <w:rFonts w:ascii="Times New Roman" w:cs="Times New Roman" w:eastAsia="Times New Roman" w:hAnsi="Times New Roman"/>
          <w:sz w:val="18"/>
          <w:szCs w:val="18"/>
          <w:color w:val="auto"/>
        </w:rPr>
        <w:t>realized losses on hedging activity, with respect to an investment, which represents any inception-to-date realized losses on foreign currency forward contracts allocable to the investment, if any.</w:t>
      </w:r>
    </w:p>
    <w:p>
      <w:pPr>
        <w:spacing w:after="0" w:line="16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100" w:firstLine="255"/>
        <w:spacing w:after="0" w:line="253"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years ended December 31, 2022, 2021 and 2020, we had $8.7 million of unrealized gains, $0.6 million and $5.1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2022, 2021 and 2020. See Note 2 for additional disclosure regarding our accounting for foreign currency. See Note 7 for additional disclosure regarding the amounts of outstanding debt denominated in each foreign currency at December 31, 2022. See our consolidated schedule of investments for additional disclosure regarding the foreign currency amounts (in both par and fair value) of our non-U.S. dollar denominated investments.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December 31, 2022, 2021 and 2020, our asset coverage ratio was 188.6%, 205.4%, and 204.5%,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8"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31, 2022, taken together with cash available under our credit facilities, is expected to be sufficient for our investing activities and to conduct our operations in the near term. As of December 31, 2022, we had approximately $865.7 million of availability on our Revolving Credit Facility, subject to asset coverage limitations.</w:t>
      </w:r>
    </w:p>
    <w:p>
      <w:pPr>
        <w:spacing w:after="0" w:line="176"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of December 31, 2022, we had $25.6 million in cash and cash equivalents, including $15.4 million of restricted cash. During the year ended December 31, 2022, cash used in operating activities was $224.5 million, primarily attributable to funding portfolio investments of $995.6 million, and other operating activity of $36.2 million which was partially offset by repayments and proceeds from investments of $699.3 million and an increase in net assets resulting from operations of $108.0 million. Cash provided by financing activities was $234.2 million during the period due to borrowings of $1,329.8 million and the issuance of common stock as settlement of a portion of the 2022 Convertible Notes at maturity of $77.6 million, which was partially offset by paydowns on our Revolving Credit Facility of $918.1 million, dividends paid of $144.3 million, settlement of $100.0 million of principal on the 2022 Convertible Notes, repurchases of common stock of $6.2 million, and deferred financing costs of $4.3 million.</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7" w:name="page78"/>
    <w:bookmarkEnd w:id="77"/>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As of December 31, 2021, we had $16.0 million in cash and cash equivalents, including $14.4 million of restricted cash. During the year ended December 31, 2021, we provided $2.5 million in cash from operating activities as a result of repayments and proceeds from investments of $1,088.8 million and an increase in net assets resulting from operations of $211.8 million, which was partially offset by funding portfolio investments of $1,198.9 million, and other operating activity of $99.2 million. Lastly, cash provided by financing activities was $0.2 million during the period, consisting of borrowings of $1,616.7 million (including net proceeds of $293.7 million from the issuance of our 2026 Notes), proceeds from the issuance of common stock, net of offering and underwriting costs, of $85.9 million, and proceeds from the issuance of common stock for the settlement of a portion of the 2022 Convertible Notes of $42.3 million, which was partially offset by paydowns on our Revolving Credit Facility of $1,472.0 million, dividends paid of $221.9 million, settlement of $42.8 million of principal on the 2022 Convertible Notes, and deferred financing costs of $8.0 million.</w:t>
      </w:r>
    </w:p>
    <w:p>
      <w:pPr>
        <w:spacing w:after="0" w:line="19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we had $15.4 million of restricted cash pledged as collateral under our interest rate swap agreements, compared to $14.4 million as of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On February 23, 2021, we issued a total of 4,000,000 shares of common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176"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In December 2021, we issued a total of 2,324,820 shares of common stock, or $42.3 million as settlement for the conversion of $42.8 million of the 2022 Convertible Notes.</w:t>
      </w:r>
    </w:p>
    <w:p>
      <w:pPr>
        <w:spacing w:after="0" w:line="162"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In August 2022, we issued a total of 4,360,125 share of common stock, or $77.6 million as settlement for the conversion of $79.2 million principal amount of the 2022 Convertible Notes.</w:t>
      </w:r>
    </w:p>
    <w:p>
      <w:pPr>
        <w:spacing w:after="0" w:line="162"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we issued 1,625,826 and 1,712,824 shares of our common stock, respectively, to investors who have not opted out of our dividend reinvestment plan for proceeds of $30.5 million and $36.3 million, respectively.</w:t>
      </w:r>
    </w:p>
    <w:p>
      <w:pPr>
        <w:spacing w:after="0" w:line="162" w:lineRule="exact"/>
        <w:rPr>
          <w:sz w:val="20"/>
          <w:szCs w:val="20"/>
          <w:color w:val="auto"/>
        </w:rPr>
      </w:pPr>
    </w:p>
    <w:p>
      <w:pPr>
        <w:jc w:val="both"/>
        <w:ind w:right="120" w:firstLine="255"/>
        <w:spacing w:after="0" w:line="261" w:lineRule="auto"/>
        <w:rPr>
          <w:sz w:val="20"/>
          <w:szCs w:val="20"/>
          <w:color w:val="auto"/>
        </w:rPr>
      </w:pPr>
      <w:r>
        <w:rPr>
          <w:rFonts w:ascii="Times New Roman" w:cs="Times New Roman" w:eastAsia="Times New Roman" w:hAnsi="Times New Roman"/>
          <w:sz w:val="18"/>
          <w:szCs w:val="18"/>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18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repurchased 368,206 shares at a weighted average share price of $16.75 inclusive of commissions, for a total cost of $6.2 million. For the year ended December 31, 2021, no shares were repurchased.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2022 and 2021:</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ind w:right="135"/>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55"/>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19"/>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5"/>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9"/>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100" w:type="dxa"/>
            <w:vAlign w:val="bottom"/>
          </w:tcPr>
          <w:p>
            <w:pPr>
              <w:spacing w:after="0"/>
              <w:rPr>
                <w:sz w:val="17"/>
                <w:szCs w:val="17"/>
                <w:color w:val="auto"/>
              </w:rPr>
            </w:pPr>
          </w:p>
        </w:tc>
      </w:tr>
      <w:tr>
        <w:trPr>
          <w:trHeight w:val="23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shd w:val="clear" w:color="auto" w:fill="CFF0FC"/>
          </w:tcPr>
          <w:p>
            <w:pPr>
              <w:spacing w:after="0"/>
              <w:rPr>
                <w:sz w:val="20"/>
                <w:szCs w:val="20"/>
                <w:color w:val="auto"/>
              </w:rPr>
            </w:pPr>
          </w:p>
        </w:tc>
      </w:tr>
      <w:tr>
        <w:trPr>
          <w:trHeight w:val="23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Notes</w:t>
            </w: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shd w:val="clear" w:color="auto" w:fill="CFF0FC"/>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1"/>
                <w:szCs w:val="21"/>
                <w:color w:val="auto"/>
              </w:rPr>
            </w:pPr>
          </w:p>
        </w:tc>
      </w:tr>
      <w:tr>
        <w:trPr>
          <w:trHeight w:val="276"/>
        </w:trPr>
        <w:tc>
          <w:tcPr>
            <w:tcW w:w="4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2,382.5</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right="900" w:hanging="512"/>
        <w:spacing w:after="0" w:line="261"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right="460" w:hanging="512"/>
        <w:spacing w:after="0" w:line="260"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left="520" w:right="66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2024 Notes and 2026 Notes are presented inclusive of an incremental $(19.4) million and $(35.7) million, which represents an adjustment in the carrying values of the 2024 Notes and 2026 Notes, each resulting from a hedge accounting relationship.</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78"/>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206"/>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5"/>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8"/>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100" w:type="dxa"/>
            <w:vAlign w:val="bottom"/>
          </w:tcPr>
          <w:p>
            <w:pPr>
              <w:spacing w:after="0"/>
              <w:rPr>
                <w:sz w:val="17"/>
                <w:szCs w:val="17"/>
                <w:color w:val="auto"/>
              </w:rPr>
            </w:pPr>
          </w:p>
        </w:tc>
      </w:tr>
      <w:tr>
        <w:trPr>
          <w:trHeight w:val="236"/>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FF0FC"/>
          </w:tcPr>
          <w:p>
            <w:pPr>
              <w:spacing w:after="0"/>
              <w:rPr>
                <w:sz w:val="20"/>
                <w:szCs w:val="20"/>
                <w:color w:val="auto"/>
              </w:rPr>
            </w:pP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20"/>
                <w:szCs w:val="20"/>
                <w:color w:val="auto"/>
              </w:rPr>
            </w:pPr>
          </w:p>
        </w:tc>
      </w:tr>
      <w:tr>
        <w:trPr>
          <w:trHeight w:val="247"/>
        </w:trPr>
        <w:tc>
          <w:tcPr>
            <w:tcW w:w="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03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left="520" w:right="880" w:hanging="512"/>
        <w:spacing w:after="0" w:line="26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hanging="512"/>
        <w:spacing w:after="0" w:line="25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2024 Notes and 2026 Notes are presented net of the combination of deferred financing costs and original issue discounts totaling $11.8 million, $0.3 million, $0.7 million, $4.0 million and $5.3 million, respectively.</w:t>
      </w:r>
    </w:p>
    <w:p>
      <w:pPr>
        <w:spacing w:after="0" w:line="1" w:lineRule="exact"/>
        <w:rPr>
          <w:rFonts w:ascii="Times New Roman" w:cs="Times New Roman" w:eastAsia="Times New Roman" w:hAnsi="Times New Roman"/>
          <w:sz w:val="18"/>
          <w:szCs w:val="18"/>
          <w:color w:val="auto"/>
        </w:rPr>
      </w:pPr>
    </w:p>
    <w:p>
      <w:pPr>
        <w:ind w:left="520" w:right="100" w:hanging="512"/>
        <w:spacing w:after="0" w:line="26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2024 Notes and 2026 Notes are presented inclusive of an incremental $4.4 million and $(10.2) million, which represents an adjustment in the carrying values of the 2024 Notes and 2026 Notes, each resulting from a hedge accounting relationship.</w:t>
      </w:r>
    </w:p>
    <w:p>
      <w:pPr>
        <w:spacing w:after="0" w:line="200" w:lineRule="exact"/>
        <w:rPr>
          <w:sz w:val="20"/>
          <w:szCs w:val="20"/>
          <w:color w:val="auto"/>
        </w:rPr>
      </w:pPr>
    </w:p>
    <w:p>
      <w:pPr>
        <w:spacing w:after="0" w:line="224"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we were in compliance with the terms of our debt arrangements. We intend to continue to utilize our credit facilities to fund investments and for other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us, under certain circumstances, to increase the size of the facility to up to $2.0 billion.</w:t>
      </w:r>
    </w:p>
    <w:p>
      <w:pPr>
        <w:spacing w:after="0" w:line="176"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Pursuant to the Twelfth Amendment, with respect to $1.510 billion in commitments, the revolving period, during which period we, subject to certain conditions, may make borrowings under the facility, was extended to April 24, 2026 and the stated maturity date was extended to April 23, 2027. For the remaining $75.0 million of commitments, (A) with respect to $25.0 million of commitments, the revolving period ends January 31, 2024 and the stated maturity is January 31, 2025 and (B) with respect to $50.0 million of commitments, the revolving period ends on February 4, 2025 and the stated maturity is February 4, 2026.</w:t>
      </w:r>
    </w:p>
    <w:p>
      <w:pPr>
        <w:spacing w:after="0" w:line="183" w:lineRule="exact"/>
        <w:rPr>
          <w:sz w:val="20"/>
          <w:szCs w:val="20"/>
          <w:color w:val="auto"/>
        </w:rPr>
      </w:pPr>
    </w:p>
    <w:p>
      <w:pPr>
        <w:ind w:right="800" w:firstLine="255"/>
        <w:spacing w:after="0" w:line="282" w:lineRule="auto"/>
        <w:rPr>
          <w:sz w:val="20"/>
          <w:szCs w:val="20"/>
          <w:color w:val="auto"/>
        </w:rPr>
      </w:pPr>
      <w:r>
        <w:rPr>
          <w:rFonts w:ascii="Times New Roman" w:cs="Times New Roman" w:eastAsia="Times New Roman" w:hAnsi="Times New Roman"/>
          <w:sz w:val="18"/>
          <w:szCs w:val="18"/>
          <w:color w:val="auto"/>
        </w:rPr>
        <w:t>Pursuant to an amendment to the Revolving Credit Facility dated as of May 19, 2022 (the “Thirteenth Amendment”), certain non-substantive administrative and operational elements were updated.</w:t>
      </w:r>
    </w:p>
    <w:p>
      <w:pPr>
        <w:spacing w:after="0" w:line="162"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2022, we had outstanding debt denominated in Australian dollars (AUD) of 69.0 million, British pounds (GBP) of 12.9 million, Canadian dollars (CAD) of 96.6 million, and Euro (EUR) of 23.4 million on our Revolving Credit Facility, included in the Outstanding Principal amount in the table above.</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2022 and December 31, 2021, we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9" w:name="page80"/>
    <w:bookmarkEnd w:id="79"/>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0.375% on undrawn amounts and, in respect of each undrawn letter of credit, a fee and interest rate equal to the then applicable margin while the letter of credit is outstanding.</w:t>
      </w:r>
    </w:p>
    <w:p>
      <w:pPr>
        <w:spacing w:after="0" w:line="18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54" w:lineRule="exact"/>
        <w:rPr>
          <w:sz w:val="20"/>
          <w:szCs w:val="20"/>
          <w:color w:val="auto"/>
        </w:rPr>
      </w:pPr>
    </w:p>
    <w:p>
      <w:pPr>
        <w:ind w:left="520" w:hanging="257"/>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1600" w:hanging="257"/>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January 31, 2020; and</w:t>
      </w:r>
    </w:p>
    <w:p>
      <w:pPr>
        <w:spacing w:after="0" w:line="53" w:lineRule="exact"/>
        <w:rPr>
          <w:rFonts w:ascii="Times New Roman" w:cs="Times New Roman" w:eastAsia="Times New Roman" w:hAnsi="Times New Roman"/>
          <w:sz w:val="18"/>
          <w:szCs w:val="18"/>
          <w:color w:val="auto"/>
        </w:rPr>
      </w:pPr>
    </w:p>
    <w:p>
      <w:pPr>
        <w:ind w:left="520" w:right="1460" w:hanging="257"/>
        <w:spacing w:after="0" w:line="261"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we issued in a registered public offering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our 2022 Convertible Notes issued in February 2017. The 2022 Convertible Notes matured on August 1, 2022.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80"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we repurchased on the open market and extinguished $29.7 million in aggregate principal amount of the 2022 Convertible Notes for $29.5 million. In connection with the repurchases of the 2022 Convertible Notes, we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75"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were entitled to convert their notes at any time.</w:t>
      </w:r>
    </w:p>
    <w:p>
      <w:pPr>
        <w:spacing w:after="0" w:line="68"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On September 30, 2021, we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we elected combination settlement. During the three months ended December 31, 2021, $42.8 million of principal of the 2022 Convertible Notes were converted and were settled with a combination of cash and 2,324,820 shares of our common stock. In connection with the settlement of the 2022 Convertible Notes, we entered into a floating-to-fixed interest rate swap with an aggregate notional amount equal to the amount of 2022 Convertible Notes settled, which had the effect of reducing the notional exposure of the fixed-to-floating</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ind w:right="40"/>
        <w:spacing w:after="0" w:line="282" w:lineRule="auto"/>
        <w:rPr>
          <w:sz w:val="20"/>
          <w:szCs w:val="20"/>
          <w:color w:val="auto"/>
        </w:rPr>
      </w:pPr>
      <w:r>
        <w:rPr>
          <w:rFonts w:ascii="Times New Roman" w:cs="Times New Roman" w:eastAsia="Times New Roman" w:hAnsi="Times New Roman"/>
          <w:sz w:val="18"/>
          <w:szCs w:val="18"/>
          <w:color w:val="auto"/>
        </w:rPr>
        <w:t>interest rate swaps, which were entered into in connection with the issuance of the 2022 Convertible Notes, to match the remaining principal amount of the 2022 Convertible Notes outstanding.</w:t>
      </w:r>
    </w:p>
    <w:p>
      <w:pPr>
        <w:spacing w:after="0" w:line="54"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On January 26, 2022, we notified the trustee and holders of the 2022 Convertible Notes that the terms of settlement for the notes at our election was a combination settlement of cash and stock to occur after the 40 day observation period described in the notes indenture. We elected to settle any 2022 Convertible Notes that were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7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2022 Convertible Notes were accounted for in accordance with ASC Topic 470-20. During the period ended March 31, 2021, we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we calculated diluted earnings per shares using the if-converted method which assumed full share settlement for the aggregate value of the 2022 Convertible Notes.</w:t>
      </w:r>
    </w:p>
    <w:p>
      <w:pPr>
        <w:spacing w:after="0" w:line="72"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us.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2023 Notes offering, we entered into an interest rate swap to align the interest rates of our liabilities with our investment portfolio, which consists of predominately floating rate loans. The notional amount of the interest rate swap was $150.0 million, which matured on January 22, 2023, matching the maturity date of the 2023 Notes. As a result of the swap, our effective interest rate on the 2023 Notes was three-month LIBOR plus 1.99%.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8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3"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1" w:name="page82"/>
    <w:bookmarkEnd w:id="81"/>
    <w:p>
      <w:pPr>
        <w:ind w:firstLine="25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83"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2022 and 2021, we had the following commitments to fund investments in current portfolio companies: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Alpha Midco, Inc. - Delayed Draw</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American Achievement, Corp.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ASG II,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Avalara,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AvidXchange,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Axonify,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Bayshore Intermediate #2, L.P. -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BCTO Ace Purchaser,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Bear OpCo,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Biohaven Pharmaceuticals,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BlueSnap, Inc.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BTRS Holdings, Inc.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Carlstar Group, LLC -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Clinicient,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Cordance Operations, LLC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CrunchTime Information Systems,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DaySmart Holdings,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Destiny Solutions Parent Holding Company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Dye &amp; Durham Corp.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EDB Parent, LLC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Erling Lux Bidco SARL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Elysian Finco Ltd.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Employment Hero Holdings Pty Ltd.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EMS Linq,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r>
      <w:tr>
        <w:trPr>
          <w:trHeight w:val="17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ExtraHop Networks,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ForeScout Technologies, Inc.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 Treasury SS,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Hornetsecurity Holding GmbH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Ibis Intermediate Co.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IntelePeer Holdings, Inc.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IRGSE Holding Corp. -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Kyriba Corp.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LeanTaaS Holdings,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Lithium Technologies, LLC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Lucidworks, Inc.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Murchison Oil and Gas, LLC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Netwrix Corp.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Neuintel, LLC - Delayed Draw</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OutSystems Luxco SARL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PageUp People, Ltd.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Passport Labs, Inc.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Ping Identity Holding Corp.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PrimePay Intermediate,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PrimeRevenue, Inc.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Project44, Inc.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ReliaQuest Holdings, LLC - Delayed Draw &amp;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Tango Management Consulting, LLC - Delayed Draw &amp; Revolver</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FF0FC"/>
          </w:tcPr>
          <w:p>
            <w:pPr>
              <w:spacing w:after="0"/>
              <w:rPr>
                <w:sz w:val="15"/>
                <w:szCs w:val="15"/>
                <w:color w:val="auto"/>
              </w:rPr>
            </w:pPr>
          </w:p>
        </w:tc>
      </w:tr>
      <w:tr>
        <w:trPr>
          <w:trHeight w:val="17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TRP Assets, LLC - Delayed Draw and Membership Interest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r>
      <w:tr>
        <w:trPr>
          <w:trHeight w:val="17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Verdad Resources Intermediate Holdings, LLC - Delayed Draw</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WideOrbit, Inc. - Revolver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r>
      <w:tr>
        <w:trPr>
          <w:trHeight w:val="175"/>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Workwell Acquisition Co. - Delayed Draw</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664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338.0</w:t>
            </w:r>
          </w:p>
        </w:tc>
        <w:tc>
          <w:tcPr>
            <w:tcW w:w="32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332.2</w:t>
            </w:r>
          </w:p>
        </w:tc>
        <w:tc>
          <w:tcPr>
            <w:tcW w:w="80" w:type="dxa"/>
            <w:vAlign w:val="bottom"/>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-145415</wp:posOffset>
            </wp:positionV>
            <wp:extent cx="6032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-145415</wp:posOffset>
            </wp:positionV>
            <wp:extent cx="51435"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146050"/>
                    </a:xfrm>
                    <a:prstGeom prst="rect">
                      <a:avLst/>
                    </a:prstGeom>
                    <a:noFill/>
                  </pic:spPr>
                </pic:pic>
              </a:graphicData>
            </a:graphic>
          </wp:anchor>
        </w:drawing>
      </w:r>
    </w:p>
    <w:p>
      <w:pPr>
        <w:spacing w:after="0" w:line="205" w:lineRule="exact"/>
        <w:rPr>
          <w:sz w:val="20"/>
          <w:szCs w:val="20"/>
          <w:color w:val="auto"/>
        </w:rPr>
      </w:pPr>
    </w:p>
    <w:p>
      <w:pPr>
        <w:jc w:val="both"/>
        <w:ind w:left="520" w:right="16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56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we did not have any unfunded commitments to fund investments to new borrowers that were not current portfolio companies as of such date.</w:t>
      </w:r>
    </w:p>
    <w:p>
      <w:pPr>
        <w:spacing w:after="0" w:line="54" w:lineRule="exact"/>
        <w:rPr>
          <w:sz w:val="20"/>
          <w:szCs w:val="20"/>
          <w:color w:val="auto"/>
        </w:rPr>
      </w:pPr>
    </w:p>
    <w:p>
      <w:pPr>
        <w:jc w:val="both"/>
        <w:ind w:right="44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2022, management is not aware of any material pending or threatened litigation that would require accounting recognition or financial statement disclosure.</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December 31, 2022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100" w:type="dxa"/>
            <w:vAlign w:val="bottom"/>
          </w:tcPr>
          <w:p>
            <w:pPr>
              <w:spacing w:after="0"/>
              <w:rPr>
                <w:sz w:val="16"/>
                <w:szCs w:val="16"/>
                <w:color w:val="auto"/>
              </w:rPr>
            </w:pPr>
          </w:p>
        </w:tc>
      </w:tr>
      <w:tr>
        <w:trPr>
          <w:trHeight w:val="237"/>
        </w:trPr>
        <w:tc>
          <w:tcPr>
            <w:tcW w:w="50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81"/>
        </w:trPr>
        <w:tc>
          <w:tcPr>
            <w:tcW w:w="52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jc w:val="both"/>
        <w:ind w:right="100" w:firstLine="255"/>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240" w:hanging="257"/>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162"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4" w:name="page85"/>
    <w:bookmarkEnd w:id="84"/>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60" w:hanging="257"/>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17" w:lineRule="exact"/>
        <w:rPr>
          <w:rFonts w:ascii="Times New Roman" w:cs="Times New Roman" w:eastAsia="Times New Roman" w:hAnsi="Times New Roman"/>
          <w:sz w:val="18"/>
          <w:szCs w:val="18"/>
          <w:color w:val="auto"/>
        </w:rPr>
      </w:pPr>
    </w:p>
    <w:p>
      <w:pPr>
        <w:ind w:left="520" w:right="1480" w:hanging="257"/>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ongoing agreement with an affiliate of TPG Global, LLC governing, inter alia, the parties’ respective ownership of and rights to use the “Sixth Street” and “TPG” trademarks and certain variations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8"/>
          <w:szCs w:val="18"/>
          <w:i w:val="1"/>
          <w:iCs w:val="1"/>
          <w:color w:val="auto"/>
        </w:rPr>
        <w:t>“ITEM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54" w:lineRule="exact"/>
        <w:rPr>
          <w:sz w:val="20"/>
          <w:szCs w:val="20"/>
          <w:color w:val="auto"/>
        </w:rPr>
      </w:pPr>
    </w:p>
    <w:p>
      <w:pPr>
        <w:ind w:left="520" w:hanging="257"/>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value of the portfolio company’s net debt and equity);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17" w:lineRule="exact"/>
        <w:rPr>
          <w:rFonts w:ascii="Times New Roman" w:cs="Times New Roman" w:eastAsia="Times New Roman" w:hAnsi="Times New Roman"/>
          <w:sz w:val="18"/>
          <w:szCs w:val="18"/>
          <w:color w:val="auto"/>
        </w:rPr>
      </w:pPr>
    </w:p>
    <w:p>
      <w:pPr>
        <w:ind w:left="520" w:right="240" w:hanging="257"/>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hanging="257"/>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2022,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81"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20" w:hanging="257"/>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17" w:lineRule="exact"/>
        <w:rPr>
          <w:rFonts w:ascii="Times New Roman" w:cs="Times New Roman" w:eastAsia="Times New Roman" w:hAnsi="Times New Roman"/>
          <w:sz w:val="18"/>
          <w:szCs w:val="18"/>
          <w:color w:val="auto"/>
        </w:rPr>
      </w:pPr>
    </w:p>
    <w:p>
      <w:pPr>
        <w:ind w:left="520" w:right="520" w:hanging="257"/>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86" w:name="page87"/>
    <w:bookmarkEnd w:id="86"/>
    <w:p>
      <w:pPr>
        <w:ind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6 to our consolidated financial statements included in this Form 10-K for more information on the fair value of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0"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2022, the Company did not have any uncertain tax positions that met the recognition or measurement criteria, nor did the Company have any unrecognized tax benefits. Our 2021, 2020 and 2019 tax year returns remain subject to examination by the relevant federal, state, and local tax authorities.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255"/>
        <w:spacing w:after="0" w:line="289"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58" w:lineRule="exact"/>
        <w:rPr>
          <w:sz w:val="20"/>
          <w:szCs w:val="20"/>
          <w:color w:val="auto"/>
        </w:rPr>
      </w:pPr>
    </w:p>
    <w:p>
      <w:pPr>
        <w:ind w:right="52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2022, 98.9% of our debt investments based on fair value in our portfolio bore interest at floating rates, with 100.0% of these subject to interest rate floors. Our credit facilities also bear interest at floating rates, and in connection with our 2023 Notes, 2024 Notes and 2026 Notes, which bear interest at fixed rates, we entered into fixed-to-floating interest rate swaps in order to align the interest rates of our liabilities with our investment portfolio.</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December 31, 2022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8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37"/>
        </w:trPr>
        <w:tc>
          <w:tcPr>
            <w:tcW w:w="5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0"/>
                <w:szCs w:val="20"/>
                <w:color w:val="auto"/>
              </w:rPr>
            </w:pPr>
          </w:p>
        </w:tc>
      </w:tr>
      <w:tr>
        <w:trPr>
          <w:trHeight w:val="23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4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33"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88" w:name="page89"/>
    <w:bookmarkEnd w:id="88"/>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83"/>
        </w:trPr>
        <w:tc>
          <w:tcPr>
            <w:tcW w:w="4240" w:type="dxa"/>
            <w:vAlign w:val="bottom"/>
            <w:tcBorders>
              <w:bottom w:val="single" w:sz="8" w:color="0000FF"/>
            </w:tcBorders>
            <w:gridSpan w:val="2"/>
          </w:tcPr>
          <w:p>
            <w:pPr>
              <w:ind w:left="20"/>
              <w:spacing w:after="0" w:line="183"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80" w:type="dxa"/>
            <w:vAlign w:val="bottom"/>
            <w:gridSpan w:val="7"/>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F-</w:t>
            </w:r>
          </w:p>
        </w:tc>
      </w:tr>
      <w:tr>
        <w:trPr>
          <w:trHeight w:val="372"/>
        </w:trPr>
        <w:tc>
          <w:tcPr>
            <w:tcW w:w="10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71"/>
        </w:trPr>
        <w:tc>
          <w:tcPr>
            <w:tcW w:w="10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72"/>
        </w:trPr>
        <w:tc>
          <w:tcPr>
            <w:tcW w:w="542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Schedules of Investments as of December 31, 2022 and 2021</w:t>
            </w:r>
          </w:p>
        </w:tc>
        <w:tc>
          <w:tcPr>
            <w:tcW w:w="20" w:type="dxa"/>
            <w:vAlign w:val="bottom"/>
            <w:tcBorders>
              <w:top w:val="single" w:sz="8" w:color="0000FF"/>
              <w:bottom w:val="single" w:sz="8" w:color="0000EE"/>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320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72"/>
        </w:trPr>
        <w:tc>
          <w:tcPr>
            <w:tcW w:w="77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Net Assets for the Years Ended December 31, 2022, 2021 and 2020</w:t>
            </w:r>
          </w:p>
        </w:tc>
        <w:tc>
          <w:tcPr>
            <w:tcW w:w="2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F-20</w:t>
            </w:r>
          </w:p>
        </w:tc>
      </w:tr>
      <w:tr>
        <w:trPr>
          <w:trHeight w:val="372"/>
        </w:trPr>
        <w:tc>
          <w:tcPr>
            <w:tcW w:w="698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314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F-21</w:t>
            </w:r>
          </w:p>
        </w:tc>
      </w:tr>
      <w:tr>
        <w:trPr>
          <w:trHeight w:val="371"/>
        </w:trPr>
        <w:tc>
          <w:tcPr>
            <w:tcW w:w="10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F-22</w:t>
            </w:r>
          </w:p>
        </w:tc>
      </w:tr>
      <w:tr>
        <w:trPr>
          <w:trHeight w:val="898"/>
        </w:trPr>
        <w:tc>
          <w:tcPr>
            <w:tcW w:w="31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Sixth Street Specialty Lending, Inc. and subsidiaries (the Company), including the consolidated schedules of investments, as of December 31, 2022 and 2021, the related consolidated statements of operations, changes in net assets,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changes in its net assets,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2022 and 2021,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the fair value of investments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discussed in Notes 2, 4, and 6 to the consolidated financial statements, the Company classified $2.69 billion of its debt and equity investments as Level 3 in the fair value hierarchy as of December 31, 2022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fair value of Level 3 debt and equity investments as a critical audit matter because evaluating the assumptions used to measure fair value involved a high degree of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$2,707,442 and $2,354,984,</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2,717,170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2,434,797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$0 and $12,666, respectively)</w:t>
            </w: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100" w:type="dxa"/>
            <w:vAlign w:val="bottom"/>
          </w:tcPr>
          <w:p>
            <w:pPr>
              <w:spacing w:after="0"/>
              <w:rPr>
                <w:sz w:val="20"/>
                <w:szCs w:val="20"/>
                <w:color w:val="auto"/>
              </w:rPr>
            </w:pPr>
          </w:p>
        </w:tc>
      </w:tr>
      <w:tr>
        <w:trPr>
          <w:trHeight w:val="247"/>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Controlled, affiliated investments (amortized cost of $67,284 and $64,362, respectively)</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 (amortized cost of $2,774,726 and $2,432,012,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2,521,593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(restricted cash of $15,437 and $14,399 respectively)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2,836,947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2,551,857</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deferred financing costs of $17,760 and $19,147, respectively)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1,441,796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1,185,964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on net investment income payable to affiliate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 on net capital gains accrued to affiliate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00" w:type="dxa"/>
            <w:vAlign w:val="bottom"/>
          </w:tcPr>
          <w:p>
            <w:pPr>
              <w:spacing w:after="0"/>
              <w:rPr>
                <w:sz w:val="20"/>
                <w:szCs w:val="20"/>
                <w:color w:val="auto"/>
              </w:rPr>
            </w:pPr>
          </w:p>
        </w:tc>
      </w:tr>
      <w:tr>
        <w:trPr>
          <w:trHeight w:val="238"/>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1,495,378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$0.01 par value; 400,000,000 shares authorized, 82,053,537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76,067,586 shares issued, respectively; and 81,389,287 and 75,771,542</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1,294,751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1,189,275</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664,250 and 296,044 shares held, respectively</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(10,459 )</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(4,291 )</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earnings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90,103</w:t>
            </w:r>
          </w:p>
        </w:tc>
        <w:tc>
          <w:tcPr>
            <w:tcW w:w="100" w:type="dxa"/>
            <w:vAlign w:val="bottom"/>
          </w:tcPr>
          <w:p>
            <w:pPr>
              <w:spacing w:after="0"/>
              <w:rPr>
                <w:sz w:val="20"/>
                <w:szCs w:val="20"/>
                <w:color w:val="auto"/>
              </w:rPr>
            </w:pPr>
          </w:p>
        </w:tc>
      </w:tr>
      <w:tr>
        <w:trPr>
          <w:trHeight w:val="239"/>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1,341,569</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2,836,947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2,551,857</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-4242435</wp:posOffset>
            </wp:positionV>
            <wp:extent cx="6858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-3616960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-2030730</wp:posOffset>
            </wp:positionV>
            <wp:extent cx="685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-367665</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13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292,442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261,782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237,260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9,502</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22,174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20" w:type="dxa"/>
            <w:vAlign w:val="bottom"/>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investment income from non-controlled, non-affiliated</w:t>
            </w:r>
          </w:p>
        </w:tc>
        <w:tc>
          <w:tcPr>
            <w:tcW w:w="16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304,103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272,959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261,250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20" w:type="dxa"/>
            <w:vAlign w:val="bottom"/>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investment income from non-controlled, affiliated</w:t>
            </w:r>
          </w:p>
        </w:tc>
        <w:tc>
          <w:tcPr>
            <w:tcW w:w="16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FF0FC"/>
          </w:tcPr>
          <w:p>
            <w:pPr>
              <w:spacing w:after="0"/>
              <w:rPr>
                <w:sz w:val="16"/>
                <w:szCs w:val="16"/>
                <w:color w:val="auto"/>
              </w:rPr>
            </w:pPr>
          </w:p>
        </w:tc>
        <w:tc>
          <w:tcPr>
            <w:tcW w:w="14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309,305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278,593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37,081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(8,864 )</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140,783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136,040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117,273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10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Pr>
          <w:p>
            <w:pPr>
              <w:spacing w:after="0"/>
              <w:rPr>
                <w:sz w:val="14"/>
                <w:szCs w:val="14"/>
                <w:color w:val="auto"/>
              </w:rPr>
            </w:pP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140,356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135,850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117,273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(70,085 )</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17,938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(14,350 )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(591 )</w:t>
            </w:r>
          </w:p>
        </w:tc>
        <w:tc>
          <w:tcPr>
            <w:tcW w:w="1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(5,068 )</w:t>
            </w: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(6,748 )</w:t>
            </w: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(6,699 )</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10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(1,902 )</w:t>
            </w:r>
          </w:p>
        </w:tc>
        <w:tc>
          <w:tcPr>
            <w:tcW w:w="100" w:type="dxa"/>
            <w:vAlign w:val="bottom"/>
          </w:tcPr>
          <w:p>
            <w:pPr>
              <w:spacing w:after="0"/>
              <w:rPr>
                <w:sz w:val="15"/>
                <w:szCs w:val="15"/>
                <w:color w:val="auto"/>
              </w:rPr>
            </w:pP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(74,969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33,695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28,849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(36,352 )</w:t>
            </w: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Extinguishment of debt</w:t>
            </w:r>
          </w:p>
        </w:tc>
        <w:tc>
          <w:tcPr>
            <w:tcW w:w="16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1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28,875</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6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Unrealized and Realized Gains (Losses)</w:t>
            </w:r>
          </w:p>
        </w:tc>
        <w:tc>
          <w:tcPr>
            <w:tcW w:w="1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(58,274 )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108,053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211,780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178,108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w:t>
            </w:r>
          </w:p>
        </w:tc>
        <w:tc>
          <w:tcPr>
            <w:tcW w:w="16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78,197,826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72,169,488</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67,209,078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common share—diluted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outstanding—diluted</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78,197,826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77,702,258</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67,209,078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-5725795</wp:posOffset>
            </wp:positionV>
            <wp:extent cx="7747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-5725795</wp:posOffset>
            </wp:positionV>
            <wp:extent cx="6858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-5725795</wp:posOffset>
            </wp:positionV>
            <wp:extent cx="68580"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-4396740</wp:posOffset>
            </wp:positionV>
            <wp:extent cx="77470"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-4396740</wp:posOffset>
            </wp:positionV>
            <wp:extent cx="6858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-3256915</wp:posOffset>
            </wp:positionV>
            <wp:extent cx="7747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6858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-3016885</wp:posOffset>
            </wp:positionV>
            <wp:extent cx="7747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-3016885</wp:posOffset>
            </wp:positionV>
            <wp:extent cx="6858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-2785110</wp:posOffset>
            </wp:positionV>
            <wp:extent cx="7747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-2785110</wp:posOffset>
            </wp:positionV>
            <wp:extent cx="68580"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-1653540</wp:posOffset>
            </wp:positionV>
            <wp:extent cx="7747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-1653540</wp:posOffset>
            </wp:positionV>
            <wp:extent cx="68580"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-745490</wp:posOffset>
            </wp:positionV>
            <wp:extent cx="7747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-745490</wp:posOffset>
            </wp:positionV>
            <wp:extent cx="6858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-505460</wp:posOffset>
            </wp:positionV>
            <wp:extent cx="192913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29130" cy="1460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-248285</wp:posOffset>
            </wp:positionV>
            <wp:extent cx="7747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-248285</wp:posOffset>
            </wp:positionV>
            <wp:extent cx="6858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 as of December 31, 2022</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ectPr>
          <w:pgSz w:w="11900" w:h="16838" w:orient="portrait"/>
          <w:cols w:equalWidth="0" w:num="1">
            <w:col w:w="10900"/>
          </w:cols>
          <w:pgMar w:left="500" w:top="333" w:right="4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0883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Debt Investments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Carlstar Group, LLC </w:t>
      </w:r>
      <w:r>
        <w:rPr>
          <w:rFonts w:ascii="Times New Roman" w:cs="Times New Roman" w:eastAsia="Times New Roman" w:hAnsi="Times New Roman"/>
          <w:sz w:val="14"/>
          <w:szCs w:val="14"/>
          <w:color w:val="auto"/>
          <w:vertAlign w:val="superscript"/>
        </w:rPr>
        <w:t>(3)</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p>
      <w:pPr>
        <w:ind w:left="20"/>
        <w:spacing w:after="0"/>
        <w:rPr>
          <w:sz w:val="20"/>
          <w:szCs w:val="20"/>
          <w:color w:val="auto"/>
        </w:rPr>
      </w:pPr>
      <w:r>
        <w:rPr>
          <w:rFonts w:ascii="Times New Roman" w:cs="Times New Roman" w:eastAsia="Times New Roman" w:hAnsi="Times New Roman"/>
          <w:sz w:val="11"/>
          <w:szCs w:val="11"/>
          <w:color w:val="auto"/>
        </w:rPr>
        <w:t xml:space="preserve">Acceo Solutions, Inc. </w:t>
      </w:r>
      <w:r>
        <w:rPr>
          <w:rFonts w:ascii="Times New Roman" w:cs="Times New Roman" w:eastAsia="Times New Roman" w:hAnsi="Times New Roman"/>
          <w:sz w:val="14"/>
          <w:szCs w:val="14"/>
          <w:color w:val="auto"/>
          <w:vertAlign w:val="superscript"/>
        </w:rPr>
        <w:t>(3)(4)(5)</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Alpha Midco, Inc. </w:t>
      </w:r>
      <w:r>
        <w:rPr>
          <w:rFonts w:ascii="Times New Roman" w:cs="Times New Roman" w:eastAsia="Times New Roman" w:hAnsi="Times New Roman"/>
          <w:sz w:val="14"/>
          <w:szCs w:val="14"/>
          <w:color w:val="auto"/>
          <w:vertAlign w:val="superscript"/>
        </w:rPr>
        <w:t>(3)(5)</w:t>
      </w:r>
    </w:p>
    <w:p>
      <w:pPr>
        <w:ind w:left="20"/>
        <w:spacing w:after="0"/>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14"/>
          <w:szCs w:val="14"/>
          <w:color w:val="auto"/>
          <w:vertAlign w:val="superscript"/>
        </w:rPr>
        <w:t>(3)(5)</w:t>
      </w:r>
    </w:p>
    <w:p>
      <w:pPr>
        <w:ind w:left="20"/>
        <w:spacing w:after="0" w:line="217" w:lineRule="auto"/>
        <w:rPr>
          <w:sz w:val="20"/>
          <w:szCs w:val="20"/>
          <w:color w:val="auto"/>
        </w:rPr>
      </w:pPr>
      <w:r>
        <w:rPr>
          <w:rFonts w:ascii="Times New Roman" w:cs="Times New Roman" w:eastAsia="Times New Roman" w:hAnsi="Times New Roman"/>
          <w:sz w:val="11"/>
          <w:szCs w:val="11"/>
          <w:color w:val="auto"/>
        </w:rPr>
        <w:t xml:space="preserve">ForeScout Technologies, Inc. </w:t>
      </w:r>
      <w:r>
        <w:rPr>
          <w:rFonts w:ascii="Times New Roman" w:cs="Times New Roman" w:eastAsia="Times New Roman" w:hAnsi="Times New Roman"/>
          <w:sz w:val="14"/>
          <w:szCs w:val="14"/>
          <w:color w:val="auto"/>
          <w:vertAlign w:val="superscript"/>
        </w:rPr>
        <w:t>(3)</w:t>
      </w: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 xml:space="preserve">Hornetsecurity Holding GmbH </w:t>
      </w:r>
      <w:r>
        <w:rPr>
          <w:rFonts w:ascii="Times New Roman" w:cs="Times New Roman" w:eastAsia="Times New Roman" w:hAnsi="Times New Roman"/>
          <w:sz w:val="13"/>
          <w:szCs w:val="13"/>
          <w:color w:val="auto"/>
          <w:vertAlign w:val="superscript"/>
        </w:rPr>
        <w:t>(3)(4)</w:t>
      </w:r>
    </w:p>
    <w:p>
      <w:pPr>
        <w:spacing w:after="0" w:line="139" w:lineRule="exact"/>
        <w:rPr>
          <w:sz w:val="20"/>
          <w:szCs w:val="20"/>
          <w:color w:val="auto"/>
        </w:rPr>
      </w:pPr>
    </w:p>
    <w:p>
      <w:pPr>
        <w:ind w:left="20"/>
        <w:spacing w:after="0" w:line="216" w:lineRule="auto"/>
        <w:rPr>
          <w:sz w:val="20"/>
          <w:szCs w:val="20"/>
          <w:color w:val="auto"/>
        </w:rPr>
      </w:pPr>
      <w:r>
        <w:rPr>
          <w:rFonts w:ascii="Times New Roman" w:cs="Times New Roman" w:eastAsia="Times New Roman" w:hAnsi="Times New Roman"/>
          <w:sz w:val="11"/>
          <w:szCs w:val="11"/>
          <w:color w:val="auto"/>
        </w:rPr>
        <w:t xml:space="preserve">Information Clearinghouse, LLC and MS Market Service, LLC </w:t>
      </w:r>
      <w:r>
        <w:rPr>
          <w:rFonts w:ascii="Times New Roman" w:cs="Times New Roman" w:eastAsia="Times New Roman" w:hAnsi="Times New Roman"/>
          <w:sz w:val="14"/>
          <w:szCs w:val="14"/>
          <w:color w:val="auto"/>
          <w:vertAlign w:val="superscript"/>
        </w:rPr>
        <w:t>(3)(5)</w:t>
      </w:r>
    </w:p>
    <w:p>
      <w:pPr>
        <w:ind w:left="20"/>
        <w:spacing w:after="0" w:line="181" w:lineRule="auto"/>
        <w:rPr>
          <w:sz w:val="20"/>
          <w:szCs w:val="20"/>
          <w:color w:val="auto"/>
        </w:rPr>
      </w:pPr>
      <w:r>
        <w:rPr>
          <w:rFonts w:ascii="Times New Roman" w:cs="Times New Roman" w:eastAsia="Times New Roman" w:hAnsi="Times New Roman"/>
          <w:sz w:val="9"/>
          <w:szCs w:val="9"/>
          <w:color w:val="auto"/>
        </w:rPr>
        <w:t xml:space="preserve">Mitnick Corporate Purchaser, Inc. </w:t>
      </w:r>
      <w:r>
        <w:rPr>
          <w:rFonts w:ascii="Times New Roman" w:cs="Times New Roman" w:eastAsia="Times New Roman" w:hAnsi="Times New Roman"/>
          <w:sz w:val="11"/>
          <w:szCs w:val="11"/>
          <w:color w:val="auto"/>
          <w:vertAlign w:val="superscript"/>
        </w:rPr>
        <w:t>(3)</w:t>
      </w:r>
    </w:p>
    <w:p>
      <w:pPr>
        <w:ind w:left="20"/>
        <w:spacing w:after="0"/>
        <w:rPr>
          <w:sz w:val="20"/>
          <w:szCs w:val="20"/>
          <w:color w:val="auto"/>
        </w:rPr>
      </w:pPr>
      <w:r>
        <w:rPr>
          <w:rFonts w:ascii="Times New Roman" w:cs="Times New Roman" w:eastAsia="Times New Roman" w:hAnsi="Times New Roman"/>
          <w:sz w:val="7"/>
          <w:szCs w:val="7"/>
          <w:color w:val="auto"/>
        </w:rPr>
        <w:t>(10)</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Netwrix Corp. </w:t>
      </w:r>
      <w:r>
        <w:rPr>
          <w:rFonts w:ascii="Times New Roman" w:cs="Times New Roman" w:eastAsia="Times New Roman" w:hAnsi="Times New Roman"/>
          <w:sz w:val="14"/>
          <w:szCs w:val="14"/>
          <w:color w:val="auto"/>
          <w:vertAlign w:val="superscript"/>
        </w:rPr>
        <w:t>(3)</w:t>
      </w:r>
    </w:p>
    <w:p>
      <w:pPr>
        <w:ind w:left="20"/>
        <w:spacing w:after="0"/>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14"/>
          <w:szCs w:val="14"/>
          <w:color w:val="auto"/>
          <w:vertAlign w:val="superscript"/>
        </w:rPr>
        <w:t>(3)(4)(5)</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14"/>
          <w:szCs w:val="14"/>
          <w:color w:val="auto"/>
          <w:vertAlign w:val="superscript"/>
        </w:rPr>
        <w:t>(3)(5)</w:t>
      </w:r>
    </w:p>
    <w:p>
      <w:pPr>
        <w:ind w:left="20"/>
        <w:spacing w:after="0" w:line="217" w:lineRule="auto"/>
        <w:rPr>
          <w:sz w:val="20"/>
          <w:szCs w:val="20"/>
          <w:color w:val="auto"/>
        </w:rPr>
      </w:pPr>
      <w:r>
        <w:rPr>
          <w:rFonts w:ascii="Times New Roman" w:cs="Times New Roman" w:eastAsia="Times New Roman" w:hAnsi="Times New Roman"/>
          <w:sz w:val="11"/>
          <w:szCs w:val="11"/>
          <w:color w:val="auto"/>
        </w:rPr>
        <w:t xml:space="preserve">TIBCO Software Inc. </w:t>
      </w:r>
      <w:r>
        <w:rPr>
          <w:rFonts w:ascii="Times New Roman" w:cs="Times New Roman" w:eastAsia="Times New Roman" w:hAnsi="Times New Roman"/>
          <w:sz w:val="14"/>
          <w:szCs w:val="14"/>
          <w:color w:val="auto"/>
          <w:vertAlign w:val="superscript"/>
        </w:rPr>
        <w:t>(10)</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WideOrbit, Inc. </w:t>
      </w:r>
      <w:r>
        <w:rPr>
          <w:rFonts w:ascii="Times New Roman" w:cs="Times New Roman" w:eastAsia="Times New Roman" w:hAnsi="Times New Roman"/>
          <w:sz w:val="14"/>
          <w:szCs w:val="14"/>
          <w:color w:val="auto"/>
          <w:vertAlign w:val="superscript"/>
        </w:rPr>
        <w:t>(3)</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Chemicals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Erling Lux Bidco SARL</w:t>
      </w:r>
      <w:r>
        <w:rPr>
          <w:rFonts w:ascii="Times New Roman" w:cs="Times New Roman" w:eastAsia="Times New Roman" w:hAnsi="Times New Roman"/>
          <w:sz w:val="14"/>
          <w:szCs w:val="14"/>
          <w:color w:val="auto"/>
          <w:vertAlign w:val="superscript"/>
        </w:rPr>
        <w:t>(3)(4)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8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80" w:type="dxa"/>
            <w:vAlign w:val="bottom"/>
          </w:tcPr>
          <w:p>
            <w:pPr>
              <w:spacing w:after="0"/>
              <w:rPr>
                <w:sz w:val="9"/>
                <w:szCs w:val="9"/>
                <w:color w:val="auto"/>
              </w:rPr>
            </w:pPr>
          </w:p>
        </w:tc>
        <w:tc>
          <w:tcPr>
            <w:tcW w:w="10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ind w:right="267"/>
              <w:spacing w:after="0" w:line="11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(9)</w:t>
            </w:r>
          </w:p>
        </w:tc>
        <w:tc>
          <w:tcPr>
            <w:tcW w:w="160" w:type="dxa"/>
            <w:vAlign w:val="bottom"/>
          </w:tcPr>
          <w:p>
            <w:pPr>
              <w:spacing w:after="0"/>
              <w:rPr>
                <w:sz w:val="9"/>
                <w:szCs w:val="9"/>
                <w:color w:val="auto"/>
              </w:rPr>
            </w:pPr>
          </w:p>
        </w:tc>
        <w:tc>
          <w:tcPr>
            <w:tcW w:w="960" w:type="dxa"/>
            <w:vAlign w:val="bottom"/>
            <w:gridSpan w:val="2"/>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7"/>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of Net 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($33,575 par, due 7/2027)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7/8/2022</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+ 6.60%</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10.92 %  $</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33,049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278"/>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(CAD 57,353 par, due 10/2025)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7/6/2018</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C + 4.75%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9.49 %</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42,540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(CAD 57,640)</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($68,720 par, due 8/2025)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8/15/2019</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+ 7.63%</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12.21 %</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69,242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(CAD 34,220 par, due 12/2027)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C + 5.75%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10.69 %</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24,113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(CAD 32,672)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revolving loan (CAD 1,448 par, due 12/2026)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12/3/2021</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P + 6.75%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11.20 %</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(CAD 1,448)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($57,950 par, due 7/2027)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7/22/2021</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L + 7.50%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12.23 %</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56,812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56,791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($2,606 par, due 8/2026)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7/1/2022</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L + 9.00%</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13.72% (incl.</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9.00% PIK)</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($6,502 par, due 8/2026)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8/17/2020</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L + 9.50%</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14.23% (incl.</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9.50% PIK)</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3,150 par, due 11/2029)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11/14/2022</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E + 6.50%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8.26 %</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(EUR 3,011)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($17,820 par, due 12/2026)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+ 6.65%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11.16 %</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17,433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($333 par, due 5/2029)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5/2/2022</w:t>
            </w:r>
          </w:p>
        </w:tc>
        <w:tc>
          <w:tcPr>
            <w:tcW w:w="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+ 4.85%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8.94 %</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($36,119 par, due 6/2029)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6/9/2022</w:t>
            </w: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+ 5.00%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9.70 %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35,515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35,119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3,004 par, due 12/2028)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12/8/2022</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E + 5.75%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7.74 %</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(EUR 2,916)</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($63,477 par, due 10/2026)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10/8/2020</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+ 7.25%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11.83 %</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63,477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9"/>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note ($13,000 par, due 3/2029)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9/20/2022</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6.50 %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6.50 %</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First-lien loan ($12,000 par, due 3/2029) </w:t>
            </w:r>
            <w:r>
              <w:rPr>
                <w:rFonts w:ascii="Times New Roman" w:cs="Times New Roman" w:eastAsia="Times New Roman" w:hAnsi="Times New Roman"/>
                <w:sz w:val="14"/>
                <w:szCs w:val="14"/>
                <w:color w:val="auto"/>
                <w:vertAlign w:val="superscript"/>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9/20/2022</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SOFR + 4.60%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9.19 %</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($35,548 par, due 7/2025)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7/8/2020</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L + 8.50%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12.88 %</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36,347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381,976</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383,243</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267"/>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7,239 par, due 9/2028)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9/6/2022</w:t>
            </w:r>
          </w:p>
        </w:tc>
        <w:tc>
          <w:tcPr>
            <w:tcW w:w="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E + 6.75%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8.73 %</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6,908</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(EUR 6,864)</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(GBP 10,217 par, due 9/2028)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9/6/2022</w:t>
            </w:r>
          </w:p>
        </w:tc>
        <w:tc>
          <w:tcPr>
            <w:tcW w:w="8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S + 6.75%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10.20 %</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(GBP 9,911)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-3096895</wp:posOffset>
            </wp:positionV>
            <wp:extent cx="6917690" cy="939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-2908300</wp:posOffset>
            </wp:positionV>
            <wp:extent cx="6917690" cy="93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-2719705</wp:posOffset>
            </wp:positionV>
            <wp:extent cx="691769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-2454275</wp:posOffset>
            </wp:positionV>
            <wp:extent cx="691769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-2111375</wp:posOffset>
            </wp:positionV>
            <wp:extent cx="6917690" cy="93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-1845945</wp:posOffset>
            </wp:positionV>
            <wp:extent cx="691769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-1503045</wp:posOffset>
            </wp:positionV>
            <wp:extent cx="691769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-1185545</wp:posOffset>
            </wp:positionV>
            <wp:extent cx="6917690" cy="939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-919480</wp:posOffset>
            </wp:positionV>
            <wp:extent cx="6917690" cy="93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-731520</wp:posOffset>
            </wp:positionV>
            <wp:extent cx="6917690" cy="939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-534035</wp:posOffset>
            </wp:positionV>
            <wp:extent cx="6917690" cy="3683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17690" cy="3683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620" w:space="180"/>
            <w:col w:w="9100"/>
          </w:cols>
          <w:pgMar w:left="500" w:top="333" w:right="4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6"/>
        </w:trPr>
        <w:tc>
          <w:tcPr>
            <w:tcW w:w="1640" w:type="dxa"/>
            <w:vAlign w:val="bottom"/>
            <w:shd w:val="clear" w:color="auto" w:fill="CFF0FC"/>
          </w:tcPr>
          <w:p>
            <w:pPr>
              <w:spacing w:after="0"/>
              <w:rPr>
                <w:sz w:val="10"/>
                <w:szCs w:val="10"/>
                <w:color w:val="auto"/>
              </w:rPr>
            </w:pPr>
          </w:p>
        </w:tc>
        <w:tc>
          <w:tcPr>
            <w:tcW w:w="27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18,153</w:t>
            </w:r>
          </w:p>
        </w:tc>
        <w:tc>
          <w:tcPr>
            <w:tcW w:w="1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19,248</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1.4 %</w:t>
            </w:r>
          </w:p>
        </w:tc>
      </w:tr>
      <w:tr>
        <w:trPr>
          <w:trHeight w:val="143"/>
        </w:trPr>
        <w:tc>
          <w:tcPr>
            <w:tcW w:w="1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780" w:type="dxa"/>
            <w:vAlign w:val="bottom"/>
            <w:tcBorders>
              <w:top w:val="single" w:sz="8" w:color="CFF0FC"/>
            </w:tcBorders>
          </w:tcPr>
          <w:p>
            <w:pPr>
              <w:spacing w:after="0"/>
              <w:rPr>
                <w:sz w:val="12"/>
                <w:szCs w:val="12"/>
                <w:color w:val="auto"/>
              </w:rPr>
            </w:pPr>
          </w:p>
        </w:tc>
        <w:tc>
          <w:tcPr>
            <w:tcW w:w="140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52"/>
        </w:trPr>
        <w:tc>
          <w:tcPr>
            <w:tcW w:w="164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(3)(5)</w:t>
            </w:r>
          </w:p>
        </w:tc>
        <w:tc>
          <w:tcPr>
            <w:tcW w:w="2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loan ($34,650 par, due 11/2026)</w:t>
            </w:r>
          </w:p>
        </w:tc>
        <w:tc>
          <w:tcPr>
            <w:tcW w:w="14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11/19/2021</w:t>
            </w:r>
          </w:p>
        </w:tc>
        <w:tc>
          <w:tcPr>
            <w:tcW w:w="1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 + 7.00%</w:t>
            </w:r>
          </w:p>
        </w:tc>
        <w:tc>
          <w:tcPr>
            <w:tcW w:w="8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11.38 %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33,764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33,264</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144"/>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IntelePeer Holdings, Inc.</w:t>
            </w:r>
          </w:p>
        </w:tc>
        <w:tc>
          <w:tcPr>
            <w:tcW w:w="2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First-lienloan($34,677par,due12/2024)(3)</w:t>
            </w:r>
          </w:p>
        </w:tc>
        <w:tc>
          <w:tcPr>
            <w:tcW w:w="14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12/2/2019</w:t>
            </w:r>
          </w:p>
        </w:tc>
        <w:tc>
          <w:tcPr>
            <w:tcW w:w="10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+ 8.25%</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12.63 %</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33,983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149"/>
        </w:trPr>
        <w:tc>
          <w:tcPr>
            <w:tcW w:w="1640" w:type="dxa"/>
            <w:vAlign w:val="bottom"/>
            <w:shd w:val="clear" w:color="auto" w:fill="CFF0FC"/>
          </w:tcPr>
          <w:p>
            <w:pPr>
              <w:spacing w:after="0"/>
              <w:rPr>
                <w:sz w:val="12"/>
                <w:szCs w:val="12"/>
                <w:color w:val="auto"/>
              </w:rPr>
            </w:pPr>
          </w:p>
        </w:tc>
        <w:tc>
          <w:tcPr>
            <w:tcW w:w="2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Convertible note ($4,382 par, due 5/2028)</w:t>
            </w:r>
          </w:p>
        </w:tc>
        <w:tc>
          <w:tcPr>
            <w:tcW w:w="14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5/12/2021</w:t>
            </w:r>
          </w:p>
        </w:tc>
        <w:tc>
          <w:tcPr>
            <w:tcW w:w="1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6.50 %</w:t>
            </w:r>
          </w:p>
        </w:tc>
        <w:tc>
          <w:tcPr>
            <w:tcW w:w="8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6.50% PIK</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4,240</w:t>
            </w: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r>
      <w:tr>
        <w:trPr>
          <w:trHeight w:val="20"/>
        </w:trPr>
        <w:tc>
          <w:tcPr>
            <w:tcW w:w="164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1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72,747</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71,487</w:t>
            </w:r>
          </w:p>
        </w:tc>
        <w:tc>
          <w:tcPr>
            <w:tcW w:w="1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5.3 </w:t>
            </w:r>
            <w:r>
              <w:rPr>
                <w:rFonts w:ascii="Times New Roman" w:cs="Times New Roman" w:eastAsia="Times New Roman" w:hAnsi="Times New Roman"/>
                <w:sz w:val="11"/>
                <w:szCs w:val="11"/>
                <w:color w:val="auto"/>
                <w:highlight w:val="white"/>
              </w:rPr>
              <w:t>%</w:t>
            </w:r>
          </w:p>
        </w:tc>
      </w:tr>
      <w:tr>
        <w:trPr>
          <w:trHeight w:val="146"/>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7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4"/>
                <w:szCs w:val="14"/>
                <w:color w:val="auto"/>
                <w:vertAlign w:val="superscript"/>
              </w:rPr>
              <w:t>(3)</w:t>
            </w:r>
          </w:p>
        </w:tc>
        <w:tc>
          <w:tcPr>
            <w:tcW w:w="2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Second-lien loan ($43,479 par, due 10/2029)</w:t>
            </w:r>
          </w:p>
        </w:tc>
        <w:tc>
          <w:tcPr>
            <w:tcW w:w="14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10/25/2021</w:t>
            </w:r>
          </w:p>
        </w:tc>
        <w:tc>
          <w:tcPr>
            <w:tcW w:w="10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+ 8.88%</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13.26 %</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42,743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40,762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108"/>
        </w:trPr>
        <w:tc>
          <w:tcPr>
            <w:tcW w:w="16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Destiny Solutions Parent Holding</w:t>
            </w:r>
          </w:p>
        </w:tc>
        <w:tc>
          <w:tcPr>
            <w:tcW w:w="278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1"/>
                <w:szCs w:val="11"/>
                <w:color w:val="auto"/>
              </w:rPr>
              <w:t>First-lien loan ($60,000 par, due 6/2026)</w:t>
            </w:r>
          </w:p>
        </w:tc>
        <w:tc>
          <w:tcPr>
            <w:tcW w:w="1400" w:type="dxa"/>
            <w:vAlign w:val="bottom"/>
            <w:shd w:val="clear" w:color="auto" w:fill="CFF0FC"/>
          </w:tcPr>
          <w:p>
            <w:pPr>
              <w:jc w:val="right"/>
              <w:ind w:right="166"/>
              <w:spacing w:after="0" w:line="108" w:lineRule="exact"/>
              <w:rPr>
                <w:sz w:val="20"/>
                <w:szCs w:val="20"/>
                <w:color w:val="auto"/>
              </w:rPr>
            </w:pPr>
            <w:r>
              <w:rPr>
                <w:rFonts w:ascii="Times New Roman" w:cs="Times New Roman" w:eastAsia="Times New Roman" w:hAnsi="Times New Roman"/>
                <w:sz w:val="11"/>
                <w:szCs w:val="11"/>
                <w:color w:val="auto"/>
              </w:rPr>
              <w:t>6/8/2021</w:t>
            </w:r>
          </w:p>
        </w:tc>
        <w:tc>
          <w:tcPr>
            <w:tcW w:w="1020" w:type="dxa"/>
            <w:vAlign w:val="bottom"/>
            <w:shd w:val="clear" w:color="auto" w:fill="CFF0FC"/>
          </w:tcPr>
          <w:p>
            <w:pPr>
              <w:ind w:left="240"/>
              <w:spacing w:after="0" w:line="108" w:lineRule="exact"/>
              <w:rPr>
                <w:sz w:val="20"/>
                <w:szCs w:val="20"/>
                <w:color w:val="auto"/>
              </w:rPr>
            </w:pPr>
            <w:r>
              <w:rPr>
                <w:rFonts w:ascii="Times New Roman" w:cs="Times New Roman" w:eastAsia="Times New Roman" w:hAnsi="Times New Roman"/>
                <w:sz w:val="11"/>
                <w:szCs w:val="11"/>
                <w:color w:val="auto"/>
              </w:rPr>
              <w:t>L + 5.75%</w:t>
            </w:r>
          </w:p>
        </w:tc>
        <w:tc>
          <w:tcPr>
            <w:tcW w:w="880" w:type="dxa"/>
            <w:vAlign w:val="bottom"/>
            <w:shd w:val="clear" w:color="auto" w:fill="CFF0FC"/>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10.13 %</w:t>
            </w:r>
          </w:p>
        </w:tc>
        <w:tc>
          <w:tcPr>
            <w:tcW w:w="11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59,046</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58,350</w:t>
            </w:r>
          </w:p>
        </w:tc>
        <w:tc>
          <w:tcPr>
            <w:tcW w:w="114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4.3 %</w:t>
            </w:r>
          </w:p>
        </w:tc>
      </w:tr>
      <w:tr>
        <w:trPr>
          <w:trHeight w:val="162"/>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14"/>
                <w:szCs w:val="14"/>
                <w:color w:val="auto"/>
                <w:vertAlign w:val="superscript"/>
              </w:rPr>
              <w:t>(3)(5)</w:t>
            </w:r>
          </w:p>
        </w:tc>
        <w:tc>
          <w:tcPr>
            <w:tcW w:w="27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8"/>
        </w:trPr>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(3)</w:t>
            </w:r>
          </w:p>
        </w:tc>
        <w:tc>
          <w:tcPr>
            <w:tcW w:w="2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($56,216 par, due 12/2027)</w:t>
            </w:r>
          </w:p>
        </w:tc>
        <w:tc>
          <w:tcPr>
            <w:tcW w:w="14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12/22/2021</w:t>
            </w:r>
          </w:p>
        </w:tc>
        <w:tc>
          <w:tcPr>
            <w:tcW w:w="10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+ 6.25%</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10.63 %</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53,291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138"/>
        </w:trPr>
        <w:tc>
          <w:tcPr>
            <w:tcW w:w="1640" w:type="dxa"/>
            <w:vAlign w:val="bottom"/>
            <w:tcBorders>
              <w:bottom w:val="single" w:sz="8" w:color="CFF0FC"/>
            </w:tcBorders>
            <w:shd w:val="clear" w:color="auto" w:fill="CFF0FC"/>
          </w:tcPr>
          <w:p>
            <w:pPr>
              <w:spacing w:after="0"/>
              <w:rPr>
                <w:sz w:val="11"/>
                <w:szCs w:val="11"/>
                <w:color w:val="auto"/>
              </w:rPr>
            </w:pPr>
          </w:p>
        </w:tc>
        <w:tc>
          <w:tcPr>
            <w:tcW w:w="2780" w:type="dxa"/>
            <w:vAlign w:val="bottom"/>
            <w:tcBorders>
              <w:bottom w:val="single" w:sz="8" w:color="CFF0FC"/>
            </w:tcBorders>
            <w:shd w:val="clear" w:color="auto" w:fill="CFF0FC"/>
          </w:tcPr>
          <w:p>
            <w:pPr>
              <w:spacing w:after="0"/>
              <w:rPr>
                <w:sz w:val="11"/>
                <w:szCs w:val="11"/>
                <w:color w:val="auto"/>
              </w:rPr>
            </w:pPr>
          </w:p>
        </w:tc>
        <w:tc>
          <w:tcPr>
            <w:tcW w:w="14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156,892</w:t>
            </w:r>
          </w:p>
        </w:tc>
        <w:tc>
          <w:tcPr>
            <w:tcW w:w="1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152,403</w:t>
            </w:r>
          </w:p>
        </w:tc>
        <w:tc>
          <w:tcPr>
            <w:tcW w:w="16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-1062355</wp:posOffset>
            </wp:positionV>
            <wp:extent cx="68580" cy="102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-1062355</wp:posOffset>
            </wp:positionV>
            <wp:extent cx="6858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-1062355</wp:posOffset>
            </wp:positionV>
            <wp:extent cx="68580"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-676910</wp:posOffset>
            </wp:positionV>
            <wp:extent cx="68580" cy="1111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-676910</wp:posOffset>
            </wp:positionV>
            <wp:extent cx="68580" cy="1111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33" w:right="49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2"/>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BTRS Holdings, Inc.</w:t>
            </w:r>
            <w:r>
              <w:rPr>
                <w:rFonts w:ascii="Times New Roman" w:cs="Times New Roman" w:eastAsia="Times New Roman" w:hAnsi="Times New Roman"/>
                <w:sz w:val="14"/>
                <w:szCs w:val="14"/>
                <w:color w:val="auto"/>
                <w:vertAlign w:val="superscript"/>
              </w:rPr>
              <w:t>(3)</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($45,180 par, due 12/2028)</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12/16/2022</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SOFR + 8.00%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12.50 %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43,688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43,465</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Bear OpCo, LLC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($20,169 par, due 10/2024)</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10/10/2019</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+ 7.65%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11.97 %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20,169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BlueSnap, Inc.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($42,000 par, due 10/2024)</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10/25/2019</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+ 6.75%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11.48 %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41,646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41,889</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 Treasury SS, LLC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($65,859 par, due 4/2024)</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4/9/2018</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+ 8.40%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12.94 %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65,709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65,859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4.9 %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($1,526 par, due 5/2027)</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5/28/2021</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+ 5.00%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9.73 %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1,565</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Ibis US Blocker Co. </w:t>
            </w:r>
            <w:r>
              <w:rPr>
                <w:rFonts w:ascii="Times New Roman" w:cs="Times New Roman" w:eastAsia="Times New Roman" w:hAnsi="Times New Roman"/>
                <w:sz w:val="14"/>
                <w:szCs w:val="14"/>
                <w:color w:val="auto"/>
                <w:vertAlign w:val="superscript"/>
              </w:rPr>
              <w:t>(3)</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($13,957 par, due 5/2028)</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5/28/2021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L + 8.25%</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12.98% PIK</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13,643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08"/>
        </w:trPr>
        <w:tc>
          <w:tcPr>
            <w:tcW w:w="17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Jonas Collections and Recovery, Inc.</w:t>
            </w:r>
          </w:p>
        </w:tc>
        <w:tc>
          <w:tcPr>
            <w:tcW w:w="28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($19,125 par, due 6/2026)</w:t>
            </w:r>
          </w:p>
        </w:tc>
        <w:tc>
          <w:tcPr>
            <w:tcW w:w="1140" w:type="dxa"/>
            <w:vAlign w:val="bottom"/>
            <w:shd w:val="clear" w:color="auto" w:fill="CFF0FC"/>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6/21/2021</w:t>
            </w:r>
          </w:p>
        </w:tc>
        <w:tc>
          <w:tcPr>
            <w:tcW w:w="1080" w:type="dxa"/>
            <w:vAlign w:val="bottom"/>
            <w:shd w:val="clear" w:color="auto" w:fill="CFF0FC"/>
          </w:tcPr>
          <w:p>
            <w:pPr>
              <w:jc w:val="right"/>
              <w:ind w:right="226"/>
              <w:spacing w:after="0" w:line="108" w:lineRule="exact"/>
              <w:rPr>
                <w:sz w:val="20"/>
                <w:szCs w:val="20"/>
                <w:color w:val="auto"/>
              </w:rPr>
            </w:pPr>
            <w:r>
              <w:rPr>
                <w:rFonts w:ascii="Times New Roman" w:cs="Times New Roman" w:eastAsia="Times New Roman" w:hAnsi="Times New Roman"/>
                <w:sz w:val="11"/>
                <w:szCs w:val="11"/>
                <w:color w:val="auto"/>
              </w:rPr>
              <w:t>L + 5.25%</w:t>
            </w:r>
          </w:p>
        </w:tc>
        <w:tc>
          <w:tcPr>
            <w:tcW w:w="940" w:type="dxa"/>
            <w:vAlign w:val="bottom"/>
            <w:shd w:val="clear" w:color="auto" w:fill="CFF0FC"/>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10.40 %</w:t>
            </w:r>
          </w:p>
        </w:tc>
        <w:tc>
          <w:tcPr>
            <w:tcW w:w="10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18,832</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18,790</w:t>
            </w:r>
          </w:p>
        </w:tc>
        <w:tc>
          <w:tcPr>
            <w:tcW w:w="1160" w:type="dxa"/>
            <w:vAlign w:val="bottom"/>
            <w:gridSpan w:val="4"/>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02"/>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(3)(5)</w:t>
            </w:r>
          </w:p>
        </w:tc>
        <w:tc>
          <w:tcPr>
            <w:tcW w:w="2820" w:type="dxa"/>
            <w:vAlign w:val="bottom"/>
            <w:tcBorders>
              <w:bottom w:val="single" w:sz="8" w:color="CFF0FC"/>
            </w:tcBorders>
            <w:shd w:val="clear" w:color="auto" w:fill="CFF0FC"/>
          </w:tcPr>
          <w:p>
            <w:pPr>
              <w:spacing w:after="0"/>
              <w:rPr>
                <w:sz w:val="8"/>
                <w:szCs w:val="8"/>
                <w:color w:val="auto"/>
              </w:rPr>
            </w:pPr>
          </w:p>
        </w:tc>
        <w:tc>
          <w:tcPr>
            <w:tcW w:w="1140" w:type="dxa"/>
            <w:vAlign w:val="bottom"/>
            <w:tcBorders>
              <w:bottom w:val="single" w:sz="8" w:color="CFF0FC"/>
            </w:tcBorders>
            <w:shd w:val="clear" w:color="auto" w:fill="CFF0FC"/>
          </w:tcPr>
          <w:p>
            <w:pPr>
              <w:spacing w:after="0"/>
              <w:rPr>
                <w:sz w:val="8"/>
                <w:szCs w:val="8"/>
                <w:color w:val="auto"/>
              </w:rPr>
            </w:pPr>
          </w:p>
        </w:tc>
        <w:tc>
          <w:tcPr>
            <w:tcW w:w="108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108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right w:val="single" w:sz="8" w:color="CFF0FC"/>
            </w:tcBorders>
            <w:shd w:val="clear" w:color="auto" w:fill="CFF0FC"/>
          </w:tcPr>
          <w:p>
            <w:pPr>
              <w:spacing w:after="0"/>
              <w:rPr>
                <w:sz w:val="8"/>
                <w:szCs w:val="8"/>
                <w:color w:val="auto"/>
              </w:rPr>
            </w:pPr>
          </w:p>
        </w:tc>
        <w:tc>
          <w:tcPr>
            <w:tcW w:w="7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Kyriba Corp.</w:t>
            </w:r>
            <w:r>
              <w:rPr>
                <w:rFonts w:ascii="Times New Roman" w:cs="Times New Roman" w:eastAsia="Times New Roman" w:hAnsi="Times New Roman"/>
                <w:sz w:val="14"/>
                <w:szCs w:val="14"/>
                <w:color w:val="auto"/>
                <w:vertAlign w:val="superscript"/>
              </w:rPr>
              <w:t>(3)</w:t>
            </w:r>
          </w:p>
        </w:tc>
        <w:tc>
          <w:tcPr>
            <w:tcW w:w="282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First-lien loan ($19,051 par, due 4/2025)</w:t>
            </w:r>
          </w:p>
        </w:tc>
        <w:tc>
          <w:tcPr>
            <w:tcW w:w="11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4/9/2019</w:t>
            </w:r>
          </w:p>
        </w:tc>
        <w:tc>
          <w:tcPr>
            <w:tcW w:w="10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rPr>
              <w:t>L + 9.00%</w:t>
            </w:r>
          </w:p>
        </w:tc>
        <w:tc>
          <w:tcPr>
            <w:tcW w:w="94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13.73% (incl.</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18,870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19,147</w:t>
            </w:r>
          </w:p>
        </w:tc>
        <w:tc>
          <w:tcPr>
            <w:tcW w:w="11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9.00% PIK)</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spacing w:after="0"/>
              <w:rPr>
                <w:sz w:val="10"/>
                <w:szCs w:val="10"/>
                <w:color w:val="auto"/>
              </w:rPr>
            </w:pP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9,924 par, due 4/2025)</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4/9/2019</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E + 9.00%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11.20% (incl.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11,004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10,645</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spacing w:after="0"/>
              <w:rPr>
                <w:sz w:val="12"/>
                <w:szCs w:val="12"/>
                <w:color w:val="auto"/>
              </w:rPr>
            </w:pP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9.00% PIK)</w:t>
            </w:r>
          </w:p>
        </w:tc>
        <w:tc>
          <w:tcPr>
            <w:tcW w:w="10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(EUR 9,974)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($1,411 par, due 4/2025)</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4/9/2019</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L + 7.25%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11.98 %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1,418</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rPr>
                <w:sz w:val="10"/>
                <w:szCs w:val="10"/>
                <w:color w:val="auto"/>
              </w:rPr>
            </w:pPr>
          </w:p>
        </w:tc>
        <w:tc>
          <w:tcPr>
            <w:tcW w:w="282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rPr>
              <w:t>First-lien revolving loan (EUR 336 par, due 4/2025)</w:t>
            </w:r>
          </w:p>
        </w:tc>
        <w:tc>
          <w:tcPr>
            <w:tcW w:w="1140" w:type="dxa"/>
            <w:vAlign w:val="bottom"/>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4/9/2019</w:t>
            </w:r>
          </w:p>
        </w:tc>
        <w:tc>
          <w:tcPr>
            <w:tcW w:w="1080" w:type="dxa"/>
            <w:vAlign w:val="bottom"/>
            <w:shd w:val="clear" w:color="auto" w:fill="CFF0FC"/>
          </w:tcPr>
          <w:p>
            <w:pPr>
              <w:jc w:val="right"/>
              <w:ind w:right="226"/>
              <w:spacing w:after="0" w:line="125" w:lineRule="exact"/>
              <w:rPr>
                <w:sz w:val="20"/>
                <w:szCs w:val="20"/>
                <w:color w:val="auto"/>
              </w:rPr>
            </w:pPr>
            <w:r>
              <w:rPr>
                <w:rFonts w:ascii="Times New Roman" w:cs="Times New Roman" w:eastAsia="Times New Roman" w:hAnsi="Times New Roman"/>
                <w:sz w:val="11"/>
                <w:szCs w:val="11"/>
                <w:color w:val="auto"/>
              </w:rPr>
              <w:t>E + 7.25%</w:t>
            </w:r>
          </w:p>
        </w:tc>
        <w:tc>
          <w:tcPr>
            <w:tcW w:w="940" w:type="dxa"/>
            <w:vAlign w:val="bottom"/>
            <w:shd w:val="clear" w:color="auto" w:fill="CFF0FC"/>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rPr>
              <w:t>9.45 %</w:t>
            </w:r>
          </w:p>
        </w:tc>
        <w:tc>
          <w:tcPr>
            <w:tcW w:w="108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372</w:t>
            </w:r>
          </w:p>
        </w:tc>
        <w:tc>
          <w:tcPr>
            <w:tcW w:w="940" w:type="dxa"/>
            <w:vAlign w:val="bottom"/>
            <w:gridSpan w:val="2"/>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358</w:t>
            </w:r>
          </w:p>
        </w:tc>
        <w:tc>
          <w:tcPr>
            <w:tcW w:w="1160" w:type="dxa"/>
            <w:vAlign w:val="bottom"/>
            <w:gridSpan w:val="4"/>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spacing w:after="0"/>
              <w:rPr>
                <w:sz w:val="12"/>
                <w:szCs w:val="12"/>
                <w:color w:val="auto"/>
              </w:rPr>
            </w:pP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(EUR 336)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14"/>
                <w:szCs w:val="14"/>
                <w:color w:val="auto"/>
                <w:vertAlign w:val="superscript"/>
              </w:rPr>
              <w:t>(3)</w:t>
            </w:r>
          </w:p>
        </w:tc>
        <w:tc>
          <w:tcPr>
            <w:tcW w:w="282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First-lien loan ($23,390 par, due 4/2026)</w:t>
            </w:r>
          </w:p>
        </w:tc>
        <w:tc>
          <w:tcPr>
            <w:tcW w:w="11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4/28/2021</w:t>
            </w:r>
          </w:p>
        </w:tc>
        <w:tc>
          <w:tcPr>
            <w:tcW w:w="10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rPr>
              <w:t>L + 8.25%</w:t>
            </w:r>
          </w:p>
        </w:tc>
        <w:tc>
          <w:tcPr>
            <w:tcW w:w="94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12.58% (incl.</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23,169</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22,783</w:t>
            </w:r>
          </w:p>
        </w:tc>
        <w:tc>
          <w:tcPr>
            <w:tcW w:w="11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4.125% PIK)</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Ping Identity Holding Corp. </w:t>
            </w:r>
            <w:r>
              <w:rPr>
                <w:rFonts w:ascii="Times New Roman" w:cs="Times New Roman" w:eastAsia="Times New Roman" w:hAnsi="Times New Roman"/>
                <w:sz w:val="14"/>
                <w:szCs w:val="14"/>
                <w:color w:val="auto"/>
                <w:vertAlign w:val="superscript"/>
              </w:rPr>
              <w:t>(3)</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($22,727 par, due 10/2029)</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10/17/2022</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SOFR + 7.00%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11.32 %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22,116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21,977</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PrimeRevenue, Inc. </w:t>
            </w:r>
            <w:r>
              <w:rPr>
                <w:rFonts w:ascii="Times New Roman" w:cs="Times New Roman" w:eastAsia="Times New Roman" w:hAnsi="Times New Roman"/>
                <w:sz w:val="14"/>
                <w:szCs w:val="14"/>
                <w:color w:val="auto"/>
                <w:vertAlign w:val="superscript"/>
              </w:rPr>
              <w:t>(3)</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($22,507 par, due 12/2023)</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12/31/2018</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L + 7.00%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11.38 %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22,507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($44,663 par, due 4/2027)</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4/30/2021</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+ 6.25%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10.66 %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43,648</w:t>
            </w: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43,769</w:t>
            </w:r>
          </w:p>
        </w:tc>
        <w:tc>
          <w:tcPr>
            <w:tcW w:w="180" w:type="dxa"/>
            <w:vAlign w:val="bottom"/>
            <w:gridSpan w:val="2"/>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347,964</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347,984</w:t>
            </w:r>
          </w:p>
        </w:tc>
        <w:tc>
          <w:tcPr>
            <w:tcW w:w="180" w:type="dxa"/>
            <w:vAlign w:val="bottom"/>
            <w:gridSpan w:val="2"/>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25.8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BCTO Ace Purchaser, Inc.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($63,565 par, due 11/2026)</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11/23/2020</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+ 7.70%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12.10 %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62,930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Caris Life Sciences, Inc.</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($5,000 par, due 9/2023)</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9/21/2018</w:t>
            </w:r>
          </w:p>
        </w:tc>
        <w:tc>
          <w:tcPr>
            <w:tcW w:w="10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11.30 %</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11.30 %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5,100</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($3,750 par, due 4/2025)</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4/2/2020</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11.30 %</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11.30 %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spacing w:after="0"/>
              <w:rPr>
                <w:sz w:val="13"/>
                <w:szCs w:val="13"/>
                <w:color w:val="auto"/>
              </w:rPr>
            </w:pP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Convertible note ($2,602 par, due 9/2023)</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9/21/2018</w:t>
            </w:r>
          </w:p>
        </w:tc>
        <w:tc>
          <w:tcPr>
            <w:tcW w:w="10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8.00 %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5,848</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08"/>
        </w:trPr>
        <w:tc>
          <w:tcPr>
            <w:tcW w:w="174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Homecare Software Solutions, LLC </w:t>
            </w:r>
            <w:r>
              <w:rPr>
                <w:rFonts w:ascii="Times New Roman" w:cs="Times New Roman" w:eastAsia="Times New Roman" w:hAnsi="Times New Roman"/>
                <w:sz w:val="12"/>
                <w:szCs w:val="12"/>
                <w:color w:val="auto"/>
                <w:vertAlign w:val="superscript"/>
              </w:rPr>
              <w:t>(3)</w:t>
            </w:r>
          </w:p>
        </w:tc>
        <w:tc>
          <w:tcPr>
            <w:tcW w:w="282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($65,000 par, due 10/2026)</w:t>
            </w:r>
          </w:p>
        </w:tc>
        <w:tc>
          <w:tcPr>
            <w:tcW w:w="114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10/6/2021</w:t>
            </w:r>
          </w:p>
        </w:tc>
        <w:tc>
          <w:tcPr>
            <w:tcW w:w="1080" w:type="dxa"/>
            <w:vAlign w:val="bottom"/>
          </w:tcPr>
          <w:p>
            <w:pPr>
              <w:jc w:val="right"/>
              <w:ind w:right="226"/>
              <w:spacing w:after="0" w:line="108" w:lineRule="exact"/>
              <w:rPr>
                <w:sz w:val="20"/>
                <w:szCs w:val="20"/>
                <w:color w:val="auto"/>
              </w:rPr>
            </w:pPr>
            <w:r>
              <w:rPr>
                <w:rFonts w:ascii="Times New Roman" w:cs="Times New Roman" w:eastAsia="Times New Roman" w:hAnsi="Times New Roman"/>
                <w:sz w:val="11"/>
                <w:szCs w:val="11"/>
                <w:color w:val="auto"/>
              </w:rPr>
              <w:t>SOFR + 5.70%</w:t>
            </w:r>
          </w:p>
        </w:tc>
        <w:tc>
          <w:tcPr>
            <w:tcW w:w="94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10.02 %</w:t>
            </w:r>
          </w:p>
        </w:tc>
        <w:tc>
          <w:tcPr>
            <w:tcW w:w="10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63,733</w:t>
            </w: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63,213</w:t>
            </w:r>
          </w:p>
        </w:tc>
        <w:tc>
          <w:tcPr>
            <w:tcW w:w="1160" w:type="dxa"/>
            <w:vAlign w:val="bottom"/>
            <w:gridSpan w:val="4"/>
          </w:tcPr>
          <w:p>
            <w:pPr>
              <w:jc w:val="right"/>
              <w:spacing w:after="0" w:line="108" w:lineRule="exact"/>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94"/>
        </w:trPr>
        <w:tc>
          <w:tcPr>
            <w:tcW w:w="1740" w:type="dxa"/>
            <w:vAlign w:val="bottom"/>
          </w:tcPr>
          <w:p>
            <w:pPr>
              <w:ind w:left="20"/>
              <w:spacing w:after="0"/>
              <w:rPr>
                <w:sz w:val="20"/>
                <w:szCs w:val="20"/>
                <w:color w:val="auto"/>
              </w:rPr>
            </w:pPr>
            <w:r>
              <w:rPr>
                <w:rFonts w:ascii="Times New Roman" w:cs="Times New Roman" w:eastAsia="Times New Roman" w:hAnsi="Times New Roman"/>
                <w:sz w:val="7"/>
                <w:szCs w:val="7"/>
                <w:color w:val="auto"/>
              </w:rPr>
              <w:t>(5)</w:t>
            </w:r>
          </w:p>
        </w:tc>
        <w:tc>
          <w:tcPr>
            <w:tcW w:w="2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w w:val="97"/>
              </w:rPr>
              <w:t xml:space="preserve">Integrated Practice Solutions, Inc. </w:t>
            </w:r>
            <w:r>
              <w:rPr>
                <w:rFonts w:ascii="Times New Roman" w:cs="Times New Roman" w:eastAsia="Times New Roman" w:hAnsi="Times New Roman"/>
                <w:sz w:val="14"/>
                <w:szCs w:val="14"/>
                <w:color w:val="auto"/>
                <w:w w:val="97"/>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($46,312 par, due 10/2024)</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6/30/2017</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+ 7.50%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11.89 %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45,590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46,312</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($70,103 par, due 6/2028)</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6/30/2022</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11.84 %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67,299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38"/>
        </w:trPr>
        <w:tc>
          <w:tcPr>
            <w:tcW w:w="1740" w:type="dxa"/>
            <w:vAlign w:val="bottom"/>
            <w:tcBorders>
              <w:bottom w:val="single" w:sz="8" w:color="CFF0FC"/>
            </w:tcBorders>
            <w:shd w:val="clear" w:color="auto" w:fill="CFF0FC"/>
          </w:tcPr>
          <w:p>
            <w:pPr>
              <w:spacing w:after="0"/>
              <w:rPr>
                <w:sz w:val="11"/>
                <w:szCs w:val="11"/>
                <w:color w:val="auto"/>
              </w:rPr>
            </w:pPr>
          </w:p>
        </w:tc>
        <w:tc>
          <w:tcPr>
            <w:tcW w:w="28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250,839</w:t>
            </w: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254,602</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ASG II, LLC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($58,048 par, due 5/2028)</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5/25/2022</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SOFR + 6.35%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10.67 %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56,609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56,260</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(3)(7)</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($30,261 par, due 6/2023)</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9/29/2015</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L + 9.50%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14.19 %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29,807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4"/>
        </w:trPr>
        <w:tc>
          <w:tcPr>
            <w:tcW w:w="1740" w:type="dxa"/>
            <w:vAlign w:val="bottom"/>
            <w:shd w:val="clear" w:color="auto" w:fill="CFF0FC"/>
          </w:tcPr>
          <w:p>
            <w:pPr>
              <w:spacing w:after="0"/>
              <w:rPr>
                <w:sz w:val="12"/>
                <w:szCs w:val="12"/>
                <w:color w:val="auto"/>
              </w:rPr>
            </w:pP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($16,747 par, due 6/2023)</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9/29/2015</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+ 9.50%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14.23 %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16,747</w:t>
            </w: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16,492</w:t>
            </w:r>
          </w:p>
        </w:tc>
        <w:tc>
          <w:tcPr>
            <w:tcW w:w="180" w:type="dxa"/>
            <w:vAlign w:val="bottom"/>
            <w:gridSpan w:val="2"/>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101,951</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102,559</w:t>
            </w:r>
          </w:p>
        </w:tc>
        <w:tc>
          <w:tcPr>
            <w:tcW w:w="180" w:type="dxa"/>
            <w:vAlign w:val="bottom"/>
            <w:gridSpan w:val="2"/>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7.6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(3)(4)(5)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($47,122 par, due 5/2026)</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5/5/2021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+ 7.65%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46,190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($44,806 par, due 11/2028)</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11/7/2022</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SOFR + 6.63%</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10.81 %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43,430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43,574</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Elysian Finco Ltd. </w:t>
            </w:r>
            <w:r>
              <w:rPr>
                <w:rFonts w:ascii="Times New Roman" w:cs="Times New Roman" w:eastAsia="Times New Roman" w:hAnsi="Times New Roman"/>
                <w:sz w:val="14"/>
                <w:szCs w:val="14"/>
                <w:color w:val="auto"/>
                <w:vertAlign w:val="superscript"/>
              </w:rPr>
              <w:t>(3)(4)(5)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($17,314 par, due 1/2028)</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1/31/2022</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+ 6.65%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10.99 %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17,107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08"/>
        </w:trPr>
        <w:tc>
          <w:tcPr>
            <w:tcW w:w="17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Employment Hero Holdings Pty Ltd.</w:t>
            </w:r>
          </w:p>
        </w:tc>
        <w:tc>
          <w:tcPr>
            <w:tcW w:w="28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(AUD 50,000 par, due 12/2026)</w:t>
            </w:r>
          </w:p>
        </w:tc>
        <w:tc>
          <w:tcPr>
            <w:tcW w:w="1140" w:type="dxa"/>
            <w:vAlign w:val="bottom"/>
            <w:shd w:val="clear" w:color="auto" w:fill="CFF0FC"/>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12/6/2021</w:t>
            </w:r>
          </w:p>
        </w:tc>
        <w:tc>
          <w:tcPr>
            <w:tcW w:w="1080" w:type="dxa"/>
            <w:vAlign w:val="bottom"/>
            <w:shd w:val="clear" w:color="auto" w:fill="CFF0FC"/>
          </w:tcPr>
          <w:p>
            <w:pPr>
              <w:jc w:val="right"/>
              <w:ind w:right="226"/>
              <w:spacing w:after="0" w:line="108" w:lineRule="exact"/>
              <w:rPr>
                <w:sz w:val="20"/>
                <w:szCs w:val="20"/>
                <w:color w:val="auto"/>
              </w:rPr>
            </w:pPr>
            <w:r>
              <w:rPr>
                <w:rFonts w:ascii="Times New Roman" w:cs="Times New Roman" w:eastAsia="Times New Roman" w:hAnsi="Times New Roman"/>
                <w:sz w:val="11"/>
                <w:szCs w:val="11"/>
                <w:color w:val="auto"/>
              </w:rPr>
              <w:t>B + 6.50%</w:t>
            </w:r>
          </w:p>
        </w:tc>
        <w:tc>
          <w:tcPr>
            <w:tcW w:w="940" w:type="dxa"/>
            <w:vAlign w:val="bottom"/>
            <w:shd w:val="clear" w:color="auto" w:fill="CFF0FC"/>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9.77 %</w:t>
            </w:r>
          </w:p>
        </w:tc>
        <w:tc>
          <w:tcPr>
            <w:tcW w:w="10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34,664</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32,839</w:t>
            </w:r>
          </w:p>
        </w:tc>
        <w:tc>
          <w:tcPr>
            <w:tcW w:w="1160" w:type="dxa"/>
            <w:vAlign w:val="bottom"/>
            <w:gridSpan w:val="4"/>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94"/>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(3)(4)</w:t>
            </w:r>
          </w:p>
        </w:tc>
        <w:tc>
          <w:tcPr>
            <w:tcW w:w="282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(AUD 51,076)</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40" w:type="dxa"/>
            <w:vAlign w:val="bottom"/>
            <w:shd w:val="clear" w:color="auto" w:fill="CFF0FC"/>
          </w:tcPr>
          <w:p>
            <w:pPr>
              <w:spacing w:after="0"/>
              <w:rPr>
                <w:sz w:val="5"/>
                <w:szCs w:val="5"/>
                <w:color w:val="auto"/>
              </w:rPr>
            </w:pPr>
          </w:p>
        </w:tc>
        <w:tc>
          <w:tcPr>
            <w:tcW w:w="282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14"/>
                <w:szCs w:val="14"/>
                <w:color w:val="auto"/>
                <w:vertAlign w:val="superscript"/>
              </w:rPr>
              <w:t>(3)(4)(5)</w:t>
            </w:r>
          </w:p>
        </w:tc>
        <w:tc>
          <w:tcPr>
            <w:tcW w:w="282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First-lien loan (AUD 14,520 par, due 12/2025)</w:t>
            </w:r>
          </w:p>
        </w:tc>
        <w:tc>
          <w:tcPr>
            <w:tcW w:w="11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1/11/2018</w:t>
            </w:r>
          </w:p>
        </w:tc>
        <w:tc>
          <w:tcPr>
            <w:tcW w:w="10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rPr>
              <w:t>B + 5.50%</w:t>
            </w:r>
          </w:p>
        </w:tc>
        <w:tc>
          <w:tcPr>
            <w:tcW w:w="9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9.28 %</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10,899</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9.534</w:t>
            </w:r>
          </w:p>
        </w:tc>
        <w:tc>
          <w:tcPr>
            <w:tcW w:w="11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0.7 %</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14,059)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spacing w:after="0"/>
              <w:rPr>
                <w:sz w:val="10"/>
                <w:szCs w:val="10"/>
                <w:color w:val="auto"/>
              </w:rPr>
            </w:pP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(GBP 3,766 par, due 12/2025)</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10/28/2021</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 + 5.62%</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8.55 %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5,184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spacing w:after="0"/>
              <w:rPr>
                <w:sz w:val="12"/>
                <w:szCs w:val="12"/>
                <w:color w:val="auto"/>
              </w:rPr>
            </w:pP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(GBP 3,690)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($12,011 par, due 12/2025)</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10/28/2021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L + 5.50%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10.65 %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11,771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($68,775 par, due 5/2024)</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5/3/2019</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+ 5.75%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10.48 %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68,199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67,572</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PrimePay Intermediate, LLC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($32,242 par, due 12/2026)</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12/17/2021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+ 7.15%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31,355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Modern Hire, Inc.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($28,878 par, due 5/2024)</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5/15/2019</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+ 7.00%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11.38 %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28,950</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Workwell Acquisition Co.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($23,798 par, due 10/2025)</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10/19/2020</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+ 7.40%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11.80 %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23,441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8"/>
        </w:trPr>
        <w:tc>
          <w:tcPr>
            <w:tcW w:w="1740" w:type="dxa"/>
            <w:vAlign w:val="bottom"/>
            <w:tcBorders>
              <w:bottom w:val="single" w:sz="8" w:color="CFF0FC"/>
            </w:tcBorders>
            <w:shd w:val="clear" w:color="auto" w:fill="CFF0FC"/>
          </w:tcPr>
          <w:p>
            <w:pPr>
              <w:spacing w:after="0"/>
              <w:rPr>
                <w:sz w:val="11"/>
                <w:szCs w:val="11"/>
                <w:color w:val="auto"/>
              </w:rPr>
            </w:pPr>
          </w:p>
        </w:tc>
        <w:tc>
          <w:tcPr>
            <w:tcW w:w="28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320,762</w:t>
            </w: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316,772</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14"/>
                <w:szCs w:val="14"/>
                <w:color w:val="auto"/>
                <w:vertAlign w:val="superscript"/>
              </w:rPr>
              <w:t>(3)</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($32,194 par, due 10/2028)</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10/1/2021</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L + 7.75%</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12.04% PIK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31,631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31,308</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($780 par, due 10/2027)</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10/1/2021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L + 6.75%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10.89 %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12"/>
        </w:trPr>
        <w:tc>
          <w:tcPr>
            <w:tcW w:w="174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CrunchTime Information, Systems,</w:t>
            </w:r>
          </w:p>
        </w:tc>
        <w:tc>
          <w:tcPr>
            <w:tcW w:w="2820" w:type="dxa"/>
            <w:vAlign w:val="bottom"/>
            <w:shd w:val="clear" w:color="auto" w:fill="CFF0FC"/>
          </w:tcPr>
          <w:p>
            <w:pPr>
              <w:ind w:left="60"/>
              <w:spacing w:after="0" w:line="112" w:lineRule="exact"/>
              <w:rPr>
                <w:sz w:val="20"/>
                <w:szCs w:val="20"/>
                <w:color w:val="auto"/>
              </w:rPr>
            </w:pPr>
            <w:r>
              <w:rPr>
                <w:rFonts w:ascii="Times New Roman" w:cs="Times New Roman" w:eastAsia="Times New Roman" w:hAnsi="Times New Roman"/>
                <w:sz w:val="11"/>
                <w:szCs w:val="11"/>
                <w:color w:val="auto"/>
              </w:rPr>
              <w:t>First-lien loan ($53,121 par, due 6/2028)</w:t>
            </w:r>
          </w:p>
        </w:tc>
        <w:tc>
          <w:tcPr>
            <w:tcW w:w="1140" w:type="dxa"/>
            <w:vAlign w:val="bottom"/>
            <w:shd w:val="clear" w:color="auto" w:fill="CFF0FC"/>
          </w:tcPr>
          <w:p>
            <w:pPr>
              <w:jc w:val="right"/>
              <w:ind w:right="86"/>
              <w:spacing w:after="0" w:line="112" w:lineRule="exact"/>
              <w:rPr>
                <w:sz w:val="20"/>
                <w:szCs w:val="20"/>
                <w:color w:val="auto"/>
              </w:rPr>
            </w:pPr>
            <w:r>
              <w:rPr>
                <w:rFonts w:ascii="Times New Roman" w:cs="Times New Roman" w:eastAsia="Times New Roman" w:hAnsi="Times New Roman"/>
                <w:sz w:val="11"/>
                <w:szCs w:val="11"/>
                <w:color w:val="auto"/>
              </w:rPr>
              <w:t>6/17/2022</w:t>
            </w:r>
          </w:p>
        </w:tc>
        <w:tc>
          <w:tcPr>
            <w:tcW w:w="1080" w:type="dxa"/>
            <w:vAlign w:val="bottom"/>
            <w:shd w:val="clear" w:color="auto" w:fill="CFF0FC"/>
          </w:tcPr>
          <w:p>
            <w:pPr>
              <w:jc w:val="right"/>
              <w:ind w:right="226"/>
              <w:spacing w:after="0" w:line="112" w:lineRule="exact"/>
              <w:rPr>
                <w:sz w:val="20"/>
                <w:szCs w:val="20"/>
                <w:color w:val="auto"/>
              </w:rPr>
            </w:pPr>
            <w:r>
              <w:rPr>
                <w:rFonts w:ascii="Times New Roman" w:cs="Times New Roman" w:eastAsia="Times New Roman" w:hAnsi="Times New Roman"/>
                <w:sz w:val="11"/>
                <w:szCs w:val="11"/>
                <w:color w:val="auto"/>
              </w:rPr>
              <w:t>SOFR + 6.00%</w:t>
            </w:r>
          </w:p>
        </w:tc>
        <w:tc>
          <w:tcPr>
            <w:tcW w:w="940" w:type="dxa"/>
            <w:vAlign w:val="bottom"/>
            <w:shd w:val="clear" w:color="auto" w:fill="CFF0FC"/>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rPr>
              <w:t>10.32 %</w:t>
            </w:r>
          </w:p>
        </w:tc>
        <w:tc>
          <w:tcPr>
            <w:tcW w:w="10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51,969</w:t>
            </w:r>
          </w:p>
        </w:tc>
        <w:tc>
          <w:tcPr>
            <w:tcW w:w="94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51,766</w:t>
            </w:r>
          </w:p>
        </w:tc>
        <w:tc>
          <w:tcPr>
            <w:tcW w:w="1160" w:type="dxa"/>
            <w:vAlign w:val="bottom"/>
            <w:gridSpan w:val="4"/>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3.9 %</w:t>
            </w:r>
          </w:p>
        </w:tc>
        <w:tc>
          <w:tcPr>
            <w:tcW w:w="0" w:type="dxa"/>
            <w:vAlign w:val="bottom"/>
          </w:tcPr>
          <w:p>
            <w:pPr>
              <w:spacing w:after="0"/>
              <w:rPr>
                <w:sz w:val="1"/>
                <w:szCs w:val="1"/>
                <w:color w:val="auto"/>
              </w:rPr>
            </w:pPr>
          </w:p>
        </w:tc>
      </w:tr>
      <w:tr>
        <w:trPr>
          <w:trHeight w:val="162"/>
        </w:trPr>
        <w:tc>
          <w:tcPr>
            <w:tcW w:w="1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(3)(5)</w:t>
            </w:r>
          </w:p>
        </w:tc>
        <w:tc>
          <w:tcPr>
            <w:tcW w:w="28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($56,963 par, due 7/2028)</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7/7/2022</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11.58 %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55,539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($55,820 par, due 1/2025)</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6/18/2018</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11.83 %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55,506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55,541</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LeanTaaS Holdings, Inc.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($27,782 par, due 7/2028)</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7/12/2022</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+ 7.50%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12.08 %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26,709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Lithium Technologies, LLC </w:t>
            </w:r>
            <w:r>
              <w:rPr>
                <w:rFonts w:ascii="Times New Roman" w:cs="Times New Roman" w:eastAsia="Times New Roman" w:hAnsi="Times New Roman"/>
                <w:sz w:val="14"/>
                <w:szCs w:val="14"/>
                <w:color w:val="auto"/>
                <w:vertAlign w:val="superscript"/>
              </w:rPr>
              <w:t>(3)</w:t>
            </w:r>
          </w:p>
        </w:tc>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($54,700 par, due 1/2024)</w:t>
            </w:r>
          </w:p>
        </w:tc>
        <w:tc>
          <w:tcPr>
            <w:tcW w:w="11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10/3/2017</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SOFR + 8.00%</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12.06 %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54,651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53,469</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($1,320 par, due 1/2024)</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10/3/2017</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+ 8.00%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(3)(5)</w:t>
            </w:r>
          </w:p>
        </w:tc>
        <w:tc>
          <w:tcPr>
            <w:tcW w:w="2820" w:type="dxa"/>
            <w:vAlign w:val="bottom"/>
            <w:shd w:val="clear" w:color="auto" w:fill="CFF0FC"/>
          </w:tcPr>
          <w:p>
            <w:pPr>
              <w:ind w:left="60"/>
              <w:spacing w:after="0" w:line="125" w:lineRule="exact"/>
              <w:rPr>
                <w:sz w:val="20"/>
                <w:szCs w:val="20"/>
                <w:color w:val="auto"/>
              </w:rPr>
            </w:pPr>
            <w:r>
              <w:rPr>
                <w:rFonts w:ascii="Times New Roman" w:cs="Times New Roman" w:eastAsia="Times New Roman" w:hAnsi="Times New Roman"/>
                <w:sz w:val="11"/>
                <w:szCs w:val="11"/>
                <w:color w:val="auto"/>
              </w:rPr>
              <w:t>First-lien loan ($8,330 par, due 2/2027)</w:t>
            </w:r>
          </w:p>
        </w:tc>
        <w:tc>
          <w:tcPr>
            <w:tcW w:w="1140" w:type="dxa"/>
            <w:vAlign w:val="bottom"/>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2/11/2022</w:t>
            </w:r>
          </w:p>
        </w:tc>
        <w:tc>
          <w:tcPr>
            <w:tcW w:w="1080" w:type="dxa"/>
            <w:vAlign w:val="bottom"/>
            <w:shd w:val="clear" w:color="auto" w:fill="CFF0FC"/>
          </w:tcPr>
          <w:p>
            <w:pPr>
              <w:jc w:val="right"/>
              <w:ind w:right="226"/>
              <w:spacing w:after="0" w:line="125" w:lineRule="exact"/>
              <w:rPr>
                <w:sz w:val="20"/>
                <w:szCs w:val="20"/>
                <w:color w:val="auto"/>
              </w:rPr>
            </w:pPr>
            <w:r>
              <w:rPr>
                <w:rFonts w:ascii="Times New Roman" w:cs="Times New Roman" w:eastAsia="Times New Roman" w:hAnsi="Times New Roman"/>
                <w:sz w:val="11"/>
                <w:szCs w:val="11"/>
                <w:color w:val="auto"/>
              </w:rPr>
              <w:t>SOFR + 7.50%</w:t>
            </w:r>
          </w:p>
        </w:tc>
        <w:tc>
          <w:tcPr>
            <w:tcW w:w="940" w:type="dxa"/>
            <w:vAlign w:val="bottom"/>
            <w:shd w:val="clear" w:color="auto" w:fill="CFF0FC"/>
          </w:tcPr>
          <w:p>
            <w:pPr>
              <w:jc w:val="right"/>
              <w:ind w:right="146"/>
              <w:spacing w:after="0" w:line="125" w:lineRule="exact"/>
              <w:rPr>
                <w:sz w:val="20"/>
                <w:szCs w:val="20"/>
                <w:color w:val="auto"/>
              </w:rPr>
            </w:pPr>
            <w:r>
              <w:rPr>
                <w:rFonts w:ascii="Times New Roman" w:cs="Times New Roman" w:eastAsia="Times New Roman" w:hAnsi="Times New Roman"/>
                <w:sz w:val="11"/>
                <w:szCs w:val="11"/>
                <w:color w:val="auto"/>
              </w:rPr>
              <w:t>11.82% (incl.</w:t>
            </w:r>
          </w:p>
        </w:tc>
        <w:tc>
          <w:tcPr>
            <w:tcW w:w="108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8,330</w:t>
            </w:r>
          </w:p>
        </w:tc>
        <w:tc>
          <w:tcPr>
            <w:tcW w:w="940" w:type="dxa"/>
            <w:vAlign w:val="bottom"/>
            <w:gridSpan w:val="2"/>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8,170</w:t>
            </w:r>
          </w:p>
        </w:tc>
        <w:tc>
          <w:tcPr>
            <w:tcW w:w="1160" w:type="dxa"/>
            <w:vAlign w:val="bottom"/>
            <w:gridSpan w:val="4"/>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0.6 %</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spacing w:after="0"/>
              <w:rPr>
                <w:sz w:val="12"/>
                <w:szCs w:val="12"/>
                <w:color w:val="auto"/>
              </w:rPr>
            </w:pP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3.50% PIK)</w:t>
            </w:r>
          </w:p>
        </w:tc>
        <w:tc>
          <w:tcPr>
            <w:tcW w:w="10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(3)(5)</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($51,312 par, due 2/2026)</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2/25/2021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+ 7.10%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11.42 %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50,029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08"/>
        </w:trPr>
        <w:tc>
          <w:tcPr>
            <w:tcW w:w="17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9"/>
                <w:szCs w:val="9"/>
                <w:color w:val="auto"/>
              </w:rPr>
              <w:t>SMA Technologies Holdings, LLC</w:t>
            </w:r>
            <w:r>
              <w:rPr>
                <w:rFonts w:ascii="Times New Roman" w:cs="Times New Roman" w:eastAsia="Times New Roman" w:hAnsi="Times New Roman"/>
                <w:sz w:val="12"/>
                <w:szCs w:val="12"/>
                <w:color w:val="auto"/>
                <w:vertAlign w:val="superscript"/>
              </w:rPr>
              <w:t>(3)</w:t>
            </w:r>
          </w:p>
        </w:tc>
        <w:tc>
          <w:tcPr>
            <w:tcW w:w="28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($36,833 par, due 10/2028)</w:t>
            </w:r>
          </w:p>
        </w:tc>
        <w:tc>
          <w:tcPr>
            <w:tcW w:w="1140" w:type="dxa"/>
            <w:vAlign w:val="bottom"/>
            <w:shd w:val="clear" w:color="auto" w:fill="CFF0FC"/>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10/31/2022</w:t>
            </w:r>
          </w:p>
        </w:tc>
        <w:tc>
          <w:tcPr>
            <w:tcW w:w="1080" w:type="dxa"/>
            <w:vAlign w:val="bottom"/>
            <w:shd w:val="clear" w:color="auto" w:fill="CFF0FC"/>
          </w:tcPr>
          <w:p>
            <w:pPr>
              <w:jc w:val="right"/>
              <w:ind w:right="226"/>
              <w:spacing w:after="0" w:line="108" w:lineRule="exact"/>
              <w:rPr>
                <w:sz w:val="20"/>
                <w:szCs w:val="20"/>
                <w:color w:val="auto"/>
              </w:rPr>
            </w:pPr>
            <w:r>
              <w:rPr>
                <w:rFonts w:ascii="Times New Roman" w:cs="Times New Roman" w:eastAsia="Times New Roman" w:hAnsi="Times New Roman"/>
                <w:sz w:val="11"/>
                <w:szCs w:val="11"/>
                <w:color w:val="auto"/>
              </w:rPr>
              <w:t>SOFR + 6.75%</w:t>
            </w:r>
          </w:p>
        </w:tc>
        <w:tc>
          <w:tcPr>
            <w:tcW w:w="940" w:type="dxa"/>
            <w:vAlign w:val="bottom"/>
            <w:shd w:val="clear" w:color="auto" w:fill="CFF0FC"/>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11.07 %</w:t>
            </w:r>
          </w:p>
        </w:tc>
        <w:tc>
          <w:tcPr>
            <w:tcW w:w="10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35,258</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35,268</w:t>
            </w:r>
          </w:p>
        </w:tc>
        <w:tc>
          <w:tcPr>
            <w:tcW w:w="1160" w:type="dxa"/>
            <w:vAlign w:val="bottom"/>
            <w:gridSpan w:val="4"/>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01"/>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(5)</w:t>
            </w:r>
          </w:p>
        </w:tc>
        <w:tc>
          <w:tcPr>
            <w:tcW w:w="2820" w:type="dxa"/>
            <w:vAlign w:val="bottom"/>
            <w:tcBorders>
              <w:bottom w:val="single" w:sz="8" w:color="CFF0FC"/>
            </w:tcBorders>
            <w:shd w:val="clear" w:color="auto" w:fill="CFF0FC"/>
          </w:tcPr>
          <w:p>
            <w:pPr>
              <w:spacing w:after="0"/>
              <w:rPr>
                <w:sz w:val="8"/>
                <w:szCs w:val="8"/>
                <w:color w:val="auto"/>
              </w:rPr>
            </w:pPr>
          </w:p>
        </w:tc>
        <w:tc>
          <w:tcPr>
            <w:tcW w:w="1140" w:type="dxa"/>
            <w:vAlign w:val="bottom"/>
            <w:tcBorders>
              <w:bottom w:val="single" w:sz="8" w:color="CFF0FC"/>
            </w:tcBorders>
            <w:shd w:val="clear" w:color="auto" w:fill="CFF0FC"/>
          </w:tcPr>
          <w:p>
            <w:pPr>
              <w:spacing w:after="0"/>
              <w:rPr>
                <w:sz w:val="8"/>
                <w:szCs w:val="8"/>
                <w:color w:val="auto"/>
              </w:rPr>
            </w:pPr>
          </w:p>
        </w:tc>
        <w:tc>
          <w:tcPr>
            <w:tcW w:w="108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1080" w:type="dxa"/>
            <w:vAlign w:val="bottom"/>
            <w:tcBorders>
              <w:bottom w:val="single" w:sz="8" w:color="auto"/>
            </w:tcBorders>
            <w:shd w:val="clear" w:color="auto" w:fill="CFF0FC"/>
          </w:tcPr>
          <w:p>
            <w:pPr>
              <w:spacing w:after="0"/>
              <w:rPr>
                <w:sz w:val="8"/>
                <w:szCs w:val="8"/>
                <w:color w:val="auto"/>
              </w:rPr>
            </w:pPr>
          </w:p>
        </w:tc>
        <w:tc>
          <w:tcPr>
            <w:tcW w:w="160" w:type="dxa"/>
            <w:vAlign w:val="bottom"/>
            <w:tcBorders>
              <w:bottom w:val="single" w:sz="8" w:color="CFF0FC"/>
              <w:right w:val="single" w:sz="8" w:color="CFF0FC"/>
            </w:tcBorders>
            <w:shd w:val="clear" w:color="auto" w:fill="CFF0FC"/>
          </w:tcPr>
          <w:p>
            <w:pPr>
              <w:spacing w:after="0"/>
              <w:rPr>
                <w:sz w:val="8"/>
                <w:szCs w:val="8"/>
                <w:color w:val="auto"/>
              </w:rPr>
            </w:pPr>
          </w:p>
        </w:tc>
        <w:tc>
          <w:tcPr>
            <w:tcW w:w="780" w:type="dxa"/>
            <w:vAlign w:val="bottom"/>
            <w:tcBorders>
              <w:bottom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860" w:type="dxa"/>
            <w:vAlign w:val="bottom"/>
            <w:tcBorders>
              <w:bottom w:val="single" w:sz="8" w:color="auto"/>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372,372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369,758</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xml:space="preserve">27.5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14"/>
                <w:szCs w:val="14"/>
                <w:color w:val="auto"/>
                <w:vertAlign w:val="superscript"/>
              </w:rPr>
              <w:t>(3)</w:t>
            </w:r>
          </w:p>
        </w:tc>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($38,636 par, due 10/2028)</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10/19/2022</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SOFR + 7.25%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37,255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5582920</wp:posOffset>
            </wp:positionH>
            <wp:positionV relativeFrom="paragraph">
              <wp:posOffset>-4627245</wp:posOffset>
            </wp:positionV>
            <wp:extent cx="68580" cy="1111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-4627245</wp:posOffset>
            </wp:positionV>
            <wp:extent cx="68580" cy="1111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-3607435</wp:posOffset>
            </wp:positionV>
            <wp:extent cx="6858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-3607435</wp:posOffset>
            </wp:positionV>
            <wp:extent cx="68580"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-3607435</wp:posOffset>
            </wp:positionV>
            <wp:extent cx="68580"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-3221355</wp:posOffset>
            </wp:positionV>
            <wp:extent cx="68580" cy="1117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-3221355</wp:posOffset>
            </wp:positionV>
            <wp:extent cx="68580" cy="1117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-1644015</wp:posOffset>
            </wp:positionV>
            <wp:extent cx="6858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-1644015</wp:posOffset>
            </wp:positionV>
            <wp:extent cx="6858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-1644015</wp:posOffset>
            </wp:positionV>
            <wp:extent cx="6858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-306705</wp:posOffset>
            </wp:positionV>
            <wp:extent cx="68580" cy="1111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-306705</wp:posOffset>
            </wp:positionV>
            <wp:extent cx="68580" cy="1111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6917690" cy="93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17690" cy="9398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b w:val="1"/>
          <w:bCs w:val="1"/>
          <w:color w:val="auto"/>
        </w:rPr>
        <w:t>Office Products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35" w:right="4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7"/>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4"/>
                <w:szCs w:val="14"/>
                <w:color w:val="auto"/>
                <w:vertAlign w:val="superscript"/>
              </w:rPr>
              <w:t>(3)(5)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ABL FILO term loan ($19,000 par, due 4/2027)</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4/25/2022</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+ 6.50%</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10.62 %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18,478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9"/>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(3)</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($26,873 par, due 6/2026)</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6/30/2022</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+ 8.65%</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26,781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($57,818 par, due 12/2025)</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12/3/2021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+ 7.76%</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12.34 %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56,927</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58,468</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83,272</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85,249</w:t>
            </w:r>
          </w:p>
        </w:tc>
        <w:tc>
          <w:tcPr>
            <w:tcW w:w="18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6.4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4"/>
                <w:szCs w:val="14"/>
                <w:color w:val="auto"/>
                <w:vertAlign w:val="superscript"/>
              </w:rPr>
              <w:t>(3)(5)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($40,353 par, due 3/2026)</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3/31/2021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+ 6.60%</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10.92 %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39,445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99 Cents Only Stores LLC </w:t>
            </w:r>
            <w:r>
              <w:rPr>
                <w:rFonts w:ascii="Times New Roman" w:cs="Times New Roman" w:eastAsia="Times New Roman" w:hAnsi="Times New Roman"/>
                <w:sz w:val="14"/>
                <w:szCs w:val="14"/>
                <w:color w:val="auto"/>
                <w:vertAlign w:val="superscript"/>
              </w:rPr>
              <w:t>(3)</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ABL FILO term loan ($25,000 par, due 5/2025)</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9/6/2017</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L + 8.50%</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25,063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21"/>
        </w:trPr>
        <w:tc>
          <w:tcPr>
            <w:tcW w:w="170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(3)</w:t>
            </w:r>
          </w:p>
        </w:tc>
        <w:tc>
          <w:tcPr>
            <w:tcW w:w="27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First-lien loan ($27,171 par, due 9/2026)</w:t>
            </w:r>
          </w:p>
        </w:tc>
        <w:tc>
          <w:tcPr>
            <w:tcW w:w="122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9/30/2015</w:t>
            </w:r>
          </w:p>
        </w:tc>
        <w:tc>
          <w:tcPr>
            <w:tcW w:w="1020" w:type="dxa"/>
            <w:vAlign w:val="bottom"/>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L + 6.25%</w:t>
            </w:r>
          </w:p>
        </w:tc>
        <w:tc>
          <w:tcPr>
            <w:tcW w:w="1000" w:type="dxa"/>
            <w:vAlign w:val="bottom"/>
            <w:shd w:val="clear" w:color="auto" w:fill="CFF0FC"/>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10.38% (incl.</w:t>
            </w: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26,339</w:t>
            </w:r>
          </w:p>
        </w:tc>
        <w:tc>
          <w:tcPr>
            <w:tcW w:w="9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20,922</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9"/>
        </w:trPr>
        <w:tc>
          <w:tcPr>
            <w:tcW w:w="170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9.88% PIK)</w:t>
            </w: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2780" w:type="dxa"/>
            <w:vAlign w:val="bottom"/>
          </w:tcPr>
          <w:p>
            <w:pPr>
              <w:ind w:left="100"/>
              <w:spacing w:after="0" w:line="121" w:lineRule="exact"/>
              <w:rPr>
                <w:sz w:val="20"/>
                <w:szCs w:val="20"/>
                <w:color w:val="auto"/>
              </w:rPr>
            </w:pPr>
            <w:r>
              <w:rPr>
                <w:rFonts w:ascii="Times New Roman" w:cs="Times New Roman" w:eastAsia="Times New Roman" w:hAnsi="Times New Roman"/>
                <w:sz w:val="11"/>
                <w:szCs w:val="11"/>
                <w:color w:val="auto"/>
              </w:rPr>
              <w:t xml:space="preserve">First-lien loan ($1,363 par, due 9/2026) </w:t>
            </w:r>
            <w:r>
              <w:rPr>
                <w:rFonts w:ascii="Times New Roman" w:cs="Times New Roman" w:eastAsia="Times New Roman" w:hAnsi="Times New Roman"/>
                <w:sz w:val="14"/>
                <w:szCs w:val="14"/>
                <w:color w:val="auto"/>
                <w:vertAlign w:val="superscript"/>
              </w:rPr>
              <w:t>(15)</w:t>
            </w:r>
          </w:p>
        </w:tc>
        <w:tc>
          <w:tcPr>
            <w:tcW w:w="12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6/10/2021</w:t>
            </w:r>
          </w:p>
        </w:tc>
        <w:tc>
          <w:tcPr>
            <w:tcW w:w="10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L + 14.00%</w:t>
            </w:r>
          </w:p>
        </w:tc>
        <w:tc>
          <w:tcPr>
            <w:tcW w:w="100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18.13% (incl.</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1,362</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17.63% PIK)</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Subordinated note ($4,740 par, due 9/2026) </w:t>
            </w:r>
            <w:r>
              <w:rPr>
                <w:rFonts w:ascii="Times New Roman" w:cs="Times New Roman" w:eastAsia="Times New Roman" w:hAnsi="Times New Roman"/>
                <w:sz w:val="14"/>
                <w:szCs w:val="14"/>
                <w:color w:val="auto"/>
                <w:vertAlign w:val="superscript"/>
              </w:rPr>
              <w:t>(15)</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3/16/2021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L + 1.00%</w:t>
            </w:r>
          </w:p>
        </w:tc>
        <w:tc>
          <w:tcPr>
            <w:tcW w:w="10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4.75% PIK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ABL FILO term loan ($55,000 par, due 8/2027)</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9/2/2022</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SOFR + 7.90%</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12.30 %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53,900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($32,907 par, due 7/2028)</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7/25/2022</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SOFR + 8.75%</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13.27 %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32,091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32,135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(3)(5)</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First-lien loan ($56,400 par, due 12/2026)</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12/20/2021</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L + 6.25%</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55,272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Project P Intermediate 2, LLC </w:t>
            </w:r>
            <w:r>
              <w:rPr>
                <w:rFonts w:ascii="Times New Roman" w:cs="Times New Roman" w:eastAsia="Times New Roman" w:hAnsi="Times New Roman"/>
                <w:sz w:val="14"/>
                <w:szCs w:val="14"/>
                <w:color w:val="auto"/>
                <w:vertAlign w:val="superscript"/>
              </w:rPr>
              <w:t>(3)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ABL FILO term loan ($73,125 par, due 5/2026)</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11/8/2021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L + 8.00%</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12.41 %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71,976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72,943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Tango Management Consulting,</w:t>
            </w:r>
          </w:p>
        </w:tc>
        <w:tc>
          <w:tcPr>
            <w:tcW w:w="278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First-lien loan ($44,674 par, due 12/2027)</w:t>
            </w:r>
          </w:p>
        </w:tc>
        <w:tc>
          <w:tcPr>
            <w:tcW w:w="122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12/1/2021</w:t>
            </w:r>
          </w:p>
        </w:tc>
        <w:tc>
          <w:tcPr>
            <w:tcW w:w="1020" w:type="dxa"/>
            <w:vAlign w:val="bottom"/>
          </w:tcPr>
          <w:p>
            <w:pPr>
              <w:jc w:val="right"/>
              <w:ind w:right="166"/>
              <w:spacing w:after="0" w:line="108" w:lineRule="exact"/>
              <w:rPr>
                <w:sz w:val="20"/>
                <w:szCs w:val="20"/>
                <w:color w:val="auto"/>
              </w:rPr>
            </w:pPr>
            <w:r>
              <w:rPr>
                <w:rFonts w:ascii="Times New Roman" w:cs="Times New Roman" w:eastAsia="Times New Roman" w:hAnsi="Times New Roman"/>
                <w:sz w:val="11"/>
                <w:szCs w:val="11"/>
                <w:color w:val="auto"/>
              </w:rPr>
              <w:t>L + 6.75%</w:t>
            </w:r>
          </w:p>
        </w:tc>
        <w:tc>
          <w:tcPr>
            <w:tcW w:w="100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10.49 %</w:t>
            </w:r>
          </w:p>
        </w:tc>
        <w:tc>
          <w:tcPr>
            <w:tcW w:w="10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43,752</w:t>
            </w: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42,997</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6"/>
                <w:szCs w:val="6"/>
                <w:color w:val="auto"/>
              </w:rPr>
              <w:t xml:space="preserve"> (3)(5)</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309,957</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303,381</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45"/>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Project44, Inc. </w:t>
            </w:r>
            <w:r>
              <w:rPr>
                <w:rFonts w:ascii="Times New Roman" w:cs="Times New Roman" w:eastAsia="Times New Roman" w:hAnsi="Times New Roman"/>
                <w:sz w:val="14"/>
                <w:szCs w:val="14"/>
                <w:color w:val="auto"/>
                <w:vertAlign w:val="superscript"/>
              </w:rPr>
              <w:t>(3)(5)</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First-lien loan ($35,139 par, due 11/2027)</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11/12/2021</w:t>
            </w:r>
          </w:p>
        </w:tc>
        <w:tc>
          <w:tcPr>
            <w:tcW w:w="10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L + 6.25%</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11.41 %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34,043</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2,579,557</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2,568,814</w:t>
            </w:r>
          </w:p>
        </w:tc>
        <w:tc>
          <w:tcPr>
            <w:tcW w:w="18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188.1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5"/>
        </w:trPr>
        <w:tc>
          <w:tcPr>
            <w:tcW w:w="170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7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Dye &amp; Durham, Ltd. </w:t>
            </w:r>
            <w:r>
              <w:rPr>
                <w:rFonts w:ascii="Times New Roman" w:cs="Times New Roman" w:eastAsia="Times New Roman" w:hAnsi="Times New Roman"/>
                <w:sz w:val="14"/>
                <w:szCs w:val="14"/>
                <w:color w:val="auto"/>
                <w:vertAlign w:val="superscript"/>
              </w:rPr>
              <w:t>(4)(11)</w:t>
            </w:r>
          </w:p>
        </w:tc>
        <w:tc>
          <w:tcPr>
            <w:tcW w:w="27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Common Shares (126,968 shares)</w:t>
            </w:r>
          </w:p>
        </w:tc>
        <w:tc>
          <w:tcPr>
            <w:tcW w:w="12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12/3/2021</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3,909</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1,538</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(CAD 2,284)</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1"/>
                <w:szCs w:val="11"/>
                <w:color w:val="auto"/>
                <w:w w:val="96"/>
              </w:rPr>
              <w:t xml:space="preserve">Mitnick TA Aggregator, LP </w:t>
            </w:r>
            <w:r>
              <w:rPr>
                <w:rFonts w:ascii="Times New Roman" w:cs="Times New Roman" w:eastAsia="Times New Roman" w:hAnsi="Times New Roman"/>
                <w:sz w:val="14"/>
                <w:szCs w:val="14"/>
                <w:color w:val="auto"/>
                <w:w w:val="96"/>
                <w:vertAlign w:val="superscript"/>
              </w:rPr>
              <w:t>(12)(13)(14)</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Membership Interest (0.43% ownership)</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5/2/2022</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ReliaQuest, LLC </w:t>
            </w:r>
            <w:r>
              <w:rPr>
                <w:rFonts w:ascii="Times New Roman" w:cs="Times New Roman" w:eastAsia="Times New Roman" w:hAnsi="Times New Roman"/>
                <w:sz w:val="14"/>
                <w:szCs w:val="14"/>
                <w:color w:val="auto"/>
                <w:vertAlign w:val="superscript"/>
              </w:rPr>
              <w:t>(12)(14)</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A-1 Units (567,683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11/23/2021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spacing w:after="0"/>
              <w:rPr>
                <w:sz w:val="12"/>
                <w:szCs w:val="12"/>
                <w:color w:val="auto"/>
              </w:rPr>
            </w:pPr>
          </w:p>
        </w:tc>
        <w:tc>
          <w:tcPr>
            <w:tcW w:w="2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1"/>
                <w:szCs w:val="11"/>
                <w:color w:val="auto"/>
              </w:rPr>
              <w:t>Class A-2 Units (2,580 units)</w:t>
            </w:r>
            <w:r>
              <w:rPr>
                <w:rFonts w:ascii="Times New Roman" w:cs="Times New Roman" w:eastAsia="Times New Roman" w:hAnsi="Times New Roman"/>
                <w:sz w:val="14"/>
                <w:szCs w:val="14"/>
                <w:color w:val="auto"/>
                <w:vertAlign w:val="superscript"/>
              </w:rPr>
              <w:t>(13)</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6/21/2022</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Sprinklr, Inc. </w:t>
            </w:r>
            <w:r>
              <w:rPr>
                <w:rFonts w:ascii="Times New Roman" w:cs="Times New Roman" w:eastAsia="Times New Roman" w:hAnsi="Times New Roman"/>
                <w:sz w:val="14"/>
                <w:szCs w:val="14"/>
                <w:color w:val="auto"/>
                <w:vertAlign w:val="superscript"/>
              </w:rPr>
              <w:t>(11)(12)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Shares (484,700 shares)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6/24/2021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WideOrbit, Inc. </w:t>
            </w:r>
            <w:r>
              <w:rPr>
                <w:rFonts w:ascii="Times New Roman" w:cs="Times New Roman" w:eastAsia="Times New Roman" w:hAnsi="Times New Roman"/>
                <w:sz w:val="14"/>
                <w:szCs w:val="14"/>
                <w:color w:val="auto"/>
                <w:vertAlign w:val="superscript"/>
              </w:rPr>
              <w:t>(12)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1,567,807 Warrants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7/8/2020</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4,869</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14,785</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18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1.3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Units (1,250,000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11/19/2021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4"/>
                <w:szCs w:val="14"/>
                <w:color w:val="auto"/>
                <w:vertAlign w:val="superscript"/>
              </w:rPr>
              <w:t>(12)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C Preferred Shares (1,816,295 shares)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1,794</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D Preferred Shares (1,598,874 shares)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280,000 Warrants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2/28/2020</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106,592 Warrants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FF0FC"/>
            </w:tcBorders>
            <w:shd w:val="clear" w:color="auto" w:fill="CFF0FC"/>
          </w:tcPr>
          <w:p>
            <w:pPr>
              <w:spacing w:after="0"/>
              <w:rPr>
                <w:sz w:val="12"/>
                <w:szCs w:val="12"/>
                <w:color w:val="auto"/>
              </w:rPr>
            </w:pPr>
          </w:p>
        </w:tc>
        <w:tc>
          <w:tcPr>
            <w:tcW w:w="278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6,174</w:t>
            </w: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1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Astra 2L Holdings II LLC </w:t>
            </w:r>
            <w:r>
              <w:rPr>
                <w:rFonts w:ascii="Times New Roman" w:cs="Times New Roman" w:eastAsia="Times New Roman" w:hAnsi="Times New Roman"/>
                <w:sz w:val="14"/>
                <w:szCs w:val="14"/>
                <w:color w:val="auto"/>
                <w:vertAlign w:val="superscript"/>
              </w:rPr>
              <w:t>(12)(13)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Membership Interest (10.17% ownership)</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1/13/2022</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B Units (5,522,526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4,763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08"/>
        </w:trPr>
        <w:tc>
          <w:tcPr>
            <w:tcW w:w="17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RMCF IV CIV XXXV,</w:t>
            </w:r>
          </w:p>
        </w:tc>
        <w:tc>
          <w:tcPr>
            <w:tcW w:w="278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rPr>
              <w:t>Partnership Interest (11.94% ownership)</w:t>
            </w:r>
          </w:p>
        </w:tc>
        <w:tc>
          <w:tcPr>
            <w:tcW w:w="1220" w:type="dxa"/>
            <w:vAlign w:val="bottom"/>
            <w:shd w:val="clear" w:color="auto" w:fill="CFF0FC"/>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6/8/2021</w:t>
            </w: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1,000</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1,190</w:t>
            </w:r>
          </w:p>
        </w:tc>
        <w:tc>
          <w:tcPr>
            <w:tcW w:w="11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9"/>
        </w:trPr>
        <w:tc>
          <w:tcPr>
            <w:tcW w:w="170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7"/>
                <w:szCs w:val="17"/>
                <w:color w:val="auto"/>
                <w:vertAlign w:val="subscript"/>
              </w:rPr>
              <w:t>LP.</w:t>
            </w:r>
            <w:r>
              <w:rPr>
                <w:rFonts w:ascii="Times New Roman" w:cs="Times New Roman" w:eastAsia="Times New Roman" w:hAnsi="Times New Roman"/>
                <w:sz w:val="6"/>
                <w:szCs w:val="6"/>
                <w:color w:val="auto"/>
              </w:rPr>
              <w:t xml:space="preserve"> (12)</w:t>
            </w:r>
          </w:p>
        </w:tc>
        <w:tc>
          <w:tcPr>
            <w:tcW w:w="278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8,508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0.7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AvidXchange, Inc. </w:t>
            </w:r>
            <w:r>
              <w:rPr>
                <w:rFonts w:ascii="Times New Roman" w:cs="Times New Roman" w:eastAsia="Times New Roman" w:hAnsi="Times New Roman"/>
                <w:sz w:val="14"/>
                <w:szCs w:val="14"/>
                <w:color w:val="auto"/>
                <w:vertAlign w:val="superscript"/>
              </w:rPr>
              <w:t>(11)(12)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Shares (200,721 shares)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10/15/2021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14"/>
                <w:szCs w:val="14"/>
                <w:color w:val="auto"/>
                <w:vertAlign w:val="superscript"/>
              </w:rPr>
              <w:t>(12)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A-2 Units (131,569 units)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12/10/2020</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4,177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4,845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Oxford Square Capital Corp. </w:t>
            </w:r>
            <w:r>
              <w:rPr>
                <w:rFonts w:ascii="Times New Roman" w:cs="Times New Roman" w:eastAsia="Times New Roman" w:hAnsi="Times New Roman"/>
                <w:sz w:val="14"/>
                <w:szCs w:val="14"/>
                <w:color w:val="auto"/>
                <w:vertAlign w:val="superscript"/>
              </w:rPr>
              <w:t>(4)(11)</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Shares (1,620 shares)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8/5/2015</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14"/>
                <w:szCs w:val="14"/>
                <w:color w:val="auto"/>
                <w:vertAlign w:val="superscript"/>
              </w:rPr>
              <w:t>(12)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17,534 Warrants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4/28/2021</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(12)(14)</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Units (600,000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5/14/2021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38"/>
        </w:trPr>
        <w:tc>
          <w:tcPr>
            <w:tcW w:w="1700" w:type="dxa"/>
            <w:vAlign w:val="bottom"/>
            <w:tcBorders>
              <w:bottom w:val="single" w:sz="8" w:color="CFF0FC"/>
            </w:tcBorders>
            <w:shd w:val="clear" w:color="auto" w:fill="CFF0FC"/>
          </w:tcPr>
          <w:p>
            <w:pPr>
              <w:spacing w:after="0"/>
              <w:rPr>
                <w:sz w:val="11"/>
                <w:szCs w:val="11"/>
                <w:color w:val="auto"/>
              </w:rPr>
            </w:pPr>
          </w:p>
        </w:tc>
        <w:tc>
          <w:tcPr>
            <w:tcW w:w="278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5,997</w:t>
            </w:r>
          </w:p>
        </w:tc>
        <w:tc>
          <w:tcPr>
            <w:tcW w:w="1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7,516</w:t>
            </w:r>
          </w:p>
        </w:tc>
        <w:tc>
          <w:tcPr>
            <w:tcW w:w="1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14"/>
                <w:szCs w:val="14"/>
                <w:color w:val="auto"/>
                <w:vertAlign w:val="superscript"/>
              </w:rPr>
              <w:t>(12)</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C Preferred Shares (362,319 shares)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10/13/2020</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D Preferred Shares (1,240,740 shares)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5/11/2021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8,668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13"/>
                <w:szCs w:val="13"/>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633,376 Warrants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9/21/2018</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569,991 Warrants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4/2/2020</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7"/>
                <w:szCs w:val="17"/>
                <w:color w:val="auto"/>
                <w:vertAlign w:val="subscript"/>
              </w:rPr>
              <w:t>Merative L.P.</w:t>
            </w:r>
            <w:r>
              <w:rPr>
                <w:rFonts w:ascii="Times New Roman" w:cs="Times New Roman" w:eastAsia="Times New Roman" w:hAnsi="Times New Roman"/>
                <w:sz w:val="6"/>
                <w:szCs w:val="6"/>
                <w:color w:val="auto"/>
              </w:rPr>
              <w:t xml:space="preserve"> (12)(13)(14)</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989,691 Class A-1 Units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6/30/2022</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9,897</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9,897</w:t>
            </w: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21,389</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22,104</w:t>
            </w:r>
          </w:p>
        </w:tc>
        <w:tc>
          <w:tcPr>
            <w:tcW w:w="18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1.6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(7)(12)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Units (33,790,171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24,413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4"/>
        </w:trPr>
        <w:tc>
          <w:tcPr>
            <w:tcW w:w="1700" w:type="dxa"/>
            <w:vAlign w:val="bottom"/>
            <w:shd w:val="clear" w:color="auto" w:fill="CFF0FC"/>
          </w:tcPr>
          <w:p>
            <w:pPr>
              <w:spacing w:after="0"/>
              <w:rPr>
                <w:sz w:val="12"/>
                <w:szCs w:val="12"/>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C-1 Units (8,800,000 units)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21,942</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24,456</w:t>
            </w:r>
          </w:p>
        </w:tc>
        <w:tc>
          <w:tcPr>
            <w:tcW w:w="18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1.8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46"/>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7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(4)(12)(14)</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A-1 Units (3,780,000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5/5/2021</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4,262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(12)(13)</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A-1 Units (2,393,509 units)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11/7/2022</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2,394</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ClearCompany, LLC </w:t>
            </w:r>
            <w:r>
              <w:rPr>
                <w:rFonts w:ascii="Times New Roman" w:cs="Times New Roman" w:eastAsia="Times New Roman" w:hAnsi="Times New Roman"/>
                <w:sz w:val="14"/>
                <w:szCs w:val="14"/>
                <w:color w:val="auto"/>
                <w:vertAlign w:val="superscript"/>
              </w:rPr>
              <w:t>(12)(14)</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A Preferred Units (1,429,228 units)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8/24/2018</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4,869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DaySmart Holdings, LLC </w:t>
            </w:r>
            <w:r>
              <w:rPr>
                <w:rFonts w:ascii="Times New Roman" w:cs="Times New Roman" w:eastAsia="Times New Roman" w:hAnsi="Times New Roman"/>
                <w:sz w:val="14"/>
                <w:szCs w:val="14"/>
                <w:color w:val="auto"/>
                <w:vertAlign w:val="superscript"/>
              </w:rPr>
              <w:t>(12)(14)</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 Units (166,811 units)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10/1/2019</w:t>
            </w: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1,798</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Employment Hero Holdings Pty Ltd.</w:t>
            </w:r>
          </w:p>
        </w:tc>
        <w:tc>
          <w:tcPr>
            <w:tcW w:w="278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Series E Preferred Shares (113,250 shares)</w:t>
            </w:r>
          </w:p>
        </w:tc>
        <w:tc>
          <w:tcPr>
            <w:tcW w:w="122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3/1/2022</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2,134</w:t>
            </w: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2,034</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94"/>
        </w:trPr>
        <w:tc>
          <w:tcPr>
            <w:tcW w:w="1700" w:type="dxa"/>
            <w:vAlign w:val="bottom"/>
          </w:tcPr>
          <w:p>
            <w:pPr>
              <w:ind w:left="20"/>
              <w:spacing w:after="0"/>
              <w:rPr>
                <w:sz w:val="20"/>
                <w:szCs w:val="20"/>
                <w:color w:val="auto"/>
              </w:rPr>
            </w:pPr>
            <w:r>
              <w:rPr>
                <w:rFonts w:ascii="Times New Roman" w:cs="Times New Roman" w:eastAsia="Times New Roman" w:hAnsi="Times New Roman"/>
                <w:sz w:val="7"/>
                <w:szCs w:val="7"/>
                <w:color w:val="auto"/>
              </w:rPr>
              <w:t>(4)(12)(13)</w:t>
            </w:r>
          </w:p>
        </w:tc>
        <w:tc>
          <w:tcPr>
            <w:tcW w:w="2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(AUD 3,164)</w:t>
            </w: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FF0FC"/>
            </w:tcBorders>
            <w:shd w:val="clear" w:color="auto" w:fill="CFF0FC"/>
          </w:tcPr>
          <w:p>
            <w:pPr>
              <w:spacing w:after="0"/>
              <w:rPr>
                <w:sz w:val="12"/>
                <w:szCs w:val="12"/>
                <w:color w:val="auto"/>
              </w:rPr>
            </w:pPr>
          </w:p>
        </w:tc>
        <w:tc>
          <w:tcPr>
            <w:tcW w:w="278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11,669</w:t>
            </w: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15,357</w:t>
            </w:r>
          </w:p>
        </w:tc>
        <w:tc>
          <w:tcPr>
            <w:tcW w:w="1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w w:val="96"/>
              </w:rPr>
              <w:t xml:space="preserve">Bayshore Intermediate #2, L.P. </w:t>
            </w:r>
            <w:r>
              <w:rPr>
                <w:rFonts w:ascii="Times New Roman" w:cs="Times New Roman" w:eastAsia="Times New Roman" w:hAnsi="Times New Roman"/>
                <w:sz w:val="14"/>
                <w:szCs w:val="14"/>
                <w:color w:val="auto"/>
                <w:w w:val="96"/>
                <w:vertAlign w:val="superscript"/>
              </w:rPr>
              <w:t>(12)(14)</w:t>
            </w: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Units (12,330,709 units)</w:t>
            </w:r>
          </w:p>
        </w:tc>
        <w:tc>
          <w:tcPr>
            <w:tcW w:w="1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10/1/2021</w:t>
            </w: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12,331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11,375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(12)</w:t>
            </w:r>
          </w:p>
        </w:tc>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F Preferred Shares (199,054 shares)</w:t>
            </w:r>
          </w:p>
        </w:tc>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8/2/2019</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5582920</wp:posOffset>
            </wp:positionH>
            <wp:positionV relativeFrom="paragraph">
              <wp:posOffset>-6953250</wp:posOffset>
            </wp:positionV>
            <wp:extent cx="68580" cy="1117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-6953250</wp:posOffset>
            </wp:positionV>
            <wp:extent cx="68580" cy="1117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-5195570</wp:posOffset>
            </wp:positionV>
            <wp:extent cx="68580" cy="1111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-5195570</wp:posOffset>
            </wp:positionV>
            <wp:extent cx="68580" cy="1111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-4158615</wp:posOffset>
            </wp:positionV>
            <wp:extent cx="68580" cy="1111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-4158615</wp:posOffset>
            </wp:positionV>
            <wp:extent cx="68580" cy="1111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-3378200</wp:posOffset>
            </wp:positionV>
            <wp:extent cx="68580"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-3378200</wp:posOffset>
            </wp:positionV>
            <wp:extent cx="6858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-3378200</wp:posOffset>
            </wp:positionV>
            <wp:extent cx="68580"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-2924175</wp:posOffset>
            </wp:positionV>
            <wp:extent cx="68580" cy="1111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-2924175</wp:posOffset>
            </wp:positionV>
            <wp:extent cx="68580" cy="1111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-2143760</wp:posOffset>
            </wp:positionV>
            <wp:extent cx="6858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-2143760</wp:posOffset>
            </wp:positionV>
            <wp:extent cx="6858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-2143760</wp:posOffset>
            </wp:positionV>
            <wp:extent cx="6858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-1569720</wp:posOffset>
            </wp:positionV>
            <wp:extent cx="68580" cy="111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-1569720</wp:posOffset>
            </wp:positionV>
            <wp:extent cx="68580" cy="1111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-1175385</wp:posOffset>
            </wp:positionV>
            <wp:extent cx="68580" cy="1111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-1175385</wp:posOffset>
            </wp:positionV>
            <wp:extent cx="68580" cy="1111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-318135</wp:posOffset>
            </wp:positionV>
            <wp:extent cx="6858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-318135</wp:posOffset>
            </wp:positionV>
            <wp:extent cx="68580" cy="102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-318135</wp:posOffset>
            </wp:positionV>
            <wp:extent cx="68580" cy="1028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337"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(12)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SMA Technologies Holdings, LLC </w:t>
      </w:r>
      <w:r>
        <w:rPr>
          <w:rFonts w:ascii="Times New Roman" w:cs="Times New Roman" w:eastAsia="Times New Roman" w:hAnsi="Times New Roman"/>
          <w:sz w:val="13"/>
          <w:szCs w:val="13"/>
          <w:color w:val="auto"/>
          <w:vertAlign w:val="superscript"/>
        </w:rPr>
        <w:t>(12)</w:t>
      </w:r>
    </w:p>
    <w:p>
      <w:pPr>
        <w:spacing w:after="0"/>
        <w:rPr>
          <w:sz w:val="20"/>
          <w:szCs w:val="20"/>
          <w:color w:val="auto"/>
        </w:rPr>
      </w:pPr>
      <w:r>
        <w:rPr>
          <w:rFonts w:ascii="Times New Roman" w:cs="Times New Roman" w:eastAsia="Times New Roman" w:hAnsi="Times New Roman"/>
          <w:sz w:val="7"/>
          <w:szCs w:val="7"/>
          <w:color w:val="auto"/>
        </w:rPr>
        <w:t>(13)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Marketing Services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Validity, Inc. </w:t>
      </w:r>
      <w:r>
        <w:rPr>
          <w:rFonts w:ascii="Times New Roman" w:cs="Times New Roman" w:eastAsia="Times New Roman" w:hAnsi="Times New Roman"/>
          <w:sz w:val="14"/>
          <w:szCs w:val="14"/>
          <w:color w:val="auto"/>
          <w:vertAlign w:val="superscript"/>
        </w:rPr>
        <w:t>(12)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p>
      <w:pPr>
        <w:spacing w:after="0" w:line="221" w:lineRule="auto"/>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(13)(14)</w:t>
      </w:r>
    </w:p>
    <w:p>
      <w:pPr>
        <w:spacing w:after="0"/>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(12)(13)(14)</w:t>
      </w:r>
    </w:p>
    <w:p>
      <w:pPr>
        <w:spacing w:after="0" w:line="171" w:lineRule="exact"/>
        <w:rPr>
          <w:sz w:val="20"/>
          <w:szCs w:val="20"/>
          <w:color w:val="auto"/>
        </w:rPr>
      </w:pPr>
    </w:p>
    <w:p>
      <w:pPr>
        <w:ind w:right="480"/>
        <w:spacing w:after="0" w:line="334" w:lineRule="auto"/>
        <w:rPr>
          <w:sz w:val="20"/>
          <w:szCs w:val="20"/>
          <w:color w:val="auto"/>
        </w:rPr>
      </w:pPr>
      <w:r>
        <w:rPr>
          <w:rFonts w:ascii="Times New Roman" w:cs="Times New Roman" w:eastAsia="Times New Roman" w:hAnsi="Times New Roman"/>
          <w:sz w:val="10"/>
          <w:szCs w:val="10"/>
          <w:b w:val="1"/>
          <w:bCs w:val="1"/>
          <w:color w:val="auto"/>
        </w:rPr>
        <w:t xml:space="preserve">Pharmaceuticals </w:t>
      </w:r>
      <w:r>
        <w:rPr>
          <w:rFonts w:ascii="Times New Roman" w:cs="Times New Roman" w:eastAsia="Times New Roman" w:hAnsi="Times New Roman"/>
          <w:sz w:val="10"/>
          <w:szCs w:val="10"/>
          <w:color w:val="auto"/>
        </w:rPr>
        <w:t xml:space="preserve">TherapeuticsMD, Inc. </w:t>
      </w:r>
      <w:r>
        <w:rPr>
          <w:rFonts w:ascii="Times New Roman" w:cs="Times New Roman" w:eastAsia="Times New Roman" w:hAnsi="Times New Roman"/>
          <w:sz w:val="13"/>
          <w:szCs w:val="13"/>
          <w:color w:val="auto"/>
          <w:vertAlign w:val="superscript"/>
        </w:rPr>
        <w:t>(4)(12)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(12)</w:t>
      </w:r>
    </w:p>
    <w:p>
      <w:pPr>
        <w:spacing w:after="0"/>
        <w:rPr>
          <w:sz w:val="20"/>
          <w:szCs w:val="20"/>
          <w:color w:val="auto"/>
        </w:rPr>
      </w:pPr>
      <w:r>
        <w:rPr>
          <w:rFonts w:ascii="Times New Roman" w:cs="Times New Roman" w:eastAsia="Times New Roman" w:hAnsi="Times New Roman"/>
          <w:sz w:val="11"/>
          <w:szCs w:val="11"/>
          <w:color w:val="auto"/>
        </w:rPr>
        <w:t xml:space="preserve">Copper Bidco, LLC </w:t>
      </w:r>
      <w:r>
        <w:rPr>
          <w:rFonts w:ascii="Times New Roman" w:cs="Times New Roman" w:eastAsia="Times New Roman" w:hAnsi="Times New Roman"/>
          <w:sz w:val="14"/>
          <w:szCs w:val="14"/>
          <w:color w:val="auto"/>
          <w:vertAlign w:val="superscript"/>
        </w:rPr>
        <w:t>(10)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(12)(14)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Structured Credit</w:t>
      </w:r>
    </w:p>
    <w:p>
      <w:pPr>
        <w:spacing w:after="0" w:line="188" w:lineRule="auto"/>
        <w:rPr>
          <w:sz w:val="20"/>
          <w:szCs w:val="20"/>
          <w:color w:val="auto"/>
        </w:rPr>
      </w:pPr>
      <w:r>
        <w:rPr>
          <w:rFonts w:ascii="Times New Roman" w:cs="Times New Roman" w:eastAsia="Times New Roman" w:hAnsi="Times New Roman"/>
          <w:sz w:val="9"/>
          <w:szCs w:val="9"/>
          <w:color w:val="auto"/>
        </w:rPr>
        <w:t xml:space="preserve">Allegro CLO Ltd, Series 2018-1A, </w:t>
      </w:r>
      <w:r>
        <w:rPr>
          <w:rFonts w:ascii="Times New Roman" w:cs="Times New Roman" w:eastAsia="Times New Roman" w:hAnsi="Times New Roman"/>
          <w:sz w:val="12"/>
          <w:szCs w:val="12"/>
          <w:color w:val="auto"/>
          <w:vertAlign w:val="superscript"/>
        </w:rPr>
        <w:t>(3)</w:t>
      </w:r>
    </w:p>
    <w:p>
      <w:pPr>
        <w:spacing w:after="0"/>
        <w:rPr>
          <w:sz w:val="20"/>
          <w:szCs w:val="20"/>
          <w:color w:val="auto"/>
        </w:rPr>
      </w:pPr>
      <w:r>
        <w:rPr>
          <w:rFonts w:ascii="Times New Roman" w:cs="Times New Roman" w:eastAsia="Times New Roman" w:hAnsi="Times New Roman"/>
          <w:sz w:val="7"/>
          <w:szCs w:val="7"/>
          <w:color w:val="auto"/>
        </w:rPr>
        <w:t>(4)(10)</w:t>
      </w:r>
    </w:p>
    <w:p>
      <w:pPr>
        <w:spacing w:after="0" w:line="6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0"/>
          <w:szCs w:val="10"/>
          <w:color w:val="auto"/>
        </w:rPr>
        <w:t xml:space="preserve">American Money Management Corp CLO Ltd, Series 2016-18A </w:t>
      </w:r>
      <w:r>
        <w:rPr>
          <w:rFonts w:ascii="Times New Roman" w:cs="Times New Roman" w:eastAsia="Times New Roman" w:hAnsi="Times New Roman"/>
          <w:sz w:val="13"/>
          <w:szCs w:val="13"/>
          <w:color w:val="auto"/>
          <w:vertAlign w:val="superscript"/>
        </w:rPr>
        <w:t>(3)(4)(10)</w:t>
      </w:r>
    </w:p>
    <w:p>
      <w:pPr>
        <w:spacing w:after="0" w:line="180" w:lineRule="auto"/>
        <w:rPr>
          <w:sz w:val="20"/>
          <w:szCs w:val="20"/>
          <w:color w:val="auto"/>
        </w:rPr>
      </w:pPr>
      <w:r>
        <w:rPr>
          <w:rFonts w:ascii="Times New Roman" w:cs="Times New Roman" w:eastAsia="Times New Roman" w:hAnsi="Times New Roman"/>
          <w:sz w:val="9"/>
          <w:szCs w:val="9"/>
          <w:color w:val="auto"/>
        </w:rPr>
        <w:t xml:space="preserve">Ares CLO Ltd, Series 2021-59A </w:t>
      </w:r>
      <w:r>
        <w:rPr>
          <w:rFonts w:ascii="Times New Roman" w:cs="Times New Roman" w:eastAsia="Times New Roman" w:hAnsi="Times New Roman"/>
          <w:sz w:val="11"/>
          <w:szCs w:val="11"/>
          <w:color w:val="auto"/>
          <w:vertAlign w:val="superscript"/>
        </w:rPr>
        <w:t>(3)(4)</w:t>
      </w:r>
    </w:p>
    <w:p>
      <w:pPr>
        <w:spacing w:after="0"/>
        <w:rPr>
          <w:sz w:val="20"/>
          <w:szCs w:val="20"/>
          <w:color w:val="auto"/>
        </w:rPr>
      </w:pPr>
      <w:r>
        <w:rPr>
          <w:rFonts w:ascii="Times New Roman" w:cs="Times New Roman" w:eastAsia="Times New Roman" w:hAnsi="Times New Roman"/>
          <w:sz w:val="7"/>
          <w:szCs w:val="7"/>
          <w:color w:val="auto"/>
        </w:rPr>
        <w:t>(10)</w:t>
      </w:r>
    </w:p>
    <w:p>
      <w:pPr>
        <w:spacing w:after="0" w:line="6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0"/>
          <w:szCs w:val="10"/>
          <w:color w:val="auto"/>
        </w:rPr>
        <w:t xml:space="preserve">Ares Loan Funding I Ltd, Series 2021-ALFA, Class E </w:t>
      </w:r>
      <w:r>
        <w:rPr>
          <w:rFonts w:ascii="Times New Roman" w:cs="Times New Roman" w:eastAsia="Times New Roman" w:hAnsi="Times New Roman"/>
          <w:sz w:val="13"/>
          <w:szCs w:val="13"/>
          <w:color w:val="auto"/>
          <w:vertAlign w:val="superscript"/>
        </w:rPr>
        <w:t>(3)(4)(10)</w:t>
      </w:r>
    </w:p>
    <w:p>
      <w:pPr>
        <w:spacing w:after="0" w:line="1" w:lineRule="exact"/>
        <w:rPr>
          <w:sz w:val="20"/>
          <w:szCs w:val="20"/>
          <w:color w:val="auto"/>
        </w:rPr>
      </w:pPr>
    </w:p>
    <w:p>
      <w:pPr>
        <w:ind w:right="100"/>
        <w:spacing w:after="0" w:line="186" w:lineRule="auto"/>
        <w:rPr>
          <w:sz w:val="20"/>
          <w:szCs w:val="20"/>
          <w:color w:val="auto"/>
        </w:rPr>
      </w:pPr>
      <w:r>
        <w:rPr>
          <w:rFonts w:ascii="Times New Roman" w:cs="Times New Roman" w:eastAsia="Times New Roman" w:hAnsi="Times New Roman"/>
          <w:sz w:val="10"/>
          <w:szCs w:val="10"/>
          <w:color w:val="auto"/>
        </w:rPr>
        <w:t xml:space="preserve">Bain Capital Credit CLO Ltd, Series </w:t>
      </w:r>
      <w:r>
        <w:rPr>
          <w:rFonts w:ascii="Times New Roman" w:cs="Times New Roman" w:eastAsia="Times New Roman" w:hAnsi="Times New Roman"/>
          <w:sz w:val="18"/>
          <w:szCs w:val="18"/>
          <w:color w:val="auto"/>
          <w:vertAlign w:val="subscript"/>
        </w:rPr>
        <w:t>2018-1A</w:t>
      </w:r>
      <w:r>
        <w:rPr>
          <w:rFonts w:ascii="Times New Roman" w:cs="Times New Roman" w:eastAsia="Times New Roman" w:hAnsi="Times New Roman"/>
          <w:sz w:val="6"/>
          <w:szCs w:val="6"/>
          <w:color w:val="auto"/>
        </w:rPr>
        <w:t xml:space="preserve"> (3)(4)(10)</w:t>
      </w:r>
    </w:p>
    <w:p>
      <w:pPr>
        <w:ind w:right="260"/>
        <w:spacing w:after="0" w:line="187" w:lineRule="auto"/>
        <w:rPr>
          <w:sz w:val="20"/>
          <w:szCs w:val="20"/>
          <w:color w:val="auto"/>
        </w:rPr>
      </w:pPr>
      <w:r>
        <w:rPr>
          <w:rFonts w:ascii="Times New Roman" w:cs="Times New Roman" w:eastAsia="Times New Roman" w:hAnsi="Times New Roman"/>
          <w:sz w:val="10"/>
          <w:szCs w:val="10"/>
          <w:color w:val="auto"/>
        </w:rPr>
        <w:t>Battalion CLO Ltd, Series 2021-</w:t>
      </w:r>
      <w:r>
        <w:rPr>
          <w:rFonts w:ascii="Times New Roman" w:cs="Times New Roman" w:eastAsia="Times New Roman" w:hAnsi="Times New Roman"/>
          <w:sz w:val="20"/>
          <w:szCs w:val="20"/>
          <w:color w:val="auto"/>
          <w:vertAlign w:val="subscript"/>
        </w:rPr>
        <w:t>21A</w:t>
      </w:r>
      <w:r>
        <w:rPr>
          <w:rFonts w:ascii="Times New Roman" w:cs="Times New Roman" w:eastAsia="Times New Roman" w:hAnsi="Times New Roman"/>
          <w:sz w:val="7"/>
          <w:szCs w:val="7"/>
          <w:color w:val="auto"/>
        </w:rPr>
        <w:t xml:space="preserve"> (3)(4)(10)</w:t>
      </w:r>
    </w:p>
    <w:p>
      <w:pPr>
        <w:spacing w:after="0" w:line="9"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1"/>
          <w:szCs w:val="11"/>
          <w:color w:val="auto"/>
        </w:rPr>
        <w:t xml:space="preserve">Benefit Street Partners CLO Ltd, Series 2015-BR </w:t>
      </w:r>
      <w:r>
        <w:rPr>
          <w:rFonts w:ascii="Times New Roman" w:cs="Times New Roman" w:eastAsia="Times New Roman" w:hAnsi="Times New Roman"/>
          <w:sz w:val="14"/>
          <w:szCs w:val="14"/>
          <w:color w:val="auto"/>
          <w:vertAlign w:val="superscript"/>
        </w:rPr>
        <w:t>(3)(4)(10)</w:t>
      </w:r>
    </w:p>
    <w:p>
      <w:pPr>
        <w:spacing w:after="0" w:line="1" w:lineRule="exact"/>
        <w:rPr>
          <w:sz w:val="20"/>
          <w:szCs w:val="20"/>
          <w:color w:val="auto"/>
        </w:rPr>
      </w:pPr>
    </w:p>
    <w:p>
      <w:pPr>
        <w:ind w:right="240"/>
        <w:spacing w:after="0" w:line="225" w:lineRule="auto"/>
        <w:rPr>
          <w:sz w:val="20"/>
          <w:szCs w:val="20"/>
          <w:color w:val="auto"/>
        </w:rPr>
      </w:pPr>
      <w:r>
        <w:rPr>
          <w:rFonts w:ascii="Times New Roman" w:cs="Times New Roman" w:eastAsia="Times New Roman" w:hAnsi="Times New Roman"/>
          <w:sz w:val="11"/>
          <w:szCs w:val="11"/>
          <w:color w:val="auto"/>
        </w:rPr>
        <w:t xml:space="preserve">Benefit Street Partners CLO Ltd, Series 2015-8A </w:t>
      </w:r>
      <w:r>
        <w:rPr>
          <w:rFonts w:ascii="Times New Roman" w:cs="Times New Roman" w:eastAsia="Times New Roman" w:hAnsi="Times New Roman"/>
          <w:sz w:val="14"/>
          <w:szCs w:val="14"/>
          <w:color w:val="auto"/>
          <w:vertAlign w:val="superscript"/>
        </w:rPr>
        <w:t>(3)(4)(10)</w:t>
      </w:r>
    </w:p>
    <w:p>
      <w:pPr>
        <w:spacing w:after="0" w:line="225" w:lineRule="auto"/>
        <w:rPr>
          <w:sz w:val="20"/>
          <w:szCs w:val="20"/>
          <w:color w:val="auto"/>
        </w:rPr>
      </w:pPr>
      <w:r>
        <w:rPr>
          <w:rFonts w:ascii="Times New Roman" w:cs="Times New Roman" w:eastAsia="Times New Roman" w:hAnsi="Times New Roman"/>
          <w:sz w:val="11"/>
          <w:szCs w:val="11"/>
          <w:color w:val="auto"/>
        </w:rPr>
        <w:t xml:space="preserve">Carlyle Global Market Strategies CLO Ltd, Series 2014-4RA </w:t>
      </w:r>
      <w:r>
        <w:rPr>
          <w:rFonts w:ascii="Times New Roman" w:cs="Times New Roman" w:eastAsia="Times New Roman" w:hAnsi="Times New Roman"/>
          <w:sz w:val="14"/>
          <w:szCs w:val="14"/>
          <w:color w:val="auto"/>
          <w:vertAlign w:val="superscript"/>
        </w:rPr>
        <w:t>(3)(4)(10)</w:t>
      </w:r>
    </w:p>
    <w:p>
      <w:pPr>
        <w:spacing w:after="0" w:line="225" w:lineRule="auto"/>
        <w:rPr>
          <w:sz w:val="20"/>
          <w:szCs w:val="20"/>
          <w:color w:val="auto"/>
        </w:rPr>
      </w:pPr>
      <w:r>
        <w:rPr>
          <w:rFonts w:ascii="Times New Roman" w:cs="Times New Roman" w:eastAsia="Times New Roman" w:hAnsi="Times New Roman"/>
          <w:sz w:val="11"/>
          <w:szCs w:val="11"/>
          <w:color w:val="auto"/>
        </w:rPr>
        <w:t xml:space="preserve">Carlyle Global Market Strategies CLO Ltd, Series 2018-1A </w:t>
      </w:r>
      <w:r>
        <w:rPr>
          <w:rFonts w:ascii="Times New Roman" w:cs="Times New Roman" w:eastAsia="Times New Roman" w:hAnsi="Times New Roman"/>
          <w:sz w:val="14"/>
          <w:szCs w:val="14"/>
          <w:color w:val="auto"/>
          <w:vertAlign w:val="superscript"/>
        </w:rPr>
        <w:t>(3)(4)(10)</w:t>
      </w:r>
    </w:p>
    <w:p>
      <w:pPr>
        <w:spacing w:after="0" w:line="189" w:lineRule="auto"/>
        <w:rPr>
          <w:sz w:val="20"/>
          <w:szCs w:val="20"/>
          <w:color w:val="auto"/>
        </w:rPr>
      </w:pPr>
      <w:r>
        <w:rPr>
          <w:rFonts w:ascii="Times New Roman" w:cs="Times New Roman" w:eastAsia="Times New Roman" w:hAnsi="Times New Roman"/>
          <w:sz w:val="8"/>
          <w:szCs w:val="8"/>
          <w:color w:val="auto"/>
        </w:rPr>
        <w:t>CarVal CLO III Ltd, Series 2019-2A</w:t>
      </w:r>
    </w:p>
    <w:p>
      <w:pPr>
        <w:spacing w:after="0"/>
        <w:rPr>
          <w:sz w:val="20"/>
          <w:szCs w:val="20"/>
          <w:color w:val="auto"/>
        </w:rPr>
      </w:pPr>
      <w:r>
        <w:rPr>
          <w:rFonts w:ascii="Times New Roman" w:cs="Times New Roman" w:eastAsia="Times New Roman" w:hAnsi="Times New Roman"/>
          <w:sz w:val="7"/>
          <w:szCs w:val="7"/>
          <w:color w:val="auto"/>
        </w:rPr>
        <w:t>(3)(4)(10)</w:t>
      </w:r>
    </w:p>
    <w:p>
      <w:pPr>
        <w:spacing w:after="0" w:line="42" w:lineRule="exact"/>
        <w:rPr>
          <w:sz w:val="20"/>
          <w:szCs w:val="20"/>
          <w:color w:val="auto"/>
        </w:rPr>
      </w:pPr>
    </w:p>
    <w:p>
      <w:pPr>
        <w:spacing w:after="0" w:line="184" w:lineRule="auto"/>
        <w:rPr>
          <w:sz w:val="20"/>
          <w:szCs w:val="20"/>
          <w:color w:val="auto"/>
        </w:rPr>
      </w:pPr>
      <w:r>
        <w:rPr>
          <w:rFonts w:ascii="Times New Roman" w:cs="Times New Roman" w:eastAsia="Times New Roman" w:hAnsi="Times New Roman"/>
          <w:sz w:val="11"/>
          <w:szCs w:val="11"/>
          <w:color w:val="auto"/>
        </w:rPr>
        <w:t>Cedar Funding CLO Ltd, Series 2018-</w:t>
      </w:r>
      <w:r>
        <w:rPr>
          <w:rFonts w:ascii="Times New Roman" w:cs="Times New Roman" w:eastAsia="Times New Roman" w:hAnsi="Times New Roman"/>
          <w:sz w:val="21"/>
          <w:szCs w:val="21"/>
          <w:color w:val="auto"/>
          <w:vertAlign w:val="subscript"/>
        </w:rPr>
        <w:t>7A</w:t>
      </w:r>
      <w:r>
        <w:rPr>
          <w:rFonts w:ascii="Times New Roman" w:cs="Times New Roman" w:eastAsia="Times New Roman" w:hAnsi="Times New Roman"/>
          <w:sz w:val="7"/>
          <w:szCs w:val="7"/>
          <w:color w:val="auto"/>
        </w:rPr>
        <w:t xml:space="preserve"> (3)(4)(10)</w:t>
      </w:r>
    </w:p>
    <w:p>
      <w:pPr>
        <w:spacing w:after="0" w:line="180" w:lineRule="auto"/>
        <w:rPr>
          <w:sz w:val="20"/>
          <w:szCs w:val="20"/>
          <w:color w:val="auto"/>
        </w:rPr>
      </w:pPr>
      <w:r>
        <w:rPr>
          <w:rFonts w:ascii="Times New Roman" w:cs="Times New Roman" w:eastAsia="Times New Roman" w:hAnsi="Times New Roman"/>
          <w:sz w:val="9"/>
          <w:szCs w:val="9"/>
          <w:color w:val="auto"/>
        </w:rPr>
        <w:t xml:space="preserve">CIFC CLO Ltd, Series 2018-3A </w:t>
      </w:r>
      <w:r>
        <w:rPr>
          <w:rFonts w:ascii="Times New Roman" w:cs="Times New Roman" w:eastAsia="Times New Roman" w:hAnsi="Times New Roman"/>
          <w:sz w:val="11"/>
          <w:szCs w:val="11"/>
          <w:color w:val="auto"/>
          <w:vertAlign w:val="superscript"/>
        </w:rPr>
        <w:t>(3)(4)</w:t>
      </w:r>
    </w:p>
    <w:p>
      <w:pPr>
        <w:spacing w:after="0"/>
        <w:rPr>
          <w:sz w:val="20"/>
          <w:szCs w:val="20"/>
          <w:color w:val="auto"/>
        </w:rPr>
      </w:pPr>
      <w:r>
        <w:rPr>
          <w:rFonts w:ascii="Times New Roman" w:cs="Times New Roman" w:eastAsia="Times New Roman" w:hAnsi="Times New Roman"/>
          <w:sz w:val="7"/>
          <w:szCs w:val="7"/>
          <w:color w:val="auto"/>
        </w:rPr>
        <w:t>(10)</w:t>
      </w:r>
    </w:p>
    <w:p>
      <w:pPr>
        <w:spacing w:after="0"/>
        <w:rPr>
          <w:sz w:val="20"/>
          <w:szCs w:val="20"/>
          <w:color w:val="auto"/>
        </w:rPr>
      </w:pPr>
      <w:r>
        <w:rPr>
          <w:rFonts w:ascii="Times New Roman" w:cs="Times New Roman" w:eastAsia="Times New Roman" w:hAnsi="Times New Roman"/>
          <w:sz w:val="10"/>
          <w:szCs w:val="10"/>
          <w:color w:val="auto"/>
        </w:rPr>
        <w:t xml:space="preserve">CIFC CLO Ltd, Series 2021-4A </w:t>
      </w:r>
      <w:r>
        <w:rPr>
          <w:rFonts w:ascii="Times New Roman" w:cs="Times New Roman" w:eastAsia="Times New Roman" w:hAnsi="Times New Roman"/>
          <w:sz w:val="13"/>
          <w:szCs w:val="13"/>
          <w:color w:val="auto"/>
          <w:vertAlign w:val="superscript"/>
        </w:rPr>
        <w:t>(3)(4)</w:t>
      </w:r>
    </w:p>
    <w:p>
      <w:pPr>
        <w:spacing w:after="0"/>
        <w:rPr>
          <w:sz w:val="20"/>
          <w:szCs w:val="20"/>
          <w:color w:val="auto"/>
        </w:rPr>
      </w:pPr>
      <w:r>
        <w:rPr>
          <w:rFonts w:ascii="Times New Roman" w:cs="Times New Roman" w:eastAsia="Times New Roman" w:hAnsi="Times New Roman"/>
          <w:sz w:val="7"/>
          <w:szCs w:val="7"/>
          <w:color w:val="auto"/>
        </w:rPr>
        <w:t>(10)</w:t>
      </w:r>
    </w:p>
    <w:p>
      <w:pPr>
        <w:spacing w:after="0" w:line="42" w:lineRule="exact"/>
        <w:rPr>
          <w:sz w:val="20"/>
          <w:szCs w:val="20"/>
          <w:color w:val="auto"/>
        </w:rPr>
      </w:pPr>
    </w:p>
    <w:p>
      <w:pPr>
        <w:ind w:right="100"/>
        <w:spacing w:after="0" w:line="185" w:lineRule="auto"/>
        <w:rPr>
          <w:sz w:val="20"/>
          <w:szCs w:val="20"/>
          <w:color w:val="auto"/>
        </w:rPr>
      </w:pPr>
      <w:r>
        <w:rPr>
          <w:rFonts w:ascii="Times New Roman" w:cs="Times New Roman" w:eastAsia="Times New Roman" w:hAnsi="Times New Roman"/>
          <w:sz w:val="11"/>
          <w:szCs w:val="11"/>
          <w:color w:val="auto"/>
        </w:rPr>
        <w:t>Crown Point CLO Ltd, Series 2021-</w:t>
      </w:r>
      <w:r>
        <w:rPr>
          <w:rFonts w:ascii="Times New Roman" w:cs="Times New Roman" w:eastAsia="Times New Roman" w:hAnsi="Times New Roman"/>
          <w:sz w:val="21"/>
          <w:szCs w:val="21"/>
          <w:color w:val="auto"/>
          <w:vertAlign w:val="subscript"/>
        </w:rPr>
        <w:t>10A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220"/>
        <w:spacing w:after="0" w:line="187" w:lineRule="auto"/>
        <w:rPr>
          <w:sz w:val="20"/>
          <w:szCs w:val="20"/>
          <w:color w:val="auto"/>
        </w:rPr>
      </w:pPr>
      <w:r>
        <w:rPr>
          <w:rFonts w:ascii="Times New Roman" w:cs="Times New Roman" w:eastAsia="Times New Roman" w:hAnsi="Times New Roman"/>
          <w:sz w:val="10"/>
          <w:szCs w:val="10"/>
          <w:color w:val="auto"/>
        </w:rPr>
        <w:t xml:space="preserve">Dryden Senior Loan Fund, Series </w:t>
      </w:r>
      <w:r>
        <w:rPr>
          <w:rFonts w:ascii="Times New Roman" w:cs="Times New Roman" w:eastAsia="Times New Roman" w:hAnsi="Times New Roman"/>
          <w:sz w:val="20"/>
          <w:szCs w:val="20"/>
          <w:color w:val="auto"/>
          <w:vertAlign w:val="subscript"/>
        </w:rPr>
        <w:t>2018-55A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220"/>
        <w:spacing w:after="0" w:line="186" w:lineRule="auto"/>
        <w:rPr>
          <w:sz w:val="20"/>
          <w:szCs w:val="20"/>
          <w:color w:val="auto"/>
        </w:rPr>
      </w:pPr>
      <w:r>
        <w:rPr>
          <w:rFonts w:ascii="Times New Roman" w:cs="Times New Roman" w:eastAsia="Times New Roman" w:hAnsi="Times New Roman"/>
          <w:sz w:val="10"/>
          <w:szCs w:val="10"/>
          <w:color w:val="auto"/>
        </w:rPr>
        <w:t xml:space="preserve">Dryden Senior Loan Fund, Series </w:t>
      </w:r>
      <w:r>
        <w:rPr>
          <w:rFonts w:ascii="Times New Roman" w:cs="Times New Roman" w:eastAsia="Times New Roman" w:hAnsi="Times New Roman"/>
          <w:sz w:val="20"/>
          <w:szCs w:val="20"/>
          <w:color w:val="auto"/>
          <w:vertAlign w:val="subscript"/>
        </w:rPr>
        <w:t>2020-86A</w:t>
      </w:r>
      <w:r>
        <w:rPr>
          <w:rFonts w:ascii="Times New Roman" w:cs="Times New Roman" w:eastAsia="Times New Roman" w:hAnsi="Times New Roman"/>
          <w:sz w:val="7"/>
          <w:szCs w:val="7"/>
          <w:color w:val="auto"/>
        </w:rPr>
        <w:t xml:space="preserve"> (3)(4)(10)</w:t>
      </w:r>
    </w:p>
    <w:p>
      <w:pPr>
        <w:spacing w:after="0" w:line="180" w:lineRule="auto"/>
        <w:rPr>
          <w:sz w:val="20"/>
          <w:szCs w:val="20"/>
          <w:color w:val="auto"/>
        </w:rPr>
      </w:pPr>
      <w:r>
        <w:rPr>
          <w:rFonts w:ascii="Times New Roman" w:cs="Times New Roman" w:eastAsia="Times New Roman" w:hAnsi="Times New Roman"/>
          <w:sz w:val="9"/>
          <w:szCs w:val="9"/>
          <w:color w:val="auto"/>
        </w:rPr>
        <w:t xml:space="preserve">Eaton CLO Ltd, Series 2015-1A </w:t>
      </w:r>
      <w:r>
        <w:rPr>
          <w:rFonts w:ascii="Times New Roman" w:cs="Times New Roman" w:eastAsia="Times New Roman" w:hAnsi="Times New Roman"/>
          <w:sz w:val="11"/>
          <w:szCs w:val="11"/>
          <w:color w:val="auto"/>
          <w:vertAlign w:val="superscript"/>
        </w:rPr>
        <w:t>(3)(4)</w:t>
      </w:r>
    </w:p>
    <w:p>
      <w:pPr>
        <w:spacing w:after="0"/>
        <w:rPr>
          <w:sz w:val="20"/>
          <w:szCs w:val="20"/>
          <w:color w:val="auto"/>
        </w:rPr>
      </w:pPr>
      <w:r>
        <w:rPr>
          <w:rFonts w:ascii="Times New Roman" w:cs="Times New Roman" w:eastAsia="Times New Roman" w:hAnsi="Times New Roman"/>
          <w:sz w:val="7"/>
          <w:szCs w:val="7"/>
          <w:color w:val="auto"/>
        </w:rPr>
        <w:t>(10)</w:t>
      </w:r>
    </w:p>
    <w:p>
      <w:pPr>
        <w:spacing w:after="0"/>
        <w:rPr>
          <w:sz w:val="20"/>
          <w:szCs w:val="20"/>
          <w:color w:val="auto"/>
        </w:rPr>
      </w:pPr>
      <w:r>
        <w:rPr>
          <w:rFonts w:ascii="Times New Roman" w:cs="Times New Roman" w:eastAsia="Times New Roman" w:hAnsi="Times New Roman"/>
          <w:sz w:val="10"/>
          <w:szCs w:val="10"/>
          <w:color w:val="auto"/>
        </w:rPr>
        <w:t xml:space="preserve">Eaton CLO Ltd, Series 2020-1A </w:t>
      </w:r>
      <w:r>
        <w:rPr>
          <w:rFonts w:ascii="Times New Roman" w:cs="Times New Roman" w:eastAsia="Times New Roman" w:hAnsi="Times New Roman"/>
          <w:sz w:val="13"/>
          <w:szCs w:val="13"/>
          <w:color w:val="auto"/>
          <w:vertAlign w:val="superscript"/>
        </w:rPr>
        <w:t>(3)(4)</w:t>
      </w:r>
    </w:p>
    <w:p>
      <w:pPr>
        <w:spacing w:after="0"/>
        <w:rPr>
          <w:sz w:val="20"/>
          <w:szCs w:val="20"/>
          <w:color w:val="auto"/>
        </w:rPr>
      </w:pPr>
      <w:r>
        <w:rPr>
          <w:rFonts w:ascii="Times New Roman" w:cs="Times New Roman" w:eastAsia="Times New Roman" w:hAnsi="Times New Roman"/>
          <w:sz w:val="7"/>
          <w:szCs w:val="7"/>
          <w:color w:val="auto"/>
        </w:rPr>
        <w:t>(10)</w:t>
      </w:r>
    </w:p>
    <w:p>
      <w:pPr>
        <w:spacing w:after="0" w:line="42" w:lineRule="exact"/>
        <w:rPr>
          <w:sz w:val="20"/>
          <w:szCs w:val="20"/>
          <w:color w:val="auto"/>
        </w:rPr>
      </w:pPr>
    </w:p>
    <w:p>
      <w:pPr>
        <w:ind w:right="140"/>
        <w:spacing w:after="0" w:line="185" w:lineRule="auto"/>
        <w:rPr>
          <w:sz w:val="20"/>
          <w:szCs w:val="20"/>
          <w:color w:val="auto"/>
        </w:rPr>
      </w:pPr>
      <w:r>
        <w:rPr>
          <w:rFonts w:ascii="Times New Roman" w:cs="Times New Roman" w:eastAsia="Times New Roman" w:hAnsi="Times New Roman"/>
          <w:sz w:val="11"/>
          <w:szCs w:val="11"/>
          <w:color w:val="auto"/>
        </w:rPr>
        <w:t>GoldenTree CLO Ltd, Series 2020-</w:t>
      </w:r>
      <w:r>
        <w:rPr>
          <w:rFonts w:ascii="Times New Roman" w:cs="Times New Roman" w:eastAsia="Times New Roman" w:hAnsi="Times New Roman"/>
          <w:sz w:val="21"/>
          <w:szCs w:val="21"/>
          <w:color w:val="auto"/>
          <w:vertAlign w:val="subscript"/>
        </w:rPr>
        <w:t>7A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120"/>
        <w:spacing w:after="0" w:line="187" w:lineRule="auto"/>
        <w:rPr>
          <w:sz w:val="20"/>
          <w:szCs w:val="20"/>
          <w:color w:val="auto"/>
        </w:rPr>
      </w:pPr>
      <w:r>
        <w:rPr>
          <w:rFonts w:ascii="Times New Roman" w:cs="Times New Roman" w:eastAsia="Times New Roman" w:hAnsi="Times New Roman"/>
          <w:sz w:val="10"/>
          <w:szCs w:val="10"/>
          <w:color w:val="auto"/>
        </w:rPr>
        <w:t>Gulf Stream Meridian, Series 2021-</w:t>
      </w:r>
      <w:r>
        <w:rPr>
          <w:rFonts w:ascii="Times New Roman" w:cs="Times New Roman" w:eastAsia="Times New Roman" w:hAnsi="Times New Roman"/>
          <w:sz w:val="20"/>
          <w:szCs w:val="20"/>
          <w:color w:val="auto"/>
          <w:vertAlign w:val="subscript"/>
        </w:rPr>
        <w:t>4A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120"/>
        <w:spacing w:after="0" w:line="187" w:lineRule="auto"/>
        <w:rPr>
          <w:sz w:val="20"/>
          <w:szCs w:val="20"/>
          <w:color w:val="auto"/>
        </w:rPr>
      </w:pPr>
      <w:r>
        <w:rPr>
          <w:rFonts w:ascii="Times New Roman" w:cs="Times New Roman" w:eastAsia="Times New Roman" w:hAnsi="Times New Roman"/>
          <w:sz w:val="10"/>
          <w:szCs w:val="10"/>
          <w:color w:val="auto"/>
        </w:rPr>
        <w:t>Gulf Stream Meridian, Series 2021-</w:t>
      </w:r>
      <w:r>
        <w:rPr>
          <w:rFonts w:ascii="Times New Roman" w:cs="Times New Roman" w:eastAsia="Times New Roman" w:hAnsi="Times New Roman"/>
          <w:sz w:val="20"/>
          <w:szCs w:val="20"/>
          <w:color w:val="auto"/>
          <w:vertAlign w:val="subscript"/>
        </w:rPr>
        <w:t>6A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40"/>
        <w:spacing w:after="0" w:line="186" w:lineRule="auto"/>
        <w:rPr>
          <w:sz w:val="20"/>
          <w:szCs w:val="20"/>
          <w:color w:val="auto"/>
        </w:rPr>
      </w:pPr>
      <w:r>
        <w:rPr>
          <w:rFonts w:ascii="Times New Roman" w:cs="Times New Roman" w:eastAsia="Times New Roman" w:hAnsi="Times New Roman"/>
          <w:sz w:val="10"/>
          <w:szCs w:val="10"/>
          <w:color w:val="auto"/>
        </w:rPr>
        <w:t>Jefferson Mill CLO Ltd, Series 2015-</w:t>
      </w:r>
      <w:r>
        <w:rPr>
          <w:rFonts w:ascii="Times New Roman" w:cs="Times New Roman" w:eastAsia="Times New Roman" w:hAnsi="Times New Roman"/>
          <w:sz w:val="20"/>
          <w:szCs w:val="20"/>
          <w:color w:val="auto"/>
          <w:vertAlign w:val="subscript"/>
        </w:rPr>
        <w:t>1A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0"/>
          <w:szCs w:val="10"/>
          <w:color w:val="auto"/>
        </w:rPr>
        <w:t xml:space="preserve">KKR CLO Ltd, 49A </w:t>
      </w:r>
      <w:r>
        <w:rPr>
          <w:rFonts w:ascii="Times New Roman" w:cs="Times New Roman" w:eastAsia="Times New Roman" w:hAnsi="Times New Roman"/>
          <w:sz w:val="13"/>
          <w:szCs w:val="13"/>
          <w:color w:val="auto"/>
          <w:vertAlign w:val="superscript"/>
        </w:rPr>
        <w:t>(3)(4)(10)</w:t>
      </w:r>
      <w:r>
        <w:rPr>
          <w:rFonts w:ascii="Times New Roman" w:cs="Times New Roman" w:eastAsia="Times New Roman" w:hAnsi="Times New Roman"/>
          <w:sz w:val="10"/>
          <w:szCs w:val="10"/>
          <w:color w:val="auto"/>
        </w:rPr>
        <w:t xml:space="preserve"> Madison Park CLO, Series 2018-28A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(3)(4)(10)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Magnetite CLO Ltd, Series 2021-30A</w:t>
      </w:r>
    </w:p>
    <w:p>
      <w:pPr>
        <w:spacing w:after="0"/>
        <w:rPr>
          <w:sz w:val="20"/>
          <w:szCs w:val="20"/>
          <w:color w:val="auto"/>
        </w:rPr>
      </w:pPr>
      <w:r>
        <w:rPr>
          <w:rFonts w:ascii="Times New Roman" w:cs="Times New Roman" w:eastAsia="Times New Roman" w:hAnsi="Times New Roman"/>
          <w:sz w:val="7"/>
          <w:szCs w:val="7"/>
          <w:color w:val="auto"/>
        </w:rPr>
        <w:t>(3)(4)(10)</w:t>
      </w:r>
    </w:p>
    <w:p>
      <w:pPr>
        <w:spacing w:after="0" w:line="42" w:lineRule="exact"/>
        <w:rPr>
          <w:sz w:val="20"/>
          <w:szCs w:val="20"/>
          <w:color w:val="auto"/>
        </w:rPr>
      </w:pPr>
    </w:p>
    <w:p>
      <w:pPr>
        <w:ind w:right="180"/>
        <w:spacing w:after="0" w:line="185" w:lineRule="auto"/>
        <w:rPr>
          <w:sz w:val="20"/>
          <w:szCs w:val="20"/>
          <w:color w:val="auto"/>
        </w:rPr>
      </w:pPr>
      <w:r>
        <w:rPr>
          <w:rFonts w:ascii="Times New Roman" w:cs="Times New Roman" w:eastAsia="Times New Roman" w:hAnsi="Times New Roman"/>
          <w:sz w:val="11"/>
          <w:szCs w:val="11"/>
          <w:color w:val="auto"/>
        </w:rPr>
        <w:t xml:space="preserve">MidOcean Credit CLO Ltd, Series </w:t>
      </w:r>
      <w:r>
        <w:rPr>
          <w:rFonts w:ascii="Times New Roman" w:cs="Times New Roman" w:eastAsia="Times New Roman" w:hAnsi="Times New Roman"/>
          <w:sz w:val="21"/>
          <w:szCs w:val="21"/>
          <w:color w:val="auto"/>
          <w:vertAlign w:val="subscript"/>
        </w:rPr>
        <w:t>2016-6A</w:t>
      </w:r>
      <w:r>
        <w:rPr>
          <w:rFonts w:ascii="Times New Roman" w:cs="Times New Roman" w:eastAsia="Times New Roman" w:hAnsi="Times New Roman"/>
          <w:sz w:val="7"/>
          <w:szCs w:val="7"/>
          <w:color w:val="auto"/>
        </w:rPr>
        <w:t xml:space="preserve"> (3)(4)(10)</w:t>
      </w:r>
    </w:p>
    <w:p>
      <w:pPr>
        <w:spacing w:after="0" w:line="1" w:lineRule="exact"/>
        <w:rPr>
          <w:sz w:val="20"/>
          <w:szCs w:val="20"/>
          <w:color w:val="auto"/>
        </w:rPr>
      </w:pPr>
    </w:p>
    <w:p>
      <w:pPr>
        <w:ind w:right="180"/>
        <w:spacing w:after="0" w:line="186" w:lineRule="auto"/>
        <w:rPr>
          <w:sz w:val="20"/>
          <w:szCs w:val="20"/>
          <w:color w:val="auto"/>
        </w:rPr>
      </w:pPr>
      <w:r>
        <w:rPr>
          <w:rFonts w:ascii="Times New Roman" w:cs="Times New Roman" w:eastAsia="Times New Roman" w:hAnsi="Times New Roman"/>
          <w:sz w:val="10"/>
          <w:szCs w:val="10"/>
          <w:color w:val="auto"/>
        </w:rPr>
        <w:t xml:space="preserve">MidOcean Credit CLO Ltd, Series </w:t>
      </w:r>
      <w:r>
        <w:rPr>
          <w:rFonts w:ascii="Times New Roman" w:cs="Times New Roman" w:eastAsia="Times New Roman" w:hAnsi="Times New Roman"/>
          <w:sz w:val="20"/>
          <w:szCs w:val="20"/>
          <w:color w:val="auto"/>
          <w:vertAlign w:val="subscript"/>
        </w:rPr>
        <w:t>2018-9A</w:t>
      </w:r>
      <w:r>
        <w:rPr>
          <w:rFonts w:ascii="Times New Roman" w:cs="Times New Roman" w:eastAsia="Times New Roman" w:hAnsi="Times New Roman"/>
          <w:sz w:val="7"/>
          <w:szCs w:val="7"/>
          <w:color w:val="auto"/>
        </w:rPr>
        <w:t xml:space="preserve"> (3)(4)(10)</w:t>
      </w:r>
    </w:p>
    <w:p>
      <w:pPr>
        <w:spacing w:after="0" w:line="180" w:lineRule="auto"/>
        <w:rPr>
          <w:sz w:val="20"/>
          <w:szCs w:val="20"/>
          <w:color w:val="auto"/>
        </w:rPr>
      </w:pPr>
      <w:r>
        <w:rPr>
          <w:rFonts w:ascii="Times New Roman" w:cs="Times New Roman" w:eastAsia="Times New Roman" w:hAnsi="Times New Roman"/>
          <w:sz w:val="9"/>
          <w:szCs w:val="9"/>
          <w:color w:val="auto"/>
        </w:rPr>
        <w:t xml:space="preserve">Octagon 57 LLC, Series 2021-1A </w:t>
      </w:r>
      <w:r>
        <w:rPr>
          <w:rFonts w:ascii="Times New Roman" w:cs="Times New Roman" w:eastAsia="Times New Roman" w:hAnsi="Times New Roman"/>
          <w:sz w:val="11"/>
          <w:szCs w:val="11"/>
          <w:color w:val="auto"/>
          <w:vertAlign w:val="superscript"/>
        </w:rPr>
        <w:t>(3)(4)</w:t>
      </w:r>
    </w:p>
    <w:p>
      <w:pPr>
        <w:spacing w:after="0"/>
        <w:rPr>
          <w:sz w:val="20"/>
          <w:szCs w:val="20"/>
          <w:color w:val="auto"/>
        </w:rPr>
      </w:pPr>
      <w:r>
        <w:rPr>
          <w:rFonts w:ascii="Times New Roman" w:cs="Times New Roman" w:eastAsia="Times New Roman" w:hAnsi="Times New Roman"/>
          <w:sz w:val="7"/>
          <w:szCs w:val="7"/>
          <w:color w:val="auto"/>
        </w:rPr>
        <w:t>(10)</w:t>
      </w:r>
    </w:p>
    <w:p>
      <w:pPr>
        <w:spacing w:after="0" w:line="6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1"/>
          <w:szCs w:val="11"/>
          <w:color w:val="auto"/>
        </w:rPr>
        <w:t xml:space="preserve">Octagon Investment Partners 18 Ltd, Series 2018-18A </w:t>
      </w:r>
      <w:r>
        <w:rPr>
          <w:rFonts w:ascii="Times New Roman" w:cs="Times New Roman" w:eastAsia="Times New Roman" w:hAnsi="Times New Roman"/>
          <w:sz w:val="14"/>
          <w:szCs w:val="14"/>
          <w:color w:val="auto"/>
          <w:vertAlign w:val="superscript"/>
        </w:rPr>
        <w:t>(3)(4)(10)</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1"/>
          <w:szCs w:val="11"/>
          <w:color w:val="auto"/>
        </w:rPr>
        <w:t xml:space="preserve">Octagon Investment Partners 38 Ltd, Series 2018-1A </w:t>
      </w:r>
      <w:r>
        <w:rPr>
          <w:rFonts w:ascii="Times New Roman" w:cs="Times New Roman" w:eastAsia="Times New Roman" w:hAnsi="Times New Roman"/>
          <w:sz w:val="14"/>
          <w:szCs w:val="14"/>
          <w:color w:val="auto"/>
          <w:vertAlign w:val="superscript"/>
        </w:rPr>
        <w:t>(3)(4)(10)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Series C-1 Preferred Shares (418,527 shares)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12/22/2021</w:t>
            </w: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67"/>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Series C-2 Preferred Shares (27,588 shares)</w:t>
            </w:r>
            <w:r>
              <w:rPr>
                <w:rFonts w:ascii="Times New Roman" w:cs="Times New Roman" w:eastAsia="Times New Roman" w:hAnsi="Times New Roman"/>
                <w:sz w:val="14"/>
                <w:szCs w:val="14"/>
                <w:color w:val="auto"/>
                <w:vertAlign w:val="superscript"/>
              </w:rPr>
              <w:t>(13)</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11/18/2022</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4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Class A Units (1,300 shares)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11/21/2022</w:t>
            </w: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Class B Units (923,250 shares)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11/21/2022</w:t>
            </w: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44"/>
        </w:trPr>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17,629</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16,673</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86"/>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Series A Preferred Shares (3,840,000 shares)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5/31/2018</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0.9 %</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13,355 Preferred Units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6/30/2022</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13,088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53"/>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Partnership Interest (1.89% ownership)</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8/25/2022</w:t>
            </w: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10,205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0.8 %</w:t>
            </w:r>
          </w:p>
        </w:tc>
      </w:tr>
      <w:tr>
        <w:trPr>
          <w:trHeight w:val="142"/>
        </w:trPr>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21,422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23,293</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76"/>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14,256 Warrants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8/5/2020</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67"/>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65,250 Warrants </w:t>
            </w:r>
            <w:r>
              <w:rPr>
                <w:rFonts w:ascii="Times New Roman" w:cs="Times New Roman" w:eastAsia="Times New Roman" w:hAnsi="Times New Roman"/>
                <w:sz w:val="14"/>
                <w:szCs w:val="14"/>
                <w:color w:val="auto"/>
                <w:vertAlign w:val="superscript"/>
              </w:rPr>
              <w:t>(13)</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7/29/2022</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38"/>
        </w:trPr>
        <w:tc>
          <w:tcPr>
            <w:tcW w:w="2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1,437</w:t>
            </w:r>
          </w:p>
        </w:tc>
        <w:tc>
          <w:tcPr>
            <w:tcW w:w="1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8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r>
      <w:tr>
        <w:trPr>
          <w:trHeight w:val="286"/>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Class A Units (687 units)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3/16/2021</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48"/>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Trust Certificates (132,928 Certificates)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12/7/2020</w:t>
            </w: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49"/>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Trust Certificates (996,958 Certificates)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1/30/2021</w:t>
            </w: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12,462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0.9 %</w:t>
            </w:r>
          </w:p>
        </w:tc>
      </w:tr>
      <w:tr>
        <w:trPr>
          <w:trHeight w:val="153"/>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Class A Units (1,176,494 units)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12/21/2021</w:t>
            </w: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2,618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42"/>
        </w:trPr>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6,041</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15,795</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435"/>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6/2031)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5/26/2022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+ 2.85%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($1,500 par, due 5/2031)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6/22/2022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+ 3.05%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4/2034)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+ 6.25%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10/2034)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6/24/2022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+ 6.70%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($500 par, due 4/2031)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10/15/2020</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+ 5.35%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($1,300 par, due 7/2034)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7/13/2022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+ 3.30%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($2,500 par, due 7/2034)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7/13/2022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+ 3.85%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2,285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($1,425 par, due 1/2031)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9/13/2022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+ 2.75%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7/2030)</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5/26/2022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+ 2.90%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($1,550 par, due 4/2031)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8/11/2020</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+ 5.75%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7/2032)</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6/30/2022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+ 6.44%</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9.15 %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1/2031)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7/21/2022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+ 4.55%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6/16/2022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+ 5.50%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8.24 %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7/2033)</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7/14/2022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+ 6.00%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6/14/2022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+ 6.85%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4/2031)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7/25/2022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+ 2.85%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($1,500 par, due 7/2034)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8/17/2022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+ 6.50%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9.24 %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($2,500 par, due 1/2030)</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+ 2.50%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10/2034)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8/11/2022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+ 6.25%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4/2034)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6/17/2022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+ 6.50%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($1,015 par, due 7/2034)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+ 6.35%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($2,000 par, due 1/2037)</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9/12/2022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+ 6.36%</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8.87 %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10/2031)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5/23/2022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+ 3.55%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7/2035)</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+ 8.00%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10.17 %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49"/>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7/2030)</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6/28/2022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+ 5.25%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10/2034)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6/13/2022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+ 6.20%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8.98 %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($3,500 par, due 4/2033)</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5/23/2022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+ 3.52%</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($1,100 par, due 7/2031)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6/1/2022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+ 6.05%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10/2034)</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5/24/2022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+ 6.60%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9.11 %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($1,000 par, due 4/2031)</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7/26/2022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+ 2.70%</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5.44 %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Structured Product ($2,800 par, due 7/2030)</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9/20/2022</w:t>
            </w:r>
          </w:p>
        </w:tc>
        <w:tc>
          <w:tcPr>
            <w:tcW w:w="11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+ 2.95%</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5.66 %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-7186295</wp:posOffset>
            </wp:positionV>
            <wp:extent cx="6917690" cy="939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-6997700</wp:posOffset>
            </wp:positionV>
            <wp:extent cx="6917690"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-6748780</wp:posOffset>
            </wp:positionV>
            <wp:extent cx="6917690" cy="291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17690" cy="29146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-6363335</wp:posOffset>
            </wp:positionV>
            <wp:extent cx="6917690" cy="946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17690" cy="9461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-6165850</wp:posOffset>
            </wp:positionV>
            <wp:extent cx="6917690" cy="291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17690" cy="29146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-5771515</wp:posOffset>
            </wp:positionV>
            <wp:extent cx="6917690" cy="291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17690" cy="29146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-5386070</wp:posOffset>
            </wp:positionV>
            <wp:extent cx="6917690" cy="939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-5188585</wp:posOffset>
            </wp:positionV>
            <wp:extent cx="6917690" cy="291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17690" cy="29146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-4751705</wp:posOffset>
            </wp:positionV>
            <wp:extent cx="691769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-4434205</wp:posOffset>
            </wp:positionV>
            <wp:extent cx="691769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-4091305</wp:posOffset>
            </wp:positionV>
            <wp:extent cx="691769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-3748405</wp:posOffset>
            </wp:positionV>
            <wp:extent cx="691769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-3405505</wp:posOffset>
            </wp:positionV>
            <wp:extent cx="691769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-3088640</wp:posOffset>
            </wp:positionV>
            <wp:extent cx="691769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-2771140</wp:posOffset>
            </wp:positionV>
            <wp:extent cx="6917690"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-2454275</wp:posOffset>
            </wp:positionV>
            <wp:extent cx="691769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-2111375</wp:posOffset>
            </wp:positionV>
            <wp:extent cx="6917690" cy="146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-1819910</wp:posOffset>
            </wp:positionV>
            <wp:extent cx="691769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-1477010</wp:posOffset>
            </wp:positionV>
            <wp:extent cx="6917690"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-1134110</wp:posOffset>
            </wp:positionV>
            <wp:extent cx="6917690" cy="946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17690" cy="9461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-894080</wp:posOffset>
            </wp:positionV>
            <wp:extent cx="6917690" cy="146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-577215</wp:posOffset>
            </wp:positionV>
            <wp:extent cx="691769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-259715</wp:posOffset>
            </wp:positionV>
            <wp:extent cx="6917690"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17690" cy="171450"/>
                    </a:xfrm>
                    <a:prstGeom prst="rect">
                      <a:avLst/>
                    </a:prstGeom>
                    <a:noFill/>
                  </pic:spPr>
                </pic:pic>
              </a:graphicData>
            </a:graphic>
          </wp:anchor>
        </w:drawing>
      </w:r>
    </w:p>
    <w:p>
      <w:pPr>
        <w:spacing w:after="0" w:line="327" w:lineRule="exact"/>
        <w:rPr>
          <w:sz w:val="20"/>
          <w:szCs w:val="20"/>
          <w:color w:val="auto"/>
        </w:rPr>
      </w:pPr>
    </w:p>
    <w:p>
      <w:pPr>
        <w:sectPr>
          <w:pgSz w:w="11900" w:h="16838" w:orient="portrait"/>
          <w:cols w:equalWidth="0" w:num="2">
            <w:col w:w="1660" w:space="120"/>
            <w:col w:w="9080"/>
          </w:cols>
          <w:pgMar w:left="520" w:top="337" w:right="519" w:bottom="1440" w:gutter="0" w:footer="0" w:header="0"/>
        </w:sectPr>
      </w:pPr>
    </w:p>
    <w:p>
      <w:pPr>
        <w:jc w:val="center"/>
        <w:ind w:right="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80645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337" w:right="519" w:bottom="1440" w:gutter="0" w:footer="0" w:header="0"/>
          <w:type w:val="continuous"/>
        </w:sectPr>
      </w:pPr>
    </w:p>
    <w:bookmarkStart w:id="98" w:name="page99"/>
    <w:bookmarkEnd w:id="98"/>
    <w:tbl>
      <w:tblPr>
        <w:tblLayout w:type="fixed"/>
        <w:tblInd w:w="172" w:type="dxa"/>
        <w:tblCellMar>
          <w:top w:w="0" w:type="dxa"/>
          <w:left w:w="0" w:type="dxa"/>
          <w:bottom w:w="0" w:type="dxa"/>
          <w:right w:w="0" w:type="dxa"/>
        </w:tblCellMar>
      </w:tblPr>
      <w:tr>
        <w:trPr>
          <w:trHeight w:val="12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Park Avenue Institutional Advisers</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Product ($1,000 par, due 10/2031)</w:t>
            </w:r>
          </w:p>
        </w:tc>
        <w:tc>
          <w:tcPr>
            <w:tcW w:w="14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9/23/2022</w:t>
            </w:r>
          </w:p>
        </w:tc>
        <w:tc>
          <w:tcPr>
            <w:tcW w:w="1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 + 3.33%</w:t>
            </w:r>
          </w:p>
        </w:tc>
        <w:tc>
          <w:tcPr>
            <w:tcW w:w="8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6.04 %</w:t>
            </w:r>
          </w:p>
        </w:tc>
        <w:tc>
          <w:tcPr>
            <w:tcW w:w="3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863</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62"/>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xml:space="preserve">CLO Ltd, Series 2018-1A </w:t>
            </w:r>
            <w:r>
              <w:rPr>
                <w:rFonts w:ascii="Times New Roman" w:cs="Times New Roman" w:eastAsia="Times New Roman" w:hAnsi="Times New Roman"/>
                <w:sz w:val="14"/>
                <w:szCs w:val="14"/>
                <w:color w:val="auto"/>
                <w:vertAlign w:val="superscript"/>
              </w:rPr>
              <w:t>(3)(4)(10)</w:t>
            </w:r>
          </w:p>
        </w:tc>
        <w:tc>
          <w:tcPr>
            <w:tcW w:w="26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08"/>
        </w:trPr>
        <w:tc>
          <w:tcPr>
            <w:tcW w:w="174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Pikes Peak CLO, Series 2021-9A </w:t>
            </w:r>
            <w:r>
              <w:rPr>
                <w:rFonts w:ascii="Times New Roman" w:cs="Times New Roman" w:eastAsia="Times New Roman" w:hAnsi="Times New Roman"/>
                <w:sz w:val="12"/>
                <w:szCs w:val="12"/>
                <w:color w:val="auto"/>
                <w:vertAlign w:val="superscript"/>
              </w:rPr>
              <w:t>(3)(4)</w:t>
            </w:r>
          </w:p>
        </w:tc>
        <w:tc>
          <w:tcPr>
            <w:tcW w:w="266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($2,000 par, due 10/2034)</w:t>
            </w:r>
          </w:p>
        </w:tc>
        <w:tc>
          <w:tcPr>
            <w:tcW w:w="1400" w:type="dxa"/>
            <w:vAlign w:val="bottom"/>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8/31/2022</w:t>
            </w:r>
          </w:p>
        </w:tc>
        <w:tc>
          <w:tcPr>
            <w:tcW w:w="112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+ 6.58%</w:t>
            </w:r>
          </w:p>
        </w:tc>
        <w:tc>
          <w:tcPr>
            <w:tcW w:w="80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9.35 %</w:t>
            </w:r>
          </w:p>
        </w:tc>
        <w:tc>
          <w:tcPr>
            <w:tcW w:w="34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1,782</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1,721</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94"/>
        </w:trPr>
        <w:tc>
          <w:tcPr>
            <w:tcW w:w="1740" w:type="dxa"/>
            <w:vAlign w:val="bottom"/>
          </w:tcPr>
          <w:p>
            <w:pPr>
              <w:ind w:left="20"/>
              <w:spacing w:after="0"/>
              <w:rPr>
                <w:sz w:val="20"/>
                <w:szCs w:val="20"/>
                <w:color w:val="auto"/>
              </w:rPr>
            </w:pPr>
            <w:r>
              <w:rPr>
                <w:rFonts w:ascii="Times New Roman" w:cs="Times New Roman" w:eastAsia="Times New Roman" w:hAnsi="Times New Roman"/>
                <w:sz w:val="7"/>
                <w:szCs w:val="7"/>
                <w:color w:val="auto"/>
              </w:rPr>
              <w:t>(10)</w:t>
            </w:r>
          </w:p>
        </w:tc>
        <w:tc>
          <w:tcPr>
            <w:tcW w:w="2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7"/>
        </w:trPr>
        <w:tc>
          <w:tcPr>
            <w:tcW w:w="1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RR Ltd, Series 2020-8A </w:t>
            </w:r>
            <w:r>
              <w:rPr>
                <w:rFonts w:ascii="Times New Roman" w:cs="Times New Roman" w:eastAsia="Times New Roman" w:hAnsi="Times New Roman"/>
                <w:sz w:val="14"/>
                <w:szCs w:val="14"/>
                <w:color w:val="auto"/>
                <w:vertAlign w:val="superscript"/>
              </w:rPr>
              <w:t>(3)(4)(10)</w:t>
            </w:r>
          </w:p>
        </w:tc>
        <w:tc>
          <w:tcPr>
            <w:tcW w:w="2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Product ($1,000 par, due 4/2033)</w:t>
            </w:r>
          </w:p>
        </w:tc>
        <w:tc>
          <w:tcPr>
            <w:tcW w:w="14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8/22/2022</w:t>
            </w:r>
          </w:p>
        </w:tc>
        <w:tc>
          <w:tcPr>
            <w:tcW w:w="1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 + 6.40%</w:t>
            </w:r>
          </w:p>
        </w:tc>
        <w:tc>
          <w:tcPr>
            <w:tcW w:w="8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8.91 %</w:t>
            </w: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21"/>
        </w:trPr>
        <w:tc>
          <w:tcPr>
            <w:tcW w:w="17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Shackelton CLO Ltd, Series 2015-</w:t>
            </w:r>
          </w:p>
        </w:tc>
        <w:tc>
          <w:tcPr>
            <w:tcW w:w="26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Structured Product ($1,000 par, due 7/2031)</w:t>
            </w:r>
          </w:p>
        </w:tc>
        <w:tc>
          <w:tcPr>
            <w:tcW w:w="140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5/23/2022</w:t>
            </w:r>
          </w:p>
        </w:tc>
        <w:tc>
          <w:tcPr>
            <w:tcW w:w="112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L + 3.33%</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5.84 %</w:t>
            </w:r>
          </w:p>
        </w:tc>
        <w:tc>
          <w:tcPr>
            <w:tcW w:w="3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855</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0.1 %</w:t>
            </w:r>
          </w:p>
        </w:tc>
      </w:tr>
      <w:tr>
        <w:trPr>
          <w:trHeight w:val="14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7RA (3)(4)(10)</w:t>
            </w:r>
          </w:p>
        </w:tc>
        <w:tc>
          <w:tcPr>
            <w:tcW w:w="2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2"/>
        </w:trPr>
        <w:tc>
          <w:tcPr>
            <w:tcW w:w="174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Signal Peak CLO LLC, Series 2018-</w:t>
            </w:r>
          </w:p>
        </w:tc>
        <w:tc>
          <w:tcPr>
            <w:tcW w:w="2660" w:type="dxa"/>
            <w:vAlign w:val="bottom"/>
            <w:shd w:val="clear" w:color="auto" w:fill="CFF0FC"/>
          </w:tcPr>
          <w:p>
            <w:pPr>
              <w:ind w:left="60"/>
              <w:spacing w:after="0" w:line="112" w:lineRule="exact"/>
              <w:rPr>
                <w:sz w:val="20"/>
                <w:szCs w:val="20"/>
                <w:color w:val="auto"/>
              </w:rPr>
            </w:pPr>
            <w:r>
              <w:rPr>
                <w:rFonts w:ascii="Times New Roman" w:cs="Times New Roman" w:eastAsia="Times New Roman" w:hAnsi="Times New Roman"/>
                <w:sz w:val="11"/>
                <w:szCs w:val="11"/>
                <w:color w:val="auto"/>
              </w:rPr>
              <w:t>Structured Product ($1,000 par, due 4/2031)</w:t>
            </w:r>
          </w:p>
        </w:tc>
        <w:tc>
          <w:tcPr>
            <w:tcW w:w="1400" w:type="dxa"/>
            <w:vAlign w:val="bottom"/>
            <w:shd w:val="clear" w:color="auto" w:fill="CFF0FC"/>
          </w:tcPr>
          <w:p>
            <w:pPr>
              <w:jc w:val="right"/>
              <w:ind w:right="186"/>
              <w:spacing w:after="0" w:line="112" w:lineRule="exact"/>
              <w:rPr>
                <w:sz w:val="20"/>
                <w:szCs w:val="20"/>
                <w:color w:val="auto"/>
              </w:rPr>
            </w:pPr>
            <w:r>
              <w:rPr>
                <w:rFonts w:ascii="Times New Roman" w:cs="Times New Roman" w:eastAsia="Times New Roman" w:hAnsi="Times New Roman"/>
                <w:sz w:val="11"/>
                <w:szCs w:val="11"/>
                <w:color w:val="auto"/>
              </w:rPr>
              <w:t>8/9/2022</w:t>
            </w:r>
          </w:p>
        </w:tc>
        <w:tc>
          <w:tcPr>
            <w:tcW w:w="1120" w:type="dxa"/>
            <w:vAlign w:val="bottom"/>
            <w:shd w:val="clear" w:color="auto" w:fill="CFF0FC"/>
          </w:tcPr>
          <w:p>
            <w:pPr>
              <w:ind w:left="240"/>
              <w:spacing w:after="0" w:line="112" w:lineRule="exact"/>
              <w:rPr>
                <w:sz w:val="20"/>
                <w:szCs w:val="20"/>
                <w:color w:val="auto"/>
              </w:rPr>
            </w:pPr>
            <w:r>
              <w:rPr>
                <w:rFonts w:ascii="Times New Roman" w:cs="Times New Roman" w:eastAsia="Times New Roman" w:hAnsi="Times New Roman"/>
                <w:sz w:val="11"/>
                <w:szCs w:val="11"/>
                <w:color w:val="auto"/>
              </w:rPr>
              <w:t>L + 5.65%</w:t>
            </w:r>
          </w:p>
        </w:tc>
        <w:tc>
          <w:tcPr>
            <w:tcW w:w="800" w:type="dxa"/>
            <w:vAlign w:val="bottom"/>
            <w:shd w:val="clear" w:color="auto" w:fill="CFF0FC"/>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rPr>
              <w:t>8.43 %</w:t>
            </w:r>
          </w:p>
        </w:tc>
        <w:tc>
          <w:tcPr>
            <w:tcW w:w="34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896</w:t>
            </w: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824</w:t>
            </w:r>
          </w:p>
        </w:tc>
        <w:tc>
          <w:tcPr>
            <w:tcW w:w="1160" w:type="dxa"/>
            <w:vAlign w:val="bottom"/>
            <w:gridSpan w:val="3"/>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0.1 %</w:t>
            </w:r>
          </w:p>
        </w:tc>
      </w:tr>
      <w:tr>
        <w:trPr>
          <w:trHeight w:val="162"/>
        </w:trPr>
        <w:tc>
          <w:tcPr>
            <w:tcW w:w="1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5A</w:t>
            </w:r>
            <w:r>
              <w:rPr>
                <w:rFonts w:ascii="Times New Roman" w:cs="Times New Roman" w:eastAsia="Times New Roman" w:hAnsi="Times New Roman"/>
                <w:sz w:val="7"/>
                <w:szCs w:val="7"/>
                <w:color w:val="auto"/>
              </w:rPr>
              <w:t xml:space="preserve"> (3)(4)(10)</w:t>
            </w:r>
          </w:p>
        </w:tc>
        <w:tc>
          <w:tcPr>
            <w:tcW w:w="26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08"/>
        </w:trPr>
        <w:tc>
          <w:tcPr>
            <w:tcW w:w="1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Southwick Park CLO Ltd, Series</w:t>
            </w:r>
          </w:p>
        </w:tc>
        <w:tc>
          <w:tcPr>
            <w:tcW w:w="266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($1,000 par, due 7/2032)</w:t>
            </w:r>
          </w:p>
        </w:tc>
        <w:tc>
          <w:tcPr>
            <w:tcW w:w="1400" w:type="dxa"/>
            <w:vAlign w:val="bottom"/>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5/25/2022</w:t>
            </w:r>
          </w:p>
        </w:tc>
        <w:tc>
          <w:tcPr>
            <w:tcW w:w="112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+ 6.25%</w:t>
            </w:r>
          </w:p>
        </w:tc>
        <w:tc>
          <w:tcPr>
            <w:tcW w:w="80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8.96 %</w:t>
            </w:r>
          </w:p>
        </w:tc>
        <w:tc>
          <w:tcPr>
            <w:tcW w:w="34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928</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867</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62"/>
        </w:trPr>
        <w:tc>
          <w:tcPr>
            <w:tcW w:w="17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2019-4A</w:t>
            </w:r>
            <w:r>
              <w:rPr>
                <w:rFonts w:ascii="Times New Roman" w:cs="Times New Roman" w:eastAsia="Times New Roman" w:hAnsi="Times New Roman"/>
                <w:sz w:val="7"/>
                <w:szCs w:val="7"/>
                <w:color w:val="auto"/>
              </w:rPr>
              <w:t xml:space="preserve"> (3)(4)(10)</w:t>
            </w:r>
          </w:p>
        </w:tc>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08"/>
        </w:trPr>
        <w:tc>
          <w:tcPr>
            <w:tcW w:w="17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Stewart Park CLO Ltd, Series 2015-</w:t>
            </w:r>
          </w:p>
        </w:tc>
        <w:tc>
          <w:tcPr>
            <w:tcW w:w="26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($1,000 par, due 1/2030)</w:t>
            </w:r>
          </w:p>
        </w:tc>
        <w:tc>
          <w:tcPr>
            <w:tcW w:w="1400" w:type="dxa"/>
            <w:vAlign w:val="bottom"/>
            <w:shd w:val="clear" w:color="auto" w:fill="CFF0FC"/>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7/25/2022</w:t>
            </w:r>
          </w:p>
        </w:tc>
        <w:tc>
          <w:tcPr>
            <w:tcW w:w="1120" w:type="dxa"/>
            <w:vAlign w:val="bottom"/>
            <w:shd w:val="clear" w:color="auto" w:fill="CFF0FC"/>
          </w:tcPr>
          <w:p>
            <w:pPr>
              <w:ind w:left="240"/>
              <w:spacing w:after="0" w:line="108" w:lineRule="exact"/>
              <w:rPr>
                <w:sz w:val="20"/>
                <w:szCs w:val="20"/>
                <w:color w:val="auto"/>
              </w:rPr>
            </w:pPr>
            <w:r>
              <w:rPr>
                <w:rFonts w:ascii="Times New Roman" w:cs="Times New Roman" w:eastAsia="Times New Roman" w:hAnsi="Times New Roman"/>
                <w:sz w:val="11"/>
                <w:szCs w:val="11"/>
                <w:color w:val="auto"/>
              </w:rPr>
              <w:t>L + 2.60%</w:t>
            </w:r>
          </w:p>
        </w:tc>
        <w:tc>
          <w:tcPr>
            <w:tcW w:w="800" w:type="dxa"/>
            <w:vAlign w:val="bottom"/>
            <w:shd w:val="clear" w:color="auto" w:fill="CFF0FC"/>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5.11 %</w:t>
            </w:r>
          </w:p>
        </w:tc>
        <w:tc>
          <w:tcPr>
            <w:tcW w:w="34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897</w:t>
            </w: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888</w:t>
            </w:r>
          </w:p>
        </w:tc>
        <w:tc>
          <w:tcPr>
            <w:tcW w:w="11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62"/>
        </w:trPr>
        <w:tc>
          <w:tcPr>
            <w:tcW w:w="1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1A</w:t>
            </w:r>
            <w:r>
              <w:rPr>
                <w:rFonts w:ascii="Times New Roman" w:cs="Times New Roman" w:eastAsia="Times New Roman" w:hAnsi="Times New Roman"/>
                <w:sz w:val="7"/>
                <w:szCs w:val="7"/>
                <w:color w:val="auto"/>
              </w:rPr>
              <w:t xml:space="preserve"> (3)(4)(10)</w:t>
            </w:r>
          </w:p>
        </w:tc>
        <w:tc>
          <w:tcPr>
            <w:tcW w:w="26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08"/>
        </w:trPr>
        <w:tc>
          <w:tcPr>
            <w:tcW w:w="174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Voya CLO Ltd, Series 2018-3A </w:t>
            </w:r>
            <w:r>
              <w:rPr>
                <w:rFonts w:ascii="Times New Roman" w:cs="Times New Roman" w:eastAsia="Times New Roman" w:hAnsi="Times New Roman"/>
                <w:sz w:val="12"/>
                <w:szCs w:val="12"/>
                <w:color w:val="auto"/>
                <w:vertAlign w:val="superscript"/>
              </w:rPr>
              <w:t>(3)(4)</w:t>
            </w:r>
          </w:p>
        </w:tc>
        <w:tc>
          <w:tcPr>
            <w:tcW w:w="266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($2,750 par, due 10/2031)</w:t>
            </w:r>
          </w:p>
        </w:tc>
        <w:tc>
          <w:tcPr>
            <w:tcW w:w="1400" w:type="dxa"/>
            <w:vAlign w:val="bottom"/>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6/22/2022</w:t>
            </w:r>
          </w:p>
        </w:tc>
        <w:tc>
          <w:tcPr>
            <w:tcW w:w="112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+ 5.75%</w:t>
            </w:r>
          </w:p>
        </w:tc>
        <w:tc>
          <w:tcPr>
            <w:tcW w:w="80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8.26 %</w:t>
            </w:r>
          </w:p>
        </w:tc>
        <w:tc>
          <w:tcPr>
            <w:tcW w:w="34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2,382</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2,166</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94"/>
        </w:trPr>
        <w:tc>
          <w:tcPr>
            <w:tcW w:w="1740" w:type="dxa"/>
            <w:vAlign w:val="bottom"/>
          </w:tcPr>
          <w:p>
            <w:pPr>
              <w:ind w:left="20"/>
              <w:spacing w:after="0"/>
              <w:rPr>
                <w:sz w:val="20"/>
                <w:szCs w:val="20"/>
                <w:color w:val="auto"/>
              </w:rPr>
            </w:pPr>
            <w:r>
              <w:rPr>
                <w:rFonts w:ascii="Times New Roman" w:cs="Times New Roman" w:eastAsia="Times New Roman" w:hAnsi="Times New Roman"/>
                <w:sz w:val="7"/>
                <w:szCs w:val="7"/>
                <w:color w:val="auto"/>
              </w:rPr>
              <w:t>(10)</w:t>
            </w:r>
          </w:p>
        </w:tc>
        <w:tc>
          <w:tcPr>
            <w:tcW w:w="2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7"/>
        </w:trPr>
        <w:tc>
          <w:tcPr>
            <w:tcW w:w="1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08"/>
        </w:trPr>
        <w:tc>
          <w:tcPr>
            <w:tcW w:w="17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Whitebox CLO I Ltd, Series 2020-2A</w:t>
            </w:r>
          </w:p>
        </w:tc>
        <w:tc>
          <w:tcPr>
            <w:tcW w:w="26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($1,125 par, due 10/2034)</w:t>
            </w:r>
          </w:p>
        </w:tc>
        <w:tc>
          <w:tcPr>
            <w:tcW w:w="1400" w:type="dxa"/>
            <w:vAlign w:val="bottom"/>
            <w:shd w:val="clear" w:color="auto" w:fill="CFF0FC"/>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7/12/2022</w:t>
            </w:r>
          </w:p>
        </w:tc>
        <w:tc>
          <w:tcPr>
            <w:tcW w:w="1120" w:type="dxa"/>
            <w:vAlign w:val="bottom"/>
            <w:shd w:val="clear" w:color="auto" w:fill="CFF0FC"/>
          </w:tcPr>
          <w:p>
            <w:pPr>
              <w:ind w:left="240"/>
              <w:spacing w:after="0" w:line="108" w:lineRule="exact"/>
              <w:rPr>
                <w:sz w:val="20"/>
                <w:szCs w:val="20"/>
                <w:color w:val="auto"/>
              </w:rPr>
            </w:pPr>
            <w:r>
              <w:rPr>
                <w:rFonts w:ascii="Times New Roman" w:cs="Times New Roman" w:eastAsia="Times New Roman" w:hAnsi="Times New Roman"/>
                <w:sz w:val="11"/>
                <w:szCs w:val="11"/>
                <w:color w:val="auto"/>
              </w:rPr>
              <w:t>L + 3.35%</w:t>
            </w:r>
          </w:p>
        </w:tc>
        <w:tc>
          <w:tcPr>
            <w:tcW w:w="800" w:type="dxa"/>
            <w:vAlign w:val="bottom"/>
            <w:shd w:val="clear" w:color="auto" w:fill="CFF0FC"/>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6.13 %</w:t>
            </w:r>
          </w:p>
        </w:tc>
        <w:tc>
          <w:tcPr>
            <w:tcW w:w="34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1,005</w:t>
            </w: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1,056</w:t>
            </w:r>
          </w:p>
        </w:tc>
        <w:tc>
          <w:tcPr>
            <w:tcW w:w="11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0.0 %</w:t>
            </w:r>
          </w:p>
        </w:tc>
      </w:tr>
      <w:tr>
        <w:trPr>
          <w:trHeight w:val="102"/>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7"/>
                <w:szCs w:val="7"/>
                <w:color w:val="auto"/>
              </w:rPr>
              <w:t>(3)(4)(10)</w:t>
            </w:r>
          </w:p>
        </w:tc>
        <w:tc>
          <w:tcPr>
            <w:tcW w:w="2660" w:type="dxa"/>
            <w:vAlign w:val="bottom"/>
            <w:tcBorders>
              <w:bottom w:val="single" w:sz="8" w:color="CFF0FC"/>
            </w:tcBorders>
            <w:shd w:val="clear" w:color="auto" w:fill="CFF0FC"/>
          </w:tcPr>
          <w:p>
            <w:pPr>
              <w:spacing w:after="0"/>
              <w:rPr>
                <w:sz w:val="8"/>
                <w:szCs w:val="8"/>
                <w:color w:val="auto"/>
              </w:rPr>
            </w:pPr>
          </w:p>
        </w:tc>
        <w:tc>
          <w:tcPr>
            <w:tcW w:w="1400" w:type="dxa"/>
            <w:vAlign w:val="bottom"/>
            <w:tcBorders>
              <w:bottom w:val="single" w:sz="8" w:color="CFF0FC"/>
            </w:tcBorders>
            <w:shd w:val="clear" w:color="auto" w:fill="CFF0FC"/>
          </w:tcPr>
          <w:p>
            <w:pPr>
              <w:spacing w:after="0"/>
              <w:rPr>
                <w:sz w:val="8"/>
                <w:szCs w:val="8"/>
                <w:color w:val="auto"/>
              </w:rPr>
            </w:pPr>
          </w:p>
        </w:tc>
        <w:tc>
          <w:tcPr>
            <w:tcW w:w="112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34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r>
      <w:tr>
        <w:trPr>
          <w:trHeight w:val="108"/>
        </w:trPr>
        <w:tc>
          <w:tcPr>
            <w:tcW w:w="1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Wind River CLO Ltd, Series 2014-</w:t>
            </w:r>
          </w:p>
        </w:tc>
        <w:tc>
          <w:tcPr>
            <w:tcW w:w="266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($1,500 par, due 1/2031)</w:t>
            </w:r>
          </w:p>
        </w:tc>
        <w:tc>
          <w:tcPr>
            <w:tcW w:w="1400" w:type="dxa"/>
            <w:vAlign w:val="bottom"/>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6/23/2022</w:t>
            </w:r>
          </w:p>
        </w:tc>
        <w:tc>
          <w:tcPr>
            <w:tcW w:w="112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+ 2.90%</w:t>
            </w:r>
          </w:p>
        </w:tc>
        <w:tc>
          <w:tcPr>
            <w:tcW w:w="80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5.41 %</w:t>
            </w:r>
          </w:p>
        </w:tc>
        <w:tc>
          <w:tcPr>
            <w:tcW w:w="34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1,347</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1,293</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0.0 %</w:t>
            </w:r>
          </w:p>
        </w:tc>
      </w:tr>
      <w:tr>
        <w:trPr>
          <w:trHeight w:val="162"/>
        </w:trPr>
        <w:tc>
          <w:tcPr>
            <w:tcW w:w="17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2A</w:t>
            </w:r>
            <w:r>
              <w:rPr>
                <w:rFonts w:ascii="Times New Roman" w:cs="Times New Roman" w:eastAsia="Times New Roman" w:hAnsi="Times New Roman"/>
                <w:sz w:val="7"/>
                <w:szCs w:val="7"/>
                <w:color w:val="auto"/>
              </w:rPr>
              <w:t xml:space="preserve"> (3)(4)(10)</w:t>
            </w:r>
          </w:p>
        </w:tc>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08"/>
        </w:trPr>
        <w:tc>
          <w:tcPr>
            <w:tcW w:w="17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Wind River CLO Ltd, Series 2017-</w:t>
            </w:r>
          </w:p>
        </w:tc>
        <w:tc>
          <w:tcPr>
            <w:tcW w:w="26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($3,000 par, due 4/2036)</w:t>
            </w:r>
          </w:p>
        </w:tc>
        <w:tc>
          <w:tcPr>
            <w:tcW w:w="1400" w:type="dxa"/>
            <w:vAlign w:val="bottom"/>
            <w:shd w:val="clear" w:color="auto" w:fill="CFF0FC"/>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7/14/2022</w:t>
            </w:r>
          </w:p>
        </w:tc>
        <w:tc>
          <w:tcPr>
            <w:tcW w:w="1120" w:type="dxa"/>
            <w:vAlign w:val="bottom"/>
            <w:shd w:val="clear" w:color="auto" w:fill="CFF0FC"/>
          </w:tcPr>
          <w:p>
            <w:pPr>
              <w:ind w:left="240"/>
              <w:spacing w:after="0" w:line="108" w:lineRule="exact"/>
              <w:rPr>
                <w:sz w:val="20"/>
                <w:szCs w:val="20"/>
                <w:color w:val="auto"/>
              </w:rPr>
            </w:pPr>
            <w:r>
              <w:rPr>
                <w:rFonts w:ascii="Times New Roman" w:cs="Times New Roman" w:eastAsia="Times New Roman" w:hAnsi="Times New Roman"/>
                <w:sz w:val="11"/>
                <w:szCs w:val="11"/>
                <w:color w:val="auto"/>
              </w:rPr>
              <w:t>L + 3.72%</w:t>
            </w:r>
          </w:p>
        </w:tc>
        <w:tc>
          <w:tcPr>
            <w:tcW w:w="800" w:type="dxa"/>
            <w:vAlign w:val="bottom"/>
            <w:shd w:val="clear" w:color="auto" w:fill="CFF0FC"/>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6.46 %</w:t>
            </w:r>
          </w:p>
        </w:tc>
        <w:tc>
          <w:tcPr>
            <w:tcW w:w="34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2,617</w:t>
            </w: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2,624</w:t>
            </w:r>
          </w:p>
        </w:tc>
        <w:tc>
          <w:tcPr>
            <w:tcW w:w="116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62"/>
        </w:trPr>
        <w:tc>
          <w:tcPr>
            <w:tcW w:w="1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1A</w:t>
            </w:r>
            <w:r>
              <w:rPr>
                <w:rFonts w:ascii="Times New Roman" w:cs="Times New Roman" w:eastAsia="Times New Roman" w:hAnsi="Times New Roman"/>
                <w:sz w:val="7"/>
                <w:szCs w:val="7"/>
                <w:color w:val="auto"/>
              </w:rPr>
              <w:t xml:space="preserve"> (3)(4)(10)</w:t>
            </w:r>
          </w:p>
        </w:tc>
        <w:tc>
          <w:tcPr>
            <w:tcW w:w="26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08"/>
        </w:trPr>
        <w:tc>
          <w:tcPr>
            <w:tcW w:w="17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Wind River CLO Ltd, Series 2018-</w:t>
            </w:r>
          </w:p>
        </w:tc>
        <w:tc>
          <w:tcPr>
            <w:tcW w:w="266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Structured Product ($2,000 par, due 1/2031)</w:t>
            </w:r>
          </w:p>
        </w:tc>
        <w:tc>
          <w:tcPr>
            <w:tcW w:w="1400" w:type="dxa"/>
            <w:vAlign w:val="bottom"/>
          </w:tcPr>
          <w:p>
            <w:pPr>
              <w:jc w:val="right"/>
              <w:ind w:right="186"/>
              <w:spacing w:after="0" w:line="108" w:lineRule="exact"/>
              <w:rPr>
                <w:sz w:val="20"/>
                <w:szCs w:val="20"/>
                <w:color w:val="auto"/>
              </w:rPr>
            </w:pPr>
            <w:r>
              <w:rPr>
                <w:rFonts w:ascii="Times New Roman" w:cs="Times New Roman" w:eastAsia="Times New Roman" w:hAnsi="Times New Roman"/>
                <w:sz w:val="11"/>
                <w:szCs w:val="11"/>
                <w:color w:val="auto"/>
              </w:rPr>
              <w:t>12/12/2022</w:t>
            </w:r>
          </w:p>
        </w:tc>
        <w:tc>
          <w:tcPr>
            <w:tcW w:w="112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+ 5.65%</w:t>
            </w:r>
          </w:p>
        </w:tc>
        <w:tc>
          <w:tcPr>
            <w:tcW w:w="80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6.46 %</w:t>
            </w:r>
          </w:p>
        </w:tc>
        <w:tc>
          <w:tcPr>
            <w:tcW w:w="34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1,680</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1,659</w:t>
            </w:r>
          </w:p>
        </w:tc>
        <w:tc>
          <w:tcPr>
            <w:tcW w:w="116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48"/>
        </w:trPr>
        <w:tc>
          <w:tcPr>
            <w:tcW w:w="174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vertAlign w:val="subscript"/>
              </w:rPr>
              <w:t>3A</w:t>
            </w:r>
            <w:r>
              <w:rPr>
                <w:rFonts w:ascii="Times New Roman" w:cs="Times New Roman" w:eastAsia="Times New Roman" w:hAnsi="Times New Roman"/>
                <w:sz w:val="6"/>
                <w:szCs w:val="6"/>
                <w:color w:val="auto"/>
              </w:rPr>
              <w:t xml:space="preserve"> (3)(4)(10)</w:t>
            </w:r>
          </w:p>
        </w:tc>
        <w:tc>
          <w:tcPr>
            <w:tcW w:w="2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1740" w:type="dxa"/>
            <w:vAlign w:val="bottom"/>
            <w:tcBorders>
              <w:bottom w:val="single" w:sz="8" w:color="CFF0FC"/>
            </w:tcBorders>
            <w:shd w:val="clear" w:color="auto" w:fill="CFF0FC"/>
          </w:tcPr>
          <w:p>
            <w:pPr>
              <w:spacing w:after="0"/>
              <w:rPr>
                <w:sz w:val="11"/>
                <w:szCs w:val="11"/>
                <w:color w:val="auto"/>
              </w:rPr>
            </w:pPr>
          </w:p>
        </w:tc>
        <w:tc>
          <w:tcPr>
            <w:tcW w:w="2660" w:type="dxa"/>
            <w:vAlign w:val="bottom"/>
            <w:tcBorders>
              <w:bottom w:val="single" w:sz="8" w:color="CFF0FC"/>
            </w:tcBorders>
            <w:shd w:val="clear" w:color="auto" w:fill="CFF0FC"/>
          </w:tcPr>
          <w:p>
            <w:pPr>
              <w:spacing w:after="0"/>
              <w:rPr>
                <w:sz w:val="11"/>
                <w:szCs w:val="11"/>
                <w:color w:val="auto"/>
              </w:rPr>
            </w:pPr>
          </w:p>
        </w:tc>
        <w:tc>
          <w:tcPr>
            <w:tcW w:w="140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53,066</w:t>
            </w:r>
          </w:p>
        </w:tc>
        <w:tc>
          <w:tcPr>
            <w:tcW w:w="1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51,426</w:t>
            </w:r>
          </w:p>
        </w:tc>
        <w:tc>
          <w:tcPr>
            <w:tcW w:w="1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86"/>
              </w:rPr>
              <w:t>%</w:t>
            </w:r>
          </w:p>
        </w:tc>
      </w:tr>
      <w:tr>
        <w:trPr>
          <w:trHeight w:val="143"/>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Total Equity and Other Investments</w:t>
            </w:r>
          </w:p>
        </w:tc>
        <w:tc>
          <w:tcPr>
            <w:tcW w:w="2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195,169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219,111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16.8 </w:t>
            </w:r>
            <w:r>
              <w:rPr>
                <w:rFonts w:ascii="Times New Roman" w:cs="Times New Roman" w:eastAsia="Times New Roman" w:hAnsi="Times New Roman"/>
                <w:sz w:val="11"/>
                <w:szCs w:val="11"/>
                <w:color w:val="auto"/>
                <w:highlight w:val="white"/>
              </w:rPr>
              <w:t>%</w:t>
            </w:r>
          </w:p>
        </w:tc>
      </w:tr>
      <w:tr>
        <w:trPr>
          <w:trHeight w:val="182"/>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66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2,774,726</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2,787,925</w:t>
            </w: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204.9</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5692140</wp:posOffset>
            </wp:positionH>
            <wp:positionV relativeFrom="paragraph">
              <wp:posOffset>-230505</wp:posOffset>
            </wp:positionV>
            <wp:extent cx="68580" cy="1111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-230505</wp:posOffset>
            </wp:positionV>
            <wp:extent cx="68580" cy="1111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-25400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-25400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2" w:lineRule="exact"/>
        <w:rPr>
          <w:sz w:val="20"/>
          <w:szCs w:val="20"/>
          <w:color w:val="auto"/>
        </w:rPr>
      </w:pPr>
    </w:p>
    <w:tbl>
      <w:tblPr>
        <w:tblLayout w:type="fixed"/>
        <w:tblInd w:w="172"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8"/>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2022</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8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800" w:type="dxa"/>
            <w:vAlign w:val="bottom"/>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w w:val="99"/>
              </w:rPr>
              <w:t>Upfront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Pays</w:t>
            </w: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 (Losses)</w:t>
            </w:r>
          </w:p>
        </w:tc>
        <w:tc>
          <w:tcPr>
            <w:tcW w:w="0" w:type="dxa"/>
            <w:vAlign w:val="bottom"/>
          </w:tcPr>
          <w:p>
            <w:pPr>
              <w:spacing w:after="0"/>
              <w:rPr>
                <w:sz w:val="1"/>
                <w:szCs w:val="1"/>
                <w:color w:val="auto"/>
              </w:rPr>
            </w:pPr>
          </w:p>
        </w:tc>
      </w:tr>
      <w:tr>
        <w:trPr>
          <w:trHeight w:val="237"/>
        </w:trPr>
        <w:tc>
          <w:tcPr>
            <w:tcW w:w="23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+ 1.99%</w:t>
            </w:r>
          </w:p>
        </w:tc>
        <w:tc>
          <w:tcPr>
            <w:tcW w:w="1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+ 2.28%</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+ 2.37%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(1,192 )</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+ 1.60%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2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4.50%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12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0.16%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color w:val="auto"/>
                <w:highlight w:val="white"/>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(6,748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47"/>
        </w:trPr>
        <w:tc>
          <w:tcPr>
            <w:tcW w:w="2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(16,493 )</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(20,489 )</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+ 2.46%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(2,925 )</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(3,302 )</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(35,665 )</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(25,426 )</w:t>
            </w:r>
          </w:p>
        </w:tc>
        <w:tc>
          <w:tcPr>
            <w:tcW w:w="0" w:type="dxa"/>
            <w:vAlign w:val="bottom"/>
          </w:tcPr>
          <w:p>
            <w:pPr>
              <w:spacing w:after="0"/>
              <w:rPr>
                <w:sz w:val="1"/>
                <w:szCs w:val="1"/>
                <w:color w:val="auto"/>
              </w:rPr>
            </w:pPr>
          </w:p>
        </w:tc>
      </w:tr>
      <w:tr>
        <w:trPr>
          <w:trHeight w:val="236"/>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collateral</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2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3"/>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802,500</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-1285240</wp:posOffset>
            </wp:positionV>
            <wp:extent cx="68580"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-1285240</wp:posOffset>
            </wp:positionV>
            <wp:extent cx="6858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1012" w:hanging="503"/>
        <w:spacing w:after="0"/>
        <w:tabs>
          <w:tab w:leader="none" w:pos="10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2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was terminated or matured during the period.</w:t>
      </w:r>
    </w:p>
    <w:p>
      <w:pPr>
        <w:spacing w:after="0" w:line="9" w:lineRule="exact"/>
        <w:rPr>
          <w:rFonts w:ascii="Times New Roman" w:cs="Times New Roman" w:eastAsia="Times New Roman" w:hAnsi="Times New Roman"/>
          <w:sz w:val="18"/>
          <w:szCs w:val="18"/>
          <w:color w:val="auto"/>
        </w:rPr>
      </w:pPr>
    </w:p>
    <w:p>
      <w:pPr>
        <w:ind w:left="1012" w:right="180" w:hanging="503"/>
        <w:spacing w:after="0" w:line="250" w:lineRule="auto"/>
        <w:tabs>
          <w:tab w:leader="none" w:pos="10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ind w:left="1012" w:right="160" w:hanging="503"/>
        <w:spacing w:after="0" w:line="250" w:lineRule="auto"/>
        <w:tabs>
          <w:tab w:leader="none" w:pos="10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12" w:hanging="503"/>
        <w:spacing w:after="0" w:line="260" w:lineRule="auto"/>
        <w:tabs>
          <w:tab w:leader="none" w:pos="10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this instrument is presented net with the $2.5 million in aggregate notional value of instruments no longer designated as instruments in a hedge accounting relationship.</w:t>
      </w:r>
    </w:p>
    <w:p>
      <w:pPr>
        <w:spacing w:after="0" w:line="8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12" w:hanging="512"/>
        <w:spacing w:after="0" w:line="260" w:lineRule="auto"/>
        <w:tabs>
          <w:tab w:leader="none" w:pos="5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99" w:name="page100"/>
    <w:bookmarkEnd w:id="99"/>
    <w:p>
      <w:pPr>
        <w:ind w:left="520" w:right="1500" w:hanging="512"/>
        <w:spacing w:after="0" w:line="254"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w:t>
      </w:r>
    </w:p>
    <w:p>
      <w:pPr>
        <w:spacing w:after="0" w:line="3" w:lineRule="exact"/>
        <w:rPr>
          <w:rFonts w:ascii="Times New Roman" w:cs="Times New Roman" w:eastAsia="Times New Roman" w:hAnsi="Times New Roman"/>
          <w:sz w:val="18"/>
          <w:szCs w:val="18"/>
          <w:color w:val="auto"/>
        </w:rPr>
      </w:pPr>
    </w:p>
    <w:p>
      <w:pPr>
        <w:ind w:left="52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the Canadian Prime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9.7% of total assets as of December 31, 2022.</w:t>
      </w:r>
    </w:p>
    <w:p>
      <w:pPr>
        <w:spacing w:after="0" w:line="1"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20" w:right="220" w:hanging="512"/>
        <w:spacing w:after="0" w:line="255"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2022 in which the Company was an Affiliated Person of the portfolio company are as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year ended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Change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December</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ind w:right="105"/>
              <w:spacing w:after="0" w:line="128"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 Unrealized</w:t>
            </w:r>
          </w:p>
        </w:tc>
        <w:tc>
          <w:tcPr>
            <w:tcW w:w="160" w:type="dxa"/>
            <w:vAlign w:val="bottom"/>
          </w:tcPr>
          <w:p>
            <w:pPr>
              <w:spacing w:after="0"/>
              <w:rPr>
                <w:sz w:val="11"/>
                <w:szCs w:val="11"/>
                <w:color w:val="auto"/>
              </w:rPr>
            </w:pPr>
          </w:p>
        </w:tc>
        <w:tc>
          <w:tcPr>
            <w:tcW w:w="920" w:type="dxa"/>
            <w:vAlign w:val="bottom"/>
          </w:tcPr>
          <w:p>
            <w:pPr>
              <w:jc w:val="right"/>
              <w:ind w:right="228"/>
              <w:spacing w:after="0" w:line="128"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211"/>
              <w:spacing w:after="0" w:line="128"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56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Dividend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40" w:type="dxa"/>
            <w:vAlign w:val="bottom"/>
          </w:tcPr>
          <w:p>
            <w:pPr>
              <w:spacing w:after="0"/>
              <w:rPr>
                <w:sz w:val="15"/>
                <w:szCs w:val="15"/>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Additions (a)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Reductions (b)</w:t>
            </w:r>
          </w:p>
        </w:tc>
        <w:tc>
          <w:tcPr>
            <w:tcW w:w="20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16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6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80" w:type="dxa"/>
            <w:vAlign w:val="bottom"/>
            <w:tcBorders>
              <w:top w:val="single" w:sz="8" w:color="auto"/>
              <w:right w:val="single" w:sz="8" w:color="CFF0FC"/>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6"/>
                <w:szCs w:val="16"/>
                <w:color w:val="auto"/>
              </w:rPr>
              <w:t>MD America Energy,</w:t>
            </w: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6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21"/>
                <w:szCs w:val="21"/>
                <w:color w:val="auto"/>
                <w:vertAlign w:val="superscript"/>
              </w:rPr>
              <w:t>(c)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(12,667 )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(14,350 )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13,608</w:t>
            </w:r>
          </w:p>
        </w:tc>
        <w:tc>
          <w:tcPr>
            <w:tcW w:w="42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27,017</w:t>
            </w:r>
          </w:p>
        </w:tc>
        <w:tc>
          <w:tcPr>
            <w:tcW w:w="180" w:type="dxa"/>
            <w:vAlign w:val="bottom"/>
          </w:tcPr>
          <w:p>
            <w:pPr>
              <w:spacing w:after="0"/>
              <w:rPr>
                <w:sz w:val="19"/>
                <w:szCs w:val="19"/>
                <w:color w:val="auto"/>
              </w:rPr>
            </w:pP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(12,667 )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(14,350 )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13,608</w:t>
            </w:r>
          </w:p>
        </w:tc>
        <w:tc>
          <w:tcPr>
            <w:tcW w:w="4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-179705</wp:posOffset>
            </wp:positionV>
            <wp:extent cx="76835"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-179705</wp:posOffset>
            </wp:positionV>
            <wp:extent cx="76835" cy="1803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-179705</wp:posOffset>
            </wp:positionV>
            <wp:extent cx="77470" cy="1803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-179705</wp:posOffset>
            </wp:positionV>
            <wp:extent cx="77470" cy="180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-179705</wp:posOffset>
            </wp:positionV>
            <wp:extent cx="68580" cy="1803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-179705</wp:posOffset>
            </wp:positionV>
            <wp:extent cx="68580" cy="180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-179705</wp:posOffset>
            </wp:positionV>
            <wp:extent cx="68580" cy="1803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-179705</wp:posOffset>
            </wp:positionV>
            <wp:extent cx="68580" cy="180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5" w:lineRule="exact"/>
        <w:rPr>
          <w:sz w:val="20"/>
          <w:szCs w:val="20"/>
          <w:color w:val="auto"/>
        </w:rPr>
      </w:pPr>
    </w:p>
    <w:p>
      <w:pPr>
        <w:ind w:left="1020" w:right="80" w:hanging="503"/>
        <w:spacing w:after="0" w:line="261"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50" w:lineRule="auto"/>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SMPA Holdings, LLC of 15,000 common equity units.</w:t>
      </w:r>
    </w:p>
    <w:p>
      <w:pPr>
        <w:spacing w:after="0" w:line="112" w:lineRule="exact"/>
        <w:rPr>
          <w:rFonts w:ascii="Times New Roman" w:cs="Times New Roman" w:eastAsia="Times New Roman" w:hAnsi="Times New Roman"/>
          <w:sz w:val="18"/>
          <w:szCs w:val="18"/>
          <w:color w:val="auto"/>
        </w:rPr>
      </w:pPr>
    </w:p>
    <w:p>
      <w:pPr>
        <w:ind w:left="520" w:right="200" w:hanging="512"/>
        <w:spacing w:after="0" w:line="261"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2022 in which the issuer was an Affiliated Person of and was deemed to Control a portfolio company are as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479"/>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1"/>
                <w:szCs w:val="11"/>
                <w:color w:val="auto"/>
              </w:rPr>
            </w:pPr>
          </w:p>
        </w:tc>
        <w:tc>
          <w:tcPr>
            <w:tcW w:w="84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26"/>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28"/>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44"/>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166"/>
              <w:spacing w:after="0" w:line="12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3"/>
              </w:rPr>
              <w:t>Additions (a)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w w:val="95"/>
              </w:rPr>
              <w:t>Reductions (b)</w:t>
            </w:r>
          </w:p>
        </w:tc>
        <w:tc>
          <w:tcPr>
            <w:tcW w:w="10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2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18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IRGSE Holding Corp.</w:t>
            </w:r>
          </w:p>
        </w:tc>
        <w:tc>
          <w:tcPr>
            <w:tcW w:w="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59,779</w:t>
            </w:r>
          </w:p>
        </w:tc>
        <w:tc>
          <w:tcPr>
            <w:tcW w:w="20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20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70,755</w:t>
            </w:r>
          </w:p>
        </w:tc>
        <w:tc>
          <w:tcPr>
            <w:tcW w:w="1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 Resources,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(1,553 )</w:t>
            </w: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99"/>
              </w:rPr>
              <w:t>55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LLC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59,779</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4,420</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(1,553</w:t>
            </w:r>
          </w:p>
        </w:tc>
        <w:tc>
          <w:tcPr>
            <w:tcW w:w="2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8,054</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55</w:t>
            </w:r>
          </w:p>
        </w:tc>
        <w:tc>
          <w:tcPr>
            <w:tcW w:w="1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70,755</w:t>
            </w:r>
          </w:p>
        </w:tc>
        <w:tc>
          <w:tcPr>
            <w:tcW w:w="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5,064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-24765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-7620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-24765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ind w:left="1012" w:right="20" w:hanging="503"/>
        <w:spacing w:after="0" w:line="261" w:lineRule="auto"/>
        <w:tabs>
          <w:tab w:leader="none" w:pos="101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12" w:right="140" w:hanging="503"/>
        <w:spacing w:after="0" w:line="255" w:lineRule="auto"/>
        <w:tabs>
          <w:tab w:leader="none" w:pos="101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18"/>
          <w:szCs w:val="18"/>
          <w:color w:val="auto"/>
        </w:rPr>
      </w:pPr>
    </w:p>
    <w:p>
      <w:pPr>
        <w:ind w:left="512" w:right="620" w:hanging="512"/>
        <w:spacing w:after="0" w:line="261" w:lineRule="auto"/>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estimated cost basis of investments for U.S. federal tax purposes was $2,787,005 resulting in estimated gross unrealized gains and losses of $109,609 and $105,786, respectively.</w:t>
      </w:r>
    </w:p>
    <w:p>
      <w:pPr>
        <w:ind w:left="512" w:hanging="512"/>
        <w:spacing w:after="0" w:line="250" w:lineRule="auto"/>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12" w:right="40" w:hanging="512"/>
        <w:spacing w:after="0" w:line="250" w:lineRule="auto"/>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right="160" w:hanging="512"/>
        <w:spacing w:after="0" w:line="250" w:lineRule="auto"/>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December 31, 2022, the aggregate fair value of these securities is $47,288, or 3.5% of the Company’s net assets.</w:t>
      </w:r>
    </w:p>
    <w:p>
      <w:pPr>
        <w:spacing w:after="0" w:line="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December 31, 2022.</w:t>
      </w:r>
    </w:p>
    <w:p>
      <w:pPr>
        <w:spacing w:after="0" w:line="11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80" w:right="39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2021</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8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80" w:type="dxa"/>
            <w:vAlign w:val="bottom"/>
          </w:tcPr>
          <w:p>
            <w:pPr>
              <w:spacing w:after="0"/>
              <w:rPr>
                <w:sz w:val="9"/>
                <w:szCs w:val="9"/>
                <w:color w:val="auto"/>
              </w:rPr>
            </w:pPr>
          </w:p>
        </w:tc>
        <w:tc>
          <w:tcPr>
            <w:tcW w:w="92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b w:val="1"/>
                <w:bCs w:val="1"/>
                <w:color w:val="auto"/>
              </w:rPr>
              <w:t>Rate and</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90"/>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160" w:type="dxa"/>
            <w:vAlign w:val="bottom"/>
          </w:tcPr>
          <w:p>
            <w:pPr>
              <w:spacing w:after="0"/>
              <w:rPr>
                <w:sz w:val="9"/>
                <w:szCs w:val="9"/>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(10)</w:t>
            </w:r>
          </w:p>
        </w:tc>
        <w:tc>
          <w:tcPr>
            <w:tcW w:w="160" w:type="dxa"/>
            <w:vAlign w:val="bottom"/>
          </w:tcPr>
          <w:p>
            <w:pPr>
              <w:spacing w:after="0"/>
              <w:rPr>
                <w:sz w:val="9"/>
                <w:szCs w:val="9"/>
                <w:color w:val="auto"/>
              </w:rPr>
            </w:pPr>
          </w:p>
        </w:tc>
        <w:tc>
          <w:tcPr>
            <w:tcW w:w="960" w:type="dxa"/>
            <w:vAlign w:val="bottom"/>
            <w:gridSpan w:val="3"/>
          </w:tcPr>
          <w:p>
            <w:pPr>
              <w:jc w:val="center"/>
              <w:ind w:right="140"/>
              <w:spacing w:after="0" w:line="111"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62"/>
        </w:trPr>
        <w:tc>
          <w:tcPr>
            <w:tcW w:w="2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tcPr>
          <w:p>
            <w:pPr>
              <w:ind w:left="11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80" w:type="dxa"/>
            <w:vAlign w:val="bottom"/>
          </w:tcPr>
          <w:p>
            <w:pPr>
              <w:jc w:val="right"/>
              <w:ind w:right="13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of Net Assets</w:t>
            </w:r>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60" w:type="dxa"/>
            <w:vAlign w:val="bottom"/>
            <w:shd w:val="clear" w:color="auto" w:fill="CFF0FC"/>
          </w:tcPr>
          <w:p>
            <w:pPr>
              <w:spacing w:after="0"/>
              <w:rPr>
                <w:sz w:val="14"/>
                <w:szCs w:val="14"/>
                <w:color w:val="auto"/>
              </w:rPr>
            </w:pPr>
          </w:p>
        </w:tc>
        <w:tc>
          <w:tcPr>
            <w:tcW w:w="28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services</w:t>
            </w:r>
          </w:p>
        </w:tc>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2"/>
                <w:szCs w:val="12"/>
                <w:color w:val="auto"/>
              </w:rPr>
              <w:t xml:space="preserve">Acceo Solutions, Inc. </w:t>
            </w:r>
            <w:r>
              <w:rPr>
                <w:rFonts w:ascii="Times New Roman" w:cs="Times New Roman" w:eastAsia="Times New Roman" w:hAnsi="Times New Roman"/>
                <w:sz w:val="16"/>
                <w:szCs w:val="16"/>
                <w:color w:val="auto"/>
                <w:vertAlign w:val="superscript"/>
              </w:rPr>
              <w:t>(3)(4)(5)</w:t>
            </w: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loan (CAD 74,062 par, due 10/2025)</w:t>
            </w:r>
          </w:p>
        </w:tc>
        <w:tc>
          <w:tcPr>
            <w:tcW w:w="9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7/6/2018</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 + 4.75%</w:t>
            </w:r>
          </w:p>
        </w:tc>
        <w:tc>
          <w:tcPr>
            <w:tcW w:w="1020" w:type="dxa"/>
            <w:vAlign w:val="bottom"/>
            <w:gridSpan w:val="3"/>
            <w:shd w:val="clear" w:color="auto" w:fill="CFF0FC"/>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5.75 % $</w:t>
            </w: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55,724</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$60,246</w:t>
            </w:r>
          </w:p>
        </w:tc>
        <w:tc>
          <w:tcPr>
            <w:tcW w:w="110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(CAD 76,099)</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($64,435 par, due 8/2025)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8/15/2019</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+ 7.50%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65,469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6"/>
                <w:szCs w:val="16"/>
                <w:color w:val="auto"/>
                <w:vertAlign w:val="superscript"/>
              </w:rPr>
              <w:t>(3)(4)</w:t>
            </w: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loan (CAD 55,042 par, due 12/2027)</w:t>
            </w:r>
          </w:p>
        </w:tc>
        <w:tc>
          <w:tcPr>
            <w:tcW w:w="9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12/3/2021</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 + 5.75%</w:t>
            </w:r>
          </w:p>
        </w:tc>
        <w:tc>
          <w:tcPr>
            <w:tcW w:w="9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6.50 %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41,946</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43,961</w:t>
            </w:r>
          </w:p>
        </w:tc>
        <w:tc>
          <w:tcPr>
            <w:tcW w:w="110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(CAD 55,529)</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ExtraHop Networks, Inc.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($50,611 par, due 7/2027)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7/22/2021</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+ 7.50%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49,659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2"/>
                <w:szCs w:val="12"/>
                <w:color w:val="auto"/>
              </w:rPr>
              <w:t xml:space="preserve">ForeScout Technologies, Inc. </w:t>
            </w:r>
            <w:r>
              <w:rPr>
                <w:rFonts w:ascii="Times New Roman" w:cs="Times New Roman" w:eastAsia="Times New Roman" w:hAnsi="Times New Roman"/>
                <w:sz w:val="16"/>
                <w:szCs w:val="16"/>
                <w:color w:val="auto"/>
                <w:vertAlign w:val="superscript"/>
              </w:rPr>
              <w:t>(3)</w:t>
            </w: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loan ($5,127 par, due 8/2026)</w:t>
            </w:r>
          </w:p>
        </w:tc>
        <w:tc>
          <w:tcPr>
            <w:tcW w:w="9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8/17/2020</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L + 9.50%</w:t>
            </w:r>
          </w:p>
        </w:tc>
        <w:tc>
          <w:tcPr>
            <w:tcW w:w="7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10.50%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5,025</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5,155</w:t>
            </w:r>
          </w:p>
        </w:tc>
        <w:tc>
          <w:tcPr>
            <w:tcW w:w="110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0.4 %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(incl. 9.50%</w:t>
            </w: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PIK)</w:t>
            </w: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Information Clearinghouse, LLC and MS</w:t>
            </w:r>
          </w:p>
        </w:tc>
        <w:tc>
          <w:tcPr>
            <w:tcW w:w="60" w:type="dxa"/>
            <w:vAlign w:val="bottom"/>
          </w:tcPr>
          <w:p>
            <w:pPr>
              <w:spacing w:after="0"/>
              <w:rPr>
                <w:sz w:val="11"/>
                <w:szCs w:val="11"/>
                <w:color w:val="auto"/>
              </w:rPr>
            </w:pPr>
          </w:p>
        </w:tc>
        <w:tc>
          <w:tcPr>
            <w:tcW w:w="28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First-lien loan ($18,000 par, due 12/2026)</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12/20/2021</w:t>
            </w: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L + 6.50%</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7.50 %</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17,530</w:t>
            </w:r>
          </w:p>
        </w:tc>
        <w:tc>
          <w:tcPr>
            <w:tcW w:w="1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17,505</w:t>
            </w:r>
          </w:p>
        </w:tc>
        <w:tc>
          <w:tcPr>
            <w:tcW w:w="11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1.4 %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Market Service, LLC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9"/>
                <w:szCs w:val="19"/>
                <w:color w:val="auto"/>
                <w:vertAlign w:val="superscript"/>
              </w:rPr>
              <w:t>(3)(5)</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($68,160 par, due 9/2026)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9/30/2020</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+ 6.00%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66,948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68,533</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ReliaQuest Holdings, LLC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($46,948 par, due 10/2026)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10/8/2020</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+ 8.25%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47,716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WideOrbit, Inc. </w:t>
            </w:r>
            <w:r>
              <w:rPr>
                <w:rFonts w:ascii="Times New Roman" w:cs="Times New Roman" w:eastAsia="Times New Roman" w:hAnsi="Times New Roman"/>
                <w:sz w:val="19"/>
                <w:szCs w:val="19"/>
                <w:color w:val="auto"/>
                <w:vertAlign w:val="superscript"/>
              </w:rPr>
              <w:t>(3)</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($50,332 par, due 7/2025)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7/8/2020</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+ 8.50%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49,713</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51,434</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395,435</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409,678</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32.0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6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($35,000 par, due 11/2026)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11/19/2021</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33,863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IntelePeer Holdings, Inc.</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First-lien loan ($44,657 par, due 12/2024) </w:t>
            </w:r>
            <w:r>
              <w:rPr>
                <w:rFonts w:ascii="Times New Roman" w:cs="Times New Roman" w:eastAsia="Times New Roman" w:hAnsi="Times New Roman"/>
                <w:sz w:val="19"/>
                <w:szCs w:val="19"/>
                <w:color w:val="auto"/>
                <w:vertAlign w:val="superscript"/>
              </w:rPr>
              <w:t>(3)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12/2/2019</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+ 8.25%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44,564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44,184</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 ($4,124 par, due 5/2028)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5/12/2021</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6.00 %</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6.00% PIK</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8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82,572</w:t>
            </w:r>
          </w:p>
        </w:tc>
        <w:tc>
          <w:tcPr>
            <w:tcW w:w="1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82,161</w:t>
            </w:r>
          </w:p>
        </w:tc>
        <w:tc>
          <w:tcPr>
            <w:tcW w:w="16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9"/>
                <w:szCs w:val="19"/>
                <w:color w:val="auto"/>
                <w:vertAlign w:val="superscript"/>
              </w:rPr>
              <w:t>(3)(11)</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Second-lien loan ($43,490 par, due 10/2029)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10/25/2021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+ 8.88%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9.63 %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42,629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42,729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60" w:type="dxa"/>
            <w:vAlign w:val="bottom"/>
          </w:tcPr>
          <w:p>
            <w:pPr>
              <w:spacing w:after="0"/>
              <w:rPr>
                <w:sz w:val="11"/>
                <w:szCs w:val="11"/>
                <w:color w:val="auto"/>
              </w:rPr>
            </w:pPr>
          </w:p>
        </w:tc>
        <w:tc>
          <w:tcPr>
            <w:tcW w:w="28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First-lien loan ($53,522 par, due 6/2026)</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6/8/2021</w:t>
            </w: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L + 6.00%</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7.00 %</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52,318</w:t>
            </w:r>
          </w:p>
        </w:tc>
        <w:tc>
          <w:tcPr>
            <w:tcW w:w="1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52,622</w:t>
            </w:r>
          </w:p>
        </w:tc>
        <w:tc>
          <w:tcPr>
            <w:tcW w:w="11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4.1 %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EMS Linq, Inc. </w:t>
            </w:r>
            <w:r>
              <w:rPr>
                <w:rFonts w:ascii="Times New Roman" w:cs="Times New Roman" w:eastAsia="Times New Roman" w:hAnsi="Times New Roman"/>
                <w:sz w:val="19"/>
                <w:szCs w:val="19"/>
                <w:color w:val="auto"/>
                <w:vertAlign w:val="superscript"/>
              </w:rPr>
              <w:t>(3)</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($56,216 par, due 12/2027)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12/22/2021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+ 6.25%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54,921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Frontline Technologies Group, LLC </w:t>
            </w:r>
            <w:r>
              <w:rPr>
                <w:rFonts w:ascii="Times New Roman" w:cs="Times New Roman" w:eastAsia="Times New Roman" w:hAnsi="Times New Roman"/>
                <w:sz w:val="19"/>
                <w:szCs w:val="19"/>
                <w:color w:val="auto"/>
                <w:vertAlign w:val="superscript"/>
              </w:rPr>
              <w:t>(3)</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($86,466 par, due 9/2023)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9/18/2017</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86,682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Illuminate Education, Inc.</w:t>
            </w:r>
            <w:r>
              <w:rPr>
                <w:rFonts w:ascii="Times New Roman" w:cs="Times New Roman" w:eastAsia="Times New Roman" w:hAnsi="Times New Roman"/>
                <w:sz w:val="19"/>
                <w:szCs w:val="19"/>
                <w:color w:val="auto"/>
                <w:vertAlign w:val="superscript"/>
              </w:rPr>
              <w:t>(3)(5)</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($62,725 par, due 8/2022)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8/25/2017</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+ 6.00%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62,519</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62,882</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298,624</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299,831</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23.6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Services</w:t>
            </w:r>
          </w:p>
        </w:tc>
        <w:tc>
          <w:tcPr>
            <w:tcW w:w="6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9"/>
                <w:szCs w:val="19"/>
                <w:color w:val="auto"/>
                <w:vertAlign w:val="superscript"/>
              </w:rPr>
              <w:t>(3)(4)(5)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($11,205 par, due 4/2024)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10/1/2019</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+ 9.00%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11,327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9"/>
                <w:szCs w:val="19"/>
                <w:color w:val="auto"/>
                <w:vertAlign w:val="superscript"/>
              </w:rPr>
              <w:t>(3)(5)</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($19,575 par, due 10/2024)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10/10/2019</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+ 6.50%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($35,000 par, due 10/2024)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10/25/2019</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+ 6.75%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35,475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G Treasury SS, LLC </w:t>
            </w:r>
            <w:r>
              <w:rPr>
                <w:rFonts w:ascii="Times New Roman" w:cs="Times New Roman" w:eastAsia="Times New Roman" w:hAnsi="Times New Roman"/>
                <w:sz w:val="19"/>
                <w:szCs w:val="19"/>
                <w:color w:val="auto"/>
                <w:vertAlign w:val="superscript"/>
              </w:rPr>
              <w:t>(3)(5)</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($59,318 par, due 4/2023)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4/9/2018</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+ 8.25%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58,570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60,479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($1,542 par, due 5/2027)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5/28/2021</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9"/>
                <w:szCs w:val="19"/>
                <w:color w:val="auto"/>
                <w:vertAlign w:val="superscript"/>
              </w:rPr>
              <w:t>(3)</w:t>
            </w:r>
          </w:p>
        </w:tc>
        <w:tc>
          <w:tcPr>
            <w:tcW w:w="60" w:type="dxa"/>
            <w:vAlign w:val="bottom"/>
            <w:shd w:val="clear" w:color="auto" w:fill="CFF0FC"/>
          </w:tcPr>
          <w:p>
            <w:pPr>
              <w:spacing w:after="0"/>
              <w:rPr>
                <w:sz w:val="15"/>
                <w:szCs w:val="15"/>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loan ($12,669 par, due 5/2028)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5/28/2021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 + 8.25%</w:t>
            </w:r>
          </w:p>
        </w:tc>
        <w:tc>
          <w:tcPr>
            <w:tcW w:w="10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8.75% PIK</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12,479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Jonas Collections and Recovery, Inc. </w:t>
            </w:r>
            <w:r>
              <w:rPr>
                <w:rFonts w:ascii="Times New Roman" w:cs="Times New Roman" w:eastAsia="Times New Roman" w:hAnsi="Times New Roman"/>
                <w:sz w:val="19"/>
                <w:szCs w:val="19"/>
                <w:color w:val="auto"/>
                <w:vertAlign w:val="superscript"/>
              </w:rPr>
              <w:t>(3)(5)</w:t>
            </w:r>
          </w:p>
        </w:tc>
        <w:tc>
          <w:tcPr>
            <w:tcW w:w="6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First-lien loan ($27,375 par, due 6/2026)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6/21/2021</w:t>
            </w: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 + 5.75%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6.75 %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26,964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2"/>
                <w:szCs w:val="12"/>
                <w:color w:val="auto"/>
              </w:rPr>
              <w:t>Kyriba Corp.</w:t>
            </w:r>
            <w:r>
              <w:rPr>
                <w:rFonts w:ascii="Times New Roman" w:cs="Times New Roman" w:eastAsia="Times New Roman" w:hAnsi="Times New Roman"/>
                <w:sz w:val="16"/>
                <w:szCs w:val="16"/>
                <w:color w:val="auto"/>
                <w:vertAlign w:val="superscript"/>
              </w:rPr>
              <w:t>(3)</w:t>
            </w: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loan ($17,412 par, due 4/2025)</w:t>
            </w:r>
          </w:p>
        </w:tc>
        <w:tc>
          <w:tcPr>
            <w:tcW w:w="9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4/9/2019</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L + 9.00%</w:t>
            </w:r>
          </w:p>
        </w:tc>
        <w:tc>
          <w:tcPr>
            <w:tcW w:w="7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10.50%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17,163</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17,673</w:t>
            </w:r>
          </w:p>
        </w:tc>
        <w:tc>
          <w:tcPr>
            <w:tcW w:w="110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(incl. 9.00%</w:t>
            </w: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PIK)</w:t>
            </w: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loan (EUR 9,070 par, due 4/2025)</w:t>
            </w:r>
          </w:p>
        </w:tc>
        <w:tc>
          <w:tcPr>
            <w:tcW w:w="9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4/9/2019</w:t>
            </w:r>
          </w:p>
        </w:tc>
        <w:tc>
          <w:tcPr>
            <w:tcW w:w="80" w:type="dxa"/>
            <w:vAlign w:val="bottom"/>
          </w:tcPr>
          <w:p>
            <w:pPr>
              <w:spacing w:after="0"/>
              <w:rPr>
                <w:sz w:val="12"/>
                <w:szCs w:val="12"/>
                <w:color w:val="auto"/>
              </w:rPr>
            </w:pPr>
          </w:p>
        </w:tc>
        <w:tc>
          <w:tcPr>
            <w:tcW w:w="9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E + 9.00%</w:t>
            </w:r>
          </w:p>
        </w:tc>
        <w:tc>
          <w:tcPr>
            <w:tcW w:w="102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4"/>
                <w:szCs w:val="14"/>
                <w:color w:val="auto"/>
              </w:rPr>
              <w:t>9.00% PIK</w:t>
            </w: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10,070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10,470</w:t>
            </w:r>
          </w:p>
        </w:tc>
        <w:tc>
          <w:tcPr>
            <w:tcW w:w="110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0.8 %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 9,206)</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revolving loan ($1,411 par, due</w:t>
            </w:r>
          </w:p>
        </w:tc>
        <w:tc>
          <w:tcPr>
            <w:tcW w:w="9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4/9/2019</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L + 7.25%</w:t>
            </w:r>
          </w:p>
        </w:tc>
        <w:tc>
          <w:tcPr>
            <w:tcW w:w="9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8.75 %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1,387</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1,438</w:t>
            </w:r>
          </w:p>
        </w:tc>
        <w:tc>
          <w:tcPr>
            <w:tcW w:w="110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shd w:val="clear" w:color="auto" w:fill="CFF0FC"/>
          </w:tcPr>
          <w:p>
            <w:pPr>
              <w:spacing w:after="0"/>
              <w:rPr>
                <w:sz w:val="16"/>
                <w:szCs w:val="16"/>
                <w:color w:val="auto"/>
              </w:rPr>
            </w:pPr>
          </w:p>
        </w:tc>
        <w:tc>
          <w:tcPr>
            <w:tcW w:w="2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4/2025)</w:t>
            </w:r>
          </w:p>
        </w:tc>
        <w:tc>
          <w:tcPr>
            <w:tcW w:w="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First-lien revolving loan (EUR 336 par, due</w:t>
            </w:r>
          </w:p>
        </w:tc>
        <w:tc>
          <w:tcPr>
            <w:tcW w:w="9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4/9/2019</w:t>
            </w:r>
          </w:p>
        </w:tc>
        <w:tc>
          <w:tcPr>
            <w:tcW w:w="80" w:type="dxa"/>
            <w:vAlign w:val="bottom"/>
          </w:tcPr>
          <w:p>
            <w:pPr>
              <w:spacing w:after="0"/>
              <w:rPr>
                <w:sz w:val="12"/>
                <w:szCs w:val="12"/>
                <w:color w:val="auto"/>
              </w:rPr>
            </w:pPr>
          </w:p>
        </w:tc>
        <w:tc>
          <w:tcPr>
            <w:tcW w:w="9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E + 7.25%</w:t>
            </w:r>
          </w:p>
        </w:tc>
        <w:tc>
          <w:tcPr>
            <w:tcW w:w="9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8.75 %</w:t>
            </w:r>
          </w:p>
        </w:tc>
        <w:tc>
          <w:tcPr>
            <w:tcW w:w="12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370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382</w:t>
            </w:r>
          </w:p>
        </w:tc>
        <w:tc>
          <w:tcPr>
            <w:tcW w:w="110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2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4/2025)</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 336)</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8"/>
        </w:trPr>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F-13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-3762375</wp:posOffset>
            </wp:positionV>
            <wp:extent cx="6858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-3762375</wp:posOffset>
            </wp:positionV>
            <wp:extent cx="6858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-3068320</wp:posOffset>
            </wp:positionV>
            <wp:extent cx="68580" cy="1200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-3068320</wp:posOffset>
            </wp:positionV>
            <wp:extent cx="68580" cy="1200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1200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-2296795</wp:posOffset>
            </wp:positionV>
            <wp:extent cx="68580" cy="128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-2296795</wp:posOffset>
            </wp:positionV>
            <wp:extent cx="6858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9"/>
                <w:szCs w:val="19"/>
                <w:color w:val="auto"/>
                <w:vertAlign w:val="superscript"/>
              </w:rPr>
              <w:t>(3)</w:t>
            </w: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First-lien loan ($17,018 par, due 4/2026)</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4/28/2021</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+ 8.25%</w:t>
            </w:r>
          </w:p>
        </w:tc>
        <w:tc>
          <w:tcPr>
            <w:tcW w:w="9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9.25% (incl.</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16,721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16,864</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FF0FC"/>
          </w:tcPr>
          <w:p>
            <w:pPr>
              <w:spacing w:after="0"/>
              <w:rPr>
                <w:sz w:val="16"/>
                <w:szCs w:val="16"/>
                <w:color w:val="auto"/>
              </w:rPr>
            </w:pPr>
          </w:p>
        </w:tc>
        <w:tc>
          <w:tcPr>
            <w:tcW w:w="28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4.125% PIK)</w:t>
            </w: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9"/>
                <w:szCs w:val="19"/>
                <w:color w:val="auto"/>
                <w:vertAlign w:val="superscript"/>
              </w:rPr>
              <w:t>(3)</w:t>
            </w:r>
          </w:p>
        </w:tc>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First-lien loan ($22,507 par, due 12/2023)</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12/31/2018</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+ 7.00%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23,015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9"/>
                <w:szCs w:val="19"/>
                <w:color w:val="auto"/>
                <w:vertAlign w:val="superscript"/>
              </w:rPr>
              <w:t>(3)(5)</w:t>
            </w: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First-lien loan ($45,000 par, due 4/2027)</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4/30/2021</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+ 6.25%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43,771</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44,325</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275,876</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281,959</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22.0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8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9"/>
                <w:szCs w:val="19"/>
                <w:color w:val="auto"/>
                <w:vertAlign w:val="superscript"/>
              </w:rPr>
              <w:t>(3)(5)</w:t>
            </w:r>
          </w:p>
        </w:tc>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First-lien loan ($53,094 par, due 11/2026)</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11/23/2020</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+ 6.50%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53,493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Caris Life Sciences, Inc.</w:t>
            </w: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First-lien loan ($5,000 par, due 9/2023)</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9/21/2018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First-lien loan ($3,750 par, due 4/2025)</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4/2/2020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spacing w:after="0"/>
              <w:rPr>
                <w:sz w:val="15"/>
                <w:szCs w:val="15"/>
                <w:color w:val="auto"/>
              </w:rPr>
            </w:pP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Convertible note ($2,602 par, due 9/2023)</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9/21/2018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Clinicient, Inc.</w:t>
            </w:r>
            <w:r>
              <w:rPr>
                <w:rFonts w:ascii="Times New Roman" w:cs="Times New Roman" w:eastAsia="Times New Roman" w:hAnsi="Times New Roman"/>
                <w:sz w:val="19"/>
                <w:szCs w:val="19"/>
                <w:color w:val="auto"/>
                <w:vertAlign w:val="superscript"/>
              </w:rPr>
              <w:t>(3)</w:t>
            </w:r>
          </w:p>
        </w:tc>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First-lien loan ($15,000 par, due 5/2024)</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5/31/2019</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+ 7.00%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40" w:type="dxa"/>
            <w:vAlign w:val="bottom"/>
            <w:shd w:val="clear" w:color="auto" w:fill="CFF0FC"/>
          </w:tcPr>
          <w:p>
            <w:pPr>
              <w:spacing w:after="0"/>
              <w:rPr>
                <w:sz w:val="12"/>
                <w:szCs w:val="12"/>
                <w:color w:val="auto"/>
              </w:rPr>
            </w:pPr>
          </w:p>
        </w:tc>
        <w:tc>
          <w:tcPr>
            <w:tcW w:w="2820" w:type="dxa"/>
            <w:vAlign w:val="bottom"/>
            <w:shd w:val="clear" w:color="auto" w:fill="CFF0FC"/>
          </w:tcPr>
          <w:p>
            <w:pPr>
              <w:ind w:left="100"/>
              <w:spacing w:after="0" w:line="139" w:lineRule="exact"/>
              <w:rPr>
                <w:sz w:val="20"/>
                <w:szCs w:val="20"/>
                <w:color w:val="auto"/>
              </w:rPr>
            </w:pPr>
            <w:r>
              <w:rPr>
                <w:rFonts w:ascii="Times New Roman" w:cs="Times New Roman" w:eastAsia="Times New Roman" w:hAnsi="Times New Roman"/>
                <w:sz w:val="14"/>
                <w:szCs w:val="14"/>
                <w:color w:val="auto"/>
              </w:rPr>
              <w:t>First-lien revolving loan ($2,400 par, due</w:t>
            </w:r>
          </w:p>
        </w:tc>
        <w:tc>
          <w:tcPr>
            <w:tcW w:w="1060" w:type="dxa"/>
            <w:vAlign w:val="bottom"/>
            <w:shd w:val="clear" w:color="auto" w:fill="CFF0FC"/>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5/31/2019</w:t>
            </w:r>
          </w:p>
        </w:tc>
        <w:tc>
          <w:tcPr>
            <w:tcW w:w="920" w:type="dxa"/>
            <w:vAlign w:val="bottom"/>
            <w:shd w:val="clear" w:color="auto" w:fill="CFF0FC"/>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L + 7.00%</w:t>
            </w:r>
          </w:p>
        </w:tc>
        <w:tc>
          <w:tcPr>
            <w:tcW w:w="9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8.50 %</w:t>
            </w:r>
          </w:p>
        </w:tc>
        <w:tc>
          <w:tcPr>
            <w:tcW w:w="8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2,381</w:t>
            </w:r>
          </w:p>
        </w:tc>
        <w:tc>
          <w:tcPr>
            <w:tcW w:w="11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2,440</w:t>
            </w:r>
          </w:p>
        </w:tc>
        <w:tc>
          <w:tcPr>
            <w:tcW w:w="112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FF0FC"/>
          </w:tcPr>
          <w:p>
            <w:pPr>
              <w:spacing w:after="0"/>
              <w:rPr>
                <w:sz w:val="16"/>
                <w:szCs w:val="16"/>
                <w:color w:val="auto"/>
              </w:rPr>
            </w:pP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5/2024)</w:t>
            </w:r>
          </w:p>
        </w:tc>
        <w:tc>
          <w:tcPr>
            <w:tcW w:w="10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Homecare Software Solutions, LLC </w:t>
            </w:r>
            <w:r>
              <w:rPr>
                <w:rFonts w:ascii="Times New Roman" w:cs="Times New Roman" w:eastAsia="Times New Roman" w:hAnsi="Times New Roman"/>
                <w:sz w:val="19"/>
                <w:szCs w:val="19"/>
                <w:color w:val="auto"/>
                <w:vertAlign w:val="superscript"/>
              </w:rPr>
              <w:t>(3)(5)</w:t>
            </w:r>
          </w:p>
        </w:tc>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First-lien loan ($50,000 par, due 10/2026)</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10/6/2021</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+ 5.25%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Integrated Practice Solutions, Inc. </w:t>
            </w:r>
            <w:r>
              <w:rPr>
                <w:rFonts w:ascii="Times New Roman" w:cs="Times New Roman" w:eastAsia="Times New Roman" w:hAnsi="Times New Roman"/>
                <w:sz w:val="19"/>
                <w:szCs w:val="19"/>
                <w:color w:val="auto"/>
                <w:vertAlign w:val="superscript"/>
              </w:rPr>
              <w:t>(3)(5)</w:t>
            </w: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First-lien loan ($48,688 par, due 10/2024)</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6/30/2017</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47,578</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49,783</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176,659</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191,377</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15.0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-1353185</wp:posOffset>
            </wp:positionV>
            <wp:extent cx="68580"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-1353185</wp:posOffset>
            </wp:positionV>
            <wp:extent cx="68580"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-127635</wp:posOffset>
            </wp:positionV>
            <wp:extent cx="1877060"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877060" cy="128905"/>
                    </a:xfrm>
                    <a:prstGeom prst="rect">
                      <a:avLst/>
                    </a:prstGeom>
                    <a:noFill/>
                  </pic:spPr>
                </pic:pic>
              </a:graphicData>
            </a:graphic>
          </wp:anchor>
        </w:drawing>
      </w:r>
    </w:p>
    <w:p>
      <w:pPr>
        <w:sectPr>
          <w:pgSz w:w="11900" w:h="16838" w:orient="portrait"/>
          <w:cols w:equalWidth="0" w:num="1">
            <w:col w:w="11260"/>
          </w:cols>
          <w:pgMar w:left="320" w:top="276" w:right="319" w:bottom="1440" w:gutter="0" w:footer="0" w:header="0"/>
        </w:sectPr>
      </w:pPr>
    </w:p>
    <w:tbl>
      <w:tblPr>
        <w:tblLayout w:type="fixed"/>
        <w:tblInd w:w="20" w:type="dxa"/>
        <w:tblCellMar>
          <w:top w:w="0" w:type="dxa"/>
          <w:left w:w="0" w:type="dxa"/>
          <w:bottom w:w="0" w:type="dxa"/>
          <w:right w:w="0" w:type="dxa"/>
        </w:tblCellMar>
      </w:tblPr>
      <w:tr>
        <w:trPr>
          <w:trHeight w:val="148"/>
        </w:trPr>
        <w:tc>
          <w:tcPr>
            <w:tcW w:w="240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9"/>
                <w:szCs w:val="19"/>
                <w:color w:val="auto"/>
                <w:vertAlign w:val="superscript"/>
              </w:rPr>
              <w:t>(3)(7)</w:t>
            </w:r>
          </w:p>
        </w:tc>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 6/2022)</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8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First-lien revolving loan ($12,327 par, due</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6/2022)</w:t>
            </w:r>
          </w:p>
        </w:tc>
        <w:tc>
          <w:tcPr>
            <w:tcW w:w="0" w:type="dxa"/>
            <w:vAlign w:val="bottom"/>
          </w:tcPr>
          <w:p>
            <w:pPr>
              <w:spacing w:after="0"/>
              <w:rPr>
                <w:sz w:val="1"/>
                <w:szCs w:val="1"/>
                <w:color w:val="auto"/>
              </w:rPr>
            </w:pPr>
          </w:p>
        </w:tc>
      </w:tr>
      <w:tr>
        <w:trPr>
          <w:trHeight w:val="508"/>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9"/>
                <w:szCs w:val="19"/>
                <w:color w:val="auto"/>
                <w:vertAlign w:val="superscript"/>
              </w:rPr>
              <w:t>(3)(4)(5)</w:t>
            </w:r>
          </w:p>
        </w:tc>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First-lien loan ($31,580 par, due 5/2026)</w:t>
            </w:r>
          </w:p>
        </w:tc>
        <w:tc>
          <w:tcPr>
            <w:tcW w:w="0" w:type="dxa"/>
            <w:vAlign w:val="bottom"/>
          </w:tcPr>
          <w:p>
            <w:pPr>
              <w:spacing w:after="0"/>
              <w:rPr>
                <w:sz w:val="1"/>
                <w:szCs w:val="1"/>
                <w:color w:val="auto"/>
              </w:rPr>
            </w:pPr>
          </w:p>
        </w:tc>
      </w:tr>
      <w:tr>
        <w:trPr>
          <w:trHeight w:val="195"/>
        </w:trPr>
        <w:tc>
          <w:tcPr>
            <w:tcW w:w="240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9"/>
                <w:szCs w:val="19"/>
                <w:color w:val="auto"/>
                <w:vertAlign w:val="superscript"/>
              </w:rPr>
              <w:t>(3)(5)</w:t>
            </w:r>
          </w:p>
        </w:tc>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First-lien loan ($47,999 par, due 10/2025)</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8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First-lien revolving loan ($3,000 par, due</w:t>
            </w:r>
          </w:p>
        </w:tc>
        <w:tc>
          <w:tcPr>
            <w:tcW w:w="0" w:type="dxa"/>
            <w:vAlign w:val="bottom"/>
          </w:tcPr>
          <w:p>
            <w:pPr>
              <w:spacing w:after="0"/>
              <w:rPr>
                <w:sz w:val="1"/>
                <w:szCs w:val="1"/>
                <w:color w:val="auto"/>
              </w:rPr>
            </w:pPr>
          </w:p>
        </w:tc>
      </w:tr>
      <w:tr>
        <w:trPr>
          <w:trHeight w:val="176"/>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Employment Hero Holdings Pty Ltd. </w:t>
            </w:r>
            <w:r>
              <w:rPr>
                <w:rFonts w:ascii="Times New Roman" w:cs="Times New Roman" w:eastAsia="Times New Roman" w:hAnsi="Times New Roman"/>
                <w:sz w:val="19"/>
                <w:szCs w:val="19"/>
                <w:color w:val="auto"/>
                <w:vertAlign w:val="superscript"/>
              </w:rPr>
              <w:t>(4)</w:t>
            </w:r>
          </w:p>
        </w:tc>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10/2025)</w:t>
            </w:r>
          </w:p>
        </w:tc>
        <w:tc>
          <w:tcPr>
            <w:tcW w:w="0" w:type="dxa"/>
            <w:vAlign w:val="bottom"/>
          </w:tcPr>
          <w:p>
            <w:pPr>
              <w:spacing w:after="0"/>
              <w:rPr>
                <w:sz w:val="1"/>
                <w:szCs w:val="1"/>
                <w:color w:val="auto"/>
              </w:rPr>
            </w:pPr>
          </w:p>
        </w:tc>
      </w:tr>
      <w:tr>
        <w:trPr>
          <w:trHeight w:val="144"/>
        </w:trPr>
        <w:tc>
          <w:tcPr>
            <w:tcW w:w="2400" w:type="dxa"/>
            <w:vAlign w:val="bottom"/>
            <w:vMerge w:val="continue"/>
          </w:tcPr>
          <w:p>
            <w:pPr>
              <w:spacing w:after="0"/>
              <w:rPr>
                <w:sz w:val="12"/>
                <w:szCs w:val="12"/>
                <w:color w:val="auto"/>
              </w:rPr>
            </w:pPr>
          </w:p>
        </w:tc>
        <w:tc>
          <w:tcPr>
            <w:tcW w:w="2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First-lien loan (AUD 40,000 par, due 12/2026)</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9/29/2015</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L + 9.50%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30,261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8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9/29/2015</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L + 9.50%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12,327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highlight w:val="white"/>
                <w:w w:val="85"/>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40,921</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42,588</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11"/>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5/5/2021</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L + 7.50%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76"/>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12/18/2020</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L + 7.25%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48,262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8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12/18/2020</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L + 7.25%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284"/>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12/6/2021</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B + 6.50%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28,166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(AUD 38,740)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-1405255</wp:posOffset>
            </wp:positionV>
            <wp:extent cx="7132320" cy="1111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-1182370</wp:posOffset>
            </wp:positionV>
            <wp:extent cx="7132320" cy="436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-633730</wp:posOffset>
            </wp:positionV>
            <wp:extent cx="7132320" cy="1111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-410845</wp:posOffset>
            </wp:positionV>
            <wp:extent cx="7132320" cy="2057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300"/>
            <w:col w:w="5720"/>
          </w:cols>
          <w:pgMar w:left="320" w:top="276" w:right="31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240" w:type="dxa"/>
            <w:vAlign w:val="bottom"/>
            <w:shd w:val="clear" w:color="auto" w:fill="CFF0FC"/>
          </w:tcPr>
          <w:p>
            <w:pPr>
              <w:spacing w:after="0"/>
              <w:rPr>
                <w:sz w:val="11"/>
                <w:szCs w:val="11"/>
                <w:color w:val="auto"/>
              </w:rPr>
            </w:pPr>
          </w:p>
        </w:tc>
        <w:tc>
          <w:tcPr>
            <w:tcW w:w="31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4"/>
                <w:szCs w:val="14"/>
                <w:color w:val="auto"/>
              </w:rPr>
              <w:t>Convertible note (AUD 3,000 par, due 6/2027)</w:t>
            </w:r>
          </w:p>
        </w:tc>
        <w:tc>
          <w:tcPr>
            <w:tcW w:w="940" w:type="dxa"/>
            <w:vAlign w:val="bottom"/>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12/13/2021</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0.00 %</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0.00 %</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2,134</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2,134</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40" w:type="dxa"/>
            <w:vAlign w:val="bottom"/>
            <w:shd w:val="clear" w:color="auto" w:fill="CFF0FC"/>
          </w:tcPr>
          <w:p>
            <w:pPr>
              <w:spacing w:after="0"/>
              <w:rPr>
                <w:sz w:val="10"/>
                <w:szCs w:val="10"/>
                <w:color w:val="auto"/>
              </w:rPr>
            </w:pPr>
          </w:p>
        </w:tc>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0"/>
                <w:szCs w:val="10"/>
                <w:color w:val="auto"/>
              </w:rPr>
              <w:t>(13)</w:t>
            </w:r>
          </w:p>
        </w:tc>
        <w:tc>
          <w:tcPr>
            <w:tcW w:w="9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(AUD 2,936)</w:t>
            </w: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240" w:type="dxa"/>
            <w:vAlign w:val="bottom"/>
            <w:shd w:val="clear" w:color="auto" w:fill="CFF0FC"/>
          </w:tcPr>
          <w:p>
            <w:pPr>
              <w:spacing w:after="0"/>
              <w:rPr>
                <w:sz w:val="5"/>
                <w:szCs w:val="5"/>
                <w:color w:val="auto"/>
              </w:rPr>
            </w:pPr>
          </w:p>
        </w:tc>
        <w:tc>
          <w:tcPr>
            <w:tcW w:w="314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98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2"/>
                <w:szCs w:val="12"/>
                <w:color w:val="auto"/>
              </w:rPr>
              <w:t xml:space="preserve">PageUp People, Ltd. </w:t>
            </w:r>
            <w:r>
              <w:rPr>
                <w:rFonts w:ascii="Times New Roman" w:cs="Times New Roman" w:eastAsia="Times New Roman" w:hAnsi="Times New Roman"/>
                <w:sz w:val="16"/>
                <w:szCs w:val="16"/>
                <w:color w:val="auto"/>
                <w:vertAlign w:val="superscript"/>
              </w:rPr>
              <w:t>(3)(4)(5)</w:t>
            </w:r>
          </w:p>
        </w:tc>
        <w:tc>
          <w:tcPr>
            <w:tcW w:w="314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First-lien loan (AUD 17,400 par, due 12/2025)</w:t>
            </w:r>
          </w:p>
        </w:tc>
        <w:tc>
          <w:tcPr>
            <w:tcW w:w="94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1/11/2018</w:t>
            </w:r>
          </w:p>
        </w:tc>
        <w:tc>
          <w:tcPr>
            <w:tcW w:w="92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B + 5.50%</w:t>
            </w: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6.25 %</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12,806</w:t>
            </w:r>
          </w:p>
        </w:tc>
        <w:tc>
          <w:tcPr>
            <w:tcW w:w="11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12,115</w:t>
            </w:r>
          </w:p>
        </w:tc>
        <w:tc>
          <w:tcPr>
            <w:tcW w:w="112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0.9 %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(AUD 16,664)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40" w:type="dxa"/>
            <w:vAlign w:val="bottom"/>
            <w:shd w:val="clear" w:color="auto" w:fill="CFF0FC"/>
          </w:tcPr>
          <w:p>
            <w:pPr>
              <w:spacing w:after="0"/>
              <w:rPr>
                <w:sz w:val="12"/>
                <w:szCs w:val="12"/>
                <w:color w:val="auto"/>
              </w:rPr>
            </w:pPr>
          </w:p>
        </w:tc>
        <w:tc>
          <w:tcPr>
            <w:tcW w:w="314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First-lien loan (GBP 4,723 par, due 12/2025)</w:t>
            </w:r>
          </w:p>
        </w:tc>
        <w:tc>
          <w:tcPr>
            <w:tcW w:w="940" w:type="dxa"/>
            <w:vAlign w:val="bottom"/>
            <w:shd w:val="clear" w:color="auto" w:fill="CFF0FC"/>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10/28/2021</w:t>
            </w:r>
          </w:p>
        </w:tc>
        <w:tc>
          <w:tcPr>
            <w:tcW w:w="920" w:type="dxa"/>
            <w:vAlign w:val="bottom"/>
            <w:shd w:val="clear" w:color="auto" w:fill="CFF0FC"/>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S + 5.50%</w:t>
            </w:r>
          </w:p>
        </w:tc>
        <w:tc>
          <w:tcPr>
            <w:tcW w:w="9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6.37 %</w:t>
            </w:r>
          </w:p>
        </w:tc>
        <w:tc>
          <w:tcPr>
            <w:tcW w:w="8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6,499</w:t>
            </w:r>
          </w:p>
        </w:tc>
        <w:tc>
          <w:tcPr>
            <w:tcW w:w="11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6,317</w:t>
            </w:r>
          </w:p>
        </w:tc>
        <w:tc>
          <w:tcPr>
            <w:tcW w:w="112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0.5 %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shd w:val="clear" w:color="auto" w:fill="CFF0FC"/>
          </w:tcPr>
          <w:p>
            <w:pPr>
              <w:spacing w:after="0"/>
              <w:rPr>
                <w:sz w:val="16"/>
                <w:szCs w:val="16"/>
                <w:color w:val="auto"/>
              </w:rPr>
            </w:pPr>
          </w:p>
        </w:tc>
        <w:tc>
          <w:tcPr>
            <w:tcW w:w="3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(GBP 4,664)</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First-lien loan ($12,989 par, due 12/2025)</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10/28/2021</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+ 5.50%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9"/>
                <w:szCs w:val="19"/>
                <w:color w:val="auto"/>
                <w:vertAlign w:val="superscript"/>
              </w:rPr>
              <w:t>(3)(5)</w:t>
            </w:r>
          </w:p>
        </w:tc>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First-lien loan ($69,475 par, due 5/2024)</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5/3/2019</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+ 6.00%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68,493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69,822</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9"/>
                <w:szCs w:val="19"/>
                <w:color w:val="auto"/>
                <w:vertAlign w:val="superscript"/>
              </w:rPr>
              <w:t>(3)(5)</w:t>
            </w:r>
          </w:p>
        </w:tc>
        <w:tc>
          <w:tcPr>
            <w:tcW w:w="3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First-lien loan ($27,000 par, due 12/2026)</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12/17/2021</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+ 7.00%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25,775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Modern Hire, Inc. </w:t>
            </w:r>
            <w:r>
              <w:rPr>
                <w:rFonts w:ascii="Times New Roman" w:cs="Times New Roman" w:eastAsia="Times New Roman" w:hAnsi="Times New Roman"/>
                <w:sz w:val="19"/>
                <w:szCs w:val="19"/>
                <w:color w:val="auto"/>
                <w:vertAlign w:val="superscript"/>
              </w:rPr>
              <w:t>(3)(5)</w:t>
            </w:r>
          </w:p>
        </w:tc>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First-lien loan ($29,639 par, due 5/2024)</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5/15/2019</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+ 7.00%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29,206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30,232</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Workwell Acquisition Co. </w:t>
            </w:r>
            <w:r>
              <w:rPr>
                <w:rFonts w:ascii="Times New Roman" w:cs="Times New Roman" w:eastAsia="Times New Roman" w:hAnsi="Times New Roman"/>
                <w:sz w:val="19"/>
                <w:szCs w:val="19"/>
                <w:color w:val="auto"/>
                <w:vertAlign w:val="superscript"/>
              </w:rPr>
              <w:t>(3)(5)</w:t>
            </w:r>
          </w:p>
        </w:tc>
        <w:tc>
          <w:tcPr>
            <w:tcW w:w="3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First-lien loan ($19,750 par, due 10/2025)</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10/19/2020</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+ 7.50%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19,899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40" w:type="dxa"/>
            <w:vAlign w:val="bottom"/>
            <w:tcBorders>
              <w:bottom w:val="single" w:sz="8" w:color="CFF0FC"/>
            </w:tcBorders>
            <w:shd w:val="clear" w:color="auto" w:fill="CFF0FC"/>
          </w:tcPr>
          <w:p>
            <w:pPr>
              <w:spacing w:after="0"/>
              <w:rPr>
                <w:sz w:val="14"/>
                <w:szCs w:val="14"/>
                <w:color w:val="auto"/>
              </w:rPr>
            </w:pPr>
          </w:p>
        </w:tc>
        <w:tc>
          <w:tcPr>
            <w:tcW w:w="31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286,152</w:t>
            </w:r>
          </w:p>
        </w:tc>
        <w:tc>
          <w:tcPr>
            <w:tcW w:w="1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289,664</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Internet Services</w:t>
            </w:r>
          </w:p>
        </w:tc>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9"/>
                <w:szCs w:val="19"/>
                <w:color w:val="auto"/>
                <w:vertAlign w:val="superscript"/>
              </w:rPr>
              <w:t>(3)</w:t>
            </w:r>
          </w:p>
        </w:tc>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First-lien loan ($28,772 par, due 10/2028)</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10/1/2021</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+ 7.75%</w:t>
            </w:r>
          </w:p>
        </w:tc>
        <w:tc>
          <w:tcPr>
            <w:tcW w:w="9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8.50% PIK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28,090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28,148</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Higher Logic, LLC </w:t>
            </w:r>
            <w:r>
              <w:rPr>
                <w:rFonts w:ascii="Times New Roman" w:cs="Times New Roman" w:eastAsia="Times New Roman" w:hAnsi="Times New Roman"/>
                <w:sz w:val="19"/>
                <w:szCs w:val="19"/>
                <w:color w:val="auto"/>
                <w:vertAlign w:val="superscript"/>
              </w:rPr>
              <w:t>(3)(5)</w:t>
            </w:r>
          </w:p>
        </w:tc>
        <w:tc>
          <w:tcPr>
            <w:tcW w:w="3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First-lien loan ($57,262 par, due 1/2024)</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6/18/2018</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L + 7.25%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57,835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9"/>
                <w:szCs w:val="19"/>
                <w:color w:val="auto"/>
                <w:vertAlign w:val="superscript"/>
              </w:rPr>
              <w:t>(3)</w:t>
            </w:r>
          </w:p>
        </w:tc>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First-lien loan ($56,020 par, due 10/2022)</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10/3/2017</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+ 8.00%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55,783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55,439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2"/>
                <w:szCs w:val="12"/>
                <w:color w:val="auto"/>
              </w:rPr>
              <w:t xml:space="preserve">Lucidworks, Inc. </w:t>
            </w:r>
            <w:r>
              <w:rPr>
                <w:rFonts w:ascii="Times New Roman" w:cs="Times New Roman" w:eastAsia="Times New Roman" w:hAnsi="Times New Roman"/>
                <w:sz w:val="16"/>
                <w:szCs w:val="16"/>
                <w:color w:val="auto"/>
                <w:vertAlign w:val="superscript"/>
              </w:rPr>
              <w:t>(9)</w:t>
            </w:r>
          </w:p>
        </w:tc>
        <w:tc>
          <w:tcPr>
            <w:tcW w:w="314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First-lien loan ($13,848 par, due 7/2024)</w:t>
            </w:r>
          </w:p>
        </w:tc>
        <w:tc>
          <w:tcPr>
            <w:tcW w:w="94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7/31/2019</w:t>
            </w: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12.00 %</w:t>
            </w:r>
          </w:p>
        </w:tc>
        <w:tc>
          <w:tcPr>
            <w:tcW w:w="94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12.00%</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13,766</w:t>
            </w:r>
          </w:p>
        </w:tc>
        <w:tc>
          <w:tcPr>
            <w:tcW w:w="11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13,917</w:t>
            </w:r>
          </w:p>
        </w:tc>
        <w:tc>
          <w:tcPr>
            <w:tcW w:w="112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1.1 %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(incl. 7.00%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9"/>
                <w:szCs w:val="19"/>
                <w:color w:val="auto"/>
                <w:vertAlign w:val="superscript"/>
              </w:rPr>
              <w:t>(3)(5)</w:t>
            </w:r>
          </w:p>
        </w:tc>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First-lien loan ($49,328 par, due 2/2026)</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2/25/2021</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L + 6.50%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48,292</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48,711</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202,684</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204,050</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16.0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Marketing Services</w:t>
            </w:r>
          </w:p>
        </w:tc>
        <w:tc>
          <w:tcPr>
            <w:tcW w:w="3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-1104900</wp:posOffset>
            </wp:positionV>
            <wp:extent cx="68580" cy="1200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-1104900</wp:posOffset>
            </wp:positionV>
            <wp:extent cx="68580" cy="1200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1200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-239395</wp:posOffset>
            </wp:positionV>
            <wp:extent cx="68580" cy="128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-239395</wp:posOffset>
            </wp:positionV>
            <wp:extent cx="68580" cy="128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6" w:right="319" w:bottom="1440" w:gutter="0" w:footer="0" w:header="0"/>
          <w:type w:val="continuous"/>
        </w:sectPr>
      </w:pPr>
    </w:p>
    <w:bookmarkStart w:id="103" w:name="page104"/>
    <w:bookmarkEnd w:id="103"/>
    <w:tbl>
      <w:tblPr>
        <w:tblLayout w:type="fixed"/>
        <w:tblInd w:w="20" w:type="dxa"/>
        <w:tblCellMar>
          <w:top w:w="0" w:type="dxa"/>
          <w:left w:w="0" w:type="dxa"/>
          <w:bottom w:w="0" w:type="dxa"/>
          <w:right w:w="0" w:type="dxa"/>
        </w:tblCellMar>
      </w:tblP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Acoustic, L.P. </w:t>
            </w:r>
            <w:r>
              <w:rPr>
                <w:rFonts w:ascii="Times New Roman" w:cs="Times New Roman" w:eastAsia="Times New Roman" w:hAnsi="Times New Roman"/>
                <w:sz w:val="19"/>
                <w:szCs w:val="19"/>
                <w:color w:val="auto"/>
                <w:vertAlign w:val="superscript"/>
              </w:rPr>
              <w:t>(3)</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note ($33,330 par, due 6/2024)</w:t>
            </w:r>
          </w:p>
        </w:tc>
        <w:tc>
          <w:tcPr>
            <w:tcW w:w="0" w:type="dxa"/>
            <w:vAlign w:val="bottom"/>
          </w:tcPr>
          <w:p>
            <w:pPr>
              <w:spacing w:after="0"/>
              <w:rPr>
                <w:sz w:val="1"/>
                <w:szCs w:val="1"/>
                <w:color w:val="auto"/>
              </w:rPr>
            </w:pPr>
          </w:p>
        </w:tc>
      </w:tr>
      <w:tr>
        <w:trPr>
          <w:trHeight w:val="158"/>
        </w:trPr>
        <w:tc>
          <w:tcPr>
            <w:tcW w:w="246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9"/>
                <w:szCs w:val="19"/>
                <w:color w:val="auto"/>
                <w:vertAlign w:val="superscript"/>
              </w:rPr>
              <w:t>(3)(5)</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ABL FILO term loan ($5,732 par, due 9/2022)</w:t>
            </w:r>
          </w:p>
        </w:tc>
        <w:tc>
          <w:tcPr>
            <w:tcW w:w="0" w:type="dxa"/>
            <w:vAlign w:val="bottom"/>
          </w:tcPr>
          <w:p>
            <w:pPr>
              <w:spacing w:after="0"/>
              <w:rPr>
                <w:sz w:val="1"/>
                <w:szCs w:val="1"/>
                <w:color w:val="auto"/>
              </w:rPr>
            </w:pPr>
          </w:p>
        </w:tc>
      </w:tr>
      <w:tr>
        <w:trPr>
          <w:trHeight w:val="158"/>
        </w:trPr>
        <w:tc>
          <w:tcPr>
            <w:tcW w:w="246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MD America Energy, LLC </w:t>
            </w:r>
            <w:r>
              <w:rPr>
                <w:rFonts w:ascii="Times New Roman" w:cs="Times New Roman" w:eastAsia="Times New Roman" w:hAnsi="Times New Roman"/>
                <w:sz w:val="19"/>
                <w:szCs w:val="19"/>
                <w:color w:val="auto"/>
                <w:vertAlign w:val="superscript"/>
              </w:rPr>
              <w:t>(3)(6)</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($8,775 par, due 12/2024)</w:t>
            </w:r>
          </w:p>
        </w:tc>
        <w:tc>
          <w:tcPr>
            <w:tcW w:w="0" w:type="dxa"/>
            <w:vAlign w:val="bottom"/>
          </w:tcPr>
          <w:p>
            <w:pPr>
              <w:spacing w:after="0"/>
              <w:rPr>
                <w:sz w:val="1"/>
                <w:szCs w:val="1"/>
                <w:color w:val="auto"/>
              </w:rPr>
            </w:pPr>
          </w:p>
        </w:tc>
      </w:tr>
      <w:tr>
        <w:trPr>
          <w:trHeight w:val="175"/>
        </w:trPr>
        <w:tc>
          <w:tcPr>
            <w:tcW w:w="246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19"/>
                <w:szCs w:val="19"/>
                <w:color w:val="auto"/>
                <w:vertAlign w:val="superscript"/>
              </w:rPr>
              <w:t>(3)(7)(16)</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($1,500 par, due 12/2022)</w:t>
            </w: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9"/>
                <w:szCs w:val="19"/>
                <w:color w:val="auto"/>
                <w:vertAlign w:val="superscript"/>
              </w:rPr>
              <w:t>(3)</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($42,000 par, due 12/2025)</w:t>
            </w:r>
          </w:p>
        </w:tc>
        <w:tc>
          <w:tcPr>
            <w:tcW w:w="0" w:type="dxa"/>
            <w:vAlign w:val="bottom"/>
          </w:tcPr>
          <w:p>
            <w:pPr>
              <w:spacing w:after="0"/>
              <w:rPr>
                <w:sz w:val="1"/>
                <w:szCs w:val="1"/>
                <w:color w:val="auto"/>
              </w:rPr>
            </w:pPr>
          </w:p>
        </w:tc>
      </w:tr>
      <w:tr>
        <w:trPr>
          <w:trHeight w:val="23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Verdad Resources Intermediate Holdings,</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($25,233 par, due 10/2024)</w:t>
            </w: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LLC </w:t>
            </w:r>
            <w:r>
              <w:rPr>
                <w:rFonts w:ascii="Times New Roman" w:cs="Times New Roman" w:eastAsia="Times New Roman" w:hAnsi="Times New Roman"/>
                <w:sz w:val="19"/>
                <w:szCs w:val="19"/>
                <w:color w:val="auto"/>
                <w:vertAlign w:val="superscript"/>
              </w:rPr>
              <w:t>(3)</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9"/>
                <w:szCs w:val="19"/>
                <w:color w:val="auto"/>
                <w:vertAlign w:val="superscript"/>
              </w:rPr>
              <w:t>(3)(5)</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($33,745 par, due 3/2026)</w:t>
            </w:r>
          </w:p>
        </w:tc>
        <w:tc>
          <w:tcPr>
            <w:tcW w:w="0" w:type="dxa"/>
            <w:vAlign w:val="bottom"/>
          </w:tcPr>
          <w:p>
            <w:pPr>
              <w:spacing w:after="0"/>
              <w:rPr>
                <w:sz w:val="1"/>
                <w:szCs w:val="1"/>
                <w:color w:val="auto"/>
              </w:rPr>
            </w:pPr>
          </w:p>
        </w:tc>
      </w:tr>
      <w:tr>
        <w:trPr>
          <w:trHeight w:val="158"/>
        </w:trPr>
        <w:tc>
          <w:tcPr>
            <w:tcW w:w="246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Biohaven Pharmaceuticals, Inc. </w:t>
            </w:r>
            <w:r>
              <w:rPr>
                <w:rFonts w:ascii="Times New Roman" w:cs="Times New Roman" w:eastAsia="Times New Roman" w:hAnsi="Times New Roman"/>
                <w:sz w:val="19"/>
                <w:szCs w:val="19"/>
                <w:color w:val="auto"/>
                <w:vertAlign w:val="superscript"/>
              </w:rPr>
              <w:t>(3)(4)</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($41,768 par, due 8/2025)</w:t>
            </w:r>
          </w:p>
        </w:tc>
        <w:tc>
          <w:tcPr>
            <w:tcW w:w="0" w:type="dxa"/>
            <w:vAlign w:val="bottom"/>
          </w:tcPr>
          <w:p>
            <w:pPr>
              <w:spacing w:after="0"/>
              <w:rPr>
                <w:sz w:val="1"/>
                <w:szCs w:val="1"/>
                <w:color w:val="auto"/>
              </w:rPr>
            </w:pPr>
          </w:p>
        </w:tc>
      </w:tr>
      <w:tr>
        <w:trPr>
          <w:trHeight w:val="427"/>
        </w:trPr>
        <w:tc>
          <w:tcPr>
            <w:tcW w:w="246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($22,730 par, due 9/2026)</w:t>
            </w:r>
          </w:p>
        </w:tc>
        <w:tc>
          <w:tcPr>
            <w:tcW w:w="0" w:type="dxa"/>
            <w:vAlign w:val="bottom"/>
          </w:tcPr>
          <w:p>
            <w:pPr>
              <w:spacing w:after="0"/>
              <w:rPr>
                <w:sz w:val="1"/>
                <w:szCs w:val="1"/>
                <w:color w:val="auto"/>
              </w:rPr>
            </w:pPr>
          </w:p>
        </w:tc>
      </w:tr>
      <w:tr>
        <w:trPr>
          <w:trHeight w:val="369"/>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9"/>
                <w:szCs w:val="19"/>
                <w:color w:val="auto"/>
                <w:vertAlign w:val="superscript"/>
              </w:rPr>
              <w:t>(3)(4)</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($30,000 par, due 3/2024)</w:t>
            </w:r>
          </w:p>
        </w:tc>
        <w:tc>
          <w:tcPr>
            <w:tcW w:w="0" w:type="dxa"/>
            <w:vAlign w:val="bottom"/>
          </w:tcPr>
          <w:p>
            <w:pPr>
              <w:spacing w:after="0"/>
              <w:rPr>
                <w:sz w:val="1"/>
                <w:szCs w:val="1"/>
                <w:color w:val="auto"/>
              </w:rPr>
            </w:pPr>
          </w:p>
        </w:tc>
      </w:tr>
      <w:tr>
        <w:trPr>
          <w:trHeight w:val="476"/>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9"/>
                <w:szCs w:val="19"/>
                <w:color w:val="auto"/>
                <w:vertAlign w:val="superscript"/>
              </w:rPr>
              <w:t>(3)</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ABL FILO term loan ($25,000 par, due</w:t>
            </w:r>
          </w:p>
        </w:tc>
        <w:tc>
          <w:tcPr>
            <w:tcW w:w="0" w:type="dxa"/>
            <w:vAlign w:val="bottom"/>
          </w:tcPr>
          <w:p>
            <w:pPr>
              <w:spacing w:after="0"/>
              <w:rPr>
                <w:sz w:val="1"/>
                <w:szCs w:val="1"/>
                <w:color w:val="auto"/>
              </w:rPr>
            </w:pPr>
          </w:p>
        </w:tc>
      </w:tr>
      <w:tr>
        <w:trPr>
          <w:trHeight w:val="175"/>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9"/>
                <w:szCs w:val="19"/>
                <w:color w:val="auto"/>
                <w:vertAlign w:val="superscript"/>
              </w:rPr>
              <w:t>(3)</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5/2025)</w:t>
            </w:r>
          </w:p>
        </w:tc>
        <w:tc>
          <w:tcPr>
            <w:tcW w:w="0" w:type="dxa"/>
            <w:vAlign w:val="bottom"/>
          </w:tcPr>
          <w:p>
            <w:pPr>
              <w:spacing w:after="0"/>
              <w:rPr>
                <w:sz w:val="1"/>
                <w:szCs w:val="1"/>
                <w:color w:val="auto"/>
              </w:rPr>
            </w:pPr>
          </w:p>
        </w:tc>
      </w:tr>
      <w:tr>
        <w:trPr>
          <w:trHeight w:val="234"/>
        </w:trPr>
        <w:tc>
          <w:tcPr>
            <w:tcW w:w="2460" w:type="dxa"/>
            <w:vAlign w:val="bottom"/>
            <w:vMerge w:val="continue"/>
          </w:tcPr>
          <w:p>
            <w:pPr>
              <w:spacing w:after="0"/>
              <w:rPr>
                <w:sz w:val="20"/>
                <w:szCs w:val="20"/>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($25,185 par, due 9/2026)</w:t>
            </w:r>
          </w:p>
        </w:tc>
        <w:tc>
          <w:tcPr>
            <w:tcW w:w="0" w:type="dxa"/>
            <w:vAlign w:val="bottom"/>
          </w:tcPr>
          <w:p>
            <w:pPr>
              <w:spacing w:after="0"/>
              <w:rPr>
                <w:sz w:val="1"/>
                <w:szCs w:val="1"/>
                <w:color w:val="auto"/>
              </w:rPr>
            </w:pPr>
          </w:p>
        </w:tc>
      </w:tr>
      <w:tr>
        <w:trPr>
          <w:trHeight w:val="324"/>
        </w:trPr>
        <w:tc>
          <w:tcPr>
            <w:tcW w:w="246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First-lien loan ($1,370 par, due 9/2026) </w:t>
            </w:r>
            <w:r>
              <w:rPr>
                <w:rFonts w:ascii="Times New Roman" w:cs="Times New Roman" w:eastAsia="Times New Roman" w:hAnsi="Times New Roman"/>
                <w:sz w:val="19"/>
                <w:szCs w:val="19"/>
                <w:color w:val="auto"/>
                <w:vertAlign w:val="superscript"/>
              </w:rPr>
              <w:t>(16)</w:t>
            </w:r>
          </w:p>
        </w:tc>
        <w:tc>
          <w:tcPr>
            <w:tcW w:w="0" w:type="dxa"/>
            <w:vAlign w:val="bottom"/>
          </w:tcPr>
          <w:p>
            <w:pPr>
              <w:spacing w:after="0"/>
              <w:rPr>
                <w:sz w:val="1"/>
                <w:szCs w:val="1"/>
                <w:color w:val="auto"/>
              </w:rPr>
            </w:pPr>
          </w:p>
        </w:tc>
      </w:tr>
      <w:tr>
        <w:trPr>
          <w:trHeight w:val="414"/>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Designer Brands, Inc. </w:t>
            </w:r>
            <w:r>
              <w:rPr>
                <w:rFonts w:ascii="Times New Roman" w:cs="Times New Roman" w:eastAsia="Times New Roman" w:hAnsi="Times New Roman"/>
                <w:sz w:val="19"/>
                <w:szCs w:val="19"/>
                <w:color w:val="auto"/>
                <w:vertAlign w:val="superscript"/>
              </w:rPr>
              <w:t>(3)(4)</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Subordinated note ($4,740 par, due 9/2026) </w:t>
            </w:r>
            <w:r>
              <w:rPr>
                <w:rFonts w:ascii="Times New Roman" w:cs="Times New Roman" w:eastAsia="Times New Roman" w:hAnsi="Times New Roman"/>
                <w:sz w:val="19"/>
                <w:szCs w:val="19"/>
                <w:color w:val="auto"/>
                <w:vertAlign w:val="superscript"/>
              </w:rPr>
              <w:t>(16)</w:t>
            </w: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ABL First-lien loan ($46,875 par, due 8/2025)</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Moran Foods, LLC </w:t>
            </w:r>
            <w:r>
              <w:rPr>
                <w:rFonts w:ascii="Times New Roman" w:cs="Times New Roman" w:eastAsia="Times New Roman" w:hAnsi="Times New Roman"/>
                <w:sz w:val="19"/>
                <w:szCs w:val="19"/>
                <w:color w:val="auto"/>
                <w:vertAlign w:val="superscript"/>
              </w:rPr>
              <w:t>(3)</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ABL FILO term loan ($33,267 par, due</w:t>
            </w:r>
          </w:p>
        </w:tc>
        <w:tc>
          <w:tcPr>
            <w:tcW w:w="0" w:type="dxa"/>
            <w:vAlign w:val="bottom"/>
          </w:tcPr>
          <w:p>
            <w:pPr>
              <w:spacing w:after="0"/>
              <w:rPr>
                <w:sz w:val="1"/>
                <w:szCs w:val="1"/>
                <w:color w:val="auto"/>
              </w:rPr>
            </w:pPr>
          </w:p>
        </w:tc>
      </w:tr>
      <w:tr>
        <w:trPr>
          <w:trHeight w:val="176"/>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9"/>
                <w:szCs w:val="19"/>
                <w:color w:val="auto"/>
                <w:vertAlign w:val="superscript"/>
              </w:rPr>
              <w:t>(3)(5)</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4/2024)</w:t>
            </w: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First-lien loan ($52,000 par, due 12/2026)</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9"/>
                <w:szCs w:val="19"/>
                <w:color w:val="auto"/>
                <w:vertAlign w:val="superscript"/>
              </w:rPr>
              <w:t>(3)</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ABL FILO term loan ($75,000 par, due</w:t>
            </w:r>
          </w:p>
        </w:tc>
        <w:tc>
          <w:tcPr>
            <w:tcW w:w="0" w:type="dxa"/>
            <w:vAlign w:val="bottom"/>
          </w:tcPr>
          <w:p>
            <w:pPr>
              <w:spacing w:after="0"/>
              <w:rPr>
                <w:sz w:val="1"/>
                <w:szCs w:val="1"/>
                <w:color w:val="auto"/>
              </w:rPr>
            </w:pPr>
          </w:p>
        </w:tc>
      </w:tr>
      <w:tr>
        <w:trPr>
          <w:trHeight w:val="175"/>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Tango Management Consulting, LLC </w:t>
            </w:r>
            <w:r>
              <w:rPr>
                <w:rFonts w:ascii="Times New Roman" w:cs="Times New Roman" w:eastAsia="Times New Roman" w:hAnsi="Times New Roman"/>
                <w:sz w:val="19"/>
                <w:szCs w:val="19"/>
                <w:color w:val="auto"/>
                <w:vertAlign w:val="superscript"/>
              </w:rPr>
              <w:t>(3)(5)</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5/2026)</w:t>
            </w:r>
          </w:p>
        </w:tc>
        <w:tc>
          <w:tcPr>
            <w:tcW w:w="0" w:type="dxa"/>
            <w:vAlign w:val="bottom"/>
          </w:tcPr>
          <w:p>
            <w:pPr>
              <w:spacing w:after="0"/>
              <w:rPr>
                <w:sz w:val="1"/>
                <w:szCs w:val="1"/>
                <w:color w:val="auto"/>
              </w:rPr>
            </w:pPr>
          </w:p>
        </w:tc>
      </w:tr>
      <w:tr>
        <w:trPr>
          <w:trHeight w:val="234"/>
        </w:trPr>
        <w:tc>
          <w:tcPr>
            <w:tcW w:w="2460" w:type="dxa"/>
            <w:vAlign w:val="bottom"/>
            <w:vMerge w:val="continue"/>
          </w:tcPr>
          <w:p>
            <w:pPr>
              <w:spacing w:after="0"/>
              <w:rPr>
                <w:sz w:val="20"/>
                <w:szCs w:val="20"/>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First-lien loan ($32,500 par, due 12/2027)</w:t>
            </w: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12/17/2019</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+ 7.00%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31,747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351"/>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9/12/2017</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+ 7.75%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33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11/14/2018</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+ 7.75%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6"/>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6/29/2018</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P + 8.00%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48"/>
        </w:trPr>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12/3/2021</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SOFR +</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9.76 %</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41,003</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40,950</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4/10/2019</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+ 7.50%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25,485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highlight w:val="white"/>
                <w:w w:val="85"/>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76,201</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75,210</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3/31/2021</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+ 6.50%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33,408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311"/>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8/7/2020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+ 9.00%</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52,782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(incl. 4.00%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9/30/2021</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L + 8.25%</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9.25% (incl.</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11,903</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12,816</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 PIK)</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4/24/2019</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+ 7.75%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91,732</w:t>
            </w:r>
          </w:p>
        </w:tc>
        <w:tc>
          <w:tcPr>
            <w:tcW w:w="1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95,598</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524"/>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9/6/2017</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+ 8.50%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25,625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284"/>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9/30/2015</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+ 6.25%</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7.25% (incl.</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18,952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6.75% PIK)</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6/10/2021</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L +</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14.50% PIK)</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3/16/2021</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+ 1.00%</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2.00% PIK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75"/>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8/7/2020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+ 8.50%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48,398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8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4/1/2020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+ 7.50%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33,683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311"/>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12/20/2021</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+ 6.25%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88"/>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11/8/2021</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+ 8.00%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74,250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320"/>
        </w:trPr>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12/1/2021</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L + 6.75%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31,459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285,555</w:t>
            </w:r>
          </w:p>
        </w:tc>
        <w:tc>
          <w:tcPr>
            <w:tcW w:w="1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283,230</w:t>
            </w:r>
          </w:p>
        </w:tc>
        <w:tc>
          <w:tcPr>
            <w:tcW w:w="16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-4088130</wp:posOffset>
            </wp:positionV>
            <wp:extent cx="7132320" cy="1117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-3865245</wp:posOffset>
            </wp:positionV>
            <wp:extent cx="7132320" cy="1117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-3642360</wp:posOffset>
            </wp:positionV>
            <wp:extent cx="7132320" cy="1117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-3324860</wp:posOffset>
            </wp:positionV>
            <wp:extent cx="7132320" cy="4368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-2776220</wp:posOffset>
            </wp:positionV>
            <wp:extent cx="7132320" cy="1117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-2364740</wp:posOffset>
            </wp:positionV>
            <wp:extent cx="7132320" cy="2057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-2038985</wp:posOffset>
            </wp:positionV>
            <wp:extent cx="7132320" cy="3429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-1490345</wp:posOffset>
            </wp:positionV>
            <wp:extent cx="7132320" cy="2057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-984885</wp:posOffset>
            </wp:positionV>
            <wp:extent cx="7132320" cy="1117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-762000</wp:posOffset>
            </wp:positionV>
            <wp:extent cx="7132320" cy="2057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-444500</wp:posOffset>
            </wp:positionV>
            <wp:extent cx="7132320" cy="2057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-118745</wp:posOffset>
            </wp:positionV>
            <wp:extent cx="7132320" cy="1111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5260" w:space="280"/>
            <w:col w:w="5720"/>
          </w:cols>
          <w:pgMar w:left="320" w:top="301" w:right="319" w:bottom="1440" w:gutter="0" w:footer="0" w:header="0"/>
        </w:sectPr>
      </w:pPr>
    </w:p>
    <w:tbl>
      <w:tblPr>
        <w:tblLayout w:type="fixed"/>
        <w:tblInd w:w="0" w:type="dxa"/>
        <w:tblCellMar>
          <w:top w:w="0" w:type="dxa"/>
          <w:left w:w="0" w:type="dxa"/>
          <w:bottom w:w="0" w:type="dxa"/>
          <w:right w:w="0" w:type="dxa"/>
        </w:tblCellMar>
      </w:tblPr>
      <w:tr>
        <w:trPr>
          <w:trHeight w:val="194"/>
        </w:trPr>
        <w:tc>
          <w:tcPr>
            <w:tcW w:w="2220" w:type="dxa"/>
            <w:vAlign w:val="bottom"/>
            <w:shd w:val="clear" w:color="auto" w:fill="CFF0FC"/>
          </w:tcPr>
          <w:p>
            <w:pPr>
              <w:ind w:left="20"/>
              <w:spacing w:after="0" w:line="193"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9"/>
                <w:szCs w:val="19"/>
                <w:color w:val="auto"/>
                <w:vertAlign w:val="superscript"/>
              </w:rPr>
              <w:t>(3)(5)</w:t>
            </w:r>
          </w:p>
        </w:tc>
        <w:tc>
          <w:tcPr>
            <w:tcW w:w="3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First-lien loan ($35,139 par, due 11/2027)</w:t>
            </w: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11/12/2021</w:t>
            </w:r>
          </w:p>
        </w:tc>
        <w:tc>
          <w:tcPr>
            <w:tcW w:w="1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 + 6.25%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33,821</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33,901</w:t>
            </w: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 Investments</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2,317,552</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2,360,134</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185.0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spacing w:after="0"/>
              <w:rPr>
                <w:sz w:val="14"/>
                <w:szCs w:val="14"/>
                <w:color w:val="auto"/>
              </w:rPr>
            </w:pPr>
          </w:p>
        </w:tc>
        <w:tc>
          <w:tcPr>
            <w:tcW w:w="3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Services</w:t>
            </w:r>
          </w:p>
        </w:tc>
        <w:tc>
          <w:tcPr>
            <w:tcW w:w="30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Times New Roman" w:cs="Times New Roman" w:eastAsia="Times New Roman" w:hAnsi="Times New Roman"/>
                <w:sz w:val="12"/>
                <w:szCs w:val="12"/>
                <w:color w:val="auto"/>
              </w:rPr>
              <w:t xml:space="preserve">Dye &amp; Durham, Ltd. </w:t>
            </w:r>
            <w:r>
              <w:rPr>
                <w:rFonts w:ascii="Times New Roman" w:cs="Times New Roman" w:eastAsia="Times New Roman" w:hAnsi="Times New Roman"/>
                <w:sz w:val="16"/>
                <w:szCs w:val="16"/>
                <w:color w:val="auto"/>
                <w:vertAlign w:val="superscript"/>
              </w:rPr>
              <w:t>(4)(12)(14)</w:t>
            </w:r>
          </w:p>
        </w:tc>
        <w:tc>
          <w:tcPr>
            <w:tcW w:w="3020" w:type="dxa"/>
            <w:vAlign w:val="bottom"/>
          </w:tcPr>
          <w:p>
            <w:pPr>
              <w:ind w:left="320"/>
              <w:spacing w:after="0" w:line="139" w:lineRule="exact"/>
              <w:rPr>
                <w:sz w:val="20"/>
                <w:szCs w:val="20"/>
                <w:color w:val="auto"/>
              </w:rPr>
            </w:pPr>
            <w:r>
              <w:rPr>
                <w:rFonts w:ascii="Times New Roman" w:cs="Times New Roman" w:eastAsia="Times New Roman" w:hAnsi="Times New Roman"/>
                <w:sz w:val="14"/>
                <w:szCs w:val="14"/>
                <w:color w:val="auto"/>
              </w:rPr>
              <w:t>Common Shares (126,968 shares)</w:t>
            </w:r>
          </w:p>
        </w:tc>
        <w:tc>
          <w:tcPr>
            <w:tcW w:w="108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12/3/2021</w:t>
            </w: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3,909</w:t>
            </w:r>
          </w:p>
        </w:tc>
        <w:tc>
          <w:tcPr>
            <w:tcW w:w="11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4,455</w:t>
            </w:r>
          </w:p>
        </w:tc>
        <w:tc>
          <w:tcPr>
            <w:tcW w:w="112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0.4 %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(CAD 5,627)</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9"/>
                <w:szCs w:val="19"/>
                <w:color w:val="auto"/>
                <w:vertAlign w:val="superscript"/>
              </w:rPr>
              <w:t>(13)(14)(15)</w:t>
            </w:r>
          </w:p>
        </w:tc>
        <w:tc>
          <w:tcPr>
            <w:tcW w:w="3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11/23/2021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Sprinklr, Inc.</w:t>
            </w:r>
            <w:r>
              <w:rPr>
                <w:rFonts w:ascii="Times New Roman" w:cs="Times New Roman" w:eastAsia="Times New Roman" w:hAnsi="Times New Roman"/>
                <w:sz w:val="8"/>
                <w:szCs w:val="8"/>
                <w:color w:val="auto"/>
              </w:rPr>
              <w:t xml:space="preserve"> (4)(12)(13)(14)</w:t>
            </w:r>
          </w:p>
        </w:tc>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Common Shares (484,700 shares)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6/24/2021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WideOrbit, Inc. </w:t>
            </w:r>
            <w:r>
              <w:rPr>
                <w:rFonts w:ascii="Times New Roman" w:cs="Times New Roman" w:eastAsia="Times New Roman" w:hAnsi="Times New Roman"/>
                <w:sz w:val="19"/>
                <w:szCs w:val="19"/>
                <w:color w:val="auto"/>
                <w:vertAlign w:val="superscript"/>
              </w:rPr>
              <w:t>(13)</w:t>
            </w:r>
          </w:p>
        </w:tc>
        <w:tc>
          <w:tcPr>
            <w:tcW w:w="3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1,567,807 Warrants</w:t>
            </w: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7/8/2020</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3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9"/>
                <w:szCs w:val="19"/>
                <w:color w:val="auto"/>
                <w:vertAlign w:val="superscript"/>
              </w:rPr>
              <w:t>(13)(14)</w:t>
            </w:r>
          </w:p>
        </w:tc>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IntelePeer Holdings, Inc. </w:t>
            </w:r>
            <w:r>
              <w:rPr>
                <w:rFonts w:ascii="Times New Roman" w:cs="Times New Roman" w:eastAsia="Times New Roman" w:hAnsi="Times New Roman"/>
                <w:sz w:val="15"/>
                <w:szCs w:val="15"/>
                <w:color w:val="auto"/>
                <w:vertAlign w:val="superscript"/>
              </w:rPr>
              <w:t>(13)</w:t>
            </w:r>
          </w:p>
        </w:tc>
        <w:tc>
          <w:tcPr>
            <w:tcW w:w="3020" w:type="dxa"/>
            <w:vAlign w:val="bottom"/>
            <w:shd w:val="clear" w:color="auto" w:fill="CFF0FC"/>
          </w:tcPr>
          <w:p>
            <w:pPr>
              <w:ind w:left="320"/>
              <w:spacing w:after="0" w:line="135" w:lineRule="exact"/>
              <w:rPr>
                <w:sz w:val="20"/>
                <w:szCs w:val="20"/>
                <w:color w:val="auto"/>
              </w:rPr>
            </w:pPr>
            <w:r>
              <w:rPr>
                <w:rFonts w:ascii="Times New Roman" w:cs="Times New Roman" w:eastAsia="Times New Roman" w:hAnsi="Times New Roman"/>
                <w:sz w:val="14"/>
                <w:szCs w:val="14"/>
                <w:color w:val="auto"/>
              </w:rPr>
              <w:t>Series C Preferred Shares</w:t>
            </w:r>
          </w:p>
        </w:tc>
        <w:tc>
          <w:tcPr>
            <w:tcW w:w="1080" w:type="dxa"/>
            <w:vAlign w:val="bottom"/>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4/8/2021</w:t>
            </w:r>
          </w:p>
        </w:tc>
        <w:tc>
          <w:tcPr>
            <w:tcW w:w="1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1,816</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2,829</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spacing w:after="0"/>
              <w:rPr>
                <w:sz w:val="16"/>
                <w:szCs w:val="16"/>
                <w:color w:val="auto"/>
              </w:rPr>
            </w:pPr>
          </w:p>
        </w:tc>
        <w:tc>
          <w:tcPr>
            <w:tcW w:w="3020" w:type="dxa"/>
            <w:vAlign w:val="bottom"/>
            <w:shd w:val="clear" w:color="auto" w:fill="CFF0FC"/>
          </w:tcPr>
          <w:p>
            <w:pPr>
              <w:ind w:left="320"/>
              <w:spacing w:after="0" w:line="189" w:lineRule="exact"/>
              <w:rPr>
                <w:sz w:val="20"/>
                <w:szCs w:val="20"/>
                <w:color w:val="auto"/>
              </w:rPr>
            </w:pPr>
            <w:r>
              <w:rPr>
                <w:rFonts w:ascii="Times New Roman" w:cs="Times New Roman" w:eastAsia="Times New Roman" w:hAnsi="Times New Roman"/>
                <w:sz w:val="14"/>
                <w:szCs w:val="14"/>
                <w:color w:val="auto"/>
              </w:rPr>
              <w:t xml:space="preserve">(1,816,295 shares) </w:t>
            </w:r>
            <w:r>
              <w:rPr>
                <w:rFonts w:ascii="Times New Roman" w:cs="Times New Roman" w:eastAsia="Times New Roman" w:hAnsi="Times New Roman"/>
                <w:sz w:val="19"/>
                <w:szCs w:val="19"/>
                <w:color w:val="auto"/>
                <w:vertAlign w:val="superscript"/>
              </w:rPr>
              <w:t>(14)</w:t>
            </w:r>
          </w:p>
        </w:tc>
        <w:tc>
          <w:tcPr>
            <w:tcW w:w="10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3020" w:type="dxa"/>
            <w:vAlign w:val="bottom"/>
          </w:tcPr>
          <w:p>
            <w:pPr>
              <w:ind w:left="320"/>
              <w:spacing w:after="0" w:line="135" w:lineRule="exact"/>
              <w:rPr>
                <w:sz w:val="20"/>
                <w:szCs w:val="20"/>
                <w:color w:val="auto"/>
              </w:rPr>
            </w:pPr>
            <w:r>
              <w:rPr>
                <w:rFonts w:ascii="Times New Roman" w:cs="Times New Roman" w:eastAsia="Times New Roman" w:hAnsi="Times New Roman"/>
                <w:sz w:val="14"/>
                <w:szCs w:val="14"/>
                <w:color w:val="auto"/>
              </w:rPr>
              <w:t>Series D Preferred Shares</w:t>
            </w:r>
          </w:p>
        </w:tc>
        <w:tc>
          <w:tcPr>
            <w:tcW w:w="1080" w:type="dxa"/>
            <w:vAlign w:val="bottom"/>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4/8/2021</w:t>
            </w: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1,950</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1,950</w:t>
            </w:r>
          </w:p>
        </w:tc>
        <w:tc>
          <w:tcPr>
            <w:tcW w:w="11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3020" w:type="dxa"/>
            <w:vAlign w:val="bottom"/>
          </w:tcPr>
          <w:p>
            <w:pPr>
              <w:ind w:left="320"/>
              <w:spacing w:after="0" w:line="189" w:lineRule="exact"/>
              <w:rPr>
                <w:sz w:val="20"/>
                <w:szCs w:val="20"/>
                <w:color w:val="auto"/>
              </w:rPr>
            </w:pPr>
            <w:r>
              <w:rPr>
                <w:rFonts w:ascii="Times New Roman" w:cs="Times New Roman" w:eastAsia="Times New Roman" w:hAnsi="Times New Roman"/>
                <w:sz w:val="14"/>
                <w:szCs w:val="14"/>
                <w:color w:val="auto"/>
              </w:rPr>
              <w:t xml:space="preserve">(1,065,916 shares) </w:t>
            </w:r>
            <w:r>
              <w:rPr>
                <w:rFonts w:ascii="Times New Roman" w:cs="Times New Roman" w:eastAsia="Times New Roman" w:hAnsi="Times New Roman"/>
                <w:sz w:val="19"/>
                <w:szCs w:val="19"/>
                <w:color w:val="auto"/>
                <w:vertAlign w:val="superscript"/>
              </w:rPr>
              <w:t>(14)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spacing w:after="0"/>
              <w:rPr>
                <w:sz w:val="15"/>
                <w:szCs w:val="15"/>
                <w:color w:val="auto"/>
              </w:rPr>
            </w:pPr>
          </w:p>
        </w:tc>
        <w:tc>
          <w:tcPr>
            <w:tcW w:w="3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280,000 Warrants</w:t>
            </w: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2/28/2020</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3020" w:type="dxa"/>
            <w:vAlign w:val="bottom"/>
          </w:tcPr>
          <w:p>
            <w:pPr>
              <w:ind w:left="320"/>
              <w:spacing w:after="0" w:line="175" w:lineRule="exact"/>
              <w:rPr>
                <w:sz w:val="20"/>
                <w:szCs w:val="20"/>
                <w:color w:val="auto"/>
              </w:rPr>
            </w:pPr>
            <w:r>
              <w:rPr>
                <w:rFonts w:ascii="Times New Roman" w:cs="Times New Roman" w:eastAsia="Times New Roman" w:hAnsi="Times New Roman"/>
                <w:sz w:val="14"/>
                <w:szCs w:val="14"/>
                <w:color w:val="auto"/>
              </w:rPr>
              <w:t xml:space="preserve">106,592 Warrants </w:t>
            </w:r>
            <w:r>
              <w:rPr>
                <w:rFonts w:ascii="Times New Roman" w:cs="Times New Roman" w:eastAsia="Times New Roman" w:hAnsi="Times New Roman"/>
                <w:sz w:val="19"/>
                <w:szCs w:val="19"/>
                <w:color w:val="auto"/>
                <w:vertAlign w:val="superscript"/>
              </w:rPr>
              <w:t>(14)</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FF0FC"/>
            </w:tcBorders>
            <w:shd w:val="clear" w:color="auto" w:fill="CFF0FC"/>
          </w:tcPr>
          <w:p>
            <w:pPr>
              <w:spacing w:after="0"/>
              <w:rPr>
                <w:sz w:val="14"/>
                <w:szCs w:val="14"/>
                <w:color w:val="auto"/>
              </w:rPr>
            </w:pPr>
          </w:p>
        </w:tc>
        <w:tc>
          <w:tcPr>
            <w:tcW w:w="30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EMS Linq, Inc. </w:t>
            </w:r>
            <w:r>
              <w:rPr>
                <w:rFonts w:ascii="Times New Roman" w:cs="Times New Roman" w:eastAsia="Times New Roman" w:hAnsi="Times New Roman"/>
                <w:sz w:val="19"/>
                <w:szCs w:val="19"/>
                <w:color w:val="auto"/>
                <w:vertAlign w:val="superscript"/>
              </w:rPr>
              <w:t>(13)(14)</w:t>
            </w:r>
          </w:p>
        </w:tc>
        <w:tc>
          <w:tcPr>
            <w:tcW w:w="3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12/22/2021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-2339340</wp:posOffset>
            </wp:positionV>
            <wp:extent cx="68580" cy="1289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-2339340</wp:posOffset>
            </wp:positionV>
            <wp:extent cx="68580" cy="1289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-1336675</wp:posOffset>
            </wp:positionV>
            <wp:extent cx="6858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-1336675</wp:posOffset>
            </wp:positionV>
            <wp:extent cx="68580" cy="1289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-230505</wp:posOffset>
            </wp:positionV>
            <wp:extent cx="68580" cy="1200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-230505</wp:posOffset>
            </wp:positionV>
            <wp:extent cx="68580" cy="1200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1200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1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9"/>
                <w:szCs w:val="19"/>
                <w:color w:val="auto"/>
                <w:vertAlign w:val="superscript"/>
              </w:rPr>
              <w:t>(4)(13)(14)</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Partnership Interest (11.94% ownership)</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6/8/2021</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9"/>
        </w:trPr>
        <w:tc>
          <w:tcPr>
            <w:tcW w:w="2440" w:type="dxa"/>
            <w:vAlign w:val="bottom"/>
            <w:tcBorders>
              <w:bottom w:val="single" w:sz="8" w:color="CFF0FC"/>
            </w:tcBorders>
            <w:shd w:val="clear" w:color="auto" w:fill="CFF0FC"/>
          </w:tcPr>
          <w:p>
            <w:pPr>
              <w:spacing w:after="0"/>
              <w:rPr>
                <w:sz w:val="14"/>
                <w:szCs w:val="14"/>
                <w:color w:val="auto"/>
              </w:rPr>
            </w:pPr>
          </w:p>
        </w:tc>
        <w:tc>
          <w:tcPr>
            <w:tcW w:w="29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Services</w:t>
            </w: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9"/>
                <w:szCs w:val="19"/>
                <w:color w:val="auto"/>
                <w:vertAlign w:val="superscript"/>
              </w:rPr>
              <w:t>(4)(11)(13)(14)</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Common Shares (200,721 shares)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10/15/2021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9"/>
                <w:szCs w:val="19"/>
                <w:color w:val="auto"/>
                <w:vertAlign w:val="superscript"/>
              </w:rPr>
              <w:t>(13)</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12/10/2020</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9"/>
                <w:szCs w:val="19"/>
                <w:color w:val="auto"/>
                <w:vertAlign w:val="superscript"/>
              </w:rPr>
              <w:t>(4)(12)</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8/5/2015</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9"/>
                <w:szCs w:val="19"/>
                <w:color w:val="auto"/>
                <w:vertAlign w:val="superscript"/>
              </w:rPr>
              <w:t>(13)(14)</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17,534 Warrants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4/28/2021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9"/>
                <w:szCs w:val="19"/>
                <w:color w:val="auto"/>
                <w:vertAlign w:val="superscript"/>
              </w:rPr>
              <w:t>(13)(14)(15)</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5/14/2021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0.5 </w:t>
            </w:r>
            <w:r>
              <w:rPr>
                <w:rFonts w:ascii="Times New Roman" w:cs="Times New Roman" w:eastAsia="Times New Roman" w:hAnsi="Times New Roman"/>
                <w:sz w:val="14"/>
                <w:szCs w:val="14"/>
                <w:color w:val="auto"/>
                <w:highlight w:val="white"/>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9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9"/>
                <w:szCs w:val="19"/>
                <w:color w:val="auto"/>
                <w:vertAlign w:val="superscript"/>
              </w:rPr>
              <w:t>(13)</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Series C Preferred Shares (362,319 shares)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10/13/2020</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rPr>
                <w:sz w:val="11"/>
                <w:szCs w:val="11"/>
                <w:color w:val="auto"/>
              </w:rPr>
            </w:pPr>
          </w:p>
        </w:tc>
        <w:tc>
          <w:tcPr>
            <w:tcW w:w="2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4"/>
                <w:szCs w:val="14"/>
                <w:color w:val="auto"/>
              </w:rPr>
              <w:t>Series D Preferred Shares</w:t>
            </w:r>
          </w:p>
        </w:tc>
        <w:tc>
          <w:tcPr>
            <w:tcW w:w="980" w:type="dxa"/>
            <w:vAlign w:val="bottom"/>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5/11/2021</w:t>
            </w:r>
          </w:p>
        </w:tc>
        <w:tc>
          <w:tcPr>
            <w:tcW w:w="1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10,050</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10,050</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0.8 %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FF0FC"/>
          </w:tcPr>
          <w:p>
            <w:pPr>
              <w:spacing w:after="0"/>
              <w:rPr>
                <w:sz w:val="16"/>
                <w:szCs w:val="16"/>
                <w:color w:val="auto"/>
              </w:rPr>
            </w:pPr>
          </w:p>
        </w:tc>
        <w:tc>
          <w:tcPr>
            <w:tcW w:w="29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4"/>
                <w:szCs w:val="14"/>
                <w:color w:val="auto"/>
              </w:rPr>
              <w:t xml:space="preserve">(1,240,740 shares) </w:t>
            </w:r>
            <w:r>
              <w:rPr>
                <w:rFonts w:ascii="Times New Roman" w:cs="Times New Roman" w:eastAsia="Times New Roman" w:hAnsi="Times New Roman"/>
                <w:sz w:val="19"/>
                <w:szCs w:val="19"/>
                <w:color w:val="auto"/>
                <w:vertAlign w:val="superscript"/>
              </w:rPr>
              <w:t>(14)</w:t>
            </w:r>
          </w:p>
        </w:tc>
        <w:tc>
          <w:tcPr>
            <w:tcW w:w="9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633,376 Warrants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9/21/2018</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spacing w:after="0"/>
              <w:rPr>
                <w:sz w:val="15"/>
                <w:szCs w:val="15"/>
                <w:color w:val="auto"/>
              </w:rPr>
            </w:pP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569,991 Warrants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4/2/2020</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Valant Medical Solutions, Inc. </w:t>
            </w:r>
            <w:r>
              <w:rPr>
                <w:rFonts w:ascii="Times New Roman" w:cs="Times New Roman" w:eastAsia="Times New Roman" w:hAnsi="Times New Roman"/>
                <w:sz w:val="19"/>
                <w:szCs w:val="19"/>
                <w:color w:val="auto"/>
                <w:vertAlign w:val="superscript"/>
              </w:rPr>
              <w:t>(13)(15)</w:t>
            </w:r>
          </w:p>
        </w:tc>
        <w:tc>
          <w:tcPr>
            <w:tcW w:w="290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Class A Units (77,144 units) </w:t>
            </w:r>
            <w:r>
              <w:rPr>
                <w:rFonts w:ascii="Times New Roman" w:cs="Times New Roman" w:eastAsia="Times New Roman" w:hAnsi="Times New Roman"/>
                <w:sz w:val="19"/>
                <w:szCs w:val="19"/>
                <w:color w:val="auto"/>
                <w:vertAlign w:val="superscript"/>
              </w:rPr>
              <w:t>(14)</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spacing w:after="0"/>
              <w:rPr>
                <w:sz w:val="15"/>
                <w:szCs w:val="15"/>
                <w:color w:val="auto"/>
              </w:rPr>
            </w:pP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954,478 Warrants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4/8/2019</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color w:val="auto"/>
                <w:highlight w:val="white"/>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9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9"/>
                <w:szCs w:val="19"/>
                <w:color w:val="auto"/>
                <w:vertAlign w:val="superscript"/>
              </w:rPr>
              <w:t>(7)(13)</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12/21/2018</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spacing w:after="0"/>
              <w:rPr>
                <w:sz w:val="15"/>
                <w:szCs w:val="15"/>
                <w:color w:val="auto"/>
              </w:rPr>
            </w:pP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Class C-1 Units (8,800,000 units)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12/21/2018</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17,191</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color w:val="auto"/>
                <w:highlight w:val="white"/>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9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Axonify, Inc.</w:t>
            </w:r>
            <w:r>
              <w:rPr>
                <w:rFonts w:ascii="Times New Roman" w:cs="Times New Roman" w:eastAsia="Times New Roman" w:hAnsi="Times New Roman"/>
                <w:sz w:val="8"/>
                <w:szCs w:val="8"/>
                <w:color w:val="auto"/>
              </w:rPr>
              <w:t xml:space="preserve"> (4)(13)(14)(15)</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19"/>
                <w:szCs w:val="19"/>
                <w:color w:val="auto"/>
                <w:vertAlign w:val="superscript"/>
              </w:rPr>
              <w:t>(13)(15)</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Series A Preferred Units (1,429,228 units)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8/24/2018</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9"/>
                <w:szCs w:val="19"/>
                <w:color w:val="auto"/>
                <w:vertAlign w:val="superscript"/>
              </w:rPr>
              <w:t>(13)(14)(15)</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10/1/2019</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FF0FC"/>
            </w:tcBorders>
            <w:shd w:val="clear" w:color="auto" w:fill="CFF0FC"/>
          </w:tcPr>
          <w:p>
            <w:pPr>
              <w:spacing w:after="0"/>
              <w:rPr>
                <w:sz w:val="14"/>
                <w:szCs w:val="14"/>
                <w:color w:val="auto"/>
              </w:rPr>
            </w:pPr>
          </w:p>
        </w:tc>
        <w:tc>
          <w:tcPr>
            <w:tcW w:w="29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10,862</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Internet Services</w:t>
            </w: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w w:val="99"/>
              </w:rPr>
              <w:t xml:space="preserve">Bayshore Intermediate #2, L.P. </w:t>
            </w:r>
            <w:r>
              <w:rPr>
                <w:rFonts w:ascii="Times New Roman" w:cs="Times New Roman" w:eastAsia="Times New Roman" w:hAnsi="Times New Roman"/>
                <w:sz w:val="19"/>
                <w:szCs w:val="19"/>
                <w:color w:val="auto"/>
                <w:w w:val="99"/>
                <w:vertAlign w:val="superscript"/>
              </w:rPr>
              <w:t>(13)(14)(15)</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Common Units (12,330,709 units)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9"/>
                <w:szCs w:val="19"/>
                <w:color w:val="auto"/>
                <w:vertAlign w:val="superscript"/>
              </w:rPr>
              <w:t>(13)</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Series F Preferred Shares (199,054 shares)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8/2/2019</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9"/>
                <w:szCs w:val="19"/>
                <w:color w:val="auto"/>
                <w:vertAlign w:val="superscript"/>
              </w:rPr>
              <w:t>(13)(14)</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Series C-1 Preferred Shares (418,527 shares)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12/22/2021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color w:val="auto"/>
                <w:highlight w:val="white"/>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Marketing Services</w:t>
            </w:r>
          </w:p>
        </w:tc>
        <w:tc>
          <w:tcPr>
            <w:tcW w:w="29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9"/>
                <w:szCs w:val="19"/>
                <w:color w:val="auto"/>
                <w:vertAlign w:val="superscript"/>
              </w:rPr>
              <w:t>(13)</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Series A Preferred Shares (3,840,000 shares)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5/31/2018</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9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SMPA Holdings, LLC </w:t>
            </w:r>
            <w:r>
              <w:rPr>
                <w:rFonts w:ascii="Times New Roman" w:cs="Times New Roman" w:eastAsia="Times New Roman" w:hAnsi="Times New Roman"/>
                <w:sz w:val="19"/>
                <w:szCs w:val="19"/>
                <w:color w:val="auto"/>
                <w:vertAlign w:val="superscript"/>
              </w:rPr>
              <w:t>(6)</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Units (15,000 units)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12/24/2020</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29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9"/>
                <w:szCs w:val="19"/>
                <w:color w:val="auto"/>
                <w:vertAlign w:val="superscript"/>
              </w:rPr>
              <w:t>(13)</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712,817 Warrants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8/5/2020</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9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9"/>
                <w:szCs w:val="19"/>
                <w:color w:val="auto"/>
                <w:vertAlign w:val="superscript"/>
              </w:rPr>
              <w:t>(13)(14)</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 Units (687 units)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Copper Bidco, LLC </w:t>
            </w:r>
            <w:r>
              <w:rPr>
                <w:rFonts w:ascii="Times New Roman" w:cs="Times New Roman" w:eastAsia="Times New Roman" w:hAnsi="Times New Roman"/>
                <w:sz w:val="19"/>
                <w:szCs w:val="19"/>
                <w:color w:val="auto"/>
                <w:vertAlign w:val="superscript"/>
              </w:rPr>
              <w:t>(11)</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Trust Certificates (132,928 Certificates)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12/7/2020</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290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Trust Certificates (996,958 Certificates)</w:t>
            </w:r>
            <w:r>
              <w:rPr>
                <w:rFonts w:ascii="Times New Roman" w:cs="Times New Roman" w:eastAsia="Times New Roman" w:hAnsi="Times New Roman"/>
                <w:sz w:val="19"/>
                <w:szCs w:val="19"/>
                <w:color w:val="auto"/>
                <w:vertAlign w:val="superscript"/>
              </w:rPr>
              <w:t>(14)</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1/30/2021</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9"/>
                <w:szCs w:val="19"/>
                <w:color w:val="auto"/>
                <w:vertAlign w:val="superscript"/>
              </w:rPr>
              <w:t>(13)(14)(15)</w:t>
            </w:r>
          </w:p>
        </w:tc>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12/21/2021</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26,545</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2.0 </w:t>
            </w:r>
            <w:r>
              <w:rPr>
                <w:rFonts w:ascii="Times New Roman" w:cs="Times New Roman" w:eastAsia="Times New Roman" w:hAnsi="Times New Roman"/>
                <w:sz w:val="14"/>
                <w:szCs w:val="14"/>
                <w:color w:val="auto"/>
                <w:highlight w:val="white"/>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spacing w:after="0"/>
              <w:rPr>
                <w:sz w:val="14"/>
                <w:szCs w:val="14"/>
                <w:color w:val="auto"/>
              </w:rPr>
            </w:pPr>
          </w:p>
        </w:tc>
        <w:tc>
          <w:tcPr>
            <w:tcW w:w="29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Structured Credit</w:t>
            </w:r>
          </w:p>
        </w:tc>
        <w:tc>
          <w:tcPr>
            <w:tcW w:w="2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4"/>
                <w:szCs w:val="14"/>
                <w:color w:val="auto"/>
              </w:rPr>
              <w:t>Structured Product ($500 par, due 4/2031)</w:t>
            </w:r>
          </w:p>
        </w:tc>
        <w:tc>
          <w:tcPr>
            <w:tcW w:w="980" w:type="dxa"/>
            <w:vAlign w:val="bottom"/>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10/15/2020</w:t>
            </w:r>
          </w:p>
        </w:tc>
        <w:tc>
          <w:tcPr>
            <w:tcW w:w="11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4"/>
                <w:szCs w:val="14"/>
                <w:color w:val="auto"/>
              </w:rPr>
              <w:t>L + 5.35%</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5.47 %</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417</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463</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bscript"/>
              </w:rPr>
              <w:t>2018-1A</w:t>
            </w:r>
            <w:r>
              <w:rPr>
                <w:rFonts w:ascii="Times New Roman" w:cs="Times New Roman" w:eastAsia="Times New Roman" w:hAnsi="Times New Roman"/>
                <w:sz w:val="8"/>
                <w:szCs w:val="8"/>
                <w:color w:val="auto"/>
              </w:rPr>
              <w:t xml:space="preserve"> (3)(4)(11)</w:t>
            </w:r>
          </w:p>
        </w:tc>
        <w:tc>
          <w:tcPr>
            <w:tcW w:w="29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Carlyle Global Market Strategies CLO</w:t>
            </w:r>
          </w:p>
        </w:tc>
        <w:tc>
          <w:tcPr>
            <w:tcW w:w="290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Structured Product ($1,550 par, due 4/2031)</w:t>
            </w:r>
          </w:p>
        </w:tc>
        <w:tc>
          <w:tcPr>
            <w:tcW w:w="980" w:type="dxa"/>
            <w:vAlign w:val="bottom"/>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8/11/2020</w:t>
            </w:r>
          </w:p>
        </w:tc>
        <w:tc>
          <w:tcPr>
            <w:tcW w:w="11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L + 5.75%</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5.88 %</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1,223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1,464</w:t>
            </w:r>
          </w:p>
        </w:tc>
        <w:tc>
          <w:tcPr>
            <w:tcW w:w="11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0.1 %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Ltd, Series 2018-1A </w:t>
            </w:r>
            <w:r>
              <w:rPr>
                <w:rFonts w:ascii="Times New Roman" w:cs="Times New Roman" w:eastAsia="Times New Roman" w:hAnsi="Times New Roman"/>
                <w:sz w:val="19"/>
                <w:szCs w:val="19"/>
                <w:color w:val="auto"/>
                <w:vertAlign w:val="superscript"/>
              </w:rPr>
              <w:t>(3)(4)(11)</w:t>
            </w:r>
          </w:p>
        </w:tc>
        <w:tc>
          <w:tcPr>
            <w:tcW w:w="2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Carlyle Global Market Strategies CLO</w:t>
            </w:r>
          </w:p>
        </w:tc>
        <w:tc>
          <w:tcPr>
            <w:tcW w:w="2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4"/>
                <w:szCs w:val="14"/>
                <w:color w:val="auto"/>
              </w:rPr>
              <w:t>Structured Product ($4,150 par, due 1/2030)</w:t>
            </w:r>
          </w:p>
        </w:tc>
        <w:tc>
          <w:tcPr>
            <w:tcW w:w="980" w:type="dxa"/>
            <w:vAlign w:val="bottom"/>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9/3/2020</w:t>
            </w:r>
          </w:p>
        </w:tc>
        <w:tc>
          <w:tcPr>
            <w:tcW w:w="11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4"/>
                <w:szCs w:val="14"/>
                <w:color w:val="auto"/>
              </w:rPr>
              <w:t>L + 6.15%</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6.27 %</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3,455</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3,865</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0.3 %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CFF0FC"/>
            </w:tcBorders>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Ltd, Series 2017-4A </w:t>
            </w:r>
            <w:r>
              <w:rPr>
                <w:rFonts w:ascii="Times New Roman" w:cs="Times New Roman" w:eastAsia="Times New Roman" w:hAnsi="Times New Roman"/>
                <w:sz w:val="19"/>
                <w:szCs w:val="19"/>
                <w:color w:val="auto"/>
                <w:vertAlign w:val="superscript"/>
              </w:rPr>
              <w:t>(3)(4)(11)</w:t>
            </w:r>
          </w:p>
        </w:tc>
        <w:tc>
          <w:tcPr>
            <w:tcW w:w="29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0.4 </w:t>
            </w:r>
            <w:r>
              <w:rPr>
                <w:rFonts w:ascii="Times New Roman" w:cs="Times New Roman" w:eastAsia="Times New Roman" w:hAnsi="Times New Roman"/>
                <w:sz w:val="14"/>
                <w:szCs w:val="14"/>
                <w:color w:val="auto"/>
                <w:highlight w:val="white"/>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and Other Investments</w:t>
            </w:r>
          </w:p>
        </w:tc>
        <w:tc>
          <w:tcPr>
            <w:tcW w:w="29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114,460</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161,459</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2,432,012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2,521,593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197.6 </w:t>
            </w:r>
            <w:r>
              <w:rPr>
                <w:rFonts w:ascii="Times New Roman" w:cs="Times New Roman" w:eastAsia="Times New Roman" w:hAnsi="Times New Roman"/>
                <w:sz w:val="14"/>
                <w:szCs w:val="14"/>
                <w:b w:val="1"/>
                <w:bCs w:val="1"/>
                <w:color w:val="auto"/>
                <w:highlight w:val="white"/>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-5991225</wp:posOffset>
            </wp:positionV>
            <wp:extent cx="68580" cy="1200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-5991225</wp:posOffset>
            </wp:positionV>
            <wp:extent cx="68580" cy="1200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-5991225</wp:posOffset>
            </wp:positionV>
            <wp:extent cx="68580" cy="1200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-5314315</wp:posOffset>
            </wp:positionV>
            <wp:extent cx="68580" cy="1289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-5314315</wp:posOffset>
            </wp:positionV>
            <wp:extent cx="68580" cy="1289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-4311015</wp:posOffset>
            </wp:positionV>
            <wp:extent cx="68580" cy="1289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-4311015</wp:posOffset>
            </wp:positionV>
            <wp:extent cx="68580" cy="1289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-3848100</wp:posOffset>
            </wp:positionV>
            <wp:extent cx="68580" cy="1289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-3848100</wp:posOffset>
            </wp:positionV>
            <wp:extent cx="68580" cy="1289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-3154045</wp:posOffset>
            </wp:positionV>
            <wp:extent cx="68580" cy="1200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-3154045</wp:posOffset>
            </wp:positionV>
            <wp:extent cx="68580" cy="1200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1200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-2700020</wp:posOffset>
            </wp:positionV>
            <wp:extent cx="68580" cy="1289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-2700020</wp:posOffset>
            </wp:positionV>
            <wp:extent cx="68580" cy="1289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-1345565</wp:posOffset>
            </wp:positionV>
            <wp:extent cx="68580" cy="1289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-1345565</wp:posOffset>
            </wp:positionV>
            <wp:extent cx="68580" cy="1289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-385445</wp:posOffset>
            </wp:positionV>
            <wp:extent cx="68580" cy="1289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-385445</wp:posOffset>
            </wp:positionV>
            <wp:extent cx="68580" cy="1289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-145415</wp:posOffset>
            </wp:positionV>
            <wp:extent cx="68580" cy="1460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-145415</wp:posOffset>
            </wp:positionV>
            <wp:extent cx="68580" cy="146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7"/>
        </w:trPr>
        <w:tc>
          <w:tcPr>
            <w:tcW w:w="2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1"/>
                <w:szCs w:val="11"/>
                <w:color w:val="auto"/>
              </w:rPr>
            </w:pPr>
          </w:p>
        </w:tc>
        <w:tc>
          <w:tcPr>
            <w:tcW w:w="720" w:type="dxa"/>
            <w:vAlign w:val="bottom"/>
          </w:tcPr>
          <w:p>
            <w:pPr>
              <w:jc w:val="center"/>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Upfront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Pays</w:t>
            </w: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20" w:type="dxa"/>
            <w:vAlign w:val="bottom"/>
          </w:tcPr>
          <w:p>
            <w:pPr>
              <w:spacing w:after="0"/>
              <w:rPr>
                <w:sz w:val="12"/>
                <w:szCs w:val="12"/>
                <w:color w:val="auto"/>
              </w:rPr>
            </w:pPr>
          </w:p>
        </w:tc>
        <w:tc>
          <w:tcPr>
            <w:tcW w:w="136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7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 (Losses)</w:t>
            </w:r>
          </w:p>
        </w:tc>
        <w:tc>
          <w:tcPr>
            <w:tcW w:w="0" w:type="dxa"/>
            <w:vAlign w:val="bottom"/>
          </w:tcPr>
          <w:p>
            <w:pPr>
              <w:spacing w:after="0"/>
              <w:rPr>
                <w:sz w:val="1"/>
                <w:szCs w:val="1"/>
                <w:color w:val="auto"/>
              </w:rPr>
            </w:pPr>
          </w:p>
        </w:tc>
      </w:tr>
      <w:tr>
        <w:trPr>
          <w:trHeight w:val="237"/>
        </w:trPr>
        <w:tc>
          <w:tcPr>
            <w:tcW w:w="23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10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1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7/30/2022</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(2,287 )</w:t>
            </w:r>
          </w:p>
        </w:tc>
        <w:tc>
          <w:tcPr>
            <w:tcW w:w="0" w:type="dxa"/>
            <w:vAlign w:val="bottom"/>
          </w:tcPr>
          <w:p>
            <w:pPr>
              <w:spacing w:after="0"/>
              <w:rPr>
                <w:sz w:val="1"/>
                <w:szCs w:val="1"/>
                <w:color w:val="auto"/>
              </w:rPr>
            </w:pPr>
          </w:p>
        </w:tc>
      </w:tr>
      <w:tr>
        <w:trPr>
          <w:trHeight w:val="243"/>
        </w:trPr>
        <w:tc>
          <w:tcPr>
            <w:tcW w:w="2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+ 1.59%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43"/>
        </w:trPr>
        <w:tc>
          <w:tcPr>
            <w:tcW w:w="2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4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4.50%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(328 )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4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4.50%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(510 )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0" w:type="dxa"/>
            <w:vAlign w:val="bottom"/>
          </w:tcPr>
          <w:p>
            <w:pPr>
              <w:spacing w:after="0"/>
              <w:rPr>
                <w:sz w:val="1"/>
                <w:szCs w:val="1"/>
                <w:color w:val="auto"/>
              </w:rPr>
            </w:pPr>
          </w:p>
        </w:tc>
      </w:tr>
      <w:tr>
        <w:trPr>
          <w:trHeight w:val="243"/>
        </w:trPr>
        <w:tc>
          <w:tcPr>
            <w:tcW w:w="2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 + 2.28%</w:t>
            </w:r>
          </w:p>
        </w:tc>
        <w:tc>
          <w:tcPr>
            <w:tcW w:w="14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3.875%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1.47%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14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0.326%</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6/9/2023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(6,699 )</w:t>
            </w:r>
          </w:p>
        </w:tc>
        <w:tc>
          <w:tcPr>
            <w:tcW w:w="0" w:type="dxa"/>
            <w:vAlign w:val="bottom"/>
          </w:tcPr>
          <w:p>
            <w:pPr>
              <w:spacing w:after="0"/>
              <w:rPr>
                <w:sz w:val="1"/>
                <w:szCs w:val="1"/>
                <w:color w:val="auto"/>
              </w:rPr>
            </w:pPr>
          </w:p>
        </w:tc>
      </w:tr>
      <w:tr>
        <w:trPr>
          <w:trHeight w:val="247"/>
        </w:trPr>
        <w:tc>
          <w:tcPr>
            <w:tcW w:w="2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(10,720 )</w:t>
            </w:r>
          </w:p>
        </w:tc>
        <w:tc>
          <w:tcPr>
            <w:tcW w:w="0" w:type="dxa"/>
            <w:vAlign w:val="bottom"/>
          </w:tcPr>
          <w:p>
            <w:pPr>
              <w:spacing w:after="0"/>
              <w:rPr>
                <w:sz w:val="1"/>
                <w:szCs w:val="1"/>
                <w:color w:val="auto"/>
              </w:rPr>
            </w:pPr>
          </w:p>
        </w:tc>
      </w:tr>
      <w:tr>
        <w:trPr>
          <w:trHeight w:val="243"/>
        </w:trPr>
        <w:tc>
          <w:tcPr>
            <w:tcW w:w="2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+ 2.46%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(1,676 )</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+ 1.91%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(10,239 )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(10,239 )</w:t>
            </w:r>
          </w:p>
        </w:tc>
        <w:tc>
          <w:tcPr>
            <w:tcW w:w="0" w:type="dxa"/>
            <w:vAlign w:val="bottom"/>
          </w:tcPr>
          <w:p>
            <w:pPr>
              <w:spacing w:after="0"/>
              <w:rPr>
                <w:sz w:val="1"/>
                <w:szCs w:val="1"/>
                <w:color w:val="auto"/>
              </w:rPr>
            </w:pPr>
          </w:p>
        </w:tc>
      </w:tr>
      <w:tr>
        <w:trPr>
          <w:trHeight w:val="237"/>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collateral</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2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gridSpan w:val="3"/>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1,060,950</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-1285240</wp:posOffset>
            </wp:positionV>
            <wp:extent cx="76835" cy="163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-1285240</wp:posOffset>
            </wp:positionV>
            <wp:extent cx="68580" cy="1631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-1285240</wp:posOffset>
            </wp:positionV>
            <wp:extent cx="68580" cy="1631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631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was terminated or matured during the period.</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ind w:left="1020" w:right="160" w:hanging="503"/>
        <w:spacing w:after="0" w:line="25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20" w:hanging="503"/>
        <w:spacing w:after="0" w:line="26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this instrument is presented net with the $2.5 million in aggregate notional value of instruments no longer designated as instruments in a hedge accounting relationship.</w:t>
      </w:r>
    </w:p>
    <w:p>
      <w:pPr>
        <w:spacing w:after="0" w:line="87"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1020" w:hanging="503"/>
        <w:spacing w:after="0" w:line="250"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2021.</w:t>
      </w:r>
    </w:p>
    <w:p>
      <w:pPr>
        <w:spacing w:after="0" w:line="2"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14.8% of total assets as of December 31, 2021.</w:t>
      </w:r>
    </w:p>
    <w:p>
      <w:pPr>
        <w:spacing w:after="0" w:line="1" w:lineRule="exact"/>
        <w:rPr>
          <w:rFonts w:ascii="Times New Roman" w:cs="Times New Roman" w:eastAsia="Times New Roman" w:hAnsi="Times New Roman"/>
          <w:sz w:val="18"/>
          <w:szCs w:val="18"/>
          <w:color w:val="auto"/>
        </w:rPr>
      </w:pPr>
    </w:p>
    <w:p>
      <w:pPr>
        <w:ind w:left="1020" w:right="340" w:hanging="503"/>
        <w:spacing w:after="0" w:line="253"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0" w:lineRule="exact"/>
        <w:rPr>
          <w:rFonts w:ascii="Times New Roman" w:cs="Times New Roman" w:eastAsia="Times New Roman" w:hAnsi="Times New Roman"/>
          <w:sz w:val="18"/>
          <w:szCs w:val="18"/>
          <w:color w:val="auto"/>
        </w:rPr>
      </w:pPr>
    </w:p>
    <w:p>
      <w:pPr>
        <w:ind w:left="1020" w:right="300" w:hanging="503"/>
        <w:spacing w:after="0" w:line="276" w:lineRule="auto"/>
        <w:tabs>
          <w:tab w:leader="none" w:pos="10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1940 Act, the Company is deemed to be an “Affiliated Person” of, as defined in the 1940 Act, this portfolio company, as the Company owns more than 5% of the portfolio company’s outstanding voting securities. Transactions during the year ended December 31,</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2021 in which the Company was an Affiliated Person of the portfolio company are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year ended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4"/>
                <w:szCs w:val="14"/>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7"/>
              </w:rPr>
              <w:t>Net 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Value at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Unrealized</w:t>
            </w:r>
          </w:p>
        </w:tc>
        <w:tc>
          <w:tcPr>
            <w:tcW w:w="1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Gain/(Loss)</w:t>
            </w:r>
          </w:p>
        </w:tc>
        <w:tc>
          <w:tcPr>
            <w:tcW w:w="18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3"/>
                <w:szCs w:val="13"/>
                <w:b w:val="1"/>
                <w:bCs w:val="1"/>
                <w:color w:val="auto"/>
                <w:w w:val="90"/>
              </w:rPr>
              <w:t>Dividend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Additions (a)</w:t>
            </w:r>
          </w:p>
        </w:tc>
        <w:tc>
          <w:tcPr>
            <w:tcW w:w="200" w:type="dxa"/>
            <w:vAlign w:val="bottom"/>
          </w:tcPr>
          <w:p>
            <w:pPr>
              <w:spacing w:after="0"/>
              <w:rPr>
                <w:sz w:val="11"/>
                <w:szCs w:val="11"/>
                <w:color w:val="auto"/>
              </w:rPr>
            </w:pPr>
          </w:p>
        </w:tc>
        <w:tc>
          <w:tcPr>
            <w:tcW w:w="104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Reductions (b)</w:t>
            </w:r>
          </w:p>
        </w:tc>
        <w:tc>
          <w:tcPr>
            <w:tcW w:w="140" w:type="dxa"/>
            <w:vAlign w:val="bottom"/>
          </w:tcPr>
          <w:p>
            <w:pPr>
              <w:spacing w:after="0"/>
              <w:rPr>
                <w:sz w:val="11"/>
                <w:szCs w:val="11"/>
                <w:color w:val="auto"/>
              </w:rPr>
            </w:pPr>
          </w:p>
        </w:tc>
        <w:tc>
          <w:tcPr>
            <w:tcW w:w="9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Gain/(Loss)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00" w:type="dxa"/>
            <w:vAlign w:val="bottom"/>
            <w:tcBorders>
              <w:top w:val="single" w:sz="8" w:color="auto"/>
            </w:tcBorders>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MD America Energy,</w:t>
            </w:r>
          </w:p>
        </w:tc>
        <w:tc>
          <w:tcPr>
            <w:tcW w:w="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21"/>
                <w:szCs w:val="21"/>
                <w:color w:val="auto"/>
                <w:vertAlign w:val="superscript"/>
              </w:rPr>
              <w:t>(c)</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12,892</w:t>
            </w:r>
          </w:p>
        </w:tc>
        <w:tc>
          <w:tcPr>
            <w:tcW w:w="200" w:type="dxa"/>
            <w:vAlign w:val="bottom"/>
          </w:tcPr>
          <w:p>
            <w:pPr>
              <w:spacing w:after="0"/>
              <w:rPr>
                <w:sz w:val="19"/>
                <w:szCs w:val="19"/>
                <w:color w:val="auto"/>
              </w:rPr>
            </w:pP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9"/>
                <w:szCs w:val="19"/>
                <w:color w:val="auto"/>
              </w:rPr>
            </w:pP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(225 )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gridSpan w:val="2"/>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-179070</wp:posOffset>
            </wp:positionV>
            <wp:extent cx="76835" cy="3511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3511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-179070</wp:posOffset>
            </wp:positionV>
            <wp:extent cx="76835" cy="3511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3511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-179070</wp:posOffset>
            </wp:positionV>
            <wp:extent cx="77470" cy="3511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3511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-179070</wp:posOffset>
            </wp:positionV>
            <wp:extent cx="68580" cy="3511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-179070</wp:posOffset>
            </wp:positionV>
            <wp:extent cx="68580" cy="3511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68580" cy="3511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68580" cy="3511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-179070</wp:posOffset>
            </wp:positionV>
            <wp:extent cx="68580" cy="3511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3511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351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right="80" w:hanging="503"/>
        <w:spacing w:after="0" w:line="261"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50"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SMPA Holdings, LLC of 15,000 common equity units.</w:t>
      </w:r>
    </w:p>
    <w:p>
      <w:pPr>
        <w:spacing w:after="0" w:line="9" w:lineRule="exact"/>
        <w:rPr>
          <w:rFonts w:ascii="Times New Roman" w:cs="Times New Roman" w:eastAsia="Times New Roman" w:hAnsi="Times New Roman"/>
          <w:sz w:val="18"/>
          <w:szCs w:val="18"/>
          <w:color w:val="auto"/>
        </w:rPr>
      </w:pPr>
    </w:p>
    <w:p>
      <w:pPr>
        <w:ind w:left="1020" w:right="520" w:hanging="503"/>
        <w:spacing w:after="0" w:line="260"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Consolidated Statement of Operations for the year ended December 31, 2021, there is a realized loss on noncontrolled, affiliated investments of $33 related to an escrow receivable for an investment in AFS Technologies, Inc. that is no longer held.</w:t>
      </w:r>
    </w:p>
    <w:p>
      <w:pPr>
        <w:spacing w:after="0" w:line="195" w:lineRule="exact"/>
        <w:rPr>
          <w:sz w:val="20"/>
          <w:szCs w:val="20"/>
          <w:color w:val="auto"/>
        </w:rPr>
      </w:pPr>
    </w:p>
    <w:p>
      <w:pPr>
        <w:ind w:left="520" w:right="200" w:hanging="512"/>
        <w:spacing w:after="0" w:line="261"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2021 in which the issuer was an Affiliated Person of and was deemed to Control a portfolio company are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8"/>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26"/>
              <w:spacing w:after="0" w:line="142"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Reductions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 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6"/>
              <w:spacing w:after="0" w:line="142"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6"/>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3"/>
              </w:rPr>
              <w:t>Additions (a)</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(b)</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18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IRGSE Holding Corp.</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 Resources,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LLC</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36,676</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5,653</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17,450</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59,779</w:t>
            </w:r>
          </w:p>
        </w:tc>
        <w:tc>
          <w:tcPr>
            <w:tcW w:w="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4,039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-25400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-7620</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-25400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1020" w:right="80" w:hanging="503"/>
        <w:spacing w:after="0" w:line="261" w:lineRule="auto"/>
        <w:tabs>
          <w:tab w:leader="none" w:pos="10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55" w:lineRule="auto"/>
        <w:tabs>
          <w:tab w:leader="none" w:pos="10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77" w:lineRule="exact"/>
        <w:rPr>
          <w:rFonts w:ascii="Times New Roman" w:cs="Times New Roman" w:eastAsia="Times New Roman" w:hAnsi="Times New Roman"/>
          <w:sz w:val="18"/>
          <w:szCs w:val="18"/>
          <w:color w:val="auto"/>
        </w:rPr>
      </w:pPr>
    </w:p>
    <w:p>
      <w:pPr>
        <w:ind w:left="520" w:right="620" w:hanging="512"/>
        <w:spacing w:after="0" w:line="261"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estimated cost basis of investments for U.S. federal tax purposes was $2,445,863, resulting in estimated gross unrealized gains and losses of $156,819 and $79,599, respectively.</w:t>
      </w:r>
    </w:p>
    <w:p>
      <w:pPr>
        <w:ind w:left="520" w:right="60" w:hanging="512"/>
        <w:spacing w:after="0" w:line="250"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60" w:hanging="512"/>
        <w:spacing w:after="0" w:line="250"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equity investment is non-income producing.</w:t>
      </w:r>
    </w:p>
    <w:p>
      <w:pPr>
        <w:spacing w:after="0" w:line="9" w:lineRule="exact"/>
        <w:rPr>
          <w:rFonts w:ascii="Times New Roman" w:cs="Times New Roman" w:eastAsia="Times New Roman" w:hAnsi="Times New Roman"/>
          <w:sz w:val="18"/>
          <w:szCs w:val="18"/>
          <w:color w:val="auto"/>
        </w:rPr>
      </w:pPr>
    </w:p>
    <w:p>
      <w:pPr>
        <w:ind w:left="520" w:right="1480" w:hanging="512"/>
        <w:spacing w:after="0" w:line="250"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December 31, 2021, the aggregate fair value of these securities is $83,839, or 6.6% of the Company’s net assets.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December 31, 2021.</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68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6"/>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11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Total Net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Excess</w:t>
            </w: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Par</w:t>
            </w:r>
          </w:p>
        </w:tc>
        <w:tc>
          <w:tcPr>
            <w:tcW w:w="14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FF0FC"/>
          </w:tcPr>
          <w:p>
            <w:pPr>
              <w:spacing w:after="0"/>
              <w:rPr>
                <w:sz w:val="14"/>
                <w:szCs w:val="14"/>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89,080</w:t>
            </w:r>
          </w:p>
        </w:tc>
        <w:tc>
          <w:tcPr>
            <w:tcW w:w="100" w:type="dxa"/>
            <w:vAlign w:val="bottom"/>
            <w:shd w:val="clear" w:color="auto" w:fill="CFF0FC"/>
          </w:tcPr>
          <w:p>
            <w:pPr>
              <w:spacing w:after="0"/>
              <w:rPr>
                <w:sz w:val="14"/>
                <w:szCs w:val="14"/>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1,009,270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110,720</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1,119,297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147,004</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147,004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realized gain (loss) on investments and foreign</w:t>
            </w: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(2,591 )</w:t>
            </w: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(2,591 )</w:t>
            </w:r>
          </w:p>
        </w:tc>
        <w:tc>
          <w:tcPr>
            <w:tcW w:w="0" w:type="dxa"/>
            <w:vAlign w:val="bottom"/>
          </w:tcPr>
          <w:p>
            <w:pPr>
              <w:spacing w:after="0"/>
              <w:rPr>
                <w:sz w:val="1"/>
                <w:szCs w:val="1"/>
                <w:color w:val="auto"/>
              </w:rPr>
            </w:pPr>
          </w:p>
        </w:tc>
      </w:tr>
      <w:tr>
        <w:trPr>
          <w:trHeight w:val="185"/>
        </w:trPr>
        <w:tc>
          <w:tcPr>
            <w:tcW w:w="4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9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(206,964 )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206,964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(2,932 )</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(2,932 )</w:t>
            </w:r>
          </w:p>
        </w:tc>
        <w:tc>
          <w:tcPr>
            <w:tcW w:w="0" w:type="dxa"/>
            <w:vAlign w:val="bottom"/>
          </w:tcPr>
          <w:p>
            <w:pPr>
              <w:spacing w:after="0"/>
              <w:rPr>
                <w:sz w:val="1"/>
                <w:szCs w:val="1"/>
                <w:color w:val="auto"/>
              </w:rPr>
            </w:pPr>
          </w:p>
        </w:tc>
      </w:tr>
      <w:tr>
        <w:trPr>
          <w:trHeight w:val="176"/>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convertible notes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(910 )</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(910 )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 issued in connection with dividend reinvestment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1,366,582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plan</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(154,554 )</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(154,554 )</w:t>
            </w:r>
          </w:p>
        </w:tc>
        <w:tc>
          <w:tcPr>
            <w:tcW w:w="0" w:type="dxa"/>
            <w:vAlign w:val="bottom"/>
          </w:tcPr>
          <w:p>
            <w:pPr>
              <w:spacing w:after="0"/>
              <w:rPr>
                <w:sz w:val="1"/>
                <w:szCs w:val="1"/>
                <w:color w:val="auto"/>
              </w:rPr>
            </w:pPr>
          </w:p>
        </w:tc>
      </w:tr>
      <w:tr>
        <w:trPr>
          <w:trHeight w:val="135"/>
        </w:trPr>
        <w:tc>
          <w:tcPr>
            <w:tcW w:w="48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Tax reclassification of stockholders' equity in</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(4,976 )</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tcPr>
          <w:p>
            <w:pPr>
              <w:ind w:left="220"/>
              <w:spacing w:after="0" w:line="175" w:lineRule="exact"/>
              <w:rPr>
                <w:sz w:val="20"/>
                <w:szCs w:val="20"/>
                <w:color w:val="auto"/>
              </w:rPr>
            </w:pPr>
            <w:r>
              <w:rPr>
                <w:rFonts w:ascii="Times New Roman" w:cs="Times New Roman" w:eastAsia="Times New Roman" w:hAnsi="Times New Roman"/>
                <w:sz w:val="14"/>
                <w:szCs w:val="14"/>
                <w:color w:val="auto"/>
              </w:rPr>
              <w:t xml:space="preserve">accordance with GAAP </w:t>
            </w:r>
            <w:r>
              <w:rPr>
                <w:rFonts w:ascii="Times New Roman" w:cs="Times New Roman" w:eastAsia="Times New Roman" w:hAnsi="Times New Roman"/>
                <w:sz w:val="19"/>
                <w:szCs w:val="19"/>
                <w:color w:val="auto"/>
                <w:vertAlign w:val="superscript"/>
              </w:rPr>
              <w:t>(1)</w:t>
            </w: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67,684,209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680</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296,044</w:t>
            </w:r>
          </w:p>
        </w:tc>
        <w:tc>
          <w:tcPr>
            <w:tcW w:w="18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1,025,676</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139,250</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1,161,315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120"/>
              <w:spacing w:after="0" w:line="156" w:lineRule="exact"/>
              <w:rPr>
                <w:sz w:val="20"/>
                <w:szCs w:val="20"/>
                <w:color w:val="auto"/>
              </w:rPr>
            </w:pPr>
            <w:r>
              <w:rPr>
                <w:rFonts w:ascii="Times New Roman" w:cs="Times New Roman" w:eastAsia="Times New Roman" w:hAnsi="Times New Roman"/>
                <w:sz w:val="14"/>
                <w:szCs w:val="14"/>
                <w:color w:val="auto"/>
              </w:rPr>
              <w:t xml:space="preserve">Cumulative effect adjustment for the adoption of ASU   2020-06 </w:t>
            </w:r>
            <w:r>
              <w:rPr>
                <w:rFonts w:ascii="Times New Roman" w:cs="Times New Roman" w:eastAsia="Times New Roman" w:hAnsi="Times New Roman"/>
                <w:sz w:val="18"/>
                <w:szCs w:val="18"/>
                <w:color w:val="auto"/>
                <w:vertAlign w:val="superscript"/>
              </w:rPr>
              <w:t>(2)</w:t>
            </w:r>
          </w:p>
        </w:tc>
        <w:tc>
          <w:tcPr>
            <w:tcW w:w="9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(457 )</w:t>
            </w: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(285 )</w:t>
            </w: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40,546</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foreign currency translation</w:t>
            </w:r>
          </w:p>
        </w:tc>
        <w:tc>
          <w:tcPr>
            <w:tcW w:w="9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realized gain (loss) on investments and foreign</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net of offering and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4,049,689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underwriting costs</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issued in settlement of convertible notes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2,324,820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42,249</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1,712,824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36,335</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(261,490 )</w:t>
            </w: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(261,490 )</w:t>
            </w:r>
          </w:p>
        </w:tc>
        <w:tc>
          <w:tcPr>
            <w:tcW w:w="0" w:type="dxa"/>
            <w:vAlign w:val="bottom"/>
          </w:tcPr>
          <w:p>
            <w:pPr>
              <w:spacing w:after="0"/>
              <w:rPr>
                <w:sz w:val="1"/>
                <w:szCs w:val="1"/>
                <w:color w:val="auto"/>
              </w:rPr>
            </w:pPr>
          </w:p>
        </w:tc>
      </w:tr>
      <w:tr>
        <w:trPr>
          <w:trHeight w:val="135"/>
        </w:trPr>
        <w:tc>
          <w:tcPr>
            <w:tcW w:w="48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4"/>
                <w:szCs w:val="14"/>
                <w:color w:val="auto"/>
              </w:rPr>
              <w:t>Tax reclassification of stockholders' equity in accordance</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(391 )</w:t>
            </w:r>
          </w:p>
        </w:tc>
        <w:tc>
          <w:tcPr>
            <w:tcW w:w="1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20"/>
              <w:spacing w:after="0" w:line="175" w:lineRule="exact"/>
              <w:rPr>
                <w:sz w:val="20"/>
                <w:szCs w:val="20"/>
                <w:color w:val="auto"/>
              </w:rPr>
            </w:pPr>
            <w:r>
              <w:rPr>
                <w:rFonts w:ascii="Times New Roman" w:cs="Times New Roman" w:eastAsia="Times New Roman" w:hAnsi="Times New Roman"/>
                <w:sz w:val="14"/>
                <w:szCs w:val="14"/>
                <w:color w:val="auto"/>
              </w:rPr>
              <w:t xml:space="preserve">with GAAP </w:t>
            </w:r>
            <w:r>
              <w:rPr>
                <w:rFonts w:ascii="Times New Roman" w:cs="Times New Roman" w:eastAsia="Times New Roman" w:hAnsi="Times New Roman"/>
                <w:sz w:val="19"/>
                <w:szCs w:val="19"/>
                <w:color w:val="auto"/>
                <w:vertAlign w:val="superscript"/>
              </w:rPr>
              <w:t>(1)</w:t>
            </w:r>
          </w:p>
        </w:tc>
        <w:tc>
          <w:tcPr>
            <w:tcW w:w="86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75,771,542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761</w:t>
            </w:r>
          </w:p>
        </w:tc>
        <w:tc>
          <w:tcPr>
            <w:tcW w:w="200" w:type="dxa"/>
            <w:vAlign w:val="bottom"/>
            <w:gridSpan w:val="2"/>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296,044</w:t>
            </w:r>
          </w:p>
        </w:tc>
        <w:tc>
          <w:tcPr>
            <w:tcW w:w="18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(4,291 )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1,189,275</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90,103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1,275,848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shd w:val="clear" w:color="auto" w:fill="CFF0FC"/>
          </w:tcPr>
          <w:p>
            <w:pPr>
              <w:ind w:left="120"/>
              <w:spacing w:after="0" w:line="156"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(74,969 )</w:t>
            </w: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(74,969 )</w:t>
            </w:r>
          </w:p>
        </w:tc>
        <w:tc>
          <w:tcPr>
            <w:tcW w:w="0" w:type="dxa"/>
            <w:vAlign w:val="bottom"/>
          </w:tcPr>
          <w:p>
            <w:pPr>
              <w:spacing w:after="0"/>
              <w:rPr>
                <w:sz w:val="1"/>
                <w:szCs w:val="1"/>
                <w:color w:val="auto"/>
              </w:rPr>
            </w:pPr>
          </w:p>
        </w:tc>
      </w:tr>
      <w:tr>
        <w:trPr>
          <w:trHeight w:val="185"/>
        </w:trPr>
        <w:tc>
          <w:tcPr>
            <w:tcW w:w="4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foreign currency translation</w:t>
            </w:r>
          </w:p>
        </w:tc>
        <w:tc>
          <w:tcPr>
            <w:tcW w:w="9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realized gain (loss) on investments and foreign</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net of offering and</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underwriting costs</w:t>
            </w: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issued in settlement of convertible notes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4,360,125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77,598</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(368,206 )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368,206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(6,168 )</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(6,168 )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1,625,826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(144,322 )</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(144,322 )</w:t>
            </w:r>
          </w:p>
        </w:tc>
        <w:tc>
          <w:tcPr>
            <w:tcW w:w="0" w:type="dxa"/>
            <w:vAlign w:val="bottom"/>
          </w:tcPr>
          <w:p>
            <w:pPr>
              <w:spacing w:after="0"/>
              <w:rPr>
                <w:sz w:val="1"/>
                <w:szCs w:val="1"/>
                <w:color w:val="auto"/>
              </w:rPr>
            </w:pPr>
          </w:p>
        </w:tc>
      </w:tr>
      <w:tr>
        <w:trPr>
          <w:trHeight w:val="135"/>
        </w:trPr>
        <w:tc>
          <w:tcPr>
            <w:tcW w:w="48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Tax reclassification of stockholders' equity in accordance</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(2,622 )</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tcPr>
          <w:p>
            <w:pPr>
              <w:ind w:left="220"/>
              <w:spacing w:after="0" w:line="175" w:lineRule="exact"/>
              <w:rPr>
                <w:sz w:val="20"/>
                <w:szCs w:val="20"/>
                <w:color w:val="auto"/>
              </w:rPr>
            </w:pPr>
            <w:r>
              <w:rPr>
                <w:rFonts w:ascii="Times New Roman" w:cs="Times New Roman" w:eastAsia="Times New Roman" w:hAnsi="Times New Roman"/>
                <w:sz w:val="14"/>
                <w:szCs w:val="14"/>
                <w:color w:val="auto"/>
              </w:rPr>
              <w:t xml:space="preserve">with GAAP </w:t>
            </w:r>
            <w:r>
              <w:rPr>
                <w:rFonts w:ascii="Times New Roman" w:cs="Times New Roman" w:eastAsia="Times New Roman" w:hAnsi="Times New Roman"/>
                <w:sz w:val="19"/>
                <w:szCs w:val="19"/>
                <w:color w:val="auto"/>
                <w:vertAlign w:val="superscript"/>
              </w:rPr>
              <w:t>(1)</w:t>
            </w: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81,389,287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821</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664,250</w:t>
            </w:r>
          </w:p>
        </w:tc>
        <w:tc>
          <w:tcPr>
            <w:tcW w:w="18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1,294,751</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56,456</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1,341,569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-3728085</wp:posOffset>
            </wp:positionV>
            <wp:extent cx="3531870"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531870" cy="13716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-1996440</wp:posOffset>
            </wp:positionV>
            <wp:extent cx="77470" cy="146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-1996440</wp:posOffset>
            </wp:positionV>
            <wp:extent cx="77470" cy="146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-1996440</wp:posOffset>
            </wp:positionV>
            <wp:extent cx="68580" cy="1460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-1996440</wp:posOffset>
            </wp:positionV>
            <wp:extent cx="68580" cy="146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-1996440</wp:posOffset>
            </wp:positionV>
            <wp:extent cx="68580" cy="146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-1996440</wp:posOffset>
            </wp:positionV>
            <wp:extent cx="68580" cy="146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46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774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line="224" w:lineRule="auto"/>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tax year end is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w:t>
      </w:r>
    </w:p>
    <w:p>
      <w:pPr>
        <w:ind w:left="520" w:hanging="512"/>
        <w:spacing w:after="0"/>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for further information related to the adoption of ASU 2020-06.</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20"/>
        </w:trPr>
        <w:tc>
          <w:tcPr>
            <w:tcW w:w="7300" w:type="dxa"/>
            <w:vAlign w:val="bottom"/>
          </w:tcPr>
          <w:p>
            <w:pPr>
              <w:spacing w:after="0"/>
              <w:rPr>
                <w:sz w:val="19"/>
                <w:szCs w:val="19"/>
                <w:color w:val="auto"/>
              </w:rPr>
            </w:pPr>
          </w:p>
        </w:tc>
        <w:tc>
          <w:tcPr>
            <w:tcW w:w="130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9"/>
                <w:szCs w:val="19"/>
                <w:color w:val="auto"/>
              </w:rPr>
            </w:pPr>
          </w:p>
        </w:tc>
      </w:tr>
      <w:tr>
        <w:trPr>
          <w:trHeight w:val="230"/>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211,780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178,108</w:t>
            </w:r>
          </w:p>
        </w:tc>
        <w:tc>
          <w:tcPr>
            <w:tcW w:w="100" w:type="dxa"/>
            <w:vAlign w:val="bottom"/>
          </w:tcPr>
          <w:p>
            <w:pPr>
              <w:spacing w:after="0"/>
              <w:rPr>
                <w:sz w:val="19"/>
                <w:szCs w:val="19"/>
                <w:color w:val="auto"/>
              </w:rPr>
            </w:pPr>
          </w:p>
        </w:tc>
      </w:tr>
      <w:tr>
        <w:trPr>
          <w:trHeight w:val="212"/>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increase in net assets resulting from operations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 net cash provided by (used) in operating activities: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change in unrealized (gains) losses on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(49,738 )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(31,951 )</w:t>
            </w:r>
          </w:p>
        </w:tc>
      </w:tr>
      <w:tr>
        <w:trPr>
          <w:trHeight w:val="212"/>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change in unrealized (gains) losses on foreign currency</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transactions</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(8,721 )</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00" w:type="dxa"/>
            <w:vAlign w:val="bottom"/>
            <w:shd w:val="clear" w:color="auto" w:fill="CFF0FC"/>
          </w:tcPr>
          <w:p>
            <w:pPr>
              <w:spacing w:after="0"/>
              <w:rPr>
                <w:sz w:val="19"/>
                <w:szCs w:val="19"/>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change in unrealized (gains) losses on interest rate swaps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(6,812 )</w:t>
            </w: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realized (gains) losses on extinguishment of debt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(739 )</w:t>
            </w: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(14,735 )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(28,816 )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realized (gains) losses on foreign currency transactions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realized (gains) losses on interest rate swaps</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(2,251 )</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amortization of discount on investments</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(19,387 )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(27,816 )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(25,706 )</w:t>
            </w: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discount on debt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and originations of investments, net</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(995,620 )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(1,198,944 )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(1,038,885 )</w:t>
            </w: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investments, net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23,468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92,869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79,560</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on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675,787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968,422</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(12,881 )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(9,639 )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(8,596 )</w:t>
            </w:r>
          </w:p>
        </w:tc>
      </w:tr>
      <w:tr>
        <w:trPr>
          <w:trHeight w:val="220"/>
        </w:trPr>
        <w:tc>
          <w:tcPr>
            <w:tcW w:w="7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receivable</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(8,430 )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(1,550 )</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receivable paid-in-kind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(642 )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(1,011 )</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(10,648 )</w:t>
            </w: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Incentive fees on net investment income payable to affiliate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Incentive fees on net capital gains accrued to affiliate</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(8,864 )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Payable to affiliate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FF0FC"/>
          </w:tcPr>
          <w:p>
            <w:pPr>
              <w:spacing w:after="0"/>
              <w:rPr>
                <w:sz w:val="20"/>
                <w:szCs w:val="20"/>
                <w:color w:val="auto"/>
              </w:rPr>
            </w:pPr>
          </w:p>
        </w:tc>
      </w:tr>
      <w:tr>
        <w:trPr>
          <w:trHeight w:val="22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(52,777 )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(24,703 )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21,445</w:t>
            </w:r>
          </w:p>
        </w:tc>
        <w:tc>
          <w:tcPr>
            <w:tcW w:w="100" w:type="dxa"/>
            <w:vAlign w:val="bottom"/>
          </w:tcPr>
          <w:p>
            <w:pPr>
              <w:spacing w:after="0"/>
              <w:rPr>
                <w:sz w:val="19"/>
                <w:szCs w:val="19"/>
                <w:color w:val="auto"/>
              </w:rPr>
            </w:pPr>
          </w:p>
        </w:tc>
      </w:tr>
      <w:tr>
        <w:trPr>
          <w:trHeight w:val="223"/>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(224,532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Borrowings on debt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1,329,868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1,616,739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1,114,226</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on debt</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(918,113 )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(1,471,961 )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(1,090,685 )</w:t>
            </w:r>
          </w:p>
        </w:tc>
      </w:tr>
      <w:tr>
        <w:trPr>
          <w:trHeight w:val="23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Repurchases of debt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(31,829 )</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convertible notes</w:t>
            </w:r>
          </w:p>
        </w:tc>
        <w:tc>
          <w:tcPr>
            <w:tcW w:w="140" w:type="dxa"/>
            <w:vAlign w:val="bottom"/>
          </w:tcPr>
          <w:p>
            <w:pPr>
              <w:spacing w:after="0"/>
              <w:rPr>
                <w:sz w:val="19"/>
                <w:szCs w:val="19"/>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(4,296 )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(7,953 )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(4,267 )</w:t>
            </w:r>
          </w:p>
        </w:tc>
      </w:tr>
      <w:tr>
        <w:trPr>
          <w:trHeight w:val="20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net of offering and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underwriting costs</w:t>
            </w:r>
          </w:p>
        </w:tc>
        <w:tc>
          <w:tcPr>
            <w:tcW w:w="140" w:type="dxa"/>
            <w:vAlign w:val="bottom"/>
          </w:tcPr>
          <w:p>
            <w:pPr>
              <w:spacing w:after="0"/>
              <w:rPr>
                <w:sz w:val="19"/>
                <w:szCs w:val="19"/>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(22,348 )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(6,168 )</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(2,932 )</w:t>
            </w:r>
          </w:p>
        </w:tc>
      </w:tr>
      <w:tr>
        <w:trPr>
          <w:trHeight w:val="22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(144,731 )</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(221,941 )</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(130,448 )</w:t>
            </w:r>
          </w:p>
        </w:tc>
      </w:tr>
      <w:tr>
        <w:trPr>
          <w:trHeight w:val="23"/>
        </w:trPr>
        <w:tc>
          <w:tcPr>
            <w:tcW w:w="73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(145,935 )</w:t>
            </w:r>
          </w:p>
        </w:tc>
      </w:tr>
      <w:tr>
        <w:trPr>
          <w:trHeight w:val="200"/>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w:t>
            </w: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2"/>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(869 )</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14,143</w:t>
            </w:r>
          </w:p>
        </w:tc>
        <w:tc>
          <w:tcPr>
            <w:tcW w:w="100" w:type="dxa"/>
            <w:vAlign w:val="bottom"/>
          </w:tcPr>
          <w:p>
            <w:pPr>
              <w:spacing w:after="0"/>
              <w:rPr>
                <w:sz w:val="19"/>
                <w:szCs w:val="19"/>
                <w:color w:val="auto"/>
              </w:rPr>
            </w:pPr>
          </w:p>
        </w:tc>
      </w:tr>
      <w:tr>
        <w:trPr>
          <w:trHeight w:val="263"/>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25,647</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34,016</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Excise and other taxes paid during the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declared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144,322</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261,490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154,554</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Reinvestment of dividends during the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30,516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22,306</w:t>
            </w:r>
          </w:p>
        </w:tc>
        <w:tc>
          <w:tcPr>
            <w:tcW w:w="100" w:type="dxa"/>
            <w:vAlign w:val="bottom"/>
            <w:shd w:val="clear" w:color="auto" w:fill="CFF0FC"/>
          </w:tcPr>
          <w:p>
            <w:pPr>
              <w:spacing w:after="0"/>
              <w:rPr>
                <w:sz w:val="20"/>
                <w:szCs w:val="20"/>
                <w:color w:val="auto"/>
              </w:rPr>
            </w:pPr>
          </w:p>
        </w:tc>
      </w:tr>
      <w:tr>
        <w:trPr>
          <w:trHeight w:val="210"/>
        </w:trPr>
        <w:tc>
          <w:tcPr>
            <w:tcW w:w="7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issued in settlement of convertible notes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-3656330</wp:posOffset>
            </wp:positionV>
            <wp:extent cx="77470"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-3656330</wp:posOffset>
            </wp:positionV>
            <wp:extent cx="68580" cy="154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-3656330</wp:posOffset>
            </wp:positionV>
            <wp:extent cx="68580" cy="154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-2061845</wp:posOffset>
            </wp:positionV>
            <wp:extent cx="77470" cy="1631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-2061845</wp:posOffset>
            </wp:positionV>
            <wp:extent cx="68580" cy="1631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-2061845</wp:posOffset>
            </wp:positionV>
            <wp:extent cx="68580" cy="1631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-1324610</wp:posOffset>
            </wp:positionV>
            <wp:extent cx="1765935"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65935" cy="171450"/>
                    </a:xfrm>
                    <a:prstGeom prst="rect">
                      <a:avLst/>
                    </a:prstGeom>
                    <a:noFill/>
                  </pic:spPr>
                </pic:pic>
              </a:graphicData>
            </a:graphic>
          </wp:anchor>
        </w:drawing>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92" w:lineRule="exact"/>
        <w:rPr>
          <w:sz w:val="20"/>
          <w:szCs w:val="20"/>
          <w:color w:val="auto"/>
        </w:rPr>
      </w:pPr>
    </w:p>
    <w:p>
      <w:pPr>
        <w:ind w:right="600" w:firstLine="255"/>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0" w:lineRule="exact"/>
        <w:rPr>
          <w:sz w:val="20"/>
          <w:szCs w:val="20"/>
          <w:color w:val="auto"/>
        </w:rPr>
      </w:pPr>
    </w:p>
    <w:p>
      <w:pPr>
        <w:ind w:right="90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1" w:name="page112"/>
    <w:bookmarkEnd w:id="111"/>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80" w:hanging="257"/>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420" w:hanging="257"/>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100" w:hanging="257"/>
        <w:spacing w:after="0" w:line="266"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2022,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8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20" w:hanging="257"/>
        <w:spacing w:after="0"/>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600" w:hanging="257"/>
        <w:spacing w:after="0" w:line="282" w:lineRule="auto"/>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2" w:name="page113"/>
    <w:bookmarkEnd w:id="112"/>
    <w:p>
      <w:pPr>
        <w:ind w:right="160"/>
        <w:spacing w:after="0" w:line="261" w:lineRule="auto"/>
        <w:rPr>
          <w:sz w:val="20"/>
          <w:szCs w:val="20"/>
          <w:color w:val="auto"/>
        </w:rPr>
      </w:pPr>
      <w:r>
        <w:rPr>
          <w:rFonts w:ascii="Times New Roman" w:cs="Times New Roman" w:eastAsia="Times New Roman" w:hAnsi="Times New Roman"/>
          <w:sz w:val="18"/>
          <w:szCs w:val="18"/>
          <w:color w:val="auto"/>
        </w:rPr>
        <w:t>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0"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84"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580" w:hanging="257"/>
        <w:spacing w:after="0" w:line="282"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2022, the Company did not have any uncertain tax positions that met the recognition or measurement criteria, nor did the Company have any unrecognized tax benefits. The Company’s 2021, 2020 and 2019 tax year returns remain subject to examination by the relevant federal, state, and local tax authorities.</w:t>
      </w:r>
    </w:p>
    <w:p>
      <w:pPr>
        <w:spacing w:after="0" w:line="18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2022, 2021 and 2020 we recorded a net expense of $2.6 million, $0.4 million and $5.8 million, respectively, for U.S. federal excise tax and other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115" w:name="page116"/>
    <w:bookmarkEnd w:id="115"/>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additional shares of the Company’s common stock, rather than receiving the cash dividend. The Company expects to use newly issued shares to satisfy the dividend reinvestment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and Regulatory Updates</w:t>
      </w:r>
    </w:p>
    <w:p>
      <w:pPr>
        <w:spacing w:after="0" w:line="11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Accounting Standards Update 2020-04 (“ASU 2020-04”) “Reference Rate Reform (Topic 848): Facilitation of the Effects of Reference Rate Reform on Financial Reporting.”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is effective for all entities as of March 12, 2020 through December 31, 2022. The adoption of this guidance did not have a material impact on the Company’s financial position, result of operations or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in 2021</w:t>
      </w:r>
    </w:p>
    <w:p>
      <w:pPr>
        <w:spacing w:after="0" w:line="22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6" w:name="page117"/>
    <w:bookmarkEnd w:id="116"/>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incurred expenses of $3.1 million, $4.8 million and $3.8 million, respectively, for administrative services payable to the Adviser under the terms of the Administration Agreement, which is included in other general and administrative expenses in the Consolidated Statements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3"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Management Fees (gross of waivers) were $39.9 million, $37.1 million and $32.1 million,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2022 and 2021, Management Fees of $0.4 million, and $0.2 million, respectively, have been waived pursuant to the Leverage Waiver. The Adviser did not waive any Management Fees for the year ended December 31, 2020 pursuant to the Leverage Waiver.</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20" w:hanging="257"/>
        <w:spacing w:after="0" w:line="255"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0" w:lineRule="exact"/>
        <w:rPr>
          <w:rFonts w:ascii="Times New Roman" w:cs="Times New Roman" w:eastAsia="Times New Roman" w:hAnsi="Times New Roman"/>
          <w:sz w:val="18"/>
          <w:szCs w:val="18"/>
          <w:color w:val="auto"/>
        </w:rPr>
      </w:pPr>
    </w:p>
    <w:p>
      <w:pPr>
        <w:ind w:left="520"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9" w:lineRule="exact"/>
        <w:rPr>
          <w:rFonts w:ascii="Times New Roman" w:cs="Times New Roman" w:eastAsia="Times New Roman" w:hAnsi="Times New Roman"/>
          <w:sz w:val="18"/>
          <w:szCs w:val="18"/>
          <w:color w:val="auto"/>
        </w:rPr>
      </w:pPr>
    </w:p>
    <w:p>
      <w:pPr>
        <w:ind w:left="520" w:right="60" w:hanging="257"/>
        <w:spacing w:after="0" w:line="254"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7" w:name="page118"/>
    <w:bookmarkEnd w:id="117"/>
    <w:p>
      <w:pPr>
        <w:ind w:left="520" w:right="80"/>
        <w:spacing w:after="0" w:line="282" w:lineRule="auto"/>
        <w:rPr>
          <w:sz w:val="20"/>
          <w:szCs w:val="20"/>
          <w:color w:val="auto"/>
        </w:rPr>
      </w:pPr>
      <w:r>
        <w:rPr>
          <w:rFonts w:ascii="Times New Roman" w:cs="Times New Roman" w:eastAsia="Times New Roman" w:hAnsi="Times New Roman"/>
          <w:sz w:val="18"/>
          <w:szCs w:val="18"/>
          <w:color w:val="auto"/>
        </w:rPr>
        <w:t>subject to an Incentive Fee rate of 17.5%. As of March 31, 2020, there are no remaining investments that were made prior to April 1, 2014, and as a result, the Incentive Fee rate of 17.5% is applicable to any future realized capital gains.</w:t>
      </w:r>
    </w:p>
    <w:p>
      <w:pPr>
        <w:spacing w:after="0" w:line="162"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2021 and 2020, Incentive Fees were $24.5 million, $46.6 million and $32.9 million, respectively, of which $33.4 million, $33.1 million, and $31.5 million, respectively, were realized and payable to the Adviser. For the year ended December 31, 2022 previously accrued but unpaid incentive fees of $(8.9) million were derecognized as they did not meet the recognition criteria of Capital Gains Fees. For the years ended December 31, 2021 and 2020, Incentive Fees of $13.5 million and $1.4 million, respectively, were accrued related to Capital Gains Fees.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Incentive Fees are not subject to recoupment by the Adviser.</w:t>
      </w:r>
    </w:p>
    <w:p>
      <w:pPr>
        <w:spacing w:after="0" w:line="225"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200" w:firstLine="255"/>
        <w:spacing w:after="0" w:line="289" w:lineRule="auto"/>
        <w:rPr>
          <w:sz w:val="20"/>
          <w:szCs w:val="20"/>
          <w:color w:val="auto"/>
        </w:rPr>
      </w:pPr>
      <w:r>
        <w:rPr>
          <w:rFonts w:ascii="Times New Roman" w:cs="Times New Roman" w:eastAsia="Times New Roman" w:hAnsi="Times New Roman"/>
          <w:sz w:val="17"/>
          <w:szCs w:val="17"/>
          <w:color w:val="auto"/>
        </w:rPr>
        <w:t>In November 2022, the Board renewed the Investment Advisory Agreement. Unless earlier terminated as described below, the Investment Advisory Agreement will remain in effect until November 2023,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58"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2,529,317</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2,517,894</w:t>
            </w:r>
          </w:p>
        </w:tc>
        <w:tc>
          <w:tcPr>
            <w:tcW w:w="1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2,774,726</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2,787,925</w:t>
            </w: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F-29</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-642620</wp:posOffset>
            </wp:positionV>
            <wp:extent cx="60325" cy="1885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-642620</wp:posOffset>
            </wp:positionV>
            <wp:extent cx="51435" cy="1885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-642620</wp:posOffset>
            </wp:positionV>
            <wp:extent cx="51435" cy="1885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8" w:name="page119"/>
    <w:bookmarkEnd w:id="118"/>
    <w:tbl>
      <w:tblPr>
        <w:tblLayout w:type="fixed"/>
        <w:tblInd w:w="114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2,265,555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3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2,521,593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-187960</wp:posOffset>
            </wp:positionV>
            <wp:extent cx="60325" cy="1885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51435" cy="1885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5" w:lineRule="exact"/>
        <w:rPr>
          <w:sz w:val="20"/>
          <w:szCs w:val="20"/>
          <w:color w:val="auto"/>
        </w:rPr>
      </w:pPr>
    </w:p>
    <w:p>
      <w:pPr>
        <w:ind w:left="520" w:right="120" w:hanging="512"/>
        <w:spacing w:after="0" w:line="282"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2022 and 2021 is as follows: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52"/>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5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5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-2348230</wp:posOffset>
            </wp:positionV>
            <wp:extent cx="4989195" cy="154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-2039620</wp:posOffset>
            </wp:positionV>
            <wp:extent cx="4989195" cy="154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-1731010</wp:posOffset>
            </wp:positionV>
            <wp:extent cx="4989195" cy="154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-1113790</wp:posOffset>
            </wp:positionV>
            <wp:extent cx="4989195"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-805180</wp:posOffset>
            </wp:positionV>
            <wp:extent cx="4989195"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-496570</wp:posOffset>
            </wp:positionV>
            <wp:extent cx="4989195" cy="154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-179070</wp:posOffset>
            </wp:positionV>
            <wp:extent cx="4989195" cy="1797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2022 and 2021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0" w:type="dxa"/>
            <w:vAlign w:val="bottom"/>
            <w:gridSpan w:val="2"/>
          </w:tcPr>
          <w:p>
            <w:pPr>
              <w:jc w:val="right"/>
              <w:ind w:right="17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6"/>
        </w:trPr>
        <w:tc>
          <w:tcPr>
            <w:tcW w:w="1640" w:type="dxa"/>
            <w:vAlign w:val="bottom"/>
          </w:tcPr>
          <w:p>
            <w:pPr>
              <w:spacing w:after="0"/>
              <w:rPr>
                <w:sz w:val="20"/>
                <w:szCs w:val="20"/>
                <w:color w:val="auto"/>
              </w:rPr>
            </w:pPr>
          </w:p>
        </w:tc>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tcBorders>
              <w:top w:val="single" w:sz="8" w:color="auto"/>
              <w:right w:val="single" w:sz="8" w:color="CFF0FC"/>
            </w:tcBorders>
            <w:shd w:val="clear" w:color="auto" w:fill="CFF0FC"/>
          </w:tcPr>
          <w:p>
            <w:pPr>
              <w:spacing w:after="0"/>
              <w:rPr>
                <w:sz w:val="20"/>
                <w:szCs w:val="20"/>
                <w:color w:val="auto"/>
              </w:rPr>
            </w:pPr>
          </w:p>
        </w:tc>
        <w:tc>
          <w:tcPr>
            <w:tcW w:w="1640" w:type="dxa"/>
            <w:vAlign w:val="bottom"/>
          </w:tcPr>
          <w:p>
            <w:pPr>
              <w:spacing w:after="0"/>
              <w:rPr>
                <w:sz w:val="20"/>
                <w:szCs w:val="20"/>
                <w:color w:val="auto"/>
              </w:rPr>
            </w:pPr>
          </w:p>
        </w:tc>
      </w:tr>
      <w:tr>
        <w:trPr>
          <w:trHeight w:val="234"/>
        </w:trPr>
        <w:tc>
          <w:tcPr>
            <w:tcW w:w="164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Midwest</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12.5 %</w:t>
            </w:r>
          </w:p>
        </w:tc>
      </w:tr>
      <w:tr>
        <w:trPr>
          <w:trHeight w:val="238"/>
        </w:trPr>
        <w:tc>
          <w:tcPr>
            <w:tcW w:w="164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Northeast</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24.2 %</w:t>
            </w:r>
          </w:p>
        </w:tc>
      </w:tr>
      <w:tr>
        <w:trPr>
          <w:trHeight w:val="243"/>
        </w:trPr>
        <w:tc>
          <w:tcPr>
            <w:tcW w:w="1640" w:type="dxa"/>
            <w:vAlign w:val="bottom"/>
          </w:tcPr>
          <w:p>
            <w:pPr>
              <w:spacing w:after="0"/>
              <w:rPr>
                <w:sz w:val="21"/>
                <w:szCs w:val="21"/>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23.4 %</w:t>
            </w:r>
          </w:p>
        </w:tc>
      </w:tr>
      <w:tr>
        <w:trPr>
          <w:trHeight w:val="243"/>
        </w:trPr>
        <w:tc>
          <w:tcPr>
            <w:tcW w:w="1640" w:type="dxa"/>
            <w:vAlign w:val="bottom"/>
          </w:tcPr>
          <w:p>
            <w:pPr>
              <w:spacing w:after="0"/>
              <w:rPr>
                <w:sz w:val="21"/>
                <w:szCs w:val="21"/>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31.8 %</w:t>
            </w:r>
          </w:p>
        </w:tc>
      </w:tr>
      <w:tr>
        <w:trPr>
          <w:trHeight w:val="243"/>
        </w:trPr>
        <w:tc>
          <w:tcPr>
            <w:tcW w:w="164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164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164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3000" w:type="dxa"/>
            <w:vAlign w:val="bottom"/>
            <w:gridSpan w:val="2"/>
          </w:tcPr>
          <w:p>
            <w:pPr>
              <w:jc w:val="right"/>
              <w:ind w:right="17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40" w:type="dxa"/>
            <w:vAlign w:val="bottom"/>
          </w:tcPr>
          <w:p>
            <w:pPr>
              <w:spacing w:after="0"/>
              <w:rPr>
                <w:sz w:val="22"/>
                <w:szCs w:val="22"/>
                <w:color w:val="auto"/>
              </w:rPr>
            </w:pPr>
          </w:p>
        </w:tc>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4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2"/>
                <w:szCs w:val="22"/>
                <w:color w:val="auto"/>
              </w:rPr>
            </w:pPr>
          </w:p>
        </w:tc>
      </w:tr>
      <w:tr>
        <w:trPr>
          <w:trHeight w:val="234"/>
        </w:trPr>
        <w:tc>
          <w:tcPr>
            <w:tcW w:w="164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0"/>
                <w:szCs w:val="20"/>
                <w:color w:val="auto"/>
              </w:rPr>
            </w:pPr>
          </w:p>
        </w:tc>
      </w:tr>
      <w:tr>
        <w:trPr>
          <w:trHeight w:val="247"/>
        </w:trPr>
        <w:tc>
          <w:tcPr>
            <w:tcW w:w="1640" w:type="dxa"/>
            <w:vAlign w:val="bottom"/>
          </w:tcPr>
          <w:p>
            <w:pPr>
              <w:spacing w:after="0"/>
              <w:rPr>
                <w:sz w:val="21"/>
                <w:szCs w:val="21"/>
                <w:color w:val="auto"/>
              </w:rPr>
            </w:pPr>
          </w:p>
        </w:tc>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1"/>
                <w:szCs w:val="21"/>
                <w:color w:val="auto"/>
              </w:rPr>
            </w:pPr>
          </w:p>
        </w:tc>
      </w:tr>
      <w:tr>
        <w:trPr>
          <w:trHeight w:val="20"/>
        </w:trPr>
        <w:tc>
          <w:tcPr>
            <w:tcW w:w="1640" w:type="dxa"/>
            <w:vAlign w:val="bottom"/>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26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60" w:type="dxa"/>
            <w:vAlign w:val="bottom"/>
            <w:tcBorders>
              <w:right w:val="single" w:sz="8" w:color="CFF0FC"/>
            </w:tcBorders>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9"/>
        </w:trPr>
        <w:tc>
          <w:tcPr>
            <w:tcW w:w="164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00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631"/>
        </w:trPr>
        <w:tc>
          <w:tcPr>
            <w:tcW w:w="1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8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F-30</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16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-2073910</wp:posOffset>
            </wp:positionV>
            <wp:extent cx="5057775"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-1765300</wp:posOffset>
            </wp:positionV>
            <wp:extent cx="5057775" cy="154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-1456690</wp:posOffset>
            </wp:positionV>
            <wp:extent cx="505777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-685165</wp:posOffset>
            </wp:positionV>
            <wp:extent cx="51435" cy="1885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-685165</wp:posOffset>
            </wp:positionV>
            <wp:extent cx="43180" cy="1885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27"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76"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amounts paid and received on the Company’s interest rate swap transactions for the year ended December 31, 2022 and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13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Paid</w:t>
            </w:r>
          </w:p>
        </w:tc>
        <w:tc>
          <w:tcPr>
            <w:tcW w:w="300" w:type="dxa"/>
            <w:vAlign w:val="bottom"/>
          </w:tcPr>
          <w:p>
            <w:pPr>
              <w:spacing w:after="0"/>
              <w:rPr>
                <w:sz w:val="14"/>
                <w:szCs w:val="14"/>
                <w:color w:val="auto"/>
              </w:rPr>
            </w:pPr>
          </w:p>
        </w:tc>
        <w:tc>
          <w:tcPr>
            <w:tcW w:w="12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4"/>
                <w:szCs w:val="24"/>
                <w:color w:val="auto"/>
                <w:vertAlign w:val="superscript"/>
              </w:rPr>
              <w:t>(1)</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(706 )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(106 )</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(730 )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(57 )</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(1,135 )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(5,728 )</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(12,227 )</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47"/>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(2,144 )</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3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(97 )</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(11,196 )</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(3,717 )</w:t>
            </w: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1,047,510</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(36,284 )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(2,570 )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-187960</wp:posOffset>
            </wp:positionV>
            <wp:extent cx="76835" cy="1885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1885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left="520" w:right="166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these interest rate swaps had either matured or been terminated due to repayment of the underlying investment or security.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13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80" w:type="dxa"/>
            <w:vAlign w:val="bottom"/>
          </w:tcPr>
          <w:p>
            <w:pPr>
              <w:spacing w:after="0"/>
              <w:rPr>
                <w:sz w:val="14"/>
                <w:szCs w:val="14"/>
                <w:color w:val="auto"/>
              </w:rPr>
            </w:pP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(2,976 )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(899 )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(136 )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(1,238 )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0" w:type="dxa"/>
            <w:vAlign w:val="bottom"/>
          </w:tcPr>
          <w:p>
            <w:pPr>
              <w:spacing w:after="0"/>
              <w:rPr>
                <w:sz w:val="1"/>
                <w:szCs w:val="1"/>
                <w:color w:val="auto"/>
              </w:rPr>
            </w:pPr>
          </w:p>
        </w:tc>
      </w:tr>
      <w:tr>
        <w:trPr>
          <w:trHeight w:val="247"/>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(97 )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(792 )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47"/>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(3,307 )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(7,384 )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(1,339 )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(96 )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(5,666 )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1,077,650</w:t>
            </w:r>
          </w:p>
        </w:tc>
        <w:tc>
          <w:tcPr>
            <w:tcW w:w="3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2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-24765</wp:posOffset>
            </wp:positionV>
            <wp:extent cx="768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768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right="100" w:hanging="512"/>
        <w:spacing w:after="0" w:line="261"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ind w:left="520" w:right="1660" w:hanging="512"/>
        <w:spacing w:after="0" w:line="260"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these interest rate swaps had either matured or been terminated due to repayment of the underlying investment or security.</w:t>
      </w:r>
    </w:p>
    <w:p>
      <w:pPr>
        <w:spacing w:after="0" w:line="181"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$(6.7) million and $(6.7) million, respectively, in net change in unrealized losses on interest rate swaps not designated as hedging instruments in the Consolidated Statement of Operations related to the swap transactions. For the year ended December 31, 2022, the Company recognized $2.3 million in realized gains on interest rate swaps not designated as hedging instruments in the Consolidated Statement of Operations related to the unwind of unrealized gains on interest rate swaps related to upfront fee payments associated with the 2022 Convertible Notes. For the year ended December 31, 2021, there was no realized gain or loss on interest rate swaps. For the years ended December 31, 2022 and 2021 the Company recognized $49.2 million and $22.6 million, respectively, in net change in losses on interest rate swaps designated 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ind w:right="160"/>
        <w:spacing w:after="0" w:line="261" w:lineRule="auto"/>
        <w:rPr>
          <w:sz w:val="20"/>
          <w:szCs w:val="20"/>
          <w:color w:val="auto"/>
        </w:rPr>
      </w:pPr>
      <w:r>
        <w:rPr>
          <w:rFonts w:ascii="Times New Roman" w:cs="Times New Roman" w:eastAsia="Times New Roman" w:hAnsi="Times New Roman"/>
          <w:sz w:val="18"/>
          <w:szCs w:val="18"/>
          <w:color w:val="auto"/>
        </w:rPr>
        <w:t>hedging instruments as a component of interest expense in the Consolidated Statement of Operations. For the years ended December 31, 2022 and 2021, this amount is offset by a decrease of $23.8 million and a decrease of $12.4 million, respectively, for a change in the carrying value of the 2024 Notes and for the years ended December 31, 2022 and 2021, a decrease of $25.4 million and $10.2 million, respectively, for a change in carrying value of the 2026 Notes.</w:t>
      </w:r>
    </w:p>
    <w:p>
      <w:pPr>
        <w:spacing w:after="0" w:line="180"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2022, the swap transactions had a fair value of $(55.3) million which is netted against cash collateral on the Company’s consolidated balance sheet. As of December 31, 2021, the swap transactions had a fair value of $(1.6) million which is netted against cash collateral on the Company’s consolidated balance sheet.</w:t>
      </w:r>
    </w:p>
    <w:p>
      <w:pPr>
        <w:spacing w:after="0" w:line="176"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3"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$15.4 million and $14.4 million, respectively, of cash is pledged as collateral under the Company’s derivative agreements and is included in restricted cash as a component of cash and cash equivalents on the Company’s consolidated balance sheet.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2,495,959</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2,517,894</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86,489</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2,693,938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2,787,925</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(55,314 )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(55,314 )</w:t>
            </w:r>
          </w:p>
        </w:tc>
      </w:tr>
      <w:tr>
        <w:trPr>
          <w:trHeight w:val="238"/>
        </w:trPr>
        <w:tc>
          <w:tcPr>
            <w:tcW w:w="5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2,693,938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2,732,611</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155,667</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74,801</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2,521,593</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(1,601 )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(1,601 )</w:t>
            </w:r>
          </w:p>
        </w:tc>
      </w:tr>
      <w:tr>
        <w:trPr>
          <w:trHeight w:val="239"/>
        </w:trPr>
        <w:tc>
          <w:tcPr>
            <w:tcW w:w="5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2,519,992</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-2159635</wp:posOffset>
            </wp:positionV>
            <wp:extent cx="77470" cy="1631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-2159635</wp:posOffset>
            </wp:positionV>
            <wp:extent cx="76835" cy="1631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-2159635</wp:posOffset>
            </wp:positionV>
            <wp:extent cx="68580" cy="16319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631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-1842135</wp:posOffset>
            </wp:positionV>
            <wp:extent cx="77470" cy="1885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-1842135</wp:posOffset>
            </wp:positionV>
            <wp:extent cx="76835" cy="1885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-1842135</wp:posOffset>
            </wp:positionV>
            <wp:extent cx="68580" cy="1885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1885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-504825</wp:posOffset>
            </wp:positionV>
            <wp:extent cx="77470" cy="1625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-504825</wp:posOffset>
            </wp:positionV>
            <wp:extent cx="76835" cy="1625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-504825</wp:posOffset>
            </wp:positionV>
            <wp:extent cx="68580" cy="1625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1885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76835" cy="1885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1885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1" w:name="page122"/>
    <w:bookmarkEnd w:id="121"/>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9"/>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120" w:type="dxa"/>
            <w:vAlign w:val="bottom"/>
          </w:tcPr>
          <w:p>
            <w:pPr>
              <w:spacing w:after="0"/>
              <w:rPr>
                <w:sz w:val="11"/>
                <w:szCs w:val="11"/>
                <w:color w:val="auto"/>
              </w:rPr>
            </w:pPr>
          </w:p>
        </w:tc>
        <w:tc>
          <w:tcPr>
            <w:tcW w:w="104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7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876,485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(665,531 )</w:t>
            </w: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(18,316 )</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(683,857 )</w:t>
            </w: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(44,455 )</w:t>
            </w: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(2,081 )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(13,158 )</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(66,214 )</w:t>
            </w: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(602 )</w:t>
            </w:r>
          </w:p>
        </w:tc>
        <w:tc>
          <w:tcPr>
            <w:tcW w:w="12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2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42,729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2,495,959</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147,059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9"/>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11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080" w:type="dxa"/>
            <w:vAlign w:val="bottom"/>
            <w:gridSpan w:val="4"/>
          </w:tcPr>
          <w:p>
            <w:pPr>
              <w:jc w:val="center"/>
              <w:ind w:right="13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8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2,158,551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1,083,349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(966,160 )</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(5,791 )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(60,202 )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(1,032,153 )</w:t>
            </w: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(4,702 )</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(3,427 )</w:t>
            </w:r>
          </w:p>
        </w:tc>
        <w:tc>
          <w:tcPr>
            <w:tcW w:w="12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2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(1,816 )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(4,180 )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(7,635 )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(11,815 )</w:t>
            </w:r>
          </w:p>
        </w:tc>
        <w:tc>
          <w:tcPr>
            <w:tcW w:w="0" w:type="dxa"/>
            <w:vAlign w:val="bottom"/>
          </w:tcPr>
          <w:p>
            <w:pPr>
              <w:spacing w:after="0"/>
              <w:rPr>
                <w:sz w:val="1"/>
                <w:szCs w:val="1"/>
                <w:color w:val="auto"/>
              </w:rPr>
            </w:pPr>
          </w:p>
        </w:tc>
      </w:tr>
      <w:tr>
        <w:trPr>
          <w:trHeight w:val="239"/>
        </w:trPr>
        <w:tc>
          <w:tcPr>
            <w:tcW w:w="45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-2459355</wp:posOffset>
            </wp:positionV>
            <wp:extent cx="76835" cy="18859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-2459355</wp:posOffset>
            </wp:positionV>
            <wp:extent cx="77470" cy="18859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-2459355</wp:posOffset>
            </wp:positionV>
            <wp:extent cx="68580" cy="1885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-2459355</wp:posOffset>
            </wp:positionV>
            <wp:extent cx="68580" cy="1885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1885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1885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-187960</wp:posOffset>
            </wp:positionV>
            <wp:extent cx="76835" cy="1885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18859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1885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Astra Acquisition Corp. was transferred into Level 3 from Level 2 for fair value measurement purposes during the year ended December 31, 2022, as a result of changes in the observability of inputs into the security valuation for this portfolio company.</w:t>
      </w:r>
    </w:p>
    <w:p>
      <w:pPr>
        <w:spacing w:after="0" w:line="16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net change in unrealized gains or losses on investments for which Level 3 inputs were used in determining fair value that are still held by the Company at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40" w:type="dxa"/>
            <w:vAlign w:val="bottom"/>
          </w:tcPr>
          <w:p>
            <w:pPr>
              <w:spacing w:after="0"/>
              <w:rPr>
                <w:sz w:val="15"/>
                <w:szCs w:val="15"/>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40" w:type="dxa"/>
            <w:vAlign w:val="bottom"/>
          </w:tcPr>
          <w:p>
            <w:pPr>
              <w:spacing w:after="0"/>
              <w:rPr>
                <w:sz w:val="15"/>
                <w:szCs w:val="15"/>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5"/>
                <w:szCs w:val="15"/>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December 31, 2022 on</w:t>
            </w:r>
          </w:p>
        </w:tc>
        <w:tc>
          <w:tcPr>
            <w:tcW w:w="140" w:type="dxa"/>
            <w:vAlign w:val="bottom"/>
          </w:tcPr>
          <w:p>
            <w:pPr>
              <w:spacing w:after="0"/>
              <w:rPr>
                <w:sz w:val="15"/>
                <w:szCs w:val="15"/>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 on</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40" w:type="dxa"/>
            <w:vAlign w:val="bottom"/>
          </w:tcPr>
          <w:p>
            <w:pPr>
              <w:spacing w:after="0"/>
              <w:rPr>
                <w:sz w:val="15"/>
                <w:szCs w:val="15"/>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(2,081 )</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(6,519 )</w:t>
            </w:r>
          </w:p>
        </w:tc>
        <w:tc>
          <w:tcPr>
            <w:tcW w:w="1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3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58,150</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1"/>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F-33</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-522605</wp:posOffset>
            </wp:positionV>
            <wp:extent cx="6032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-504825</wp:posOffset>
            </wp:positionV>
            <wp:extent cx="6032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-522605</wp:posOffset>
            </wp:positionV>
            <wp:extent cx="514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2" w:name="page123"/>
    <w:bookmarkEnd w:id="122"/>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and the significant unobservable inputs used in the valuations as of December 31, 2022 and 2021. The tables are not intended to be all-inclusive, but instead capture the significant unobservable inputs relevant to the Company’s determination of fair values.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80" w:type="dxa"/>
            <w:vAlign w:val="bottom"/>
          </w:tcPr>
          <w:p>
            <w:pPr>
              <w:spacing w:after="0"/>
              <w:rPr>
                <w:sz w:val="11"/>
                <w:szCs w:val="11"/>
                <w:color w:val="auto"/>
              </w:rPr>
            </w:pPr>
          </w:p>
        </w:tc>
        <w:tc>
          <w:tcPr>
            <w:tcW w:w="1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8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8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80" w:type="dxa"/>
            <w:vAlign w:val="bottom"/>
          </w:tcPr>
          <w:p>
            <w:pPr>
              <w:spacing w:after="0"/>
              <w:rPr>
                <w:sz w:val="16"/>
                <w:szCs w:val="16"/>
                <w:color w:val="auto"/>
              </w:rPr>
            </w:pPr>
          </w:p>
        </w:tc>
        <w:tc>
          <w:tcPr>
            <w:tcW w:w="17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3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2,495,959</w:t>
            </w:r>
          </w:p>
        </w:tc>
        <w:tc>
          <w:tcPr>
            <w:tcW w:w="22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24"/>
                <w:szCs w:val="24"/>
                <w:color w:val="auto"/>
                <w:vertAlign w:val="superscript"/>
              </w:rPr>
              <w:t>(1)</w:t>
            </w:r>
          </w:p>
        </w:tc>
        <w:tc>
          <w:tcPr>
            <w:tcW w:w="8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FF0FC"/>
          </w:tcPr>
          <w:p>
            <w:pPr>
              <w:spacing w:after="0"/>
              <w:rPr>
                <w:sz w:val="20"/>
                <w:szCs w:val="20"/>
                <w:color w:val="auto"/>
              </w:rPr>
            </w:pPr>
          </w:p>
        </w:tc>
        <w:tc>
          <w:tcPr>
            <w:tcW w:w="2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9.3% — 18.5% (15.1%)</w:t>
            </w:r>
          </w:p>
        </w:tc>
        <w:tc>
          <w:tcPr>
            <w:tcW w:w="8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22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approach</w:t>
            </w:r>
          </w:p>
        </w:tc>
        <w:tc>
          <w:tcPr>
            <w:tcW w:w="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 — 19.6% (19.6%)</w:t>
            </w:r>
          </w:p>
        </w:tc>
        <w:tc>
          <w:tcPr>
            <w:tcW w:w="8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20" w:type="dxa"/>
            <w:vAlign w:val="bottom"/>
            <w:shd w:val="clear" w:color="auto" w:fill="CFF0FC"/>
          </w:tcPr>
          <w:p>
            <w:pPr>
              <w:spacing w:after="0"/>
              <w:rPr>
                <w:sz w:val="21"/>
                <w:szCs w:val="21"/>
                <w:color w:val="auto"/>
              </w:rPr>
            </w:pPr>
          </w:p>
        </w:tc>
        <w:tc>
          <w:tcPr>
            <w:tcW w:w="18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24"/>
                <w:szCs w:val="24"/>
                <w:color w:val="auto"/>
                <w:vertAlign w:val="superscript"/>
              </w:rPr>
              <w:t>(2)</w:t>
            </w:r>
          </w:p>
        </w:tc>
        <w:tc>
          <w:tcPr>
            <w:tcW w:w="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14.5% — 18.0% (16.0%)</w:t>
            </w:r>
          </w:p>
        </w:tc>
        <w:tc>
          <w:tcPr>
            <w:tcW w:w="80" w:type="dxa"/>
            <w:vAlign w:val="bottom"/>
            <w:shd w:val="clear" w:color="auto" w:fill="CFF0FC"/>
          </w:tcPr>
          <w:p>
            <w:pPr>
              <w:spacing w:after="0"/>
              <w:rPr>
                <w:sz w:val="21"/>
                <w:szCs w:val="21"/>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147,059</w:t>
            </w:r>
          </w:p>
        </w:tc>
        <w:tc>
          <w:tcPr>
            <w:tcW w:w="220" w:type="dxa"/>
            <w:vAlign w:val="bottom"/>
          </w:tcPr>
          <w:p>
            <w:pPr>
              <w:spacing w:after="0"/>
              <w:rPr>
                <w:sz w:val="22"/>
                <w:szCs w:val="22"/>
                <w:color w:val="auto"/>
              </w:rPr>
            </w:pPr>
          </w:p>
        </w:tc>
        <w:tc>
          <w:tcPr>
            <w:tcW w:w="1800" w:type="dxa"/>
            <w:vAlign w:val="bottom"/>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24"/>
                <w:szCs w:val="24"/>
                <w:color w:val="auto"/>
                <w:vertAlign w:val="superscript"/>
              </w:rPr>
              <w:t>(3)</w:t>
            </w:r>
          </w:p>
        </w:tc>
        <w:tc>
          <w:tcPr>
            <w:tcW w:w="80" w:type="dxa"/>
            <w:vAlign w:val="bottom"/>
          </w:tcPr>
          <w:p>
            <w:pPr>
              <w:spacing w:after="0"/>
              <w:rPr>
                <w:sz w:val="22"/>
                <w:szCs w:val="22"/>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multiple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2.0x — 26.6x (7.9x)</w:t>
            </w:r>
          </w:p>
        </w:tc>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74"/>
        </w:trPr>
        <w:tc>
          <w:tcPr>
            <w:tcW w:w="2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2,693,938</w:t>
            </w:r>
          </w:p>
        </w:tc>
        <w:tc>
          <w:tcPr>
            <w:tcW w:w="220" w:type="dxa"/>
            <w:vAlign w:val="bottom"/>
            <w:tcBorders>
              <w:bottom w:val="single" w:sz="8" w:color="CFF0FC"/>
            </w:tcBorders>
            <w:shd w:val="clear" w:color="auto" w:fill="CFF0FC"/>
          </w:tcPr>
          <w:p>
            <w:pPr>
              <w:spacing w:after="0"/>
              <w:rPr>
                <w:sz w:val="23"/>
                <w:szCs w:val="23"/>
                <w:color w:val="auto"/>
              </w:rPr>
            </w:pPr>
          </w:p>
        </w:tc>
        <w:tc>
          <w:tcPr>
            <w:tcW w:w="1800" w:type="dxa"/>
            <w:vAlign w:val="bottom"/>
            <w:tcBorders>
              <w:top w:val="single" w:sz="8" w:color="auto"/>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80" w:type="dxa"/>
            <w:vAlign w:val="bottom"/>
            <w:tcBorders>
              <w:top w:val="single" w:sz="8" w:color="auto"/>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top w:val="single" w:sz="8" w:color="auto"/>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top w:val="single" w:sz="8" w:color="auto"/>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-24765</wp:posOffset>
            </wp:positionV>
            <wp:extent cx="768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of debt investments which were valued using an asset valuation waterfall.</w:t>
      </w:r>
    </w:p>
    <w:p>
      <w:pPr>
        <w:spacing w:after="0" w:line="9"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$38.4 million of equity investments which were valued using an asset valuation waterfall, $7.5 million of equity investments using a Black-Scholes model, and $13.1 million using a discounted cash flow analysis.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1"/>
                <w:szCs w:val="11"/>
                <w:color w:val="auto"/>
              </w:rPr>
            </w:pPr>
          </w:p>
        </w:tc>
        <w:tc>
          <w:tcPr>
            <w:tcW w:w="17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7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Pr>
          <w:p>
            <w:pPr>
              <w:spacing w:after="0"/>
              <w:rPr>
                <w:sz w:val="16"/>
                <w:szCs w:val="16"/>
                <w:color w:val="auto"/>
              </w:rPr>
            </w:pPr>
          </w:p>
        </w:tc>
        <w:tc>
          <w:tcPr>
            <w:tcW w:w="17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0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37"/>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24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020" w:type="dxa"/>
            <w:vAlign w:val="bottom"/>
            <w:tcBorders>
              <w:top w:val="single" w:sz="8" w:color="auto"/>
            </w:tcBorders>
            <w:shd w:val="clear" w:color="auto" w:fill="CFF0FC"/>
          </w:tcPr>
          <w:p>
            <w:pPr>
              <w:jc w:val="center"/>
              <w:ind w:right="117"/>
              <w:spacing w:after="0"/>
              <w:rPr>
                <w:sz w:val="20"/>
                <w:szCs w:val="20"/>
                <w:color w:val="auto"/>
              </w:rPr>
            </w:pPr>
            <w:r>
              <w:rPr>
                <w:rFonts w:ascii="Times New Roman" w:cs="Times New Roman" w:eastAsia="Times New Roman" w:hAnsi="Times New Roman"/>
                <w:sz w:val="18"/>
                <w:szCs w:val="18"/>
                <w:color w:val="auto"/>
              </w:rPr>
              <w:t>6.6% — 12.2% (9.6%)</w:t>
            </w:r>
          </w:p>
        </w:tc>
        <w:tc>
          <w:tcPr>
            <w:tcW w:w="10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40" w:type="dxa"/>
            <w:vAlign w:val="bottom"/>
          </w:tcPr>
          <w:p>
            <w:pPr>
              <w:spacing w:after="0"/>
              <w:rPr>
                <w:sz w:val="21"/>
                <w:szCs w:val="21"/>
                <w:color w:val="auto"/>
              </w:rPr>
            </w:pPr>
          </w:p>
        </w:tc>
        <w:tc>
          <w:tcPr>
            <w:tcW w:w="1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1"/>
                <w:szCs w:val="21"/>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tcPr>
          <w:p>
            <w:pPr>
              <w:jc w:val="center"/>
              <w:ind w:right="97"/>
              <w:spacing w:after="0"/>
              <w:rPr>
                <w:sz w:val="20"/>
                <w:szCs w:val="20"/>
                <w:color w:val="auto"/>
              </w:rPr>
            </w:pPr>
            <w:r>
              <w:rPr>
                <w:rFonts w:ascii="Times New Roman" w:cs="Times New Roman" w:eastAsia="Times New Roman" w:hAnsi="Times New Roman"/>
                <w:sz w:val="18"/>
                <w:szCs w:val="18"/>
                <w:color w:val="auto"/>
                <w:w w:val="99"/>
              </w:rPr>
              <w:t>6.2% — 9.3% (8.5%)</w:t>
            </w:r>
          </w:p>
        </w:tc>
        <w:tc>
          <w:tcPr>
            <w:tcW w:w="10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1"/>
        </w:trPr>
        <w:tc>
          <w:tcPr>
            <w:tcW w:w="2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Comparable</w:t>
            </w: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240" w:type="dxa"/>
            <w:vAlign w:val="bottom"/>
            <w:shd w:val="clear" w:color="auto" w:fill="CFF0FC"/>
          </w:tcPr>
          <w:p>
            <w:pPr>
              <w:spacing w:after="0"/>
              <w:rPr>
                <w:sz w:val="21"/>
                <w:szCs w:val="21"/>
                <w:color w:val="auto"/>
              </w:rPr>
            </w:pPr>
          </w:p>
        </w:tc>
        <w:tc>
          <w:tcPr>
            <w:tcW w:w="178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multiple</w:t>
            </w:r>
          </w:p>
        </w:tc>
        <w:tc>
          <w:tcPr>
            <w:tcW w:w="2020" w:type="dxa"/>
            <w:vAlign w:val="bottom"/>
            <w:shd w:val="clear" w:color="auto" w:fill="CFF0FC"/>
          </w:tcPr>
          <w:p>
            <w:pPr>
              <w:jc w:val="center"/>
              <w:ind w:right="117"/>
              <w:spacing w:after="0"/>
              <w:rPr>
                <w:sz w:val="20"/>
                <w:szCs w:val="20"/>
                <w:color w:val="auto"/>
              </w:rPr>
            </w:pPr>
            <w:r>
              <w:rPr>
                <w:rFonts w:ascii="Times New Roman" w:cs="Times New Roman" w:eastAsia="Times New Roman" w:hAnsi="Times New Roman"/>
                <w:sz w:val="18"/>
                <w:szCs w:val="18"/>
                <w:color w:val="auto"/>
                <w:w w:val="99"/>
              </w:rPr>
              <w:t>4.5x — 9.5x (6.0x)</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25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240" w:type="dxa"/>
            <w:vAlign w:val="bottom"/>
            <w:tcBorders>
              <w:top w:val="single" w:sz="8" w:color="CFF0FC"/>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-187960</wp:posOffset>
            </wp:positionV>
            <wp:extent cx="76835" cy="1885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-187960</wp:posOffset>
            </wp:positionV>
            <wp:extent cx="68580" cy="1885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-187960</wp:posOffset>
            </wp:positionV>
            <wp:extent cx="68580" cy="1885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68580" cy="1885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 million of debt investments which, due to the proximity of the transactions relative to the measurement date, were valued using the cost of the investments and $0.1 million of debt investments which were valued using an asset valuation waterfall.</w:t>
      </w:r>
    </w:p>
    <w:p>
      <w:pPr>
        <w:ind w:left="520" w:hanging="512"/>
        <w:spacing w:after="0" w:line="255" w:lineRule="auto"/>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 million of equity investments which were valued using an asset valuation waterfall, $7.7 million of equity investments using a Black-Scholes model, and $26.2 million of equity investments which, due to the proximity of the transactions relative to the measurement date, were valued using the cost of the investments.</w:t>
      </w:r>
    </w:p>
    <w:p>
      <w:pPr>
        <w:spacing w:after="0" w:line="186" w:lineRule="exact"/>
        <w:rPr>
          <w:sz w:val="20"/>
          <w:szCs w:val="20"/>
          <w:color w:val="auto"/>
        </w:rPr>
      </w:pPr>
    </w:p>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December 31, 2022 and 2021, approximates its carrying value as the outstanding balance is callable at carrying value.</w:t>
      </w:r>
    </w:p>
    <w:p>
      <w:pPr>
        <w:spacing w:after="0" w:line="54"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2022 Convertible Notes, 2023 Notes, 2024 Notes and 2026 Notes, as of December 31, 2022 and 2021.</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r>
      <w:tr>
        <w:trPr>
          <w:trHeight w:val="128"/>
        </w:trPr>
        <w:tc>
          <w:tcPr>
            <w:tcW w:w="4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1"/>
                <w:szCs w:val="11"/>
                <w:color w:val="auto"/>
              </w:rPr>
            </w:pPr>
          </w:p>
        </w:tc>
      </w:tr>
      <w:tr>
        <w:trPr>
          <w:trHeight w:val="189"/>
        </w:trPr>
        <w:tc>
          <w:tcPr>
            <w:tcW w:w="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5"/>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6"/>
                <w:szCs w:val="16"/>
                <w:color w:val="auto"/>
              </w:rPr>
            </w:pPr>
          </w:p>
        </w:tc>
      </w:tr>
      <w:tr>
        <w:trPr>
          <w:trHeight w:val="23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121,710</w:t>
            </w:r>
          </w:p>
        </w:tc>
        <w:tc>
          <w:tcPr>
            <w:tcW w:w="80" w:type="dxa"/>
            <w:vAlign w:val="bottom"/>
            <w:shd w:val="clear" w:color="auto" w:fill="CFF0FC"/>
          </w:tcPr>
          <w:p>
            <w:pPr>
              <w:spacing w:after="0"/>
              <w:rPr>
                <w:sz w:val="20"/>
                <w:szCs w:val="20"/>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153,953</w:t>
            </w:r>
          </w:p>
        </w:tc>
        <w:tc>
          <w:tcPr>
            <w:tcW w:w="8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332,853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362,703</w:t>
            </w:r>
          </w:p>
        </w:tc>
        <w:tc>
          <w:tcPr>
            <w:tcW w:w="8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296,520</w:t>
            </w:r>
          </w:p>
        </w:tc>
        <w:tc>
          <w:tcPr>
            <w:tcW w:w="80" w:type="dxa"/>
            <w:vAlign w:val="bottom"/>
          </w:tcPr>
          <w:p>
            <w:pPr>
              <w:spacing w:after="0"/>
              <w:rPr>
                <w:sz w:val="20"/>
                <w:szCs w:val="20"/>
                <w:color w:val="auto"/>
              </w:rPr>
            </w:pPr>
          </w:p>
        </w:tc>
      </w:tr>
      <w:tr>
        <w:trPr>
          <w:trHeight w:val="279"/>
        </w:trPr>
        <w:tc>
          <w:tcPr>
            <w:tcW w:w="32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797,500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744,243</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897,490</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934,886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-24765</wp:posOffset>
            </wp:positionV>
            <wp:extent cx="60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03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03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514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514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60" w:firstLine="255"/>
        <w:spacing w:after="0" w:line="312" w:lineRule="auto"/>
        <w:rPr>
          <w:sz w:val="20"/>
          <w:szCs w:val="20"/>
          <w:color w:val="auto"/>
        </w:rPr>
      </w:pPr>
      <w:r>
        <w:rPr>
          <w:rFonts w:ascii="Times New Roman" w:cs="Times New Roman" w:eastAsia="Times New Roman" w:hAnsi="Times New Roman"/>
          <w:sz w:val="17"/>
          <w:szCs w:val="17"/>
          <w:color w:val="auto"/>
        </w:rPr>
        <w:t>In accordance with the 1940 Act, with certain limitations, the Company is allowed to borrow amounts such that its asset coverage, as defined in the 1940 Act, is at least 150% after such borrowing. As of December 31, 2022 and 2021, the Company’s asset coverage was 188.6% and 205.4%, respectively.</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2022 and 2021:</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865,672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Notes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2,382,500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1,516,828</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865,672</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1,441,796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right="900" w:hanging="512"/>
        <w:spacing w:after="0" w:line="261"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right="460" w:hanging="512"/>
        <w:spacing w:after="0" w:line="250"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ind w:left="520" w:right="220" w:hanging="512"/>
        <w:spacing w:after="0" w:line="290" w:lineRule="auto"/>
        <w:tabs>
          <w:tab w:leader="none" w:pos="5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values of the 2024 Notes and 2026 Notes are presented inclusive of an incremental $(19.4) million and $(35.7) million, respectively, which represents an adjustment in the carrying values of the 2024 Notes and 2026 Notes, each resulting from a hedge accounting relationship.</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4" w:name="page125"/>
    <w:bookmarkEnd w:id="124"/>
    <w:tbl>
      <w:tblPr>
        <w:tblLayout w:type="fixed"/>
        <w:tblInd w:w="58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8"/>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316,442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1,193,558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1,193,558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1885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8580" cy="1885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0325" cy="1885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left="520" w:right="860" w:hanging="512"/>
        <w:spacing w:after="0" w:line="261"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hanging="512"/>
        <w:spacing w:after="0" w:line="250"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2024 Notes and 2026 Notes are presented net of the combination of deferred financing costs and original issue discounts totaling $11.8 million, $0.3 million, $0.7 million, $4.0 million and $5.3 million, respectively.</w:t>
      </w:r>
    </w:p>
    <w:p>
      <w:pPr>
        <w:spacing w:after="0" w:line="1" w:lineRule="exact"/>
        <w:rPr>
          <w:rFonts w:ascii="Times New Roman" w:cs="Times New Roman" w:eastAsia="Times New Roman" w:hAnsi="Times New Roman"/>
          <w:sz w:val="18"/>
          <w:szCs w:val="18"/>
          <w:color w:val="auto"/>
        </w:rPr>
      </w:pPr>
    </w:p>
    <w:p>
      <w:pPr>
        <w:ind w:left="520" w:right="160" w:hanging="512"/>
        <w:spacing w:after="0" w:line="260"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and 2026 Notes are presented inclusive of an incremental $4.4 million and $(10.2) million, which represents an adjustment in the carrying value of the 2024 Notes and 2026 Notes resulting from a hedge accounting relationship.</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components of interest expense were as follows:</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3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49,897</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Swap settlements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(12,087 )</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(6,414 )</w:t>
            </w:r>
          </w:p>
        </w:tc>
        <w:tc>
          <w:tcPr>
            <w:tcW w:w="80" w:type="dxa"/>
            <w:vAlign w:val="bottom"/>
          </w:tcPr>
          <w:p>
            <w:pPr>
              <w:spacing w:after="0"/>
              <w:rPr>
                <w:sz w:val="21"/>
                <w:szCs w:val="21"/>
                <w:color w:val="auto"/>
              </w:rPr>
            </w:pPr>
          </w:p>
        </w:tc>
      </w:tr>
      <w:tr>
        <w:trPr>
          <w:trHeight w:val="238"/>
        </w:trPr>
        <w:tc>
          <w:tcPr>
            <w:tcW w:w="48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62,991</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38,825</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39,402</w:t>
            </w:r>
          </w:p>
        </w:tc>
        <w:tc>
          <w:tcPr>
            <w:tcW w:w="80" w:type="dxa"/>
            <w:vAlign w:val="bottom"/>
            <w:tcBorders>
              <w:top w:val="single" w:sz="8" w:color="CFF0FC"/>
            </w:tcBorders>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4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-490855</wp:posOffset>
            </wp:positionV>
            <wp:extent cx="68580" cy="1885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-490855</wp:posOffset>
            </wp:positionV>
            <wp:extent cx="59690" cy="1885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-490855</wp:posOffset>
            </wp:positionV>
            <wp:extent cx="59690" cy="1885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the Company, under certain circumstances, to increase the size of the facility to up to $2.0 billion.</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Pursuant to the Twelfth Amendment, with respect to $1.510 billion in commitments, the revolving period, during which period the Company, subject to certain conditions, may make borrowings under the facility, was extended to April 24, 2026 and the stated maturity date was extended to April 23, 2027. For the remaining $75.0 million of commitments, (A) with respect to $25.0 million of commitments, the revolving period ends January 31, 2024 and the stated maturity is January 31, 2025 and (B) with respect to $50.0 million of commitments, the revolving period ends on February 4, 2025 and the stated maturity is February 4, 2026.</w:t>
      </w:r>
    </w:p>
    <w:p>
      <w:pPr>
        <w:spacing w:after="0" w:line="176" w:lineRule="exact"/>
        <w:rPr>
          <w:sz w:val="20"/>
          <w:szCs w:val="20"/>
          <w:color w:val="auto"/>
        </w:rPr>
      </w:pPr>
    </w:p>
    <w:p>
      <w:pPr>
        <w:ind w:right="780" w:firstLine="255"/>
        <w:spacing w:after="0" w:line="284" w:lineRule="auto"/>
        <w:rPr>
          <w:sz w:val="20"/>
          <w:szCs w:val="20"/>
          <w:color w:val="auto"/>
        </w:rPr>
      </w:pPr>
      <w:r>
        <w:rPr>
          <w:rFonts w:ascii="Times New Roman" w:cs="Times New Roman" w:eastAsia="Times New Roman" w:hAnsi="Times New Roman"/>
          <w:sz w:val="18"/>
          <w:szCs w:val="18"/>
          <w:color w:val="auto"/>
        </w:rPr>
        <w:t>Pursuant to an amendment to the Revolving Credit Facility dated as of May 19, 2022 (the “Thirteenth Amendment”), certain non-substantive administrative and operational elements were updated.</w:t>
      </w:r>
    </w:p>
    <w:p>
      <w:pPr>
        <w:spacing w:after="0" w:line="158"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2022, the Company had outstanding debt denominated in Australian dollars (AUD) of 69.0 million, British pounds (GBP) of 12.9 million, Canadian dollars (CAD) of 96.6 million, and Euro (EUR) of 23.4 million on its Revolving Credit Facility, included in the Outstanding Principal amount in the table above.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125" w:name="page126"/>
    <w:bookmarkEnd w:id="125"/>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2022 and December 31, 2021,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right="520" w:firstLine="255"/>
        <w:spacing w:after="0" w:line="276" w:lineRule="auto"/>
        <w:rPr>
          <w:sz w:val="20"/>
          <w:szCs w:val="20"/>
          <w:color w:val="auto"/>
        </w:rPr>
      </w:pPr>
      <w:r>
        <w:rPr>
          <w:rFonts w:ascii="Times New Roman" w:cs="Times New Roman" w:eastAsia="Times New Roman" w:hAnsi="Times New Roman"/>
          <w:sz w:val="17"/>
          <w:szCs w:val="17"/>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7"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54" w:lineRule="exact"/>
        <w:rPr>
          <w:sz w:val="20"/>
          <w:szCs w:val="20"/>
          <w:color w:val="auto"/>
        </w:rPr>
      </w:pPr>
    </w:p>
    <w:p>
      <w:pPr>
        <w:ind w:left="520" w:hanging="257"/>
        <w:spacing w:after="0"/>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1600" w:hanging="257"/>
        <w:spacing w:after="0" w:line="282"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January 31, 2020; and</w:t>
      </w:r>
    </w:p>
    <w:p>
      <w:pPr>
        <w:spacing w:after="0" w:line="53" w:lineRule="exact"/>
        <w:rPr>
          <w:rFonts w:ascii="Times New Roman" w:cs="Times New Roman" w:eastAsia="Times New Roman" w:hAnsi="Times New Roman"/>
          <w:sz w:val="18"/>
          <w:szCs w:val="18"/>
          <w:color w:val="auto"/>
        </w:rPr>
      </w:pPr>
    </w:p>
    <w:p>
      <w:pPr>
        <w:ind w:left="520" w:right="1460" w:hanging="257"/>
        <w:spacing w:after="0" w:line="261"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Net proceeds received from the issuance of the 2022 Convertible Notes, 2023 Notes, 2024 Notes and 2026 Notes were used to pay down borrowings on the Revolving Credit Facility.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2022, the Company was in compliance with the terms of the Revolving Credit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ind w:right="20" w:firstLine="255"/>
        <w:spacing w:after="0" w:line="271" w:lineRule="auto"/>
        <w:rPr>
          <w:sz w:val="20"/>
          <w:szCs w:val="20"/>
          <w:color w:val="auto"/>
        </w:rPr>
      </w:pPr>
      <w:r>
        <w:rPr>
          <w:rFonts w:ascii="Times New Roman" w:cs="Times New Roman" w:eastAsia="Times New Roman" w:hAnsi="Times New Roman"/>
          <w:sz w:val="17"/>
          <w:szCs w:val="17"/>
          <w:color w:val="auto"/>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in a registered public offering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the Company’s 2022 Convertible Notes issued in February 2017. The 2022 Convertible Notes matured on August 1, 2022.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17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on the open market and extinguished $29.7 million in aggregate principal amount of the 2022 Convertible Notes for $29.5 million. In connection with the repurchases of the 2022 Convertible Notes, the Company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6" w:name="page127"/>
    <w:bookmarkEnd w:id="126"/>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were entitled to convert their notes at any time.</w:t>
      </w:r>
    </w:p>
    <w:p>
      <w:pPr>
        <w:spacing w:after="0" w:line="176"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During the three months ended December 31, 2021, $42.8 million of principal of the 2022 Convertible Notes were converted and were settled with a combination of cash and 2,324,820 shares of the Company’s common stock. In connection with the settlement of the 2022 Convertible Notes, the Company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19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On January 26, 2022, the Company notified the trustee and holders of the 2022 Convertible Notes that the terms of settlement for the notes at the Company’s election was a combination settlement of cash and stock to occur after the 40 day observation period described in the notes indenture. The Company elected to settle any 2022 Convertible Notes that were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components of interest expense related to the Convertible Notes were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r>
      <w:tr>
        <w:trPr>
          <w:trHeight w:val="23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shd w:val="clear" w:color="auto" w:fill="CFF0FC"/>
          </w:tcPr>
          <w:p>
            <w:pPr>
              <w:spacing w:after="0"/>
              <w:rPr>
                <w:sz w:val="20"/>
                <w:szCs w:val="20"/>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r>
      <w:tr>
        <w:trPr>
          <w:trHeight w:val="24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-187960</wp:posOffset>
            </wp:positionV>
            <wp:extent cx="68580" cy="18859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1885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4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years ended December 31, 2022, 2021 and 2020, the Company received $5.8 million, $8.9 million, and $8.4 million, respectively, and paid $4.9 million, $6.1 million, and $6.4 million, respectively, related to the quarterly settlement of its interest rate swaps. These net amounts are included in interest expense in the Company’s Consolidated Statements of Operations. Please see Note 5 for further information about the Company’s interest rate swaps.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December 31, 2022 and 2021, the components of the carrying value of the 2022 Convertible Notes and the stated interest rate were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99,673</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-173990</wp:posOffset>
            </wp:positionV>
            <wp:extent cx="1251585" cy="1803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51585" cy="180340"/>
                    </a:xfrm>
                    <a:prstGeom prst="rect">
                      <a:avLst/>
                    </a:prstGeom>
                    <a:noFill/>
                  </pic:spPr>
                </pic:pic>
              </a:graphicData>
            </a:graphic>
          </wp:anchor>
        </w:drawing>
      </w:r>
    </w:p>
    <w:p>
      <w:pPr>
        <w:spacing w:after="0" w:line="240"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was three month LIBOR plus 2.11% (on a weighted average basis) for the 2022 Convertible Notes. Please see Note 5 for further information about the Company’s interest rate swaps.</w:t>
      </w:r>
    </w:p>
    <w:p>
      <w:pPr>
        <w:spacing w:after="0" w:line="17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2022 Convertible Notes were accounted for in accordance with ASC Topic 470-20. During the period ended March 31, 2021, the Company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the Company calculated diluted earnings per shares using the if-converted method which assumed full share settlement for the aggregate value of the 2022 Convertible Notes.</w:t>
      </w:r>
    </w:p>
    <w:p>
      <w:pPr>
        <w:spacing w:after="0" w:line="183"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In accordance with the settlement method, the Company issued a total of 4,360,125 shares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7" w:name="page128"/>
    <w:bookmarkEnd w:id="127"/>
    <w:p>
      <w:pPr>
        <w:ind w:right="140"/>
        <w:spacing w:after="0" w:line="261" w:lineRule="auto"/>
        <w:rPr>
          <w:sz w:val="20"/>
          <w:szCs w:val="20"/>
          <w:color w:val="auto"/>
        </w:rPr>
      </w:pPr>
      <w:r>
        <w:rPr>
          <w:rFonts w:ascii="Times New Roman" w:cs="Times New Roman" w:eastAsia="Times New Roman" w:hAnsi="Times New Roman"/>
          <w:sz w:val="18"/>
          <w:szCs w:val="18"/>
          <w:color w:val="auto"/>
        </w:rPr>
        <w:t>common stock, or $77.6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3"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2023 Notes offering, the Company entered into an interest rate swap to align the interest rates of its liabilities with the Company’s investment portfolio, which consists of predominately floating rate loans. The notional amount of the interest rate swap is $150.0 million, which matured on January 22, 2023, matching the maturity date of the 2023 Notes. As a result of the swap, the Company’s effective interest rate on the 2023 Notes was three-month LIBOR plus 1.99%. See Note 5 for further information about the Company’s interest rate swaps.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December 31, 2022, and 2021, the effective hedge interest rate swaps had a fair value of $(19.4) million and $4.4 million, respectively, which is offset within interest expense by an equal, but opposite, fair value change for the hedged risk on the 2024 Notes.</w:t>
      </w:r>
    </w:p>
    <w:p>
      <w:pPr>
        <w:spacing w:after="0" w:line="192"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 plus 2.28% (on a weighted average basis).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For the years ended December 31, 2022 and 2021, the effective hedge interest rate swaps had a fair value of $(35.7) million and $(10.2), respectively, which is offset within interest expense by an equal, but opposite, fair value change for the hedged risk on the 2026 Notes.</w:t>
      </w:r>
    </w:p>
    <w:p>
      <w:pPr>
        <w:spacing w:after="0" w:line="189"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components of interest expense related to the 2023 Notes, 2024 Notes and 2026 Notes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Pr>
          <w:p>
            <w:pPr>
              <w:spacing w:after="0"/>
              <w:rPr>
                <w:sz w:val="16"/>
                <w:szCs w:val="16"/>
                <w:color w:val="auto"/>
              </w:rPr>
            </w:pPr>
          </w:p>
        </w:tc>
      </w:tr>
      <w:tr>
        <w:trPr>
          <w:trHeight w:val="23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80" w:type="dxa"/>
            <w:vAlign w:val="bottom"/>
            <w:shd w:val="clear" w:color="auto" w:fill="CFF0FC"/>
          </w:tcPr>
          <w:p>
            <w:pPr>
              <w:spacing w:after="0"/>
              <w:rPr>
                <w:sz w:val="20"/>
                <w:szCs w:val="20"/>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8"/>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68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64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8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-187960</wp:posOffset>
            </wp:positionV>
            <wp:extent cx="60325" cy="1885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51435" cy="1885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18"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2023 Notes, 2024 Notes and 2026 Notes. During the years ended December 31, 2022, 2021 and 2020, the Company received $27.9 million, $27.2 million, and $20.2 million, respectively, and paid $31.4 million, $17.8 million and $15.7 million, respectively, related to the settlements of its interest rate swaps related to the 2023 Notes, 2024 Notes and 2026 Notes. These net amounts are included in interest expense in the Company’s consolidated statements of operations. Please see Note 5 for further information about the Company’s interest rate swaps.</w:t>
      </w:r>
    </w:p>
    <w:p>
      <w:pPr>
        <w:spacing w:after="0" w:line="183"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components of the carrying value of the 2023 Notes, 2024 Notes and 2026 Notes and the stated interest rates were as follows:</w:t>
      </w:r>
    </w:p>
    <w:p>
      <w:pPr>
        <w:spacing w:after="0" w:line="223"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40" w:type="dxa"/>
            <w:vAlign w:val="bottom"/>
          </w:tcPr>
          <w:p>
            <w:pPr>
              <w:spacing w:after="0"/>
              <w:rPr>
                <w:sz w:val="19"/>
                <w:szCs w:val="19"/>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0" w:type="dxa"/>
            <w:vAlign w:val="bottom"/>
          </w:tcPr>
          <w:p>
            <w:pPr>
              <w:spacing w:after="0"/>
              <w:rPr>
                <w:sz w:val="1"/>
                <w:szCs w:val="1"/>
                <w:color w:val="auto"/>
              </w:rPr>
            </w:pPr>
          </w:p>
        </w:tc>
      </w:tr>
      <w:tr>
        <w:trPr>
          <w:trHeight w:val="237"/>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(721 )</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(1,468 )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(1,091 )</w:t>
            </w: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(1,853 )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(1,869 )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(2,679 )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(2,886 )</w:t>
            </w: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(3,426 )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an effective</w:t>
            </w:r>
          </w:p>
        </w:tc>
        <w:tc>
          <w:tcPr>
            <w:tcW w:w="140" w:type="dxa"/>
            <w:vAlign w:val="bottom"/>
          </w:tcPr>
          <w:p>
            <w:pPr>
              <w:spacing w:after="0"/>
              <w:rPr>
                <w:sz w:val="18"/>
                <w:szCs w:val="18"/>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(19,418 )</w:t>
            </w:r>
          </w:p>
        </w:tc>
        <w:tc>
          <w:tcPr>
            <w:tcW w:w="14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(35,665 )</w:t>
            </w:r>
          </w:p>
        </w:tc>
        <w:tc>
          <w:tcPr>
            <w:tcW w:w="14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(10,239 )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hedge</w:t>
            </w: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149,960</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325,492</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260,188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149,306</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347,896</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284,482</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4.50 </w:t>
            </w:r>
            <w:r>
              <w:rPr>
                <w:rFonts w:ascii="Times New Roman" w:cs="Times New Roman" w:eastAsia="Times New Roman" w:hAnsi="Times New Roman"/>
                <w:sz w:val="18"/>
                <w:szCs w:val="18"/>
                <w:color w:val="auto"/>
                <w:highlight w:val="white"/>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3.875 </w:t>
            </w:r>
            <w:r>
              <w:rPr>
                <w:rFonts w:ascii="Times New Roman" w:cs="Times New Roman" w:eastAsia="Times New Roman" w:hAnsi="Times New Roman"/>
                <w:sz w:val="18"/>
                <w:szCs w:val="18"/>
                <w:color w:val="auto"/>
                <w:highlight w:val="white"/>
              </w:rPr>
              <w:t>%</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8"/>
                <w:szCs w:val="18"/>
                <w:color w:val="auto"/>
                <w:highlight w:val="white"/>
              </w:rPr>
              <w:t>%</w:t>
            </w: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4.50 </w:t>
            </w:r>
            <w:r>
              <w:rPr>
                <w:rFonts w:ascii="Times New Roman" w:cs="Times New Roman" w:eastAsia="Times New Roman" w:hAnsi="Times New Roman"/>
                <w:sz w:val="18"/>
                <w:szCs w:val="18"/>
                <w:color w:val="auto"/>
                <w:highlight w:val="white"/>
              </w:rPr>
              <w:t>%</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3.875 </w:t>
            </w:r>
            <w:r>
              <w:rPr>
                <w:rFonts w:ascii="Times New Roman" w:cs="Times New Roman" w:eastAsia="Times New Roman" w:hAnsi="Times New Roman"/>
                <w:sz w:val="18"/>
                <w:szCs w:val="18"/>
                <w:color w:val="auto"/>
                <w:highlight w:val="white"/>
              </w:rPr>
              <w:t>%</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-173990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-173990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-173990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-173990</wp:posOffset>
            </wp:positionV>
            <wp:extent cx="603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-173990</wp:posOffset>
            </wp:positionV>
            <wp:extent cx="603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-173990</wp:posOffset>
            </wp:positionV>
            <wp:extent cx="596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4"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December 31, 2022 and 2021 the Company’s swap-adjusted interest rate on the 2023 Notes, 2024 Notes and 2026 Notes is three month LIBOR plus 1.99%, 2.28% (on a weighted average basis) and 1.91%, respectively.</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the Company was in compliance with the terms of the indentures governing the 2023 Notes, 2024 Notes and 2026 Notes.</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9" w:right="4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2022 and December 31, 2021, the Company had the following commitments to fund investments in current portfolio companies: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Pr>
          <w:p>
            <w:pPr>
              <w:spacing w:after="0"/>
              <w:rPr>
                <w:sz w:val="14"/>
                <w:szCs w:val="14"/>
                <w:color w:val="auto"/>
              </w:rPr>
            </w:pPr>
          </w:p>
        </w:tc>
      </w:tr>
      <w:tr>
        <w:trPr>
          <w:trHeight w:val="15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Alpha Midco, Inc. - Delayed Draw</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4,444</w:t>
            </w:r>
          </w:p>
        </w:tc>
        <w:tc>
          <w:tcPr>
            <w:tcW w:w="100" w:type="dxa"/>
            <w:vAlign w:val="bottom"/>
            <w:shd w:val="clear" w:color="auto" w:fill="CFF0FC"/>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American Achievement, Corp. -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ASG II, LLC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Avalara, Inc. -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AvidXchange, Inc.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Axonify, Inc.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Bayshore Intermediate #2, L.P. -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BCTO Ace Purchaser, Inc.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Bear OpCo, LLC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Biohaven Pharmaceuticals, Inc.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BlueSnap, Inc.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BTRS Holdings, Inc.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Carlstar Group, LLC -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Clinicient, Inc. -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Cordance Operations, LLC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12,093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CrunchTime Information Systems, Inc.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DaySmart Holdings, LLC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4,630</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Destiny Solutions Parent Holding Company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6,478</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Dye &amp; Durham Corp.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7,884</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EDB Parent, LLC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Elysian Finco Ltd.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Employment Hero Holdings Pty Ltd.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16,722</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EMS Linq, Inc. -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8,784</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Erling Lux Bidco SARL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ExtraHop Networks, Inc.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17,050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24,389</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ForeScout Technologies, Inc.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 Treasury SS, LLC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6,986</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Hornetsecurity Holding GmbH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Ibis Intermediate Co.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IntelePeer Holdings, Inc.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2,643</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IRGSE Holding Corp. -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Kyriba Corp.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LeanTaaS Holdings, Inc.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47,218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Lithium Technologies, LLC -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Lucidworks, Inc.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Murchison Oil and Gas, LLC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Netwrix Corp.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13,881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6,351</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Neuintel, LLC - Delayed Draw</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OutSystems Luxco SARL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PageUp People, Ltd.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30,173</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Passport Labs, Inc.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8,334</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Ping Identity Holding Corp. -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PrimePay Intermediate, LLC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PrimeRevenue, Inc.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Project44, Inc.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ReliaQuest Holdings, LLC - Delayed Draw &amp;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29,877</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Tango Management Consulting, LLC - Delayed Draw &amp; Revolver</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26,576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38,750</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TRP Assets, LLC - Delayed Draw and Membership Interest</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100" w:type="dxa"/>
            <w:vAlign w:val="bottom"/>
          </w:tcPr>
          <w:p>
            <w:pPr>
              <w:spacing w:after="0"/>
              <w:rPr>
                <w:sz w:val="14"/>
                <w:szCs w:val="14"/>
                <w:color w:val="auto"/>
              </w:rPr>
            </w:pPr>
          </w:p>
        </w:tc>
      </w:tr>
      <w:tr>
        <w:trPr>
          <w:trHeight w:val="162"/>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Verdad Resources Intermediate Holdings, LLC - Delayed Draw</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7,778</w:t>
            </w:r>
          </w:p>
        </w:tc>
        <w:tc>
          <w:tcPr>
            <w:tcW w:w="100" w:type="dxa"/>
            <w:vAlign w:val="bottom"/>
            <w:shd w:val="clear" w:color="auto" w:fill="CFF0FC"/>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WideOrbit, Inc. - Revolver</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100" w:type="dxa"/>
            <w:vAlign w:val="bottom"/>
          </w:tcPr>
          <w:p>
            <w:pPr>
              <w:spacing w:after="0"/>
              <w:rPr>
                <w:sz w:val="14"/>
                <w:szCs w:val="14"/>
                <w:color w:val="auto"/>
              </w:rPr>
            </w:pPr>
          </w:p>
        </w:tc>
      </w:tr>
      <w:tr>
        <w:trPr>
          <w:trHeight w:val="162"/>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Workwell Acquisition Co. - Delayed Draw</w:t>
            </w:r>
          </w:p>
        </w:tc>
        <w:tc>
          <w:tcPr>
            <w:tcW w:w="16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66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Total Portfolio Company Commitments </w:t>
            </w:r>
            <w:r>
              <w:rPr>
                <w:rFonts w:ascii="Times New Roman" w:cs="Times New Roman" w:eastAsia="Times New Roman" w:hAnsi="Times New Roman"/>
                <w:sz w:val="16"/>
                <w:szCs w:val="16"/>
                <w:b w:val="1"/>
                <w:bCs w:val="1"/>
                <w:color w:val="auto"/>
                <w:vertAlign w:val="superscript"/>
              </w:rPr>
              <w:t>(1)(2)</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338,043</w:t>
            </w:r>
          </w:p>
        </w:tc>
        <w:tc>
          <w:tcPr>
            <w:tcW w:w="40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332,074</w:t>
            </w:r>
          </w:p>
        </w:tc>
        <w:tc>
          <w:tcPr>
            <w:tcW w:w="100" w:type="dxa"/>
            <w:vAlign w:val="bottom"/>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-136525</wp:posOffset>
            </wp:positionV>
            <wp:extent cx="60325"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-136525</wp:posOffset>
            </wp:positionV>
            <wp:extent cx="60325" cy="1371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0325" cy="137160"/>
                    </a:xfrm>
                    <a:prstGeom prst="rect">
                      <a:avLst/>
                    </a:prstGeom>
                    <a:noFill/>
                  </pic:spPr>
                </pic:pic>
              </a:graphicData>
            </a:graphic>
          </wp:anchor>
        </w:drawing>
      </w:r>
    </w:p>
    <w:p>
      <w:pPr>
        <w:spacing w:after="0" w:line="97" w:lineRule="exact"/>
        <w:rPr>
          <w:sz w:val="20"/>
          <w:szCs w:val="20"/>
          <w:color w:val="auto"/>
        </w:rPr>
      </w:pPr>
    </w:p>
    <w:p>
      <w:pPr>
        <w:ind w:left="380" w:right="460" w:hanging="372"/>
        <w:spacing w:after="0" w:line="260" w:lineRule="auto"/>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380" w:right="680" w:hanging="372"/>
        <w:spacing w:after="0" w:line="282" w:lineRule="auto"/>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2022 and 2021, management is not aware of any material pending or threatened litigation that would require accounting recognition or financial statement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22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In December 2021, the Company issued a total of 2,324,820 shares of common stock as settlement for the conversion of $42.8 million principal amount of the 2022 Convertible Notes.</w:t>
      </w:r>
    </w:p>
    <w:p>
      <w:pPr>
        <w:spacing w:after="0" w:line="162"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August 2022, the Company issued a total of 4,360,125 shares of common stock, or $77.6 million as settlement for the conversion of $79.2 million principal amount of the 2022 Convertible Notes.</w:t>
      </w:r>
    </w:p>
    <w:p>
      <w:pPr>
        <w:spacing w:after="0" w:line="16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8"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years ended December 31, 2022 and 2021. All shares issued to stockholders in the tables below are newly issued shares.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3"/>
          </w:tcPr>
          <w:p>
            <w:pPr>
              <w:jc w:val="center"/>
              <w:ind w:left="15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left="15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Dividend </w:t>
            </w:r>
            <w:r>
              <w:rPr>
                <w:rFonts w:ascii="Times New Roman" w:cs="Times New Roman" w:eastAsia="Times New Roman" w:hAnsi="Times New Roman"/>
                <w:sz w:val="19"/>
                <w:szCs w:val="19"/>
                <w:b w:val="1"/>
                <w:bCs w:val="1"/>
                <w:color w:val="auto"/>
                <w:w w:val="98"/>
                <w:vertAlign w:val="superscript"/>
              </w:rPr>
              <w:t>(1)</w:t>
            </w: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tcPr>
          <w:p>
            <w:pPr>
              <w:jc w:val="right"/>
              <w:ind w:right="774"/>
              <w:spacing w:after="0" w:line="158" w:lineRule="exact"/>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tcPr>
          <w:p>
            <w:pPr>
              <w:spacing w:after="0"/>
              <w:rPr>
                <w:sz w:val="16"/>
                <w:szCs w:val="16"/>
                <w:color w:val="auto"/>
              </w:rPr>
            </w:pPr>
          </w:p>
        </w:tc>
        <w:tc>
          <w:tcPr>
            <w:tcW w:w="17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2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0"/>
                <w:szCs w:val="20"/>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15, 2021</w:t>
            </w:r>
          </w:p>
        </w:tc>
        <w:tc>
          <w:tcPr>
            <w:tcW w:w="12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14, 2022</w:t>
            </w:r>
          </w:p>
        </w:tc>
        <w:tc>
          <w:tcPr>
            <w:tcW w:w="10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233,542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February 28,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65,596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1"/>
                <w:szCs w:val="21"/>
                <w:color w:val="auto"/>
              </w:rPr>
            </w:pPr>
          </w:p>
        </w:tc>
        <w:tc>
          <w:tcPr>
            <w:tcW w:w="286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March 15, 2022</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18, 2022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239,376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May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1"/>
                <w:szCs w:val="21"/>
                <w:color w:val="auto"/>
              </w:rPr>
            </w:pPr>
          </w:p>
        </w:tc>
        <w:tc>
          <w:tcPr>
            <w:tcW w:w="286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June 15, 2022</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15, 2022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294,337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September 15,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2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Borders>
              <w:bottom w:val="single" w:sz="8" w:color="CFF0FC"/>
            </w:tcBorders>
            <w:shd w:val="clear" w:color="auto" w:fill="CFF0FC"/>
          </w:tcPr>
          <w:p>
            <w:pPr>
              <w:spacing w:after="0"/>
              <w:rPr>
                <w:sz w:val="21"/>
                <w:szCs w:val="21"/>
                <w:color w:val="auto"/>
              </w:rPr>
            </w:pPr>
          </w:p>
        </w:tc>
        <w:tc>
          <w:tcPr>
            <w:tcW w:w="2860" w:type="dxa"/>
            <w:vAlign w:val="bottom"/>
            <w:tcBorders>
              <w:bottom w:val="single" w:sz="8" w:color="CFF0FC"/>
            </w:tcBorders>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December 15, 2022</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405,986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1,625,826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8"/>
                <w:szCs w:val="18"/>
                <w:color w:val="auto"/>
              </w:rPr>
              <w:t>F-42</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31" w:name="page132"/>
    <w:bookmarkEnd w:id="131"/>
    <w:tbl>
      <w:tblPr>
        <w:tblLayout w:type="fixed"/>
        <w:tblInd w:w="58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3"/>
          </w:tcPr>
          <w:p>
            <w:pPr>
              <w:jc w:val="center"/>
              <w:ind w:left="15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left="15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Dividend </w:t>
            </w:r>
            <w:r>
              <w:rPr>
                <w:rFonts w:ascii="Times New Roman" w:cs="Times New Roman" w:eastAsia="Times New Roman" w:hAnsi="Times New Roman"/>
                <w:sz w:val="19"/>
                <w:szCs w:val="19"/>
                <w:b w:val="1"/>
                <w:bCs w:val="1"/>
                <w:color w:val="auto"/>
                <w:w w:val="98"/>
                <w:vertAlign w:val="superscript"/>
              </w:rPr>
              <w:t>(1)</w:t>
            </w: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tcPr>
          <w:p>
            <w:pPr>
              <w:jc w:val="right"/>
              <w:ind w:right="773"/>
              <w:spacing w:after="0" w:line="158" w:lineRule="exact"/>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tcPr>
          <w:p>
            <w:pPr>
              <w:spacing w:after="0"/>
              <w:rPr>
                <w:sz w:val="16"/>
                <w:szCs w:val="16"/>
                <w:color w:val="auto"/>
              </w:rPr>
            </w:pPr>
          </w:p>
        </w:tc>
        <w:tc>
          <w:tcPr>
            <w:tcW w:w="17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4, 2020</w:t>
            </w:r>
          </w:p>
        </w:tc>
        <w:tc>
          <w:tcPr>
            <w:tcW w:w="12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0"/>
                <w:szCs w:val="20"/>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15, 2020</w:t>
            </w:r>
          </w:p>
        </w:tc>
        <w:tc>
          <w:tcPr>
            <w:tcW w:w="12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15, 2021</w:t>
            </w:r>
          </w:p>
        </w:tc>
        <w:tc>
          <w:tcPr>
            <w:tcW w:w="10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February 26,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1"/>
                <w:szCs w:val="21"/>
                <w:color w:val="auto"/>
              </w:rPr>
            </w:pPr>
          </w:p>
        </w:tc>
        <w:tc>
          <w:tcPr>
            <w:tcW w:w="286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March 15, 2021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15, 2021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March 25,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8, 2021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shd w:val="clear" w:color="auto" w:fill="CFF0FC"/>
          </w:tcPr>
          <w:p>
            <w:pPr>
              <w:spacing w:after="0"/>
              <w:rPr>
                <w:sz w:val="21"/>
                <w:szCs w:val="21"/>
                <w:color w:val="auto"/>
              </w:rPr>
            </w:pPr>
          </w:p>
        </w:tc>
        <w:tc>
          <w:tcPr>
            <w:tcW w:w="286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May 28, 2021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June 15,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shd w:val="clear" w:color="auto" w:fill="CFF0FC"/>
          </w:tcPr>
          <w:p>
            <w:pPr>
              <w:spacing w:after="0"/>
              <w:rPr>
                <w:sz w:val="21"/>
                <w:szCs w:val="21"/>
                <w:color w:val="auto"/>
              </w:rPr>
            </w:pPr>
          </w:p>
        </w:tc>
        <w:tc>
          <w:tcPr>
            <w:tcW w:w="286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August 31, 2021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0"/>
                <w:szCs w:val="20"/>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September 15,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shd w:val="clear" w:color="auto" w:fill="CFF0FC"/>
          </w:tcPr>
          <w:p>
            <w:pPr>
              <w:spacing w:after="0"/>
              <w:rPr>
                <w:sz w:val="21"/>
                <w:szCs w:val="21"/>
                <w:color w:val="auto"/>
              </w:rPr>
            </w:pPr>
          </w:p>
        </w:tc>
        <w:tc>
          <w:tcPr>
            <w:tcW w:w="286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November 30, 2021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40" w:type="dxa"/>
            <w:vAlign w:val="bottom"/>
          </w:tcPr>
          <w:p>
            <w:pPr>
              <w:spacing w:after="0"/>
              <w:rPr>
                <w:sz w:val="21"/>
                <w:szCs w:val="21"/>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December 7,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 2021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303,561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1,712,824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supplemental and special dividends.</w:t>
      </w:r>
    </w:p>
    <w:p>
      <w:pPr>
        <w:spacing w:after="0" w:line="225"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183"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368,206 shares at a weighted average price per share of $16.75 inclusive of commissions, for a total cost of $6.2 million. For the year ended December 31, 2021, no shares were repurchased.</w:t>
      </w:r>
    </w:p>
    <w:p>
      <w:pPr>
        <w:spacing w:after="0" w:line="144" w:lineRule="exact"/>
        <w:rPr>
          <w:sz w:val="20"/>
          <w:szCs w:val="20"/>
          <w:color w:val="auto"/>
        </w:rPr>
      </w:pPr>
    </w:p>
    <w:p>
      <w:pPr>
        <w:ind w:left="280" w:hanging="272"/>
        <w:spacing w:after="0"/>
        <w:tabs>
          <w:tab w:leader="none" w:pos="2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basic weighted average</w:t>
            </w: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78,197,826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72,169,488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67,209,078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1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increase in net assets per</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for interest expense and</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financing costs on 2022 Convertible</w:t>
            </w: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incentive fee and excise tax, net</w:t>
            </w: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216,974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basic weighted average</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78,197,826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72,169,488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67,209,078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dilutive effect of 2022 Convertible Notes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5,532,770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diluted weighted average</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78,197,826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77,702,258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67,209,078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-2085340</wp:posOffset>
            </wp:positionV>
            <wp:extent cx="68580" cy="1714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-2085340</wp:posOffset>
            </wp:positionV>
            <wp:extent cx="60325" cy="1714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-2085340</wp:posOffset>
            </wp:positionV>
            <wp:extent cx="60325" cy="1714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-1048385</wp:posOffset>
            </wp:positionV>
            <wp:extent cx="68580" cy="1631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-1048385</wp:posOffset>
            </wp:positionV>
            <wp:extent cx="60325" cy="1631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-1048385</wp:posOffset>
            </wp:positionV>
            <wp:extent cx="60325" cy="1631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21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2022 Convertible Notes were convertible into a combination of cash and shares of the Company’s common stock, which could have been dilutive to common stockholders. Diluted earnings per share is the amount of earnings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132" w:name="page133"/>
    <w:bookmarkEnd w:id="132"/>
    <w:p>
      <w:pPr>
        <w:ind w:right="140"/>
        <w:spacing w:after="0" w:line="282" w:lineRule="auto"/>
        <w:rPr>
          <w:sz w:val="20"/>
          <w:szCs w:val="20"/>
          <w:color w:val="auto"/>
        </w:rPr>
      </w:pPr>
      <w:r>
        <w:rPr>
          <w:rFonts w:ascii="Times New Roman" w:cs="Times New Roman" w:eastAsia="Times New Roman" w:hAnsi="Times New Roman"/>
          <w:sz w:val="18"/>
          <w:szCs w:val="18"/>
          <w:color w:val="auto"/>
        </w:rPr>
        <w:t>conversion of convertible securities at the beginning of the reporting period and is intended to show the maximum dilution effect to common stockholders regardless of how the conversion can occur.</w:t>
      </w:r>
    </w:p>
    <w:p>
      <w:pPr>
        <w:spacing w:after="0" w:line="189" w:lineRule="exact"/>
        <w:rPr>
          <w:sz w:val="20"/>
          <w:szCs w:val="20"/>
          <w:color w:val="auto"/>
        </w:rPr>
      </w:pPr>
    </w:p>
    <w:p>
      <w:pPr>
        <w:ind w:right="460" w:firstLine="255"/>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year ended December 31, 2021 was greater than the estimated adjusted conversion price for the 2022 Convertible Notes outstanding as of December 31, 2021. Therefore, for this period presented in the consolidated financial statements the Company applied the if-converted method for purposes of calculating diluted earnings per common share.</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daily closing prices of the Company’s common stock for the year ended December 31, 2020 was less than the estimated adjusted conversion prices for the 2022 Convertible Notes outstanding as of December 31, 2020. Therefore, for this period presented in the consolidated financial statements, the 2022 Convertible Notes have no impact on the computation of diluted earnings per common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right="680" w:firstLine="255"/>
        <w:spacing w:after="0" w:line="282"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
          </w:tcPr>
          <w:p>
            <w:pPr>
              <w:jc w:val="center"/>
              <w:ind w:left="14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center"/>
              <w:ind w:left="14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40" w:type="dxa"/>
            <w:vAlign w:val="bottom"/>
          </w:tcPr>
          <w:p>
            <w:pPr>
              <w:spacing w:after="0"/>
              <w:rPr>
                <w:sz w:val="14"/>
                <w:szCs w:val="14"/>
                <w:color w:val="auto"/>
              </w:rPr>
            </w:pPr>
          </w:p>
        </w:tc>
        <w:tc>
          <w:tcPr>
            <w:tcW w:w="29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7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17, 2022</w:t>
            </w:r>
          </w:p>
        </w:tc>
        <w:tc>
          <w:tcPr>
            <w:tcW w:w="18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shd w:val="clear" w:color="auto" w:fill="CFF0FC"/>
          </w:tcPr>
          <w:p>
            <w:pPr>
              <w:spacing w:after="0"/>
              <w:rPr>
                <w:sz w:val="20"/>
                <w:szCs w:val="20"/>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2022</w:t>
            </w:r>
          </w:p>
        </w:tc>
        <w:tc>
          <w:tcPr>
            <w:tcW w:w="14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2022</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17, 2022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0"/>
                <w:szCs w:val="20"/>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March 15,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18, 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3, 2022</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May 31, 2022</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 2022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0"/>
                <w:szCs w:val="20"/>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June 15,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 2022</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September 15, 2022</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1"/>
                <w:szCs w:val="21"/>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December 15,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30, 2022</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8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7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90"/>
        </w:trPr>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3"/>
          </w:tcPr>
          <w:p>
            <w:pPr>
              <w:jc w:val="center"/>
              <w:ind w:left="14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center"/>
              <w:ind w:left="14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40" w:type="dxa"/>
            <w:vAlign w:val="bottom"/>
          </w:tcPr>
          <w:p>
            <w:pPr>
              <w:spacing w:after="0"/>
              <w:rPr>
                <w:sz w:val="14"/>
                <w:szCs w:val="14"/>
                <w:color w:val="auto"/>
              </w:rPr>
            </w:pPr>
          </w:p>
        </w:tc>
        <w:tc>
          <w:tcPr>
            <w:tcW w:w="29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7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17, 2021</w:t>
            </w:r>
          </w:p>
        </w:tc>
        <w:tc>
          <w:tcPr>
            <w:tcW w:w="18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shd w:val="clear" w:color="auto" w:fill="CFF0FC"/>
          </w:tcPr>
          <w:p>
            <w:pPr>
              <w:spacing w:after="0"/>
              <w:rPr>
                <w:sz w:val="20"/>
                <w:szCs w:val="20"/>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26, 2021</w:t>
            </w:r>
          </w:p>
        </w:tc>
        <w:tc>
          <w:tcPr>
            <w:tcW w:w="14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2021</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17,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0"/>
                <w:szCs w:val="20"/>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March 15,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17, 2021</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4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March 25, 2021</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8, 2021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4,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Pr>
          <w:p>
            <w:pPr>
              <w:spacing w:after="0"/>
              <w:rPr>
                <w:sz w:val="20"/>
                <w:szCs w:val="20"/>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May 28,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4, 2021</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June 15, 2021</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15, 2021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Pr>
          <w:p>
            <w:pPr>
              <w:spacing w:after="0"/>
              <w:rPr>
                <w:sz w:val="20"/>
                <w:szCs w:val="20"/>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August 31,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3, 2021</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September 15, 2021</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15, 2021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Pr>
          <w:p>
            <w:pPr>
              <w:spacing w:after="0"/>
              <w:rPr>
                <w:sz w:val="20"/>
                <w:szCs w:val="20"/>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November 30,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 2021</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40" w:type="dxa"/>
            <w:vAlign w:val="bottom"/>
            <w:shd w:val="clear" w:color="auto" w:fill="CFF0FC"/>
          </w:tcPr>
          <w:p>
            <w:pPr>
              <w:spacing w:after="0"/>
              <w:rPr>
                <w:sz w:val="21"/>
                <w:szCs w:val="21"/>
                <w:color w:val="auto"/>
              </w:rPr>
            </w:pPr>
          </w:p>
        </w:tc>
        <w:tc>
          <w:tcPr>
            <w:tcW w:w="29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December 7, 2021</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 2021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21"/>
                <w:szCs w:val="21"/>
                <w:color w:val="auto"/>
              </w:rPr>
            </w:pPr>
          </w:p>
        </w:tc>
        <w:tc>
          <w:tcPr>
            <w:tcW w:w="29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December 15,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14, 2022</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8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7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631"/>
        </w:trPr>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F-44</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Pr>
          <w:p>
            <w:pPr>
              <w:spacing w:after="0"/>
              <w:rPr>
                <w:sz w:val="14"/>
                <w:szCs w:val="14"/>
                <w:color w:val="auto"/>
              </w:rPr>
            </w:pPr>
          </w:p>
        </w:tc>
        <w:tc>
          <w:tcPr>
            <w:tcW w:w="2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tcPr>
          <w:p>
            <w:pPr>
              <w:spacing w:after="0"/>
              <w:rPr>
                <w:sz w:val="14"/>
                <w:szCs w:val="14"/>
                <w:color w:val="auto"/>
              </w:rPr>
            </w:pPr>
          </w:p>
        </w:tc>
        <w:tc>
          <w:tcPr>
            <w:tcW w:w="2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19, 2020</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20" w:type="dxa"/>
            <w:vAlign w:val="bottom"/>
            <w:shd w:val="clear" w:color="auto" w:fill="CFF0FC"/>
          </w:tcPr>
          <w:p>
            <w:pPr>
              <w:spacing w:after="0"/>
              <w:rPr>
                <w:sz w:val="20"/>
                <w:szCs w:val="20"/>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2020</w:t>
            </w: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13, 2020</w:t>
            </w:r>
          </w:p>
        </w:tc>
        <w:tc>
          <w:tcPr>
            <w:tcW w:w="1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19, 2020</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Special</w:t>
            </w:r>
          </w:p>
        </w:tc>
        <w:tc>
          <w:tcPr>
            <w:tcW w:w="120" w:type="dxa"/>
            <w:vAlign w:val="bottom"/>
            <w:shd w:val="clear" w:color="auto" w:fill="CFF0FC"/>
          </w:tcPr>
          <w:p>
            <w:pPr>
              <w:spacing w:after="0"/>
              <w:rPr>
                <w:sz w:val="21"/>
                <w:szCs w:val="21"/>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15, 2020</w:t>
            </w: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30, 2020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Special</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2020</w:t>
            </w:r>
          </w:p>
        </w:tc>
        <w:tc>
          <w:tcPr>
            <w:tcW w:w="1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5, 2020</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20" w:type="dxa"/>
            <w:vAlign w:val="bottom"/>
            <w:shd w:val="clear" w:color="auto" w:fill="CFF0FC"/>
          </w:tcPr>
          <w:p>
            <w:pPr>
              <w:spacing w:after="0"/>
              <w:rPr>
                <w:sz w:val="21"/>
                <w:szCs w:val="21"/>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2020</w:t>
            </w: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15, 2020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4,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 2020</w:t>
            </w:r>
          </w:p>
        </w:tc>
        <w:tc>
          <w:tcPr>
            <w:tcW w:w="1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4, 2020</w:t>
            </w: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20" w:type="dxa"/>
            <w:vAlign w:val="bottom"/>
            <w:shd w:val="clear" w:color="auto" w:fill="CFF0FC"/>
          </w:tcPr>
          <w:p>
            <w:pPr>
              <w:spacing w:after="0"/>
              <w:rPr>
                <w:sz w:val="21"/>
                <w:szCs w:val="21"/>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30, 2020</w:t>
            </w: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2020</w:t>
            </w:r>
          </w:p>
        </w:tc>
        <w:tc>
          <w:tcPr>
            <w:tcW w:w="1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2021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8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4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3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2022, 2021 and 2020 were derived from net investment income and long-term capital gains, determined on a tax basis.</w:t>
      </w:r>
    </w:p>
    <w:p>
      <w:pPr>
        <w:spacing w:after="0" w:line="144" w:lineRule="exact"/>
        <w:rPr>
          <w:sz w:val="20"/>
          <w:szCs w:val="20"/>
          <w:color w:val="auto"/>
        </w:rPr>
      </w:pPr>
    </w:p>
    <w:p>
      <w:pPr>
        <w:ind w:left="280" w:hanging="272"/>
        <w:spacing w:after="0"/>
        <w:tabs>
          <w:tab w:leader="none" w:pos="2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character of shareholder distributions attributable to the fiscal years ended December 31, 2022, 2021 and 2020 were as follows: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Pr>
          <w:p>
            <w:pPr>
              <w:spacing w:after="0"/>
              <w:rPr>
                <w:sz w:val="14"/>
                <w:szCs w:val="14"/>
                <w:color w:val="auto"/>
              </w:rPr>
            </w:pPr>
          </w:p>
        </w:tc>
      </w:tr>
      <w:tr>
        <w:trPr>
          <w:trHeight w:val="237"/>
        </w:trPr>
        <w:tc>
          <w:tcPr>
            <w:tcW w:w="416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Ordinary Income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124,760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145,053</w:t>
            </w:r>
          </w:p>
        </w:tc>
        <w:tc>
          <w:tcPr>
            <w:tcW w:w="80" w:type="dxa"/>
            <w:vAlign w:val="bottom"/>
            <w:shd w:val="clear" w:color="auto" w:fill="CFF0FC"/>
          </w:tcPr>
          <w:p>
            <w:pPr>
              <w:spacing w:after="0"/>
              <w:rPr>
                <w:sz w:val="20"/>
                <w:szCs w:val="20"/>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Long-Term Capital Gains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tcPr>
          <w:p>
            <w:pPr>
              <w:spacing w:after="0"/>
              <w:rPr>
                <w:sz w:val="20"/>
                <w:szCs w:val="20"/>
                <w:color w:val="auto"/>
              </w:rPr>
            </w:pPr>
          </w:p>
        </w:tc>
      </w:tr>
      <w:tr>
        <w:trPr>
          <w:trHeight w:val="278"/>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261,490</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154,554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6032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032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514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right="36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2021 and 2020, 87.86%, 84.46%, and 80.87% of ordinary income qualified as interest related dividend which is exempt from U.S. withholding tax applicable to non-U.S. shareholders.</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basis components of distributable earnings for the years ended December 31, 2022, 2021 and 2020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net investment income - tax basis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90,377</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realized gains (losses) - tax</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(10,180 )</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(19,144 )</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(5,737 )</w:t>
            </w:r>
          </w:p>
        </w:tc>
        <w:tc>
          <w:tcPr>
            <w:tcW w:w="1120" w:type="dxa"/>
            <w:vAlign w:val="bottom"/>
          </w:tcPr>
          <w:p>
            <w:pPr>
              <w:spacing w:after="0"/>
              <w:rPr>
                <w:sz w:val="20"/>
                <w:szCs w:val="20"/>
                <w:color w:val="auto"/>
              </w:rPr>
            </w:pPr>
          </w:p>
        </w:tc>
      </w:tr>
      <w:tr>
        <w:trPr>
          <w:trHeight w:val="279"/>
        </w:trPr>
        <w:tc>
          <w:tcPr>
            <w:tcW w:w="1140" w:type="dxa"/>
            <w:vAlign w:val="bottom"/>
          </w:tcPr>
          <w:p>
            <w:pPr>
              <w:spacing w:after="0"/>
              <w:rPr>
                <w:sz w:val="24"/>
                <w:szCs w:val="24"/>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distributable earnings - book basis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90,103</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139,250</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1"/>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F-45</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-521970</wp:posOffset>
            </wp:positionV>
            <wp:extent cx="603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-504825</wp:posOffset>
            </wp:positionV>
            <wp:extent cx="603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-521970</wp:posOffset>
            </wp:positionV>
            <wp:extent cx="5143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-504825</wp:posOffset>
            </wp:positionV>
            <wp:extent cx="514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4" w:name="page135"/>
    <w:bookmarkEnd w:id="134"/>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The following reconciles increase in net assets resulting from operations for the fiscal years ended December 31, 2022, 2021 and 2020, to taxable income at December 31, 2022, 2021 and 2020:</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9"/>
        </w:trPr>
        <w:tc>
          <w:tcPr>
            <w:tcW w:w="4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Pr>
          <w:p>
            <w:pPr>
              <w:spacing w:after="0"/>
              <w:rPr>
                <w:sz w:val="14"/>
                <w:szCs w:val="14"/>
                <w:color w:val="auto"/>
              </w:rPr>
            </w:pPr>
          </w:p>
        </w:tc>
      </w:tr>
      <w:tr>
        <w:trPr>
          <w:trHeight w:val="23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108,053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211,780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80" w:type="dxa"/>
            <w:vAlign w:val="bottom"/>
            <w:shd w:val="clear" w:color="auto" w:fill="CFF0FC"/>
          </w:tcPr>
          <w:p>
            <w:pPr>
              <w:spacing w:after="0"/>
              <w:rPr>
                <w:sz w:val="20"/>
                <w:szCs w:val="20"/>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(40,546 )</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(33,695 )</w:t>
            </w:r>
          </w:p>
        </w:tc>
      </w:tr>
      <w:tr>
        <w:trPr>
          <w:trHeight w:val="211"/>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for tax purposes, not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book</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80" w:type="dxa"/>
            <w:vAlign w:val="bottom"/>
          </w:tcPr>
          <w:p>
            <w:pPr>
              <w:spacing w:after="0"/>
              <w:rPr>
                <w:sz w:val="20"/>
                <w:szCs w:val="20"/>
                <w:color w:val="auto"/>
              </w:rPr>
            </w:pPr>
          </w:p>
        </w:tc>
      </w:tr>
      <w:tr>
        <w:trPr>
          <w:trHeight w:val="250"/>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39"/>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80" w:type="dxa"/>
            <w:vAlign w:val="bottom"/>
          </w:tcPr>
          <w:p>
            <w:pPr>
              <w:spacing w:after="0"/>
              <w:rPr>
                <w:sz w:val="20"/>
                <w:szCs w:val="20"/>
                <w:color w:val="auto"/>
              </w:rPr>
            </w:pPr>
          </w:p>
        </w:tc>
      </w:tr>
      <w:tr>
        <w:trPr>
          <w:trHeight w:val="243"/>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(11,123 )</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(3,771 )</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(9,021 )</w:t>
            </w:r>
          </w:p>
        </w:tc>
      </w:tr>
      <w:tr>
        <w:trPr>
          <w:trHeight w:val="238"/>
        </w:trPr>
        <w:tc>
          <w:tcPr>
            <w:tcW w:w="4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Taxable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175,108</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172,711</w:t>
            </w: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169,155</w:t>
            </w:r>
          </w:p>
        </w:tc>
        <w:tc>
          <w:tcPr>
            <w:tcW w:w="80" w:type="dxa"/>
            <w:vAlign w:val="bottom"/>
            <w:tcBorders>
              <w:top w:val="single" w:sz="8" w:color="CFF0FC"/>
            </w:tcBorders>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-187960</wp:posOffset>
            </wp:positionV>
            <wp:extent cx="60325" cy="1885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51435" cy="18859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 Taxable income is an estimate and is not fully determined until the Company’s tax return is filed. The Company’s tax year end is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period April 1, 2022 through December 31, 2022, the Company increased distributable earnings and decreased additional paid in capital by $2.3 million which was primarily attributable to U.S. federal excise taxes.</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period April 1, 2021 through December 31, 2021, the Company increased distributable earnings and decreased additional paid in capital by $0.1 million which was primarily attributable to U.S. federal excise taxes.</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period April 1, 2020 through December 31, 2020, the Company increased distributable earnings and decreased additional paid in capital by $4.0 million attributable to U.S. federal excise taxes.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0"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a deferred tax liability of $3.3 million pertaining to unrealized gains, related to five of its investments. Given the unrealized gains generated by this entity, the deferred tax liability has been offset by a deferred tax asset of $0.8 million pertaining to operating losses.</w:t>
      </w:r>
    </w:p>
    <w:p>
      <w:pPr>
        <w:spacing w:after="0" w:line="176"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a deferred tax liability of $2.8 million pertaining to unrealized gains, related to six of its investments. Given the unrealized gains generated by the entity, the deferred tax liability has been offset by a deferred tax asset of $0.9 million pertaining to operating losses. The Company carried back a portion of its operating losses to the previous tax years generating a $0.3 million tax refund.</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a deferred tax asset of $0.4 million pertaining to operating losses, related to one of its investments. Given the losses generated by the entity, the deferred tax asset has been offset by a valuation allowance of $0.4 million.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cost of the Company’s investments as of December 31, 2022 was $2,787,005, resulting in estimated gross unrealized gains and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$109,609 and $105,786, respectively. The tax cost of the Company’s investments as of December 31, 2021 was $2,445,863, resulting in estimated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of $156,819 and $79,599, respectively. The tax cost of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135" w:name="page136"/>
    <w:bookmarkEnd w:id="135"/>
    <w:p>
      <w:pPr>
        <w:ind w:right="500"/>
        <w:spacing w:after="0" w:line="282" w:lineRule="auto"/>
        <w:rPr>
          <w:sz w:val="20"/>
          <w:szCs w:val="20"/>
          <w:color w:val="auto"/>
        </w:rPr>
      </w:pPr>
      <w:r>
        <w:rPr>
          <w:rFonts w:ascii="Times New Roman" w:cs="Times New Roman" w:eastAsia="Times New Roman" w:hAnsi="Times New Roman"/>
          <w:sz w:val="18"/>
          <w:szCs w:val="18"/>
          <w:color w:val="auto"/>
        </w:rPr>
        <w:t>Company’s investments as of December 31, 2020 was $2,285,393, resulting in estimated gross unrealized gains and losses of $125,374 and $101,215, respectively.</w:t>
      </w:r>
    </w:p>
    <w:p>
      <w:pPr>
        <w:spacing w:after="0" w:line="162" w:lineRule="exact"/>
        <w:rPr>
          <w:sz w:val="20"/>
          <w:szCs w:val="20"/>
          <w:color w:val="auto"/>
        </w:rPr>
      </w:pPr>
    </w:p>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year ended December 31, 2022 and 2021, a net expense of $2.2 million and $0.7 million, respectively, was recorded for U.S. federal excise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2022, 2021, 2020, 2019 and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(7)</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3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realized and unrealized</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340" w:type="dxa"/>
            <w:vAlign w:val="bottom"/>
            <w:shd w:val="clear" w:color="auto" w:fill="CFF0FC"/>
          </w:tcPr>
          <w:p>
            <w:pPr>
              <w:ind w:left="160"/>
              <w:spacing w:after="0" w:line="255" w:lineRule="exact"/>
              <w:rPr>
                <w:sz w:val="20"/>
                <w:szCs w:val="20"/>
                <w:color w:val="auto"/>
              </w:rPr>
            </w:pPr>
            <w:r>
              <w:rPr>
                <w:rFonts w:ascii="Times New Roman" w:cs="Times New Roman" w:eastAsia="Times New Roman" w:hAnsi="Times New Roman"/>
                <w:sz w:val="18"/>
                <w:szCs w:val="18"/>
                <w:color w:val="auto"/>
              </w:rPr>
              <w:t xml:space="preserve">gains (losses)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(0.75 )</w:t>
            </w: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(0.39 )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3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from operations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34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offering costs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Settlement of 2022 Convertible Notes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(0.02 )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Repurchase of debt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0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3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Dividends declared from net</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34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23"/>
                <w:szCs w:val="23"/>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shd w:val="clear" w:color="auto" w:fill="CFF0FC"/>
          </w:tcPr>
          <w:p>
            <w:pPr>
              <w:spacing w:after="0"/>
              <w:rPr>
                <w:sz w:val="23"/>
                <w:szCs w:val="23"/>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(2.07 )</w:t>
            </w:r>
          </w:p>
        </w:tc>
        <w:tc>
          <w:tcPr>
            <w:tcW w:w="200" w:type="dxa"/>
            <w:vAlign w:val="bottom"/>
            <w:shd w:val="clear" w:color="auto" w:fill="CFF0FC"/>
          </w:tcPr>
          <w:p>
            <w:pPr>
              <w:spacing w:after="0"/>
              <w:rPr>
                <w:sz w:val="23"/>
                <w:szCs w:val="23"/>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8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Dividends declared from realized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340" w:type="dxa"/>
            <w:vAlign w:val="bottom"/>
          </w:tcPr>
          <w:p>
            <w:pPr>
              <w:ind w:left="160"/>
              <w:spacing w:after="0" w:line="255" w:lineRule="exact"/>
              <w:rPr>
                <w:sz w:val="20"/>
                <w:szCs w:val="20"/>
                <w:color w:val="auto"/>
              </w:rPr>
            </w:pPr>
            <w:r>
              <w:rPr>
                <w:rFonts w:ascii="Times New Roman" w:cs="Times New Roman" w:eastAsia="Times New Roman" w:hAnsi="Times New Roman"/>
                <w:sz w:val="18"/>
                <w:szCs w:val="18"/>
                <w:color w:val="auto"/>
              </w:rPr>
              <w:t xml:space="preserve">gains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(0.25 )</w:t>
            </w:r>
          </w:p>
        </w:tc>
        <w:tc>
          <w:tcPr>
            <w:tcW w:w="18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(0.79 )</w:t>
            </w:r>
          </w:p>
        </w:tc>
        <w:tc>
          <w:tcPr>
            <w:tcW w:w="1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20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increase/(decrease) in net</w:t>
            </w:r>
          </w:p>
        </w:tc>
        <w:tc>
          <w:tcPr>
            <w:tcW w:w="20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(0.36 )</w:t>
            </w:r>
          </w:p>
        </w:tc>
        <w:tc>
          <w:tcPr>
            <w:tcW w:w="18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(0.32 )</w:t>
            </w:r>
          </w:p>
        </w:tc>
        <w:tc>
          <w:tcPr>
            <w:tcW w:w="1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150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 share market value at end of</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return based on market value</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with reinvestment of dividends </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32.80 %</w:t>
            </w:r>
          </w:p>
        </w:tc>
        <w:tc>
          <w:tcPr>
            <w:tcW w:w="1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11.24 %</w:t>
            </w:r>
          </w:p>
        </w:tc>
        <w:tc>
          <w:tcPr>
            <w:tcW w:w="20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30.57 %</w:t>
            </w:r>
          </w:p>
        </w:tc>
        <w:tc>
          <w:tcPr>
            <w:tcW w:w="1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0" w:type="dxa"/>
            <w:vAlign w:val="bottom"/>
          </w:tcPr>
          <w:p>
            <w:pPr>
              <w:spacing w:after="0"/>
              <w:rPr>
                <w:sz w:val="1"/>
                <w:szCs w:val="1"/>
                <w:color w:val="auto"/>
              </w:rPr>
            </w:pPr>
          </w:p>
        </w:tc>
      </w:tr>
      <w:tr>
        <w:trPr>
          <w:trHeight w:val="268"/>
        </w:trPr>
        <w:tc>
          <w:tcPr>
            <w:tcW w:w="33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30.02 %</w:t>
            </w:r>
          </w:p>
        </w:tc>
        <w:tc>
          <w:tcPr>
            <w:tcW w:w="12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7.36 %</w:t>
            </w:r>
          </w:p>
        </w:tc>
        <w:tc>
          <w:tcPr>
            <w:tcW w:w="20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28.69 %</w:t>
            </w:r>
          </w:p>
        </w:tc>
        <w:tc>
          <w:tcPr>
            <w:tcW w:w="18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return based on net asset</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34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24"/>
                <w:szCs w:val="24"/>
                <w:color w:val="auto"/>
                <w:vertAlign w:val="superscript"/>
              </w:rPr>
              <w:t>(5)</w:t>
            </w:r>
          </w:p>
        </w:tc>
        <w:tc>
          <w:tcPr>
            <w:tcW w:w="200" w:type="dxa"/>
            <w:vAlign w:val="bottom"/>
          </w:tcPr>
          <w:p>
            <w:pPr>
              <w:spacing w:after="0"/>
              <w:rPr>
                <w:sz w:val="23"/>
                <w:szCs w:val="23"/>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8.79 %</w:t>
            </w:r>
          </w:p>
        </w:tc>
        <w:tc>
          <w:tcPr>
            <w:tcW w:w="18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19.06 %</w:t>
            </w:r>
          </w:p>
        </w:tc>
        <w:tc>
          <w:tcPr>
            <w:tcW w:w="12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15.63 %</w:t>
            </w:r>
          </w:p>
        </w:tc>
        <w:tc>
          <w:tcPr>
            <w:tcW w:w="20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14.71 %</w:t>
            </w:r>
          </w:p>
        </w:tc>
        <w:tc>
          <w:tcPr>
            <w:tcW w:w="18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81,389,287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75,771,542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67,684,209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66,524,591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65,412,817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(6)</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expenses to average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w:t>
            </w:r>
          </w:p>
        </w:tc>
        <w:tc>
          <w:tcPr>
            <w:tcW w:w="2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11.05 %</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11.17 %</w:t>
            </w: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11.10 %</w:t>
            </w: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11.27 %</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11.32 %</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average net assets</w:t>
            </w:r>
          </w:p>
        </w:tc>
        <w:tc>
          <w:tcPr>
            <w:tcW w:w="2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12.85 %</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11.67 %</w:t>
            </w: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13.26 %</w:t>
            </w: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11.73 %</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13.80 %</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Portfolio turnover</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26.67 %</w:t>
            </w:r>
          </w:p>
        </w:tc>
        <w:tc>
          <w:tcPr>
            <w:tcW w:w="18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44.23 %</w:t>
            </w:r>
          </w:p>
        </w:tc>
        <w:tc>
          <w:tcPr>
            <w:tcW w:w="1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41.88 %</w:t>
            </w:r>
          </w:p>
        </w:tc>
        <w:tc>
          <w:tcPr>
            <w:tcW w:w="20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30.89 %</w:t>
            </w:r>
          </w:p>
        </w:tc>
        <w:tc>
          <w:tcPr>
            <w:tcW w:w="1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44.57 %</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1,341,569</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1,275,848</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1,161,315</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1,119,297</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-4173855</wp:posOffset>
            </wp:positionV>
            <wp:extent cx="76835" cy="16319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-4173855</wp:posOffset>
            </wp:positionV>
            <wp:extent cx="68580" cy="16319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-4173855</wp:posOffset>
            </wp:positionV>
            <wp:extent cx="68580" cy="1631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-4173855</wp:posOffset>
            </wp:positionV>
            <wp:extent cx="68580" cy="16319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1631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-2390775</wp:posOffset>
            </wp:positionV>
            <wp:extent cx="76835" cy="1714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-2390775</wp:posOffset>
            </wp:positionV>
            <wp:extent cx="68580" cy="1714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-2390775</wp:posOffset>
            </wp:positionV>
            <wp:extent cx="68580" cy="1714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-2390775</wp:posOffset>
            </wp:positionV>
            <wp:extent cx="68580" cy="1714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1714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54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2914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20" w:right="100" w:hanging="512"/>
        <w:spacing w:after="0" w:line="250"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520" w:right="460" w:hanging="512"/>
        <w:spacing w:after="0" w:line="260"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136" w:name="page137"/>
    <w:bookmarkEnd w:id="136"/>
    <w:p>
      <w:pPr>
        <w:ind w:left="520" w:hanging="512"/>
        <w:spacing w:after="0" w:line="253"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w:t>
      </w:r>
    </w:p>
    <w:p>
      <w:pPr>
        <w:spacing w:after="0" w:line="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Pr>
          <w:p>
            <w:pPr>
              <w:spacing w:after="0"/>
              <w:rPr>
                <w:sz w:val="14"/>
                <w:szCs w:val="14"/>
                <w:color w:val="auto"/>
              </w:rPr>
            </w:pPr>
          </w:p>
        </w:tc>
        <w:tc>
          <w:tcPr>
            <w:tcW w:w="10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4"/>
                <w:szCs w:val="14"/>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4"/>
                <w:szCs w:val="14"/>
                <w:color w:val="auto"/>
              </w:rPr>
            </w:pPr>
          </w:p>
        </w:tc>
      </w:tr>
      <w:tr>
        <w:trPr>
          <w:trHeight w:val="23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77,839</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63,888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67,429</w:t>
            </w:r>
          </w:p>
        </w:tc>
        <w:tc>
          <w:tcPr>
            <w:tcW w:w="100" w:type="dxa"/>
            <w:vAlign w:val="bottom"/>
            <w:shd w:val="clear" w:color="auto" w:fill="CFF0FC"/>
          </w:tcPr>
          <w:p>
            <w:pPr>
              <w:spacing w:after="0"/>
              <w:rPr>
                <w:sz w:val="20"/>
                <w:szCs w:val="20"/>
                <w:color w:val="auto"/>
              </w:rPr>
            </w:pPr>
          </w:p>
        </w:tc>
      </w:tr>
      <w:tr>
        <w:trPr>
          <w:trHeight w:val="243"/>
        </w:trPr>
        <w:tc>
          <w:tcPr>
            <w:tcW w:w="52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tcPr>
          <w:p>
            <w:pPr>
              <w:spacing w:after="0"/>
              <w:rPr>
                <w:sz w:val="21"/>
                <w:szCs w:val="21"/>
                <w:color w:val="auto"/>
              </w:rPr>
            </w:pPr>
          </w:p>
        </w:tc>
      </w:tr>
      <w:tr>
        <w:trPr>
          <w:trHeight w:val="243"/>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37,180</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40,822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(6,351 )</w:t>
            </w:r>
          </w:p>
        </w:tc>
        <w:tc>
          <w:tcPr>
            <w:tcW w:w="20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(2,749 )</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(54,347 )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20"/>
                <w:szCs w:val="20"/>
                <w:color w:val="auto"/>
              </w:rPr>
            </w:pPr>
          </w:p>
        </w:tc>
      </w:tr>
      <w:tr>
        <w:trPr>
          <w:trHeight w:val="247"/>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(13,525 )</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40,885</w:t>
            </w:r>
          </w:p>
        </w:tc>
        <w:tc>
          <w:tcPr>
            <w:tcW w:w="100" w:type="dxa"/>
            <w:vAlign w:val="bottom"/>
            <w:shd w:val="clear" w:color="auto" w:fill="CFF0FC"/>
          </w:tcPr>
          <w:p>
            <w:pPr>
              <w:spacing w:after="0"/>
              <w:rPr>
                <w:sz w:val="21"/>
                <w:szCs w:val="2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0"/>
                <w:szCs w:val="20"/>
                <w:color w:val="auto"/>
              </w:rPr>
            </w:pPr>
          </w:p>
        </w:tc>
      </w:tr>
      <w:tr>
        <w:trPr>
          <w:trHeight w:val="40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Pr>
          <w:p>
            <w:pPr>
              <w:spacing w:after="0"/>
              <w:rPr>
                <w:sz w:val="14"/>
                <w:szCs w:val="14"/>
                <w:color w:val="auto"/>
              </w:rPr>
            </w:pPr>
          </w:p>
        </w:tc>
        <w:tc>
          <w:tcPr>
            <w:tcW w:w="10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4"/>
                <w:szCs w:val="14"/>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4"/>
                <w:szCs w:val="14"/>
                <w:color w:val="auto"/>
              </w:rPr>
            </w:pPr>
          </w:p>
        </w:tc>
      </w:tr>
      <w:tr>
        <w:trPr>
          <w:trHeight w:val="237"/>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78,323</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62,828</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66,242</w:t>
            </w:r>
          </w:p>
        </w:tc>
        <w:tc>
          <w:tcPr>
            <w:tcW w:w="100" w:type="dxa"/>
            <w:vAlign w:val="bottom"/>
            <w:shd w:val="clear" w:color="auto" w:fill="CFF0FC"/>
          </w:tcPr>
          <w:p>
            <w:pPr>
              <w:spacing w:after="0"/>
              <w:rPr>
                <w:sz w:val="20"/>
                <w:szCs w:val="20"/>
                <w:color w:val="auto"/>
              </w:rPr>
            </w:pPr>
          </w:p>
        </w:tc>
      </w:tr>
      <w:tr>
        <w:trPr>
          <w:trHeight w:val="243"/>
        </w:trPr>
        <w:tc>
          <w:tcPr>
            <w:tcW w:w="52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32,132</w:t>
            </w: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35,440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100" w:type="dxa"/>
            <w:vAlign w:val="bottom"/>
          </w:tcPr>
          <w:p>
            <w:pPr>
              <w:spacing w:after="0"/>
              <w:rPr>
                <w:sz w:val="21"/>
                <w:szCs w:val="21"/>
                <w:color w:val="auto"/>
              </w:rPr>
            </w:pPr>
          </w:p>
        </w:tc>
      </w:tr>
      <w:tr>
        <w:trPr>
          <w:trHeight w:val="243"/>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46,191</w:t>
            </w: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27,388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32,310</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(4,373 )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100" w:type="dxa"/>
            <w:vAlign w:val="bottom"/>
          </w:tcPr>
          <w:p>
            <w:pPr>
              <w:spacing w:after="0"/>
              <w:rPr>
                <w:sz w:val="20"/>
                <w:szCs w:val="20"/>
                <w:color w:val="auto"/>
              </w:rPr>
            </w:pPr>
          </w:p>
        </w:tc>
      </w:tr>
      <w:tr>
        <w:trPr>
          <w:trHeight w:val="247"/>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41,818</w:t>
            </w: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58,354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56,652</w:t>
            </w:r>
          </w:p>
        </w:tc>
        <w:tc>
          <w:tcPr>
            <w:tcW w:w="100" w:type="dxa"/>
            <w:vAlign w:val="bottom"/>
            <w:shd w:val="clear" w:color="auto" w:fill="CFF0FC"/>
          </w:tcPr>
          <w:p>
            <w:pPr>
              <w:spacing w:after="0"/>
              <w:rPr>
                <w:sz w:val="21"/>
                <w:szCs w:val="21"/>
                <w:color w:val="auto"/>
              </w:rPr>
            </w:pPr>
          </w:p>
        </w:tc>
      </w:tr>
      <w:tr>
        <w:trPr>
          <w:trHeight w:val="3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4"/>
                <w:szCs w:val="24"/>
                <w:color w:val="auto"/>
              </w:rPr>
            </w:pPr>
          </w:p>
        </w:tc>
      </w:tr>
      <w:tr>
        <w:trPr>
          <w:trHeight w:val="675"/>
        </w:trPr>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gridSpan w:val="3"/>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2825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412230" cy="28257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unrealized and realized (losses)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p>
      <w:pPr>
        <w:spacing w:after="0" w:line="347"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Net expenses include income taxes, including excise taxes.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62,217</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71,316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70,234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66,270</w:t>
            </w:r>
          </w:p>
        </w:tc>
      </w:tr>
      <w:tr>
        <w:trPr>
          <w:trHeight w:val="445"/>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29,448</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30,212</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r>
      <w:tr>
        <w:trPr>
          <w:trHeight w:val="445"/>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32,769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41,104</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39,469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w:t>
            </w:r>
          </w:p>
        </w:tc>
      </w:tr>
      <w:tr>
        <w:trPr>
          <w:trHeight w:val="445"/>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20,711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40,753</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56,401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(86,761)</w:t>
            </w:r>
          </w:p>
        </w:tc>
      </w:tr>
      <w:tr>
        <w:trPr>
          <w:trHeight w:val="445"/>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53,480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81,857</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95,870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(53,099)</w:t>
            </w:r>
          </w:p>
        </w:tc>
      </w:tr>
      <w:tr>
        <w:trPr>
          <w:trHeight w:val="445"/>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17.16</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16.87</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-1122045</wp:posOffset>
            </wp:positionV>
            <wp:extent cx="6412230" cy="2825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412230" cy="28257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-556895</wp:posOffset>
            </wp:positionV>
            <wp:extent cx="6412230" cy="2825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412230" cy="282575"/>
                    </a:xfrm>
                    <a:prstGeom prst="rect">
                      <a:avLst/>
                    </a:prstGeom>
                    <a:noFill/>
                  </pic:spPr>
                </pic:pic>
              </a:graphicData>
            </a:graphic>
          </wp:anchor>
        </w:drawing>
      </w:r>
    </w:p>
    <w:p>
      <w:pPr>
        <w:spacing w:after="0" w:line="967" w:lineRule="exact"/>
        <w:rPr>
          <w:sz w:val="20"/>
          <w:szCs w:val="20"/>
          <w:color w:val="auto"/>
        </w:rPr>
      </w:pPr>
    </w:p>
    <w:p>
      <w:pPr>
        <w:sectPr>
          <w:pgSz w:w="11900" w:h="16838" w:orient="portrait"/>
          <w:cols w:equalWidth="0" w:num="2">
            <w:col w:w="4840" w:space="720"/>
            <w:col w:w="5600"/>
          </w:cols>
          <w:pgMar w:left="320" w:top="337" w:right="419" w:bottom="1440" w:gutter="0" w:footer="0" w:header="0"/>
          <w:type w:val="continuous"/>
        </w:sect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2022.</w:t>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right="24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9" w:lineRule="exact"/>
        <w:rPr>
          <w:sz w:val="20"/>
          <w:szCs w:val="20"/>
          <w:color w:val="auto"/>
        </w:rPr>
      </w:pPr>
    </w:p>
    <w:p>
      <w:pPr>
        <w:ind w:right="28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management concluded that our internal control over financial reporting was effective as of December 31, 2022.</w:t>
      </w:r>
    </w:p>
    <w:p>
      <w:pPr>
        <w:spacing w:after="0" w:line="18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ind w:right="42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Attestation Report of the Independent Registered Public Accounting Firm. </w:t>
      </w:r>
      <w:r>
        <w:rPr>
          <w:rFonts w:ascii="Times New Roman" w:cs="Times New Roman" w:eastAsia="Times New Roman" w:hAnsi="Times New Roman"/>
          <w:sz w:val="18"/>
          <w:szCs w:val="18"/>
          <w:color w:val="auto"/>
        </w:rPr>
        <w:t>Our independent registered public accounting firm, KPMG LLP,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 audit report on the effectiveness of our internal control over financial reporting, which is set forth under the heading “Report of Independent Registered Public Accounting Firm” on page F-2.</w:t>
      </w:r>
    </w:p>
    <w:p>
      <w:pPr>
        <w:spacing w:after="0" w:line="171"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8" w:name="page139"/>
    <w:bookmarkEnd w:id="1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the SOX Code of Business Conduct and Ethics (which is set forth below), information in response to this item is incorporated by reference from our Proxy Statement relating to our 2023 annual meeting of stockholders. The Proxy Statement will be filed with the SEC within 120 days after the end of the fiscal year covered by this Form 10-K pursuant to Regulation 14A under the Exchange Act.</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2023 annual meeting of stockholders.</w:t>
      </w:r>
    </w:p>
    <w:p>
      <w:pPr>
        <w:spacing w:after="0" w:line="200" w:lineRule="exact"/>
        <w:rPr>
          <w:sz w:val="20"/>
          <w:szCs w:val="20"/>
          <w:color w:val="auto"/>
        </w:rPr>
      </w:pP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2023 annual meeting of stockholders.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2023 annual meeting of stockholders.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139" w:name="page140"/>
    <w:bookmarkEnd w:id="139"/>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260" w:right="320" w:hanging="252"/>
        <w:spacing w:after="0" w:line="282" w:lineRule="auto"/>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Statements—Financial statements are included in Item 8. See the Index to the consolidated financial statements on page F-1 of this annual report on Form 10-K.</w:t>
      </w:r>
    </w:p>
    <w:p>
      <w:pPr>
        <w:spacing w:after="0" w:line="53" w:lineRule="exact"/>
        <w:rPr>
          <w:rFonts w:ascii="Times New Roman" w:cs="Times New Roman" w:eastAsia="Times New Roman" w:hAnsi="Times New Roman"/>
          <w:sz w:val="18"/>
          <w:szCs w:val="18"/>
          <w:color w:val="auto"/>
        </w:rPr>
      </w:pPr>
    </w:p>
    <w:p>
      <w:pPr>
        <w:ind w:left="260" w:right="40" w:hanging="252"/>
        <w:spacing w:after="0" w:line="266" w:lineRule="auto"/>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Exhibits—The following is a list of all exhibits filed as a part of this annual report on Form 10-K, including those incorporated by reference.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4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4"/>
                <w:szCs w:val="14"/>
                <w:color w:val="auto"/>
              </w:rPr>
              <w:t>Description of Exhibits</w:t>
            </w:r>
          </w:p>
        </w:tc>
      </w:tr>
      <w:tr>
        <w:trPr>
          <w:trHeight w:val="331"/>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06">
              <w:r>
                <w:rPr>
                  <w:rFonts w:ascii="Times New Roman" w:cs="Times New Roman" w:eastAsia="Times New Roman" w:hAnsi="Times New Roman"/>
                  <w:sz w:val="18"/>
                  <w:szCs w:val="18"/>
                  <w:color w:val="0000FF"/>
                </w:rPr>
                <w:t>Restated Certificate of Incorporation (incorporated by reference to Exhibit 3.2 to Amendment No. 1 to the Company’s Current Report on</w:t>
              </w:r>
            </w:hyperlink>
          </w:p>
        </w:tc>
        <w:tc>
          <w:tcPr>
            <w:tcW w:w="24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706">
              <w:r>
                <w:rPr>
                  <w:rFonts w:ascii="Times New Roman" w:cs="Times New Roman" w:eastAsia="Times New Roman" w:hAnsi="Times New Roman"/>
                  <w:sz w:val="18"/>
                  <w:szCs w:val="18"/>
                  <w:color w:val="0000FF"/>
                  <w:w w:val="98"/>
                </w:rPr>
                <w:t>Form 8-K filed on June 19, 2020).</w:t>
              </w:r>
            </w:hyperlink>
          </w:p>
        </w:tc>
        <w:tc>
          <w:tcPr>
            <w:tcW w:w="7680" w:type="dxa"/>
            <w:vAlign w:val="bottom"/>
            <w:gridSpan w:val="18"/>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707">
              <w:r>
                <w:rPr>
                  <w:rFonts w:ascii="Times New Roman" w:cs="Times New Roman" w:eastAsia="Times New Roman" w:hAnsi="Times New Roman"/>
                  <w:sz w:val="18"/>
                  <w:szCs w:val="18"/>
                  <w:color w:val="0000FF"/>
                </w:rPr>
                <w:t>Amended and Restated Bylaws of Sixth Street Specialty Lending, Inc., effective as of June 15, 2020 (incorporated by reference to Exhibit</w:t>
              </w:r>
            </w:hyperlink>
          </w:p>
        </w:tc>
        <w:tc>
          <w:tcPr>
            <w:tcW w:w="16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0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the Company’s Current Report on Form 8-K filed on June 19, 2020).</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16"/>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08">
              <w:r>
                <w:rPr>
                  <w:rFonts w:ascii="Times New Roman" w:cs="Times New Roman" w:eastAsia="Times New Roman" w:hAnsi="Times New Roman"/>
                  <w:sz w:val="18"/>
                  <w:szCs w:val="18"/>
                  <w:color w:val="0000FF"/>
                </w:rPr>
                <w:t>Form of Common Stock Certificate (incorporated by reference to Exhibit 4.2 to the Company’s Annual Report on Form 10-K filed on</w:t>
              </w:r>
            </w:hyperlink>
          </w:p>
        </w:tc>
        <w:tc>
          <w:tcPr>
            <w:tcW w:w="46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708">
              <w:r>
                <w:rPr>
                  <w:rFonts w:ascii="Times New Roman" w:cs="Times New Roman" w:eastAsia="Times New Roman" w:hAnsi="Times New Roman"/>
                  <w:sz w:val="18"/>
                  <w:szCs w:val="18"/>
                  <w:color w:val="0000FF"/>
                  <w:w w:val="97"/>
                </w:rPr>
                <w:t>March 22, 2012).</w:t>
              </w:r>
            </w:hyperlink>
          </w:p>
        </w:tc>
        <w:tc>
          <w:tcPr>
            <w:tcW w:w="20" w:type="dxa"/>
            <w:vAlign w:val="bottom"/>
            <w:tcBorders>
              <w:bottom w:val="single" w:sz="8" w:color="0000EE"/>
            </w:tcBorders>
          </w:tcPr>
          <w:p>
            <w:pPr>
              <w:spacing w:after="0"/>
              <w:rPr>
                <w:sz w:val="17"/>
                <w:szCs w:val="17"/>
                <w:color w:val="auto"/>
              </w:rPr>
            </w:pPr>
          </w:p>
        </w:tc>
        <w:tc>
          <w:tcPr>
            <w:tcW w:w="8880" w:type="dxa"/>
            <w:vAlign w:val="bottom"/>
            <w:gridSpan w:val="21"/>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09">
              <w:r>
                <w:rPr>
                  <w:rFonts w:ascii="Times New Roman" w:cs="Times New Roman" w:eastAsia="Times New Roman" w:hAnsi="Times New Roman"/>
                  <w:sz w:val="18"/>
                  <w:szCs w:val="18"/>
                  <w:color w:val="0000FF"/>
                  <w:w w:val="99"/>
                </w:rPr>
                <w:t>Indenture, dated as of February 1, 2017, between TPG Specialty Lending, Inc. and Wells Fargo Bank, National Association, as Trustee</w:t>
              </w:r>
            </w:hyperlink>
          </w:p>
        </w:tc>
        <w:tc>
          <w:tcPr>
            <w:tcW w:w="40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09">
              <w:r>
                <w:rPr>
                  <w:rFonts w:ascii="Times New Roman" w:cs="Times New Roman" w:eastAsia="Times New Roman" w:hAnsi="Times New Roman"/>
                  <w:sz w:val="18"/>
                  <w:szCs w:val="18"/>
                  <w:color w:val="0000FF"/>
                  <w:w w:val="99"/>
                </w:rPr>
                <w:t>(incorporated by reference to Exhibit 4.1 to the Company’s Current Report on Form 8-K filed on February 1, 2017).</w:t>
              </w:r>
            </w:hyperlink>
          </w:p>
        </w:tc>
        <w:tc>
          <w:tcPr>
            <w:tcW w:w="20" w:type="dxa"/>
            <w:vAlign w:val="bottom"/>
            <w:tcBorders>
              <w:bottom w:val="single" w:sz="8" w:color="0000EE"/>
            </w:tcBorders>
          </w:tcPr>
          <w:p>
            <w:pPr>
              <w:spacing w:after="0"/>
              <w:rPr>
                <w:sz w:val="17"/>
                <w:szCs w:val="17"/>
                <w:color w:val="auto"/>
              </w:rPr>
            </w:pPr>
          </w:p>
        </w:tc>
        <w:tc>
          <w:tcPr>
            <w:tcW w:w="1780" w:type="dxa"/>
            <w:vAlign w:val="bottom"/>
            <w:gridSpan w:val="13"/>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709">
              <w:r>
                <w:rPr>
                  <w:rFonts w:ascii="Times New Roman" w:cs="Times New Roman" w:eastAsia="Times New Roman" w:hAnsi="Times New Roman"/>
                  <w:sz w:val="18"/>
                  <w:szCs w:val="18"/>
                  <w:color w:val="0000FF"/>
                </w:rPr>
                <w:t>Form of 4.50% Convertible Note Due 2022 (incorporated by reference to Exhibit 4.2 to the Company’s Current Report on Form 8-K filed</w:t>
              </w:r>
            </w:hyperlink>
          </w:p>
        </w:tc>
        <w:tc>
          <w:tcPr>
            <w:tcW w:w="1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709">
              <w:r>
                <w:rPr>
                  <w:rFonts w:ascii="Times New Roman" w:cs="Times New Roman" w:eastAsia="Times New Roman" w:hAnsi="Times New Roman"/>
                  <w:sz w:val="18"/>
                  <w:szCs w:val="18"/>
                  <w:color w:val="0000FF"/>
                  <w:w w:val="98"/>
                </w:rPr>
                <w:t>on February 1, 2017).</w:t>
              </w:r>
            </w:hyperlink>
          </w:p>
        </w:tc>
        <w:tc>
          <w:tcPr>
            <w:tcW w:w="8580" w:type="dxa"/>
            <w:vAlign w:val="bottom"/>
            <w:gridSpan w:val="20"/>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10">
              <w:r>
                <w:rPr>
                  <w:rFonts w:ascii="Times New Roman" w:cs="Times New Roman" w:eastAsia="Times New Roman" w:hAnsi="Times New Roman"/>
                  <w:sz w:val="18"/>
                  <w:szCs w:val="18"/>
                  <w:color w:val="0000FF"/>
                  <w:w w:val="99"/>
                </w:rPr>
                <w:t>Indenture, dated as of January 22, 2018, between TPG Specialty Lending, Inc. and Wells Fargo Bank, National Association, as Trustee</w:t>
              </w:r>
            </w:hyperlink>
          </w:p>
        </w:tc>
        <w:tc>
          <w:tcPr>
            <w:tcW w:w="40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10">
              <w:r>
                <w:rPr>
                  <w:rFonts w:ascii="Times New Roman" w:cs="Times New Roman" w:eastAsia="Times New Roman" w:hAnsi="Times New Roman"/>
                  <w:sz w:val="18"/>
                  <w:szCs w:val="18"/>
                  <w:color w:val="0000FF"/>
                  <w:w w:val="99"/>
                </w:rPr>
                <w:t>(incorporated by reference to Exhibit 4.1 to the Company’s Current Report on Form 8-K filed on January 22, 2018).</w:t>
              </w:r>
            </w:hyperlink>
          </w:p>
        </w:tc>
        <w:tc>
          <w:tcPr>
            <w:tcW w:w="20" w:type="dxa"/>
            <w:vAlign w:val="bottom"/>
            <w:tcBorders>
              <w:bottom w:val="single" w:sz="8" w:color="0000EE"/>
            </w:tcBorders>
          </w:tcPr>
          <w:p>
            <w:pPr>
              <w:spacing w:after="0"/>
              <w:rPr>
                <w:sz w:val="17"/>
                <w:szCs w:val="17"/>
                <w:color w:val="auto"/>
              </w:rPr>
            </w:pPr>
          </w:p>
        </w:tc>
        <w:tc>
          <w:tcPr>
            <w:tcW w:w="1780" w:type="dxa"/>
            <w:vAlign w:val="bottom"/>
            <w:gridSpan w:val="13"/>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711">
              <w:r>
                <w:rPr>
                  <w:rFonts w:ascii="Times New Roman" w:cs="Times New Roman" w:eastAsia="Times New Roman" w:hAnsi="Times New Roman"/>
                  <w:sz w:val="18"/>
                  <w:szCs w:val="18"/>
                  <w:color w:val="0000FF"/>
                  <w:w w:val="99"/>
                </w:rPr>
                <w:t>First Supplemental Indenture, dated as of January 22, 2018, between TPG Specialty Lending, Inc. and Wells Fargo Bank, National</w:t>
              </w:r>
            </w:hyperlink>
          </w:p>
        </w:tc>
        <w:tc>
          <w:tcPr>
            <w:tcW w:w="72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711">
              <w:r>
                <w:rPr>
                  <w:rFonts w:ascii="Times New Roman" w:cs="Times New Roman" w:eastAsia="Times New Roman" w:hAnsi="Times New Roman"/>
                  <w:sz w:val="18"/>
                  <w:szCs w:val="18"/>
                  <w:color w:val="0000FF"/>
                  <w:w w:val="99"/>
                </w:rPr>
                <w:t>Association, as Trustee (incorporated by reference to Exhibit 4.2 to the Company’s Current Report on Form 8-K filed on January 22, 2018).</w:t>
              </w:r>
            </w:hyperlink>
          </w:p>
        </w:tc>
        <w:tc>
          <w:tcPr>
            <w:tcW w:w="80" w:type="dxa"/>
            <w:vAlign w:val="bottom"/>
            <w:gridSpan w:val="3"/>
          </w:tcPr>
          <w:p>
            <w:pPr>
              <w:spacing w:after="0"/>
              <w:rPr>
                <w:sz w:val="17"/>
                <w:szCs w:val="17"/>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711">
              <w:r>
                <w:rPr>
                  <w:rFonts w:ascii="Times New Roman" w:cs="Times New Roman" w:eastAsia="Times New Roman" w:hAnsi="Times New Roman"/>
                  <w:sz w:val="18"/>
                  <w:szCs w:val="18"/>
                  <w:color w:val="0000FF"/>
                </w:rPr>
                <w:t>Form of 4.500% Note Due 2023 (incorporated by reference to Exhibit 4.3 to the Company’s Current Report on Form 8-K filed on January</w:t>
              </w:r>
            </w:hyperlink>
          </w:p>
        </w:tc>
        <w:tc>
          <w:tcPr>
            <w:tcW w:w="16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60" w:type="dxa"/>
            <w:vAlign w:val="bottom"/>
            <w:gridSpan w:val="4"/>
          </w:tcPr>
          <w:p>
            <w:pPr>
              <w:ind w:left="200"/>
              <w:spacing w:after="0" w:line="196" w:lineRule="exact"/>
              <w:rPr>
                <w:rFonts w:ascii="Times New Roman" w:cs="Times New Roman" w:eastAsia="Times New Roman" w:hAnsi="Times New Roman"/>
                <w:sz w:val="18"/>
                <w:szCs w:val="18"/>
                <w:color w:val="0000FF"/>
                <w:w w:val="97"/>
              </w:rPr>
            </w:pPr>
            <w:hyperlink r:id="rId711">
              <w:r>
                <w:rPr>
                  <w:rFonts w:ascii="Times New Roman" w:cs="Times New Roman" w:eastAsia="Times New Roman" w:hAnsi="Times New Roman"/>
                  <w:sz w:val="18"/>
                  <w:szCs w:val="18"/>
                  <w:color w:val="0000FF"/>
                  <w:w w:val="97"/>
                </w:rPr>
                <w:t>22, 2018).</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712">
              <w:r>
                <w:rPr>
                  <w:rFonts w:ascii="Times New Roman" w:cs="Times New Roman" w:eastAsia="Times New Roman" w:hAnsi="Times New Roman"/>
                  <w:sz w:val="18"/>
                  <w:szCs w:val="18"/>
                  <w:color w:val="0000FF"/>
                  <w:w w:val="99"/>
                </w:rPr>
                <w:t>First Supplemental Indenture, dated as of June 19, 2018, between TPG Specialty Lending, Inc. and Wells Fargo Bank, National Association,</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as Trustee (incorporated by reference to Exhibit 4.1 to the Company’s Current Report on Form 8-K filed on June 19, 2018).</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1800" w:type="dxa"/>
            <w:vAlign w:val="bottom"/>
            <w:tcBorders>
              <w:right w:val="single" w:sz="8" w:color="0000EE"/>
            </w:tcBorders>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13">
              <w:r>
                <w:rPr>
                  <w:rFonts w:ascii="Times New Roman" w:cs="Times New Roman" w:eastAsia="Times New Roman" w:hAnsi="Times New Roman"/>
                  <w:sz w:val="18"/>
                  <w:szCs w:val="18"/>
                  <w:color w:val="0000FF"/>
                  <w:w w:val="99"/>
                </w:rPr>
                <w:t>Second Supplemental Indenture, dated as of November 1, 2019, between TPG Specialty Lending, Inc. and Wells Fargo Bank, National</w:t>
              </w:r>
            </w:hyperlink>
          </w:p>
        </w:tc>
        <w:tc>
          <w:tcPr>
            <w:tcW w:w="40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713">
              <w:r>
                <w:rPr>
                  <w:rFonts w:ascii="Times New Roman" w:cs="Times New Roman" w:eastAsia="Times New Roman" w:hAnsi="Times New Roman"/>
                  <w:sz w:val="18"/>
                  <w:szCs w:val="18"/>
                  <w:color w:val="0000FF"/>
                  <w:w w:val="99"/>
                </w:rPr>
                <w:t>Association, as Trustee (incorporated by reference to Exhibit 4.2 to the Company’s Current Report on Form 8-K filed on November 1,</w:t>
              </w:r>
            </w:hyperlink>
          </w:p>
        </w:tc>
        <w:tc>
          <w:tcPr>
            <w:tcW w:w="44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gridSpan w:val="3"/>
          </w:tcPr>
          <w:p>
            <w:pPr>
              <w:ind w:left="200"/>
              <w:spacing w:after="0" w:line="196" w:lineRule="exact"/>
              <w:rPr>
                <w:rFonts w:ascii="Times New Roman" w:cs="Times New Roman" w:eastAsia="Times New Roman" w:hAnsi="Times New Roman"/>
                <w:sz w:val="18"/>
                <w:szCs w:val="18"/>
                <w:color w:val="0000FF"/>
                <w:w w:val="98"/>
              </w:rPr>
            </w:pPr>
            <w:hyperlink r:id="rId713">
              <w:r>
                <w:rPr>
                  <w:rFonts w:ascii="Times New Roman" w:cs="Times New Roman" w:eastAsia="Times New Roman" w:hAnsi="Times New Roman"/>
                  <w:sz w:val="18"/>
                  <w:szCs w:val="18"/>
                  <w:color w:val="0000FF"/>
                  <w:w w:val="98"/>
                </w:rPr>
                <w:t>2019).</w:t>
              </w:r>
            </w:hyperlink>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713">
              <w:r>
                <w:rPr>
                  <w:rFonts w:ascii="Times New Roman" w:cs="Times New Roman" w:eastAsia="Times New Roman" w:hAnsi="Times New Roman"/>
                  <w:sz w:val="18"/>
                  <w:szCs w:val="18"/>
                  <w:color w:val="0000FF"/>
                  <w:w w:val="99"/>
                </w:rPr>
                <w:t>Form of 3.875% Note (incorporated by reference to Exhibit 4.2 to the Company’s Current Report on Form 8-K filed on November 1, 2019).</w:t>
              </w:r>
            </w:hyperlink>
          </w:p>
        </w:tc>
        <w:tc>
          <w:tcPr>
            <w:tcW w:w="60" w:type="dxa"/>
            <w:vAlign w:val="bottom"/>
            <w:gridSpan w:val="2"/>
          </w:tcPr>
          <w:p>
            <w:pPr>
              <w:spacing w:after="0"/>
              <w:rPr>
                <w:sz w:val="24"/>
                <w:szCs w:val="24"/>
                <w:color w:val="auto"/>
              </w:rPr>
            </w:pPr>
          </w:p>
        </w:tc>
      </w:tr>
      <w:tr>
        <w:trPr>
          <w:trHeight w:val="371"/>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14">
              <w:r>
                <w:rPr>
                  <w:rFonts w:ascii="Times New Roman" w:cs="Times New Roman" w:eastAsia="Times New Roman" w:hAnsi="Times New Roman"/>
                  <w:sz w:val="18"/>
                  <w:szCs w:val="18"/>
                  <w:color w:val="0000FF"/>
                  <w:w w:val="99"/>
                </w:rPr>
                <w:t>Third Supplemental Indenture, dated as of February 3, 2021, between Sixth Street Specialty Lending, Inc. and Wells Fargo Bank, National</w:t>
              </w:r>
            </w:hyperlink>
          </w:p>
        </w:tc>
        <w:tc>
          <w:tcPr>
            <w:tcW w:w="1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714">
              <w:r>
                <w:rPr>
                  <w:rFonts w:ascii="Times New Roman" w:cs="Times New Roman" w:eastAsia="Times New Roman" w:hAnsi="Times New Roman"/>
                  <w:sz w:val="18"/>
                  <w:szCs w:val="18"/>
                  <w:color w:val="0000FF"/>
                  <w:w w:val="99"/>
                </w:rPr>
                <w:t>Association, as Trustee (incorporated by reference to Exhibit 4.2 to the Company’s Current Report on Form 8-K filed on February 3, 2021).</w:t>
              </w:r>
            </w:hyperlink>
          </w:p>
        </w:tc>
        <w:tc>
          <w:tcPr>
            <w:tcW w:w="80" w:type="dxa"/>
            <w:vAlign w:val="bottom"/>
            <w:gridSpan w:val="3"/>
          </w:tcPr>
          <w:p>
            <w:pPr>
              <w:spacing w:after="0"/>
              <w:rPr>
                <w:sz w:val="17"/>
                <w:szCs w:val="17"/>
                <w:color w:val="auto"/>
              </w:rPr>
            </w:pPr>
          </w:p>
        </w:tc>
      </w:tr>
      <w:tr>
        <w:trPr>
          <w:trHeight w:val="344"/>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FF"/>
              </w:rPr>
            </w:pPr>
            <w:hyperlink r:id="rId714">
              <w:r>
                <w:rPr>
                  <w:rFonts w:ascii="Times New Roman" w:cs="Times New Roman" w:eastAsia="Times New Roman" w:hAnsi="Times New Roman"/>
                  <w:sz w:val="18"/>
                  <w:szCs w:val="18"/>
                  <w:color w:val="0000FF"/>
                </w:rPr>
                <w:t>Form of 2.500% Note (incorporated by reference to Exhibit 4.2 to the Company’s Current Report on Form 8-K filed on February 3, 2021).</w:t>
              </w:r>
            </w:hyperlink>
          </w:p>
        </w:tc>
      </w:tr>
      <w:tr>
        <w:trPr>
          <w:trHeight w:val="372"/>
        </w:trPr>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Description of Securities</w:t>
            </w:r>
          </w:p>
        </w:tc>
        <w:tc>
          <w:tcPr>
            <w:tcW w:w="8180" w:type="dxa"/>
            <w:vAlign w:val="bottom"/>
            <w:tcBorders>
              <w:top w:val="single" w:sz="8" w:color="0000FF"/>
            </w:tcBorders>
            <w:gridSpan w:val="13"/>
          </w:tcPr>
          <w:p>
            <w:pPr>
              <w:spacing w:after="0"/>
              <w:rPr>
                <w:sz w:val="24"/>
                <w:szCs w:val="24"/>
                <w:color w:val="auto"/>
              </w:rPr>
            </w:pPr>
          </w:p>
        </w:tc>
        <w:tc>
          <w:tcPr>
            <w:tcW w:w="180" w:type="dxa"/>
            <w:vAlign w:val="bottom"/>
            <w:gridSpan w:val="6"/>
          </w:tcPr>
          <w:p>
            <w:pPr>
              <w:spacing w:after="0"/>
              <w:rPr>
                <w:sz w:val="24"/>
                <w:szCs w:val="24"/>
                <w:color w:val="auto"/>
              </w:rPr>
            </w:pPr>
          </w:p>
        </w:tc>
      </w:tr>
      <w:tr>
        <w:trPr>
          <w:trHeight w:val="371"/>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715">
              <w:r>
                <w:rPr>
                  <w:rFonts w:ascii="Times New Roman" w:cs="Times New Roman" w:eastAsia="Times New Roman" w:hAnsi="Times New Roman"/>
                  <w:sz w:val="18"/>
                  <w:szCs w:val="18"/>
                  <w:color w:val="0000FF"/>
                </w:rPr>
                <w:t>Form of Indemnification Agreement between the Company and certain officers and directors (incorporated by reference to Exhibit 10.3 to</w:t>
              </w:r>
            </w:hyperlink>
          </w:p>
        </w:tc>
        <w:tc>
          <w:tcPr>
            <w:tcW w:w="16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15">
              <w:r>
                <w:rPr>
                  <w:rFonts w:ascii="Times New Roman" w:cs="Times New Roman" w:eastAsia="Times New Roman" w:hAnsi="Times New Roman"/>
                  <w:sz w:val="18"/>
                  <w:szCs w:val="18"/>
                  <w:color w:val="0000FF"/>
                  <w:w w:val="99"/>
                </w:rPr>
                <w:t>Amendment No. 1 to the Company’s Registration Statement on Form 10 filed on March 14, 2011).</w:t>
              </w:r>
            </w:hyperlink>
          </w:p>
        </w:tc>
        <w:tc>
          <w:tcPr>
            <w:tcW w:w="3040" w:type="dxa"/>
            <w:vAlign w:val="bottom"/>
            <w:gridSpan w:val="15"/>
          </w:tcPr>
          <w:p>
            <w:pPr>
              <w:spacing w:after="0"/>
              <w:rPr>
                <w:sz w:val="17"/>
                <w:szCs w:val="17"/>
                <w:color w:val="auto"/>
              </w:rPr>
            </w:pPr>
          </w:p>
        </w:tc>
      </w:tr>
      <w:tr>
        <w:trPr>
          <w:trHeight w:val="466"/>
        </w:trPr>
        <w:tc>
          <w:tcPr>
            <w:tcW w:w="880" w:type="dxa"/>
            <w:vAlign w:val="bottom"/>
          </w:tcPr>
          <w:p>
            <w:pPr>
              <w:spacing w:after="0"/>
              <w:rPr>
                <w:sz w:val="24"/>
                <w:szCs w:val="24"/>
                <w:color w:val="auto"/>
              </w:rPr>
            </w:pPr>
          </w:p>
        </w:tc>
        <w:tc>
          <w:tcPr>
            <w:tcW w:w="5620" w:type="dxa"/>
            <w:vAlign w:val="bottom"/>
            <w:gridSpan w:val="10"/>
          </w:tcPr>
          <w:p>
            <w:pPr>
              <w:jc w:val="right"/>
              <w:ind w:right="78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spacing w:after="0"/>
        <w:tabs>
          <w:tab w:leader="none" w:pos="104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346" w:right="359" w:bottom="1440" w:gutter="0" w:footer="0" w:header="0"/>
        </w:sect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719">
              <w:r>
                <w:rPr>
                  <w:rFonts w:ascii="Times New Roman" w:cs="Times New Roman" w:eastAsia="Times New Roman" w:hAnsi="Times New Roman"/>
                  <w:sz w:val="18"/>
                  <w:szCs w:val="18"/>
                  <w:color w:val="0000FF"/>
                </w:rPr>
                <w:t>Amended and Restated Investment Advisory and Management Agreement, dated December 12, 2011, between the Company and the</w:t>
              </w:r>
            </w:hyperlink>
          </w:p>
        </w:tc>
        <w:tc>
          <w:tcPr>
            <w:tcW w:w="50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2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19">
              <w:r>
                <w:rPr>
                  <w:rFonts w:ascii="Times New Roman" w:cs="Times New Roman" w:eastAsia="Times New Roman" w:hAnsi="Times New Roman"/>
                  <w:sz w:val="18"/>
                  <w:szCs w:val="18"/>
                  <w:color w:val="0000FF"/>
                  <w:w w:val="99"/>
                </w:rPr>
                <w:t>Adviser (incorporated by reference to Exhibit 10.1 to the Company’s Current Report on Form 8-K filed on December 13, 2011).</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20"/>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720">
              <w:r>
                <w:rPr>
                  <w:rFonts w:ascii="Times New Roman" w:cs="Times New Roman" w:eastAsia="Times New Roman" w:hAnsi="Times New Roman"/>
                  <w:sz w:val="18"/>
                  <w:szCs w:val="18"/>
                  <w:color w:val="0000FF"/>
                </w:rPr>
                <w:t>Custodian Agreement dated November 29, 2012 (incorporated by reference to Exhibit 10.1 to the Company’s Current Report on Form 8-K</w:t>
              </w:r>
            </w:hyperlink>
          </w:p>
        </w:tc>
        <w:tc>
          <w:tcPr>
            <w:tcW w:w="8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20">
              <w:r>
                <w:rPr>
                  <w:rFonts w:ascii="Times New Roman" w:cs="Times New Roman" w:eastAsia="Times New Roman" w:hAnsi="Times New Roman"/>
                  <w:sz w:val="18"/>
                  <w:szCs w:val="18"/>
                  <w:color w:val="0000FF"/>
                  <w:w w:val="99"/>
                </w:rPr>
                <w:t>filed on December 4, 2012).</w:t>
              </w:r>
            </w:hyperlink>
          </w:p>
        </w:tc>
        <w:tc>
          <w:tcPr>
            <w:tcW w:w="20" w:type="dxa"/>
            <w:vAlign w:val="bottom"/>
            <w:tcBorders>
              <w:bottom w:val="single" w:sz="8" w:color="0000EE"/>
            </w:tcBorders>
          </w:tcPr>
          <w:p>
            <w:pPr>
              <w:spacing w:after="0"/>
              <w:rPr>
                <w:sz w:val="17"/>
                <w:szCs w:val="17"/>
                <w:color w:val="auto"/>
              </w:rPr>
            </w:pPr>
          </w:p>
        </w:tc>
        <w:tc>
          <w:tcPr>
            <w:tcW w:w="8080" w:type="dxa"/>
            <w:vAlign w:val="bottom"/>
            <w:gridSpan w:val="28"/>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Second Amended and Restated Senior Secured Credit Agreement, dated February 27, 2014, among TPG Specialty Lending, Inc., as</w:t>
              </w:r>
            </w:hyperlink>
          </w:p>
        </w:tc>
        <w:tc>
          <w:tcPr>
            <w:tcW w:w="580" w:type="dxa"/>
            <w:vAlign w:val="bottom"/>
            <w:gridSpan w:val="1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9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Borrower, the Lenders Party Hereto and Truist Bank (as successor by merger to SunTrust Bank), as Administrative Agent, and JPMorgan</w:t>
              </w:r>
            </w:hyperlink>
          </w:p>
        </w:tc>
        <w:tc>
          <w:tcPr>
            <w:tcW w:w="20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Chase Bank, N.A., as Syndication Agent (incorporated by reference to Exhibit 10.20 to the Company’s Annual Report on Form 10-K filed</w:t>
              </w:r>
            </w:hyperlink>
          </w:p>
        </w:tc>
        <w:tc>
          <w:tcPr>
            <w:tcW w:w="10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21">
              <w:r>
                <w:rPr>
                  <w:rFonts w:ascii="Times New Roman" w:cs="Times New Roman" w:eastAsia="Times New Roman" w:hAnsi="Times New Roman"/>
                  <w:sz w:val="18"/>
                  <w:szCs w:val="18"/>
                  <w:color w:val="0000FF"/>
                  <w:w w:val="99"/>
                </w:rPr>
                <w:t>on March 4, 2014).</w:t>
              </w:r>
            </w:hyperlink>
          </w:p>
        </w:tc>
        <w:tc>
          <w:tcPr>
            <w:tcW w:w="20" w:type="dxa"/>
            <w:vAlign w:val="bottom"/>
            <w:tcBorders>
              <w:bottom w:val="single" w:sz="8" w:color="0000EE"/>
            </w:tcBorders>
          </w:tcPr>
          <w:p>
            <w:pPr>
              <w:spacing w:after="0"/>
              <w:rPr>
                <w:sz w:val="17"/>
                <w:szCs w:val="17"/>
                <w:color w:val="auto"/>
              </w:rPr>
            </w:pPr>
          </w:p>
        </w:tc>
        <w:tc>
          <w:tcPr>
            <w:tcW w:w="8720" w:type="dxa"/>
            <w:vAlign w:val="bottom"/>
            <w:gridSpan w:val="30"/>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722">
              <w:r>
                <w:rPr>
                  <w:rFonts w:ascii="Times New Roman" w:cs="Times New Roman" w:eastAsia="Times New Roman" w:hAnsi="Times New Roman"/>
                  <w:sz w:val="18"/>
                  <w:szCs w:val="18"/>
                  <w:color w:val="0000FF"/>
                </w:rPr>
                <w:t>Dividend Reinvestment Plan of TPG Specialty Lending, Inc. (incorporated by reference to Exhibit (e) to Pre-Effective Amendment No. 4 to</w:t>
              </w:r>
            </w:hyperlink>
          </w:p>
        </w:tc>
      </w:tr>
      <w:tr>
        <w:trPr>
          <w:trHeight w:val="196"/>
        </w:trPr>
        <w:tc>
          <w:tcPr>
            <w:tcW w:w="1060" w:type="dxa"/>
            <w:vAlign w:val="bottom"/>
          </w:tcPr>
          <w:p>
            <w:pPr>
              <w:spacing w:after="0"/>
              <w:rPr>
                <w:sz w:val="17"/>
                <w:szCs w:val="17"/>
                <w:color w:val="auto"/>
              </w:rPr>
            </w:pPr>
          </w:p>
        </w:tc>
        <w:tc>
          <w:tcPr>
            <w:tcW w:w="56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722">
              <w:r>
                <w:rPr>
                  <w:rFonts w:ascii="Times New Roman" w:cs="Times New Roman" w:eastAsia="Times New Roman" w:hAnsi="Times New Roman"/>
                  <w:sz w:val="18"/>
                  <w:szCs w:val="18"/>
                  <w:color w:val="0000FF"/>
                  <w:w w:val="99"/>
                </w:rPr>
                <w:t>the Company’s Registration Statement on Form N-2 filed on March 17, 2014).</w:t>
              </w:r>
            </w:hyperlink>
          </w:p>
        </w:tc>
        <w:tc>
          <w:tcPr>
            <w:tcW w:w="4480" w:type="dxa"/>
            <w:vAlign w:val="bottom"/>
            <w:gridSpan w:val="25"/>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723">
              <w:r>
                <w:rPr>
                  <w:rFonts w:ascii="Times New Roman" w:cs="Times New Roman" w:eastAsia="Times New Roman" w:hAnsi="Times New Roman"/>
                  <w:sz w:val="18"/>
                  <w:szCs w:val="18"/>
                  <w:color w:val="0000FF"/>
                </w:rPr>
                <w:t>Form of Increase Letter pursuant to the Second Amended and Restated Senior Secured Credit Agreement, dated February 27, 2014, among</w:t>
              </w:r>
            </w:hyperlink>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23">
              <w:r>
                <w:rPr>
                  <w:rFonts w:ascii="Times New Roman" w:cs="Times New Roman" w:eastAsia="Times New Roman" w:hAnsi="Times New Roman"/>
                  <w:sz w:val="18"/>
                  <w:szCs w:val="18"/>
                  <w:color w:val="0000FF"/>
                  <w:w w:val="99"/>
                </w:rPr>
                <w:t>TPG Specialty Lending, Inc., as Borrower, the Lenders Party Hereto and Truist Bank (as successor by merger to SunTrust Bank), as</w:t>
              </w:r>
            </w:hyperlink>
          </w:p>
        </w:tc>
        <w:tc>
          <w:tcPr>
            <w:tcW w:w="600" w:type="dxa"/>
            <w:vAlign w:val="bottom"/>
            <w:gridSpan w:val="1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723">
              <w:r>
                <w:rPr>
                  <w:rFonts w:ascii="Times New Roman" w:cs="Times New Roman" w:eastAsia="Times New Roman" w:hAnsi="Times New Roman"/>
                  <w:sz w:val="18"/>
                  <w:szCs w:val="18"/>
                  <w:color w:val="0000FF"/>
                </w:rPr>
                <w:t>Administrative Agent, and JPMorgan Chase Bank, N.A., as Syndication Agent (incorporated by reference to Exhibit 10.3 to the Company’s</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7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23">
              <w:r>
                <w:rPr>
                  <w:rFonts w:ascii="Times New Roman" w:cs="Times New Roman" w:eastAsia="Times New Roman" w:hAnsi="Times New Roman"/>
                  <w:sz w:val="18"/>
                  <w:szCs w:val="18"/>
                  <w:color w:val="0000FF"/>
                  <w:w w:val="99"/>
                </w:rPr>
                <w:t>Quarterly Annual Report on Form 10-Q filed on August 4, 2014).</w:t>
              </w:r>
            </w:hyperlink>
          </w:p>
        </w:tc>
        <w:tc>
          <w:tcPr>
            <w:tcW w:w="20" w:type="dxa"/>
            <w:vAlign w:val="bottom"/>
            <w:tcBorders>
              <w:bottom w:val="single" w:sz="8" w:color="0000EE"/>
            </w:tcBorders>
          </w:tcPr>
          <w:p>
            <w:pPr>
              <w:spacing w:after="0"/>
              <w:rPr>
                <w:sz w:val="17"/>
                <w:szCs w:val="17"/>
                <w:color w:val="auto"/>
              </w:rPr>
            </w:pPr>
          </w:p>
        </w:tc>
        <w:tc>
          <w:tcPr>
            <w:tcW w:w="5380" w:type="dxa"/>
            <w:vAlign w:val="bottom"/>
            <w:gridSpan w:val="26"/>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724">
              <w:r>
                <w:rPr>
                  <w:rFonts w:ascii="Times New Roman" w:cs="Times New Roman" w:eastAsia="Times New Roman" w:hAnsi="Times New Roman"/>
                  <w:sz w:val="18"/>
                  <w:szCs w:val="18"/>
                  <w:color w:val="0000FF"/>
                  <w:w w:val="99"/>
                </w:rPr>
                <w:t>First Amendment to Second Amended and Restated Senior Secured Revolving Credit Agreement, dated June 3, 2014, among TPG Specialty</w:t>
              </w:r>
            </w:hyperlink>
          </w:p>
        </w:tc>
      </w:tr>
      <w:tr>
        <w:trPr>
          <w:trHeight w:val="196"/>
        </w:trPr>
        <w:tc>
          <w:tcPr>
            <w:tcW w:w="1060" w:type="dxa"/>
            <w:vAlign w:val="bottom"/>
          </w:tcPr>
          <w:p>
            <w:pPr>
              <w:spacing w:after="0"/>
              <w:rPr>
                <w:sz w:val="17"/>
                <w:szCs w:val="17"/>
                <w:color w:val="auto"/>
              </w:rPr>
            </w:pPr>
          </w:p>
        </w:tc>
        <w:tc>
          <w:tcPr>
            <w:tcW w:w="100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Lending, Inc., as Borrower, the Lenders party thereto and Truist Bank (as successor by merger to SunTrust Bank), as Administrative Agent</w:t>
              </w:r>
            </w:hyperlink>
          </w:p>
        </w:tc>
        <w:tc>
          <w:tcPr>
            <w:tcW w:w="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724">
              <w:r>
                <w:rPr>
                  <w:rFonts w:ascii="Times New Roman" w:cs="Times New Roman" w:eastAsia="Times New Roman" w:hAnsi="Times New Roman"/>
                  <w:sz w:val="18"/>
                  <w:szCs w:val="18"/>
                  <w:color w:val="0000FF"/>
                  <w:w w:val="99"/>
                </w:rPr>
                <w:t>and Collateral Agent (incorporated by reference to Exhibit 10.4 to the Company’s Quarterly Report on Form 10-Q filed on August 4, 2014).</w:t>
              </w:r>
            </w:hyperlink>
          </w:p>
        </w:tc>
        <w:tc>
          <w:tcPr>
            <w:tcW w:w="40" w:type="dxa"/>
            <w:vAlign w:val="bottom"/>
            <w:gridSpan w:val="2"/>
          </w:tcPr>
          <w:p>
            <w:pPr>
              <w:spacing w:after="0"/>
              <w:rPr>
                <w:sz w:val="17"/>
                <w:szCs w:val="17"/>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7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Second Amendment to Second Amended and Restated Senior Secured Revolving Credit Agreement, dated June 27, 2014, among TPG</w:t>
              </w:r>
            </w:hyperlink>
          </w:p>
        </w:tc>
        <w:tc>
          <w:tcPr>
            <w:tcW w:w="38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725">
              <w:r>
                <w:rPr>
                  <w:rFonts w:ascii="Times New Roman" w:cs="Times New Roman" w:eastAsia="Times New Roman" w:hAnsi="Times New Roman"/>
                  <w:sz w:val="18"/>
                  <w:szCs w:val="18"/>
                  <w:color w:val="0000FF"/>
                  <w:w w:val="99"/>
                </w:rPr>
                <w:t>Specialty Lending, Inc., as Borrower, Morgan Stanley Bank, N.A., as a Lender, and Truist Bank (as successor by merger to SunTrust Bank),</w:t>
              </w:r>
            </w:hyperlink>
          </w:p>
        </w:tc>
      </w:tr>
      <w:tr>
        <w:trPr>
          <w:trHeight w:val="196"/>
        </w:trPr>
        <w:tc>
          <w:tcPr>
            <w:tcW w:w="1060" w:type="dxa"/>
            <w:vAlign w:val="bottom"/>
          </w:tcPr>
          <w:p>
            <w:pPr>
              <w:spacing w:after="0"/>
              <w:rPr>
                <w:sz w:val="17"/>
                <w:szCs w:val="17"/>
                <w:color w:val="auto"/>
              </w:rPr>
            </w:pPr>
          </w:p>
        </w:tc>
        <w:tc>
          <w:tcPr>
            <w:tcW w:w="10140" w:type="dxa"/>
            <w:vAlign w:val="bottom"/>
            <w:gridSpan w:val="34"/>
          </w:tcPr>
          <w:p>
            <w:pPr>
              <w:spacing w:after="0" w:line="196" w:lineRule="exact"/>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as Administrative Agent (incorporated by reference to Exhibit 10.5 to the Company’s Quarterly Report on Form 10-Q filed on August 4,</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25">
              <w:r>
                <w:rPr>
                  <w:rFonts w:ascii="Times New Roman" w:cs="Times New Roman" w:eastAsia="Times New Roman" w:hAnsi="Times New Roman"/>
                  <w:sz w:val="18"/>
                  <w:szCs w:val="18"/>
                  <w:color w:val="0000FF"/>
                  <w:w w:val="98"/>
                </w:rPr>
                <w:t>2014).</w:t>
              </w:r>
            </w:hyperlink>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Third Amendment to Second Amended and Restated Senior Secured Revolving Credit Agreement, dated October 17, 2014, among TPG</w:t>
              </w:r>
            </w:hyperlink>
          </w:p>
        </w:tc>
        <w:tc>
          <w:tcPr>
            <w:tcW w:w="26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1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Specialty Lending, Inc., as Borrower, the Lenders party thereto and Truist Bank (as successor by merger to SunTrust Bank), as</w:t>
              </w:r>
            </w:hyperlink>
          </w:p>
        </w:tc>
        <w:tc>
          <w:tcPr>
            <w:tcW w:w="980" w:type="dxa"/>
            <w:vAlign w:val="bottom"/>
            <w:gridSpan w:val="2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4"/>
          </w:tcPr>
          <w:p>
            <w:pPr>
              <w:spacing w:after="0" w:line="196"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Administrative Agent (incorporated by reference to Exhibit 10.1 to the Company’s Quarterly Report on Form 10-Q filed on November 3,</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26">
              <w:r>
                <w:rPr>
                  <w:rFonts w:ascii="Times New Roman" w:cs="Times New Roman" w:eastAsia="Times New Roman" w:hAnsi="Times New Roman"/>
                  <w:sz w:val="18"/>
                  <w:szCs w:val="18"/>
                  <w:color w:val="0000FF"/>
                  <w:w w:val="98"/>
                </w:rPr>
                <w:t>2014).</w:t>
              </w:r>
            </w:hyperlink>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727">
              <w:r>
                <w:rPr>
                  <w:rFonts w:ascii="Times New Roman" w:cs="Times New Roman" w:eastAsia="Times New Roman" w:hAnsi="Times New Roman"/>
                  <w:sz w:val="18"/>
                  <w:szCs w:val="18"/>
                  <w:color w:val="0000FF"/>
                  <w:w w:val="99"/>
                </w:rPr>
                <w:t>Second Amended and Restated Credit and Security Agreement, dated as of March 27, 2015, among TPG SL SPV, LLC, as Borrower, the</w:t>
              </w:r>
            </w:hyperlink>
          </w:p>
        </w:tc>
        <w:tc>
          <w:tcPr>
            <w:tcW w:w="22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Lenders from time to time parties thereto, Natixis, New York Branch, as Facility Agent and State Street Bank and Trust Company, as</w:t>
              </w:r>
            </w:hyperlink>
          </w:p>
        </w:tc>
        <w:tc>
          <w:tcPr>
            <w:tcW w:w="50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6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727">
              <w:r>
                <w:rPr>
                  <w:rFonts w:ascii="Times New Roman" w:cs="Times New Roman" w:eastAsia="Times New Roman" w:hAnsi="Times New Roman"/>
                  <w:sz w:val="18"/>
                  <w:szCs w:val="18"/>
                  <w:color w:val="0000FF"/>
                  <w:w w:val="99"/>
                </w:rPr>
                <w:t>Collateral Agent (incorporated by reference to Exhibit 10.1 to the Company’s Current Report on Form 8-K filed on March 30, 2015).</w:t>
              </w:r>
            </w:hyperlink>
          </w:p>
        </w:tc>
        <w:tc>
          <w:tcPr>
            <w:tcW w:w="20" w:type="dxa"/>
            <w:vAlign w:val="bottom"/>
            <w:tcBorders>
              <w:bottom w:val="single" w:sz="8" w:color="0000EE"/>
            </w:tcBorders>
          </w:tcPr>
          <w:p>
            <w:pPr>
              <w:spacing w:after="0"/>
              <w:rPr>
                <w:sz w:val="17"/>
                <w:szCs w:val="17"/>
                <w:color w:val="auto"/>
              </w:rPr>
            </w:pPr>
          </w:p>
        </w:tc>
        <w:tc>
          <w:tcPr>
            <w:tcW w:w="520" w:type="dxa"/>
            <w:vAlign w:val="bottom"/>
            <w:gridSpan w:val="16"/>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Fourth Amendment to Second Amended and Restated Senior Secured Revolving Credit Agreement, dated October 2, 2015, among TPG</w:t>
              </w:r>
            </w:hyperlink>
          </w:p>
        </w:tc>
        <w:tc>
          <w:tcPr>
            <w:tcW w:w="28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1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Specialty Lending, Inc., as Borrower, the Lenders party thereto and Truist Bank (as successor by merger to SunTrust Bank), as</w:t>
              </w:r>
            </w:hyperlink>
          </w:p>
        </w:tc>
        <w:tc>
          <w:tcPr>
            <w:tcW w:w="980" w:type="dxa"/>
            <w:vAlign w:val="bottom"/>
            <w:gridSpan w:val="2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4"/>
          </w:tcPr>
          <w:p>
            <w:pPr>
              <w:spacing w:after="0" w:line="196"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Administrative Agent (incorporated by reference to Exhibit 10.1 to the Company’s Quarterly Report on Form 10-Q filed on November 3,</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28">
              <w:r>
                <w:rPr>
                  <w:rFonts w:ascii="Times New Roman" w:cs="Times New Roman" w:eastAsia="Times New Roman" w:hAnsi="Times New Roman"/>
                  <w:sz w:val="18"/>
                  <w:szCs w:val="18"/>
                  <w:color w:val="0000FF"/>
                  <w:w w:val="98"/>
                </w:rPr>
                <w:t>2015).</w:t>
              </w:r>
            </w:hyperlink>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Fifth Amendment to Second Amended and Restated Senior Secured Revolving Credit Agreement, dated December 22, 2016, among TPG</w:t>
              </w:r>
            </w:hyperlink>
          </w:p>
        </w:tc>
        <w:tc>
          <w:tcPr>
            <w:tcW w:w="16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1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Specialty Lending, Inc., as Borrower, the Lenders party thereto and Truist Bank (as successor by merger to SunTrust Bank), as</w:t>
              </w:r>
            </w:hyperlink>
          </w:p>
        </w:tc>
        <w:tc>
          <w:tcPr>
            <w:tcW w:w="980" w:type="dxa"/>
            <w:vAlign w:val="bottom"/>
            <w:gridSpan w:val="2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4"/>
          </w:tcPr>
          <w:p>
            <w:pPr>
              <w:spacing w:after="0" w:line="196" w:lineRule="exact"/>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Administrative Agent (incorporated by reference to Exhibit 10.15 to the Company’s Annual Report on Form 10-K filed on February 22,</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29">
              <w:r>
                <w:rPr>
                  <w:rFonts w:ascii="Times New Roman" w:cs="Times New Roman" w:eastAsia="Times New Roman" w:hAnsi="Times New Roman"/>
                  <w:sz w:val="18"/>
                  <w:szCs w:val="18"/>
                  <w:color w:val="0000FF"/>
                  <w:w w:val="98"/>
                </w:rPr>
                <w:t>2017).</w:t>
              </w:r>
            </w:hyperlink>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Amended and Restated Administration Agreement, dated as of February 22, 2017 between the Company and the Adviser (incorporated by</w:t>
              </w:r>
            </w:hyperlink>
          </w:p>
        </w:tc>
        <w:tc>
          <w:tcPr>
            <w:tcW w:w="12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4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30">
              <w:r>
                <w:rPr>
                  <w:rFonts w:ascii="Times New Roman" w:cs="Times New Roman" w:eastAsia="Times New Roman" w:hAnsi="Times New Roman"/>
                  <w:sz w:val="18"/>
                  <w:szCs w:val="18"/>
                  <w:color w:val="0000FF"/>
                  <w:w w:val="99"/>
                </w:rPr>
                <w:t>reference to Exhibit 10.16 to the Company’s Annual Report on Form 10-K filed on February 22, 2017).</w:t>
              </w:r>
            </w:hyperlink>
          </w:p>
        </w:tc>
        <w:tc>
          <w:tcPr>
            <w:tcW w:w="20" w:type="dxa"/>
            <w:vAlign w:val="bottom"/>
            <w:tcBorders>
              <w:bottom w:val="single" w:sz="8" w:color="0000EE"/>
            </w:tcBorders>
          </w:tcPr>
          <w:p>
            <w:pPr>
              <w:spacing w:after="0"/>
              <w:rPr>
                <w:sz w:val="17"/>
                <w:szCs w:val="17"/>
                <w:color w:val="auto"/>
              </w:rPr>
            </w:pPr>
          </w:p>
        </w:tc>
        <w:tc>
          <w:tcPr>
            <w:tcW w:w="2660" w:type="dxa"/>
            <w:vAlign w:val="bottom"/>
            <w:gridSpan w:val="23"/>
          </w:tcPr>
          <w:p>
            <w:pPr>
              <w:spacing w:after="0"/>
              <w:rPr>
                <w:sz w:val="17"/>
                <w:szCs w:val="17"/>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Sixth Amendment to Second Amended and Restated Senior Secured Revolving Credit Agreement, dated February 20, 2018, among TPG</w:t>
              </w:r>
            </w:hyperlink>
          </w:p>
        </w:tc>
        <w:tc>
          <w:tcPr>
            <w:tcW w:w="22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1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Specialty Lending, Inc., as Borrower, the Lenders party thereto and Truist Bank (as successor by merger to SunTrust Bank), as</w:t>
              </w:r>
            </w:hyperlink>
          </w:p>
        </w:tc>
        <w:tc>
          <w:tcPr>
            <w:tcW w:w="980" w:type="dxa"/>
            <w:vAlign w:val="bottom"/>
            <w:gridSpan w:val="22"/>
          </w:tcPr>
          <w:p>
            <w:pPr>
              <w:spacing w:after="0"/>
              <w:rPr>
                <w:sz w:val="17"/>
                <w:szCs w:val="17"/>
                <w:color w:val="auto"/>
              </w:rPr>
            </w:pPr>
          </w:p>
        </w:tc>
      </w:tr>
    </w:tbl>
    <w:p>
      <w:pPr>
        <w:spacing w:after="0" w:line="9" w:lineRule="exact"/>
        <w:rPr>
          <w:sz w:val="20"/>
          <w:szCs w:val="20"/>
          <w:color w:val="auto"/>
        </w:rPr>
      </w:pPr>
    </w:p>
    <w:p>
      <w:pPr>
        <w:ind w:left="1060" w:right="340"/>
        <w:spacing w:after="0" w:line="282" w:lineRule="auto"/>
        <w:rPr>
          <w:rFonts w:ascii="Times New Roman" w:cs="Times New Roman" w:eastAsia="Times New Roman" w:hAnsi="Times New Roman"/>
          <w:sz w:val="18"/>
          <w:szCs w:val="18"/>
          <w:u w:val="single" w:color="auto"/>
          <w:color w:val="0000FF"/>
        </w:rPr>
      </w:pPr>
      <w:hyperlink r:id="rId731">
        <w:r>
          <w:rPr>
            <w:rFonts w:ascii="Times New Roman" w:cs="Times New Roman" w:eastAsia="Times New Roman" w:hAnsi="Times New Roman"/>
            <w:sz w:val="18"/>
            <w:szCs w:val="18"/>
            <w:u w:val="single" w:color="auto"/>
            <w:color w:val="0000FF"/>
          </w:rPr>
          <w:t>Administrative Agent (incorporated by reference to Exhibit 10.16 to the Company’s Annual Report on Form 10-K filed on February 21,</w:t>
        </w:r>
      </w:hyperlink>
      <w:r>
        <w:rPr>
          <w:rFonts w:ascii="Times New Roman" w:cs="Times New Roman" w:eastAsia="Times New Roman" w:hAnsi="Times New Roman"/>
          <w:sz w:val="18"/>
          <w:szCs w:val="18"/>
          <w:u w:val="single" w:color="auto"/>
          <w:color w:val="0000FF"/>
        </w:rPr>
        <w:t xml:space="preserve"> </w:t>
      </w:r>
      <w:hyperlink r:id="rId731">
        <w:r>
          <w:rPr>
            <w:rFonts w:ascii="Times New Roman" w:cs="Times New Roman" w:eastAsia="Times New Roman" w:hAnsi="Times New Roman"/>
            <w:sz w:val="18"/>
            <w:szCs w:val="18"/>
            <w:u w:val="single" w:color="auto"/>
            <w:color w:val="0000FF"/>
          </w:rPr>
          <w:t>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-185420</wp:posOffset>
            </wp:positionV>
            <wp:extent cx="62445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2">
                      <a:extLst>
                        <a:ext uri="{28A0092B-C50C-407E-A947-70E740481C1C}"/>
                      </a:extLst>
                    </a:blip>
                    <a:srcRect/>
                    <a:stretch>
                      <a:fillRect/>
                    </a:stretch>
                  </pic:blipFill>
                  <pic:spPr bwMode="auto">
                    <a:xfrm>
                      <a:off x="0" y="0"/>
                      <a:ext cx="624459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-48260</wp:posOffset>
            </wp:positionV>
            <wp:extent cx="2952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3">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46" w:right="359" w:bottom="1440" w:gutter="0" w:footer="0" w:header="0"/>
          <w:type w:val="continuous"/>
        </w:sectPr>
      </w:pPr>
    </w:p>
    <w:bookmarkStart w:id="141" w:name="page142"/>
    <w:bookmarkEnd w:id="141"/>
    <w:p>
      <w:pPr>
        <w:spacing w:after="0"/>
        <w:tabs>
          <w:tab w:leader="none" w:pos="104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346" w:right="35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Seventh Amendment to Second Amended and Restated Senior Secured Revolving Credit Agreement, dated as of November 5, 2018, among</w:t>
              </w:r>
            </w:hyperlink>
          </w:p>
        </w:tc>
      </w:tr>
      <w:tr>
        <w:trPr>
          <w:trHeight w:val="196"/>
        </w:trPr>
        <w:tc>
          <w:tcPr>
            <w:tcW w:w="1060" w:type="dxa"/>
            <w:vAlign w:val="bottom"/>
          </w:tcPr>
          <w:p>
            <w:pPr>
              <w:spacing w:after="0"/>
              <w:rPr>
                <w:sz w:val="17"/>
                <w:szCs w:val="17"/>
                <w:color w:val="auto"/>
              </w:rPr>
            </w:pPr>
          </w:p>
        </w:tc>
        <w:tc>
          <w:tcPr>
            <w:tcW w:w="9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36">
              <w:r>
                <w:rPr>
                  <w:rFonts w:ascii="Times New Roman" w:cs="Times New Roman" w:eastAsia="Times New Roman" w:hAnsi="Times New Roman"/>
                  <w:sz w:val="18"/>
                  <w:szCs w:val="18"/>
                  <w:color w:val="0000FF"/>
                  <w:w w:val="99"/>
                </w:rPr>
                <w:t>TPG Specialty Lending, Inc., as Borrower, the Lenders party thereto and Truist Bank (as successor by merger to SunTrust Bank), as</w:t>
              </w:r>
            </w:hyperlink>
          </w:p>
        </w:tc>
        <w:tc>
          <w:tcPr>
            <w:tcW w:w="60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Administrative Agent (incorporated by reference to Exhibit 10.1 to the Company's Quarterly Report on Form 10-Q filed on November 6,</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36">
              <w:r>
                <w:rPr>
                  <w:rFonts w:ascii="Times New Roman" w:cs="Times New Roman" w:eastAsia="Times New Roman" w:hAnsi="Times New Roman"/>
                  <w:sz w:val="18"/>
                  <w:szCs w:val="18"/>
                  <w:color w:val="0000FF"/>
                  <w:w w:val="98"/>
                </w:rPr>
                <w:t>2018).</w:t>
              </w:r>
            </w:hyperlink>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737">
              <w:r>
                <w:rPr>
                  <w:rFonts w:ascii="Times New Roman" w:cs="Times New Roman" w:eastAsia="Times New Roman" w:hAnsi="Times New Roman"/>
                  <w:sz w:val="18"/>
                  <w:szCs w:val="18"/>
                  <w:color w:val="0000FF"/>
                </w:rPr>
                <w:t>Eighth Amendment to Second Amended and Restated Senior Secured Revolving Credit Agreement, dated as of February 14, 2019, among</w:t>
              </w:r>
            </w:hyperlink>
          </w:p>
        </w:tc>
        <w:tc>
          <w:tcPr>
            <w:tcW w:w="10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37">
              <w:r>
                <w:rPr>
                  <w:rFonts w:ascii="Times New Roman" w:cs="Times New Roman" w:eastAsia="Times New Roman" w:hAnsi="Times New Roman"/>
                  <w:sz w:val="18"/>
                  <w:szCs w:val="18"/>
                  <w:color w:val="0000FF"/>
                  <w:w w:val="99"/>
                </w:rPr>
                <w:t>TPG Specialty Lending, Inc., as Borrower, the Lenders party thereto and Truist Bank (as successor by merger to SunTrust Bank), as</w:t>
              </w:r>
            </w:hyperlink>
          </w:p>
        </w:tc>
        <w:tc>
          <w:tcPr>
            <w:tcW w:w="60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37">
              <w:r>
                <w:rPr>
                  <w:rFonts w:ascii="Times New Roman" w:cs="Times New Roman" w:eastAsia="Times New Roman" w:hAnsi="Times New Roman"/>
                  <w:sz w:val="18"/>
                  <w:szCs w:val="18"/>
                  <w:color w:val="0000FF"/>
                </w:rPr>
                <w:t>Administrative Agent. (incorporated by reference to Exhibit 10.16 to the Company’s Annual Report on Form 10-K filed on February 20,</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37">
              <w:r>
                <w:rPr>
                  <w:rFonts w:ascii="Times New Roman" w:cs="Times New Roman" w:eastAsia="Times New Roman" w:hAnsi="Times New Roman"/>
                  <w:sz w:val="18"/>
                  <w:szCs w:val="18"/>
                  <w:color w:val="0000FF"/>
                  <w:w w:val="98"/>
                </w:rPr>
                <w:t>2019).</w:t>
              </w:r>
            </w:hyperlink>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Ninth Amendment to Second Amended and Restated Senior Secured Revolving Credit Agreement, dated as of January 31, 2020, among</w:t>
              </w:r>
            </w:hyperlink>
          </w:p>
        </w:tc>
        <w:tc>
          <w:tcPr>
            <w:tcW w:w="26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38">
              <w:r>
                <w:rPr>
                  <w:rFonts w:ascii="Times New Roman" w:cs="Times New Roman" w:eastAsia="Times New Roman" w:hAnsi="Times New Roman"/>
                  <w:sz w:val="18"/>
                  <w:szCs w:val="18"/>
                  <w:color w:val="0000FF"/>
                  <w:w w:val="99"/>
                </w:rPr>
                <w:t>TPG Specialty Lending, Inc., as Borrower, the Lenders party thereto and Truist Bank (as successor by merger to SunTrust Bank), as</w:t>
              </w:r>
            </w:hyperlink>
          </w:p>
        </w:tc>
        <w:tc>
          <w:tcPr>
            <w:tcW w:w="60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Administrative Agent. (incorporated by reference to Exhibit 10.17 to the Company’s Annual Report on Form 10-K filed on February 19,</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38">
              <w:r>
                <w:rPr>
                  <w:rFonts w:ascii="Times New Roman" w:cs="Times New Roman" w:eastAsia="Times New Roman" w:hAnsi="Times New Roman"/>
                  <w:sz w:val="18"/>
                  <w:szCs w:val="18"/>
                  <w:color w:val="0000FF"/>
                  <w:w w:val="98"/>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Tenth Amendment to Second Amended and Restated Senior Secured Revolving Credit Agreement, dated as of February 5, 2021, among</w:t>
              </w:r>
            </w:hyperlink>
          </w:p>
        </w:tc>
        <w:tc>
          <w:tcPr>
            <w:tcW w:w="28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Sixth Street Specialty Lending, Inc., as Borrower, the Lenders party thereto and Truist Bank (as successor by merger to SunTrust Bank), as</w:t>
              </w:r>
            </w:hyperlink>
          </w:p>
        </w:tc>
        <w:tc>
          <w:tcPr>
            <w:tcW w:w="8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Administrative Agent (incorporated by reference to Exhibit 10.18 to the Company’s Annual Report on Form 10-K filed on February 17,</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739">
              <w:r>
                <w:rPr>
                  <w:rFonts w:ascii="Times New Roman" w:cs="Times New Roman" w:eastAsia="Times New Roman" w:hAnsi="Times New Roman"/>
                  <w:sz w:val="18"/>
                  <w:szCs w:val="18"/>
                  <w:color w:val="0000FF"/>
                  <w:w w:val="98"/>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4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740">
              <w:r>
                <w:rPr>
                  <w:rFonts w:ascii="Times New Roman" w:cs="Times New Roman" w:eastAsia="Times New Roman" w:hAnsi="Times New Roman"/>
                  <w:sz w:val="18"/>
                  <w:szCs w:val="18"/>
                  <w:color w:val="0000FF"/>
                  <w:w w:val="99"/>
                </w:rPr>
                <w:t>Eleventh Amendment to Second Amended and</w:t>
              </w:r>
            </w:hyperlink>
          </w:p>
        </w:tc>
        <w:tc>
          <w:tcPr>
            <w:tcW w:w="6740" w:type="dxa"/>
            <w:vAlign w:val="bottom"/>
            <w:gridSpan w:val="2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480" w:type="dxa"/>
            <w:vAlign w:val="bottom"/>
            <w:tcBorders>
              <w:bottom w:val="single" w:sz="8" w:color="0000FF"/>
            </w:tcBorders>
            <w:gridSpan w:val="12"/>
          </w:tcPr>
          <w:p>
            <w:pPr>
              <w:ind w:left="60"/>
              <w:spacing w:after="0" w:line="196" w:lineRule="exact"/>
              <w:rPr>
                <w:rFonts w:ascii="Times New Roman" w:cs="Times New Roman" w:eastAsia="Times New Roman" w:hAnsi="Times New Roman"/>
                <w:sz w:val="18"/>
                <w:szCs w:val="18"/>
                <w:color w:val="0000FF"/>
                <w:w w:val="99"/>
              </w:rPr>
            </w:pPr>
            <w:hyperlink r:id="rId740">
              <w:r>
                <w:rPr>
                  <w:rFonts w:ascii="Times New Roman" w:cs="Times New Roman" w:eastAsia="Times New Roman" w:hAnsi="Times New Roman"/>
                  <w:sz w:val="18"/>
                  <w:szCs w:val="18"/>
                  <w:color w:val="0000FF"/>
                  <w:w w:val="99"/>
                </w:rPr>
                <w:t>Restated Senior Secured Revolving Credit Agreement, dated as of December 21, 2021, among Sixth Street Specialty</w:t>
              </w:r>
            </w:hyperlink>
          </w:p>
        </w:tc>
        <w:tc>
          <w:tcPr>
            <w:tcW w:w="1660" w:type="dxa"/>
            <w:vAlign w:val="bottom"/>
            <w:gridSpan w:val="1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ind w:left="60"/>
              <w:spacing w:after="0" w:line="196" w:lineRule="exact"/>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Lending, Inc., as Borrower, the Lenders party thereto and Truist Bank (as successor by merger to SunTrust Bank), as</w:t>
              </w:r>
            </w:hyperlink>
          </w:p>
        </w:tc>
      </w:tr>
      <w:tr>
        <w:trPr>
          <w:trHeight w:val="20"/>
        </w:trPr>
        <w:tc>
          <w:tcPr>
            <w:tcW w:w="106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8880" w:type="dxa"/>
            <w:vAlign w:val="bottom"/>
            <w:tcBorders>
              <w:bottom w:val="single" w:sz="8" w:color="0000FF"/>
            </w:tcBorders>
            <w:gridSpan w:val="14"/>
          </w:tcPr>
          <w:p>
            <w:pPr>
              <w:ind w:left="60"/>
              <w:spacing w:after="0" w:line="196" w:lineRule="exact"/>
              <w:rPr>
                <w:rFonts w:ascii="Times New Roman" w:cs="Times New Roman" w:eastAsia="Times New Roman" w:hAnsi="Times New Roman"/>
                <w:sz w:val="18"/>
                <w:szCs w:val="18"/>
                <w:color w:val="0000FF"/>
                <w:w w:val="99"/>
              </w:rPr>
            </w:pPr>
            <w:hyperlink r:id="rId740">
              <w:r>
                <w:rPr>
                  <w:rFonts w:ascii="Times New Roman" w:cs="Times New Roman" w:eastAsia="Times New Roman" w:hAnsi="Times New Roman"/>
                  <w:sz w:val="18"/>
                  <w:szCs w:val="18"/>
                  <w:color w:val="0000FF"/>
                  <w:w w:val="99"/>
                </w:rPr>
                <w:t>Administrative Agent (incorporated by reference to Exhibit 10.19 to the Company’s Annual Report on Form 10-K filed on</w:t>
              </w:r>
            </w:hyperlink>
          </w:p>
        </w:tc>
        <w:tc>
          <w:tcPr>
            <w:tcW w:w="126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ind w:left="60"/>
              <w:spacing w:after="0" w:line="196" w:lineRule="exact"/>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February 17, 2022).</w:t>
              </w:r>
            </w:hyperlink>
          </w:p>
        </w:tc>
      </w:tr>
      <w:tr>
        <w:trPr>
          <w:trHeight w:val="20"/>
        </w:trPr>
        <w:tc>
          <w:tcPr>
            <w:tcW w:w="106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41">
              <w:r>
                <w:rPr>
                  <w:rFonts w:ascii="Times New Roman" w:cs="Times New Roman" w:eastAsia="Times New Roman" w:hAnsi="Times New Roman"/>
                  <w:sz w:val="18"/>
                  <w:szCs w:val="18"/>
                  <w:color w:val="0000FF"/>
                </w:rPr>
                <w:t>Twelfth Amendment to Second Amended and Restated Senior Secured Revolving Credit Agreement, dated as of April 25, 2022, among</w:t>
              </w:r>
            </w:hyperlink>
          </w:p>
        </w:tc>
        <w:tc>
          <w:tcPr>
            <w:tcW w:w="30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741">
              <w:r>
                <w:rPr>
                  <w:rFonts w:ascii="Times New Roman" w:cs="Times New Roman" w:eastAsia="Times New Roman" w:hAnsi="Times New Roman"/>
                  <w:sz w:val="18"/>
                  <w:szCs w:val="18"/>
                  <w:color w:val="0000FF"/>
                </w:rPr>
                <w:t>Sixth Street Specialty Lending, Inc., as Borrower, the Lenders party thereto and Truist Bank (as successor by merger to SunTrust Bank), as</w:t>
              </w:r>
            </w:hyperlink>
          </w:p>
        </w:tc>
        <w:tc>
          <w:tcPr>
            <w:tcW w:w="8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41">
              <w:r>
                <w:rPr>
                  <w:rFonts w:ascii="Times New Roman" w:cs="Times New Roman" w:eastAsia="Times New Roman" w:hAnsi="Times New Roman"/>
                  <w:sz w:val="18"/>
                  <w:szCs w:val="18"/>
                  <w:color w:val="0000FF"/>
                </w:rPr>
                <w:t>Administrative Agent (incorporated by reference to Exhibit 10.1 to the Company’s Quarterly Report on Form 10-Q filed on May 5, 2022).</w:t>
              </w:r>
            </w:hyperlink>
          </w:p>
        </w:tc>
      </w:tr>
      <w:tr>
        <w:trPr>
          <w:trHeight w:val="52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96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742">
              <w:r>
                <w:rPr>
                  <w:rFonts w:ascii="Times New Roman" w:cs="Times New Roman" w:eastAsia="Times New Roman" w:hAnsi="Times New Roman"/>
                  <w:sz w:val="18"/>
                  <w:szCs w:val="18"/>
                  <w:color w:val="0000FF"/>
                </w:rPr>
                <w:t>Thirteenth Amendment to Second Amended and Restated Senior Secured Revolving Credit Agreement, dated as of May</w:t>
              </w:r>
            </w:hyperlink>
          </w:p>
        </w:tc>
        <w:tc>
          <w:tcPr>
            <w:tcW w:w="18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6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742">
              <w:r>
                <w:rPr>
                  <w:rFonts w:ascii="Times New Roman" w:cs="Times New Roman" w:eastAsia="Times New Roman" w:hAnsi="Times New Roman"/>
                  <w:sz w:val="18"/>
                  <w:szCs w:val="18"/>
                  <w:color w:val="0000FF"/>
                </w:rPr>
                <w:t>19, 2022, among Sixth Street Specialty Lending, Inc., as Borrower, the Lenders party thereto and Truist Bank (as</w:t>
              </w:r>
            </w:hyperlink>
          </w:p>
        </w:tc>
        <w:tc>
          <w:tcPr>
            <w:tcW w:w="1460" w:type="dxa"/>
            <w:vAlign w:val="bottom"/>
            <w:gridSpan w:val="1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82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42">
              <w:r>
                <w:rPr>
                  <w:rFonts w:ascii="Times New Roman" w:cs="Times New Roman" w:eastAsia="Times New Roman" w:hAnsi="Times New Roman"/>
                  <w:sz w:val="18"/>
                  <w:szCs w:val="18"/>
                  <w:color w:val="0000FF"/>
                  <w:w w:val="99"/>
                </w:rPr>
                <w:t>successor by merger to SunTrust Bank), as Administrative Agent (incorporated by reference to Exhibit 10.2 to the</w:t>
              </w:r>
            </w:hyperlink>
          </w:p>
        </w:tc>
        <w:tc>
          <w:tcPr>
            <w:tcW w:w="192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FF"/>
              </w:rPr>
            </w:pPr>
            <w:hyperlink r:id="rId742">
              <w:r>
                <w:rPr>
                  <w:rFonts w:ascii="Times New Roman" w:cs="Times New Roman" w:eastAsia="Times New Roman" w:hAnsi="Times New Roman"/>
                  <w:sz w:val="18"/>
                  <w:szCs w:val="18"/>
                  <w:color w:val="0000FF"/>
                </w:rPr>
                <w:t>Company’s Quarterly Report on Form 10-Q filed on August 2, 2022).</w:t>
              </w:r>
            </w:hyperlink>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740" w:type="dxa"/>
            <w:vAlign w:val="bottom"/>
            <w:tcBorders>
              <w:top w:val="single" w:sz="8" w:color="0000FF"/>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Subsidiaries of Sixth Street Specialty Lending, Inc.</w:t>
            </w:r>
          </w:p>
        </w:tc>
        <w:tc>
          <w:tcPr>
            <w:tcW w:w="1280" w:type="dxa"/>
            <w:vAlign w:val="bottom"/>
            <w:tcBorders>
              <w:top w:val="single" w:sz="8" w:color="0000FF"/>
            </w:tcBorders>
            <w:gridSpan w:val="2"/>
          </w:tcPr>
          <w:p>
            <w:pPr>
              <w:spacing w:after="0"/>
              <w:rPr>
                <w:sz w:val="24"/>
                <w:szCs w:val="24"/>
                <w:color w:val="auto"/>
              </w:rPr>
            </w:pPr>
          </w:p>
        </w:tc>
        <w:tc>
          <w:tcPr>
            <w:tcW w:w="5120" w:type="dxa"/>
            <w:vAlign w:val="bottom"/>
            <w:gridSpan w:val="17"/>
          </w:tcPr>
          <w:p>
            <w:pPr>
              <w:spacing w:after="0"/>
              <w:rPr>
                <w:sz w:val="24"/>
                <w:szCs w:val="24"/>
                <w:color w:val="auto"/>
              </w:rPr>
            </w:pPr>
          </w:p>
        </w:tc>
      </w:tr>
      <w:tr>
        <w:trPr>
          <w:trHeight w:val="37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5760" w:type="dxa"/>
            <w:vAlign w:val="bottom"/>
            <w:gridSpan w:val="18"/>
          </w:tcPr>
          <w:p>
            <w:pPr>
              <w:spacing w:after="0"/>
              <w:rPr>
                <w:sz w:val="24"/>
                <w:szCs w:val="24"/>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302 of the Sarbanes-Oxley Act</w:t>
            </w: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06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9480" w:type="dxa"/>
            <w:vAlign w:val="bottom"/>
            <w:gridSpan w:val="2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302 of the Sarbanes-Oxley Act</w:t>
            </w: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60" w:hanging="1059"/>
        <w:spacing w:after="0"/>
        <w:tabs>
          <w:tab w:leader="none" w:pos="10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-7620</wp:posOffset>
            </wp:positionV>
            <wp:extent cx="64008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3">
                      <a:extLst>
                        <a:ext uri="{28A0092B-C50C-407E-A947-70E740481C1C}"/>
                      </a:extLst>
                    </a:blip>
                    <a:srcRect/>
                    <a:stretch>
                      <a:fillRect/>
                    </a:stretch>
                  </pic:blipFill>
                  <pic:spPr bwMode="auto">
                    <a:xfrm>
                      <a:off x="0" y="0"/>
                      <a:ext cx="640080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Supplemental Information.</w:t>
            </w:r>
          </w:p>
        </w:tc>
        <w:tc>
          <w:tcPr>
            <w:tcW w:w="20" w:type="dxa"/>
            <w:vAlign w:val="bottom"/>
            <w:tcBorders>
              <w:bottom w:val="single" w:sz="8" w:color="0000EE"/>
            </w:tcBorders>
          </w:tcPr>
          <w:p>
            <w:pPr>
              <w:spacing w:after="0"/>
              <w:rPr>
                <w:sz w:val="18"/>
                <w:szCs w:val="18"/>
                <w:color w:val="auto"/>
              </w:rPr>
            </w:pPr>
          </w:p>
        </w:tc>
        <w:tc>
          <w:tcPr>
            <w:tcW w:w="3360" w:type="dxa"/>
            <w:vAlign w:val="bottom"/>
          </w:tcPr>
          <w:p>
            <w:pPr>
              <w:spacing w:after="0"/>
              <w:rPr>
                <w:sz w:val="18"/>
                <w:szCs w:val="18"/>
                <w:color w:val="auto"/>
              </w:rPr>
            </w:pPr>
          </w:p>
        </w:tc>
      </w:tr>
      <w:tr>
        <w:trPr>
          <w:trHeight w:val="3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106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Definiton Linkbase Document</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5520" w:right="4360" w:hanging="5519"/>
        <w:spacing w:after="0" w:line="595" w:lineRule="auto"/>
        <w:tabs>
          <w:tab w:leader="none" w:pos="107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-137795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46" w:right="35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7"/>
          <w:szCs w:val="17"/>
          <w:b w:val="1"/>
          <w:bCs w:val="1"/>
          <w:color w:val="auto"/>
        </w:rPr>
        <w:t>SIXTH STREET SPECIALTY LENDING, INC.</w:t>
      </w:r>
    </w:p>
    <w:p>
      <w:pPr>
        <w:spacing w:after="0" w:line="3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2022,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16,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39"/>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 Directors</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A. Ross</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A. Ross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Fishman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603"/>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A. Higginbotham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Ronald K. Tanemura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80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2"/>
          </w:tcPr>
          <w:p>
            <w:pPr>
              <w:jc w:val="right"/>
              <w:ind w:right="5432"/>
              <w:spacing w:after="0"/>
              <w:rPr>
                <w:sz w:val="20"/>
                <w:szCs w:val="20"/>
                <w:color w:val="auto"/>
              </w:rPr>
            </w:pPr>
            <w:r>
              <w:rPr>
                <w:rFonts w:ascii="Times New Roman" w:cs="Times New Roman" w:eastAsia="Times New Roman" w:hAnsi="Times New Roman"/>
                <w:sz w:val="18"/>
                <w:szCs w:val="18"/>
                <w:color w:val="auto"/>
              </w:rPr>
              <w:t>94</w:t>
            </w:r>
          </w:p>
        </w:tc>
      </w:tr>
      <w:tr>
        <w:trPr>
          <w:trHeight w:val="115"/>
        </w:trPr>
        <w:tc>
          <w:tcPr>
            <w:tcW w:w="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February 16, 2023:</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Outstanding Exclusive of</w:t>
            </w:r>
          </w:p>
        </w:tc>
        <w:tc>
          <w:tcPr>
            <w:tcW w:w="0" w:type="dxa"/>
            <w:vAlign w:val="bottom"/>
          </w:tcPr>
          <w:p>
            <w:pPr>
              <w:spacing w:after="0"/>
              <w:rPr>
                <w:sz w:val="1"/>
                <w:szCs w:val="1"/>
                <w:color w:val="auto"/>
              </w:rPr>
            </w:pPr>
          </w:p>
        </w:tc>
      </w:tr>
      <w:tr>
        <w:trPr>
          <w:trHeight w:val="14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6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0" w:type="dxa"/>
            <w:vAlign w:val="bottom"/>
          </w:tcPr>
          <w:p>
            <w:pPr>
              <w:spacing w:after="0"/>
              <w:rPr>
                <w:sz w:val="1"/>
                <w:szCs w:val="1"/>
                <w:color w:val="auto"/>
              </w:rPr>
            </w:pPr>
          </w:p>
        </w:tc>
      </w:tr>
      <w:tr>
        <w:trPr>
          <w:trHeight w:val="173"/>
        </w:trPr>
        <w:tc>
          <w:tcPr>
            <w:tcW w:w="3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41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400,000,000</w:t>
            </w:r>
          </w:p>
        </w:tc>
        <w:tc>
          <w:tcPr>
            <w:tcW w:w="3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664,250</w:t>
            </w:r>
          </w:p>
        </w:tc>
        <w:tc>
          <w:tcPr>
            <w:tcW w:w="300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81,389,287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The following description is based on relevant portions of the Delaware General Corporate Law, or the DGCL, and on our Amended and Restated Certificate of Incorporation (the “certificate of incorporation”) and our Amended and Restated Bylaws (the “bylaws”), both incorporated by reference to our Annual Report on Form 10-K. This summary is not necessarily complete, and we refer you to the DGCL and our certificate of incorporation and bylaws for a more detailed description of the provisions summarized below. As of February 16, 2023, there are no outstanding shares of preferred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Common Stock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of directors (the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17" w:lineRule="exact"/>
        <w:rPr>
          <w:sz w:val="20"/>
          <w:szCs w:val="20"/>
          <w:color w:val="auto"/>
        </w:rPr>
      </w:pPr>
    </w:p>
    <w:p>
      <w:pPr>
        <w:ind w:left="1020" w:right="100" w:hanging="376"/>
        <w:spacing w:after="0" w:line="282" w:lineRule="auto"/>
        <w:tabs>
          <w:tab w:leader="none" w:pos="99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53" w:lineRule="exact"/>
        <w:rPr>
          <w:rFonts w:ascii="Times New Roman" w:cs="Times New Roman" w:eastAsia="Times New Roman" w:hAnsi="Times New Roman"/>
          <w:sz w:val="18"/>
          <w:szCs w:val="18"/>
          <w:color w:val="auto"/>
        </w:rPr>
      </w:pPr>
    </w:p>
    <w:p>
      <w:pPr>
        <w:ind w:left="1020" w:right="260" w:hanging="376"/>
        <w:spacing w:after="0" w:line="282" w:lineRule="auto"/>
        <w:tabs>
          <w:tab w:leader="none" w:pos="99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020" w:right="100" w:hanging="376"/>
        <w:spacing w:after="0" w:line="282" w:lineRule="auto"/>
        <w:tabs>
          <w:tab w:leader="none" w:pos="99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17" w:lineRule="exact"/>
        <w:rPr>
          <w:sz w:val="20"/>
          <w:szCs w:val="20"/>
          <w:color w:val="auto"/>
        </w:rPr>
      </w:pPr>
    </w:p>
    <w:p>
      <w:pPr>
        <w:ind w:left="1020" w:right="60" w:hanging="376"/>
        <w:spacing w:after="0" w:line="282" w:lineRule="auto"/>
        <w:tabs>
          <w:tab w:leader="none" w:pos="99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53"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Investment Company Act of 1940, as amended, or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17" w:lineRule="exact"/>
        <w:rPr>
          <w:sz w:val="20"/>
          <w:szCs w:val="20"/>
          <w:color w:val="auto"/>
        </w:rPr>
      </w:pPr>
    </w:p>
    <w:p>
      <w:pPr>
        <w:ind w:left="1000" w:hanging="356"/>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17" w:lineRule="exact"/>
        <w:rPr>
          <w:rFonts w:ascii="Times New Roman" w:cs="Times New Roman" w:eastAsia="Times New Roman" w:hAnsi="Times New Roman"/>
          <w:sz w:val="18"/>
          <w:szCs w:val="18"/>
          <w:color w:val="auto"/>
        </w:rPr>
      </w:pPr>
    </w:p>
    <w:p>
      <w:pPr>
        <w:ind w:left="1020" w:hanging="376"/>
        <w:spacing w:after="0" w:line="266" w:lineRule="auto"/>
        <w:tabs>
          <w:tab w:leader="none" w:pos="99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67" w:lineRule="exact"/>
        <w:rPr>
          <w:rFonts w:ascii="Times New Roman" w:cs="Times New Roman" w:eastAsia="Times New Roman" w:hAnsi="Times New Roman"/>
          <w:sz w:val="18"/>
          <w:szCs w:val="18"/>
          <w:color w:val="auto"/>
        </w:rPr>
      </w:pPr>
    </w:p>
    <w:p>
      <w:pPr>
        <w:ind w:left="1020" w:right="200" w:hanging="376"/>
        <w:spacing w:after="0" w:line="266" w:lineRule="auto"/>
        <w:tabs>
          <w:tab w:leader="none" w:pos="99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67" w:lineRule="exact"/>
        <w:rPr>
          <w:rFonts w:ascii="Times New Roman" w:cs="Times New Roman" w:eastAsia="Times New Roman" w:hAnsi="Times New Roman"/>
          <w:sz w:val="18"/>
          <w:szCs w:val="18"/>
          <w:color w:val="auto"/>
        </w:rPr>
      </w:pPr>
    </w:p>
    <w:p>
      <w:pPr>
        <w:ind w:left="1020" w:right="120" w:hanging="376"/>
        <w:spacing w:after="0" w:line="266" w:lineRule="auto"/>
        <w:tabs>
          <w:tab w:leader="none" w:pos="99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17" w:lineRule="exact"/>
        <w:rPr>
          <w:sz w:val="20"/>
          <w:szCs w:val="20"/>
          <w:color w:val="auto"/>
        </w:rPr>
      </w:pPr>
    </w:p>
    <w:p>
      <w:pPr>
        <w:ind w:left="1020" w:right="260" w:hanging="376"/>
        <w:spacing w:after="0" w:line="282" w:lineRule="auto"/>
        <w:tabs>
          <w:tab w:leader="none" w:pos="99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53"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47" w:name="page148"/>
    <w:bookmarkEnd w:id="147"/>
    <w:p>
      <w:pPr>
        <w:ind w:firstLine="509"/>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48" w:name="page149"/>
    <w:bookmarkEnd w:id="148"/>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SIXTH STREET SPECIALTY LENDING, INC.</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5"/>
                <w:szCs w:val="15"/>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Jurisdiction</w:t>
            </w: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 Lending, LLC</w:t>
            </w: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1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SL SPV, LLC</w:t>
            </w:r>
          </w:p>
        </w:tc>
        <w:tc>
          <w:tcPr>
            <w:tcW w:w="10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SL Holding, LLC</w:t>
            </w:r>
          </w:p>
        </w:tc>
        <w:tc>
          <w:tcPr>
            <w:tcW w:w="10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Specialty Lending Sub, LLC</w:t>
            </w:r>
          </w:p>
        </w:tc>
        <w:tc>
          <w:tcPr>
            <w:tcW w:w="10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777"/>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N-2 of Sixth Street Specialty Lending, Inc. of our report dated February 16, 2023, with respect to the consolidated financial statements and the effectiveness of internal control over financial reporting, which appears in the annual report on Form 10-K of Sixth Street Specialty Lending, Inc. for the year ended December 31, 2022, and to the use of our report dated February 16, 2023 on the senior securities table included herein as an exhibit to the Form 10-K. We also consent to the references to our firm under the headings “Senior Securities” and “Controls and Procedures” in the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7"/>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Sixth Street Specialty Lending, Inc.;</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200" w:hanging="517"/>
        <w:spacing w:after="0" w:line="276" w:lineRule="auto"/>
        <w:tabs>
          <w:tab w:leader="none" w:pos="7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100" w:hanging="509"/>
        <w:spacing w:after="0" w:line="266"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60" w:hanging="517"/>
        <w:spacing w:after="0" w:line="282" w:lineRule="auto"/>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39"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Joshua Easterly</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80" w:hanging="517"/>
        <w:spacing w:after="0"/>
        <w:tabs>
          <w:tab w:leader="none" w:pos="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Sixth Street Specialty Lending, Inc.;</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200" w:hanging="517"/>
        <w:spacing w:after="0" w:line="276" w:lineRule="auto"/>
        <w:tabs>
          <w:tab w:leader="none" w:pos="7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100" w:hanging="509"/>
        <w:spacing w:after="0" w:line="266" w:lineRule="auto"/>
        <w:tabs>
          <w:tab w:leader="none" w:pos="12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60" w:hanging="517"/>
        <w:spacing w:after="0" w:line="282" w:lineRule="auto"/>
        <w:tabs>
          <w:tab w:leader="none" w:pos="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Ian Simmonds</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2" w:name="page153"/>
    <w:bookmarkEnd w:id="152"/>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Sixth Street Specialty Lending, Inc. (the “Company”) for the annual period ended December 31, 2022,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517"/>
        <w:spacing w:after="0"/>
        <w:tabs>
          <w:tab w:leader="none" w:pos="7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517"/>
        <w:spacing w:after="0"/>
        <w:tabs>
          <w:tab w:leader="none" w:pos="78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36"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9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36"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Supplemental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audited and reported separately herein on the consolidated financial statements of Sixth Street Specialty Lending, Inc. and subsidiaries (the Company) as of December 31, 2022 and 2021 and for each of the years in the three-year period ended December 31, 2022.</w:t>
      </w:r>
    </w:p>
    <w:p>
      <w:pPr>
        <w:spacing w:after="0" w:line="16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have also previously audited, in accordance with the standards of the PCAOB, the consolidatedbalance sheets of the Company, including the consolidated schedules of investments, as of December 31, 2020, 2019, 2018, 2017, 2016, 2015, 2014, and 2013, and the related consolidatedstatements of operations, changes in net assets, and cash flows for the years ended December 31, 2019, 2018, 2017, 2016, 2015, 2014, and 2013 (none of which is presented herein), and we expressed unqualified opinions on those consolidated financial statements. The senior securities table included in Part II, Item 5 of the Annual Report on Form 10-K of the Company for the year ended December 31, 2022, under the caption “Senior Securities” (the Senior Securities Table) has been subjected to audit procedures performed in conjunction with the audit of the Company’s respective consolidatedfinancial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1)"/>
      <w:numFmt w:val="decimal"/>
      <w:start w:val="1"/>
    </w:lvl>
  </w:abstractNum>
  <w:abstractNum w:abstractNumId="14">
    <w:nsid w:val="6590700B"/>
    <w:multiLevelType w:val="hybridMultilevel"/>
    <w:lvl w:ilvl="0">
      <w:lvlJc w:val="left"/>
      <w:lvlText w:val="(%1)"/>
      <w:numFmt w:val="decimal"/>
      <w:start w:val="1"/>
    </w:lvl>
  </w:abstractNum>
  <w:abstractNum w:abstractNumId="15">
    <w:nsid w:val="15014ACB"/>
    <w:multiLevelType w:val="hybridMultilevel"/>
    <w:lvl w:ilvl="0">
      <w:lvlJc w:val="left"/>
      <w:lvlText w:val="(%1)"/>
      <w:numFmt w:val="decimal"/>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1)"/>
      <w:numFmt w:val="lowerRoman"/>
      <w:start w:val="1"/>
    </w:lvl>
  </w:abstractNum>
  <w:abstractNum w:abstractNumId="20">
    <w:nsid w:val="42C296BD"/>
    <w:multiLevelType w:val="hybridMultilevel"/>
    <w:lvl w:ilvl="0">
      <w:lvlJc w:val="left"/>
      <w:lvlText w:val="(%1)"/>
      <w:numFmt w:val="lowerRoman"/>
      <w:start w:val="2"/>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decimal"/>
    </w:lvl>
    <w:lvl w:ilvl="1">
      <w:lvlJc w:val="left"/>
      <w:lvlText w:val="="/>
      <w:numFmt w:val="bullet"/>
      <w:start w:val="1"/>
    </w:lvl>
  </w:abstractNum>
  <w:abstractNum w:abstractNumId="23">
    <w:nsid w:val="661E3F1E"/>
    <w:multiLevelType w:val="hybridMultilevel"/>
    <w:lvl w:ilvl="0">
      <w:lvlJc w:val="left"/>
      <w:lvlText w:val="(%1)"/>
      <w:numFmt w:val="decimal"/>
      <w:start w:val="4"/>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lvl w:ilvl="1">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1)"/>
      <w:numFmt w:val="decimal"/>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lowerLetter"/>
      <w:start w:val="2"/>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3"/>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decimal"/>
      <w:start w:val="3"/>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1"/>
      <w:numFmt w:val="decimal"/>
      <w:start w:val="1"/>
    </w:lvl>
    <w:lvl w:ilvl="1">
      <w:lvlJc w:val="left"/>
      <w:lvlText w:val="(%2)"/>
      <w:numFmt w:val="lowerLetter"/>
      <w:start w:val="1"/>
    </w:lvl>
  </w:abstractNum>
  <w:abstractNum w:abstractNumId="80">
    <w:nsid w:val="7DE67713"/>
    <w:multiLevelType w:val="hybridMultilevel"/>
    <w:lvl w:ilvl="0">
      <w:lvlJc w:val="left"/>
      <w:lvlText w:val="(%1)"/>
      <w:numFmt w:val="decimal"/>
      <w:start w:val="1"/>
    </w:lvl>
    <w:lvl w:ilvl="1">
      <w:lvlJc w:val="left"/>
      <w:lvlText w:val="%2"/>
      <w:numFmt w:val="lowerLetter"/>
      <w:start w:val="1"/>
    </w:lvl>
  </w:abstractNum>
  <w:abstractNum w:abstractNumId="81">
    <w:nsid w:val="555C55B5"/>
    <w:multiLevelType w:val="hybridMultilevel"/>
    <w:lvl w:ilvl="0">
      <w:lvlJc w:val="left"/>
      <w:lvlText w:val="(%1)"/>
      <w:numFmt w:val="decimal"/>
      <w:start w:val="3"/>
    </w:lvl>
  </w:abstractNum>
  <w:abstractNum w:abstractNumId="82">
    <w:nsid w:val="3FA62ACA"/>
    <w:multiLevelType w:val="hybridMultilevel"/>
    <w:lvl w:ilvl="0">
      <w:lvlJc w:val="left"/>
      <w:lvlText w:val="%1"/>
      <w:numFmt w:val="decimal"/>
      <w:start w:val="1"/>
    </w:lvl>
    <w:lvl w:ilvl="1">
      <w:lvlJc w:val="left"/>
      <w:lvlText w:val="(%2)"/>
      <w:numFmt w:val="lowerLetter"/>
      <w:start w:val="1"/>
    </w:lvl>
  </w:abstractNum>
  <w:abstractNum w:abstractNumId="83">
    <w:nsid w:val="14FCE74E"/>
    <w:multiLevelType w:val="hybridMultilevel"/>
    <w:lvl w:ilvl="0">
      <w:lvlJc w:val="left"/>
      <w:lvlText w:val="(%1)"/>
      <w:numFmt w:val="decimal"/>
      <w:start w:val="7"/>
    </w:lvl>
    <w:lvl w:ilvl="1">
      <w:lvlJc w:val="left"/>
      <w:lvlText w:val="%2"/>
      <w:numFmt w:val="lowerLetter"/>
      <w:start w:val="1"/>
    </w:lvl>
  </w:abstractNum>
  <w:abstractNum w:abstractNumId="84">
    <w:nsid w:val="6A3DD3E8"/>
    <w:multiLevelType w:val="hybridMultilevel"/>
    <w:lvl w:ilvl="0">
      <w:lvlJc w:val="left"/>
      <w:lvlText w:val="%1"/>
      <w:numFmt w:val="decimal"/>
      <w:start w:val="1"/>
    </w:lvl>
    <w:lvl w:ilvl="1">
      <w:lvlJc w:val="left"/>
      <w:lvlText w:val="(%2)"/>
      <w:numFmt w:val="lowerLetter"/>
      <w:start w:val="1"/>
    </w:lvl>
  </w:abstractNum>
  <w:abstractNum w:abstractNumId="85">
    <w:nsid w:val="71C91298"/>
    <w:multiLevelType w:val="hybridMultilevel"/>
    <w:lvl w:ilvl="0">
      <w:lvlJc w:val="left"/>
      <w:lvlText w:val="(%1)"/>
      <w:numFmt w:val="decimal"/>
      <w:start w:val="8"/>
    </w:lvl>
    <w:lvl w:ilvl="1">
      <w:lvlJc w:val="left"/>
      <w:lvlText w:val="%2"/>
      <w:numFmt w:val="lowerLetter"/>
      <w:start w:val="1"/>
    </w:lvl>
  </w:abstractNum>
  <w:abstractNum w:abstractNumId="86">
    <w:nsid w:val="9DAF632"/>
    <w:multiLevelType w:val="hybridMultilevel"/>
    <w:lvl w:ilvl="0">
      <w:lvlJc w:val="left"/>
      <w:lvlText w:val="(%1)"/>
      <w:numFmt w:val="lowerLetter"/>
      <w:start w:val="1"/>
    </w:lvl>
  </w:abstractNum>
  <w:abstractNum w:abstractNumId="87">
    <w:nsid w:val="53299938"/>
    <w:multiLevelType w:val="hybridMultilevel"/>
    <w:lvl w:ilvl="0">
      <w:lvlJc w:val="left"/>
      <w:lvlText w:val="(%1)"/>
      <w:numFmt w:val="decimal"/>
      <w:start w:val="1"/>
    </w:lvl>
  </w:abstractNum>
  <w:abstractNum w:abstractNumId="88">
    <w:nsid w:val="1FBFE8E0"/>
    <w:multiLevelType w:val="hybridMultilevel"/>
    <w:lvl w:ilvl="0">
      <w:lvlJc w:val="left"/>
      <w:lvlText w:val="(%1)"/>
      <w:numFmt w:val="lowerLetter"/>
      <w:start w:val="1"/>
    </w:lvl>
  </w:abstractNum>
  <w:abstractNum w:abstractNumId="89">
    <w:nsid w:val="5092CA79"/>
    <w:multiLevelType w:val="hybridMultilevel"/>
    <w:lvl w:ilvl="0">
      <w:lvlJc w:val="left"/>
      <w:lvlText w:val="(%1)"/>
      <w:numFmt w:val="decimal"/>
      <w:start w:val="7"/>
    </w:lvl>
  </w:abstractNum>
  <w:abstractNum w:abstractNumId="90">
    <w:nsid w:val="1D545C4D"/>
    <w:multiLevelType w:val="hybridMultilevel"/>
    <w:lvl w:ilvl="0">
      <w:lvlJc w:val="left"/>
      <w:lvlText w:val="%1"/>
      <w:numFmt w:val="decimal"/>
      <w:start w:val="1"/>
    </w:lvl>
    <w:lvl w:ilvl="1">
      <w:lvlJc w:val="left"/>
      <w:lvlText w:val="(%2)"/>
      <w:numFmt w:val="lowerLetter"/>
      <w:start w:val="1"/>
    </w:lvl>
  </w:abstractNum>
  <w:abstractNum w:abstractNumId="91">
    <w:nsid w:val="59ADEA3D"/>
    <w:multiLevelType w:val="hybridMultilevel"/>
    <w:lvl w:ilvl="0">
      <w:lvlJc w:val="left"/>
      <w:lvlText w:val="(%1)"/>
      <w:numFmt w:val="decimal"/>
      <w:start w:val="8"/>
    </w:lvl>
    <w:lvl w:ilvl="1">
      <w:lvlJc w:val="left"/>
      <w:lvlText w:val="%2"/>
      <w:numFmt w:val="lowerLetter"/>
      <w:start w:val="1"/>
    </w:lvl>
  </w:abstractNum>
  <w:abstractNum w:abstractNumId="92">
    <w:nsid w:val="288F1A34"/>
    <w:multiLevelType w:val="hybridMultilevel"/>
    <w:lvl w:ilvl="0">
      <w:lvlJc w:val="left"/>
      <w:lvlText w:val="(%1)"/>
      <w:numFmt w:val="decimal"/>
      <w:start w:val="1"/>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1)"/>
      <w:numFmt w:val="lowerRoman"/>
      <w:start w:val="1"/>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1)"/>
      <w:numFmt w:val="decimal"/>
      <w:start w:val="1"/>
    </w:lvl>
  </w:abstractNum>
  <w:abstractNum w:abstractNumId="99">
    <w:nsid w:val="415E286C"/>
    <w:multiLevelType w:val="hybridMultilevel"/>
    <w:lvl w:ilvl="0">
      <w:lvlJc w:val="left"/>
      <w:lvlText w:val="(%1)"/>
      <w:numFmt w:val="decimal"/>
      <w:start w:val="1"/>
    </w:lvl>
  </w:abstractNum>
  <w:abstractNum w:abstractNumId="100">
    <w:nsid w:val="7C58FD05"/>
    <w:multiLevelType w:val="hybridMultilevel"/>
    <w:lvl w:ilvl="0">
      <w:lvlJc w:val="left"/>
      <w:lvlText w:val="(%1)"/>
      <w:numFmt w:val="decimal"/>
      <w:start w:val="1"/>
    </w:lvl>
  </w:abstractNum>
  <w:abstractNum w:abstractNumId="101">
    <w:nsid w:val="23D86AAC"/>
    <w:multiLevelType w:val="hybridMultilevel"/>
    <w:lvl w:ilvl="0">
      <w:lvlJc w:val="left"/>
      <w:lvlText w:val="(%1)"/>
      <w:numFmt w:val="decimal"/>
      <w:start w:val="1"/>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1)"/>
      <w:numFmt w:val="decimal"/>
      <w:start w:val="1"/>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1."/>
      <w:numFmt w:val="decimal"/>
      <w:start w:val="10"/>
    </w:lvl>
  </w:abstractNum>
  <w:abstractNum w:abstractNumId="108">
    <w:nsid w:val="39B7AAA2"/>
    <w:multiLevelType w:val="hybridMultilevel"/>
    <w:lvl w:ilvl="0">
      <w:lvlJc w:val="left"/>
      <w:lvlText w:val="%1."/>
      <w:numFmt w:val="decimal"/>
      <w:start w:val="12"/>
    </w:lvl>
  </w:abstractNum>
  <w:abstractNum w:abstractNumId="109">
    <w:nsid w:val="2B0D8DBE"/>
    <w:multiLevelType w:val="hybridMultilevel"/>
    <w:lvl w:ilvl="0">
      <w:lvlJc w:val="left"/>
      <w:lvlText w:val="(%1)"/>
      <w:numFmt w:val="decimal"/>
      <w:start w:val="1"/>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6"/>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decimal"/>
      <w:start w:val="32"/>
    </w:lvl>
  </w:abstractNum>
  <w:abstractNum w:abstractNumId="115">
    <w:nsid w:val="6AA7B75C"/>
    <w:multiLevelType w:val="hybridMultilevel"/>
    <w:lvl w:ilvl="0">
      <w:lvlJc w:val="left"/>
      <w:lvlText w:val="%1"/>
      <w:numFmt w:val="decimal"/>
      <w:start w:val="104"/>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16" Type="http://schemas.openxmlformats.org/officeDocument/2006/relationships/image" Target="media/image699.png"/><Relationship Id="rId717" Type="http://schemas.openxmlformats.org/officeDocument/2006/relationships/image" Target="media/image700.png"/><Relationship Id="rId718" Type="http://schemas.openxmlformats.org/officeDocument/2006/relationships/image" Target="media/image701.png"/><Relationship Id="rId732" Type="http://schemas.openxmlformats.org/officeDocument/2006/relationships/image" Target="media/image702.png"/><Relationship Id="rId733" Type="http://schemas.openxmlformats.org/officeDocument/2006/relationships/image" Target="media/image703.png"/><Relationship Id="rId734" Type="http://schemas.openxmlformats.org/officeDocument/2006/relationships/image" Target="media/image704.png"/><Relationship Id="rId735" Type="http://schemas.openxmlformats.org/officeDocument/2006/relationships/image" Target="media/image705.png"/><Relationship Id="rId743" Type="http://schemas.openxmlformats.org/officeDocument/2006/relationships/image" Target="media/image706.png"/><Relationship Id="rId744" Type="http://schemas.openxmlformats.org/officeDocument/2006/relationships/image" Target="media/image707.png"/><Relationship Id="rId745" Type="http://schemas.openxmlformats.org/officeDocument/2006/relationships/image" Target="media/image708.png"/><Relationship Id="rId746" Type="http://schemas.openxmlformats.org/officeDocument/2006/relationships/image" Target="media/image709.png"/><Relationship Id="rId747" Type="http://schemas.openxmlformats.org/officeDocument/2006/relationships/image" Target="media/image710.png"/><Relationship Id="rId748" Type="http://schemas.openxmlformats.org/officeDocument/2006/relationships/image" Target="media/image711.png"/><Relationship Id="rId749" Type="http://schemas.openxmlformats.org/officeDocument/2006/relationships/image" Target="media/image712.png"/><Relationship Id="rId750" Type="http://schemas.openxmlformats.org/officeDocument/2006/relationships/image" Target="media/image713.png"/><Relationship Id="rId751" Type="http://schemas.openxmlformats.org/officeDocument/2006/relationships/image" Target="media/image714.png"/><Relationship Id="rId752" Type="http://schemas.openxmlformats.org/officeDocument/2006/relationships/image" Target="media/image715.png"/><Relationship Id="rId753" Type="http://schemas.openxmlformats.org/officeDocument/2006/relationships/image" Target="media/image716.png"/><Relationship Id="rId754" Type="http://schemas.openxmlformats.org/officeDocument/2006/relationships/image" Target="media/image717.png"/><Relationship Id="rId755" Type="http://schemas.openxmlformats.org/officeDocument/2006/relationships/image" Target="media/image718.png"/><Relationship Id="rId756" Type="http://schemas.openxmlformats.org/officeDocument/2006/relationships/image" Target="media/image719.png"/><Relationship Id="rId757" Type="http://schemas.openxmlformats.org/officeDocument/2006/relationships/image" Target="media/image720.png"/><Relationship Id="rId758" Type="http://schemas.openxmlformats.org/officeDocument/2006/relationships/image" Target="media/image721.png"/><Relationship Id="rId759" Type="http://schemas.openxmlformats.org/officeDocument/2006/relationships/image" Target="media/image722.png"/><Relationship Id="rId760" Type="http://schemas.openxmlformats.org/officeDocument/2006/relationships/image" Target="media/image723.png"/><Relationship Id="rId761" Type="http://schemas.openxmlformats.org/officeDocument/2006/relationships/image" Target="media/image724.png"/><Relationship Id="rId762" Type="http://schemas.openxmlformats.org/officeDocument/2006/relationships/image" Target="media/image725.png"/><Relationship Id="rId763" Type="http://schemas.openxmlformats.org/officeDocument/2006/relationships/image" Target="media/image726.png"/><Relationship Id="rId706" Type="http://schemas.openxmlformats.org/officeDocument/2006/relationships/hyperlink" Target="https://www.sec.gov/Archives/edgar/data/1508655/000119312520174009/d936084dex32.htm" TargetMode="External"/><Relationship Id="rId707" Type="http://schemas.openxmlformats.org/officeDocument/2006/relationships/hyperlink" Target="https://www.sec.gov/Archives/edgar/data/1508655/000119312520174009/d936084dex33.htm" TargetMode="External"/><Relationship Id="rId708" Type="http://schemas.openxmlformats.org/officeDocument/2006/relationships/hyperlink" Target="https://www.sec.gov/Archives/edgar/data/1508655/000119312512127485/d318388dex42.htm" TargetMode="External"/><Relationship Id="rId709" Type="http://schemas.openxmlformats.org/officeDocument/2006/relationships/hyperlink" Target="https://www.sec.gov/Archives/edgar/data/0001508655/000119312517027505/d341977dex41.htm" TargetMode="External"/><Relationship Id="rId710" Type="http://schemas.openxmlformats.org/officeDocument/2006/relationships/hyperlink" Target="https://www.sec.gov/Archives/edgar/data/0001508655/000119312518016134/d428064dex41.htm" TargetMode="External"/><Relationship Id="rId711" Type="http://schemas.openxmlformats.org/officeDocument/2006/relationships/hyperlink" Target="https://www.sec.gov/Archives/edgar/data/0001508655/000119312518016134/d428064dex42.htm" TargetMode="External"/><Relationship Id="rId712" Type="http://schemas.openxmlformats.org/officeDocument/2006/relationships/hyperlink" Target="https://www.sec.gov/Archives/edgar/data/1508655/000119312518196892/d612351dex41.htm" TargetMode="External"/><Relationship Id="rId713" Type="http://schemas.openxmlformats.org/officeDocument/2006/relationships/hyperlink" Target="https://www.sec.gov/Archives/edgar/data/1508655/000119312519281943/d828545dex42.htm" TargetMode="External"/><Relationship Id="rId714" Type="http://schemas.openxmlformats.org/officeDocument/2006/relationships/hyperlink" Target="https://www.sec.gov/Archives/edgar/data/1508655/000119312521027315/d114372dex42.htm" TargetMode="External"/><Relationship Id="rId715" Type="http://schemas.openxmlformats.org/officeDocument/2006/relationships/hyperlink" Target="https://www.sec.gov/Archives/edgar/data/1508655/000095012311025019/y90239exv10w3.htm" TargetMode="External"/><Relationship Id="rId719" Type="http://schemas.openxmlformats.org/officeDocument/2006/relationships/hyperlink" Target="https://www.sec.gov/Archives/edgar/data/1508655/000119312511339263/d269504dex101.htm" TargetMode="External"/><Relationship Id="rId720" Type="http://schemas.openxmlformats.org/officeDocument/2006/relationships/hyperlink" Target="https://www.sec.gov/Archives/edgar/data/1508655/000119312512490609/d446947dex101.htm" TargetMode="External"/><Relationship Id="rId721" Type="http://schemas.openxmlformats.org/officeDocument/2006/relationships/hyperlink" Target="https://www.sec.gov/Archives/edgar/data/1508655/000119312514082476/d673597dex1020.htm" TargetMode="External"/><Relationship Id="rId722" Type="http://schemas.openxmlformats.org/officeDocument/2006/relationships/hyperlink" Target="https://www.sec.gov/Archives/edgar/data/1508655/000119312514102674/d630521dex99e.htm" TargetMode="External"/><Relationship Id="rId723" Type="http://schemas.openxmlformats.org/officeDocument/2006/relationships/hyperlink" Target="https://www.sec.gov/Archives/edgar/data/1508655/000119312514293593/d769019dex103.htm" TargetMode="External"/><Relationship Id="rId724" Type="http://schemas.openxmlformats.org/officeDocument/2006/relationships/hyperlink" Target="https://www.sec.gov/Archives/edgar/data/1508655/000119312514293593/d769019dex104.htm" TargetMode="External"/><Relationship Id="rId725" Type="http://schemas.openxmlformats.org/officeDocument/2006/relationships/hyperlink" Target="https://www.sec.gov/Archives/edgar/data/1508655/000119312514293593/d769019dex105.htm" TargetMode="External"/><Relationship Id="rId726" Type="http://schemas.openxmlformats.org/officeDocument/2006/relationships/hyperlink" Target="https://www.sec.gov/Archives/edgar/data/0001508655/000119312514394267/d813731dex101.htm" TargetMode="External"/><Relationship Id="rId727" Type="http://schemas.openxmlformats.org/officeDocument/2006/relationships/hyperlink" Target="https://www.sec.gov/Archives/edgar/data/0001508655/000119312515111830/d899694dex101.htm" TargetMode="External"/><Relationship Id="rId728" Type="http://schemas.openxmlformats.org/officeDocument/2006/relationships/hyperlink" Target="https://www.sec.gov/Archives/edgar/data/0001508655/000156459015009165/tslx-ex101_394.htm" TargetMode="External"/><Relationship Id="rId729" Type="http://schemas.openxmlformats.org/officeDocument/2006/relationships/hyperlink" Target="https://www.sec.gov/Archives/edgar/data/0001508655/000156459017002010/tslx-ex1015_196.htm" TargetMode="External"/><Relationship Id="rId730" Type="http://schemas.openxmlformats.org/officeDocument/2006/relationships/hyperlink" Target="https://www.sec.gov/Archives/edgar/data/0001508655/000156459017002010/tslx-ex1016_267.htm" TargetMode="External"/><Relationship Id="rId731" Type="http://schemas.openxmlformats.org/officeDocument/2006/relationships/hyperlink" Target="https://www.sec.gov/Archives/edgar/data/1508655/000156459018002665/tslx-ex1016_374.htm" TargetMode="External"/><Relationship Id="rId736" Type="http://schemas.openxmlformats.org/officeDocument/2006/relationships/hyperlink" Target="https://www.sec.gov/Archives/edgar/data/1508655/000156459018027390/tslx-ex101_128.htm" TargetMode="External"/><Relationship Id="rId737" Type="http://schemas.openxmlformats.org/officeDocument/2006/relationships/hyperlink" Target="https://www.sec.gov/Archives/edgar/data/1508655/000156459019003442/tslx-ex1016_204.htm" TargetMode="External"/><Relationship Id="rId738" Type="http://schemas.openxmlformats.org/officeDocument/2006/relationships/hyperlink" Target="https://www.sec.gov/Archives/edgar/data/1508655/000156459020005268/tslx-ex1017_198.htm" TargetMode="External"/><Relationship Id="rId739" Type="http://schemas.openxmlformats.org/officeDocument/2006/relationships/hyperlink" Target="https://www.sec.gov/Archives/edgar/data/1508655/000156459021006366/tslx-ex1018_279.htm" TargetMode="External"/><Relationship Id="rId740" Type="http://schemas.openxmlformats.org/officeDocument/2006/relationships/hyperlink" Target="https://www.sec.gov/Archives/edgar/data/1508655/000156459022005558/tslx-ex1019_75.htm" TargetMode="External"/><Relationship Id="rId741" Type="http://schemas.openxmlformats.org/officeDocument/2006/relationships/hyperlink" Target="https://www.sec.gov/Archives/edgar/data/1508655/000156459022017420/tslx-ex101_114.htm" TargetMode="External"/><Relationship Id="rId742" Type="http://schemas.openxmlformats.org/officeDocument/2006/relationships/hyperlink" Target="https://www.sec.gov/Archives/edgar/data/1508655/000095017022013859/tslx-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2023-02-17T11:24:33Z</dcterms:created>
  <dcterms:modified xsi:type="dcterms:W3CDTF">2023-02-17T11:24:33Z</dcterms:modified>
</cp:coreProperties>
</file>