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5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50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50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5"/>
              </w:rPr>
              <w:t>Incorporation or Organization)</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500" w:type="dxa"/>
            <w:vAlign w:val="bottom"/>
          </w:tcPr>
          <w:p>
            <w:pPr>
              <w:jc w:val="center"/>
              <w:ind w:right="1839"/>
              <w:spacing w:after="0"/>
              <w:rPr>
                <w:sz w:val="20"/>
                <w:szCs w:val="20"/>
                <w:color w:val="auto"/>
              </w:rPr>
            </w:pPr>
            <w:r>
              <w:rPr>
                <w:rFonts w:ascii="Arial" w:cs="Arial" w:eastAsia="Arial" w:hAnsi="Arial"/>
                <w:sz w:val="18"/>
                <w:szCs w:val="18"/>
                <w:b w:val="1"/>
                <w:bCs w:val="1"/>
                <w:color w:val="auto"/>
                <w:w w:val="89"/>
              </w:rPr>
              <w:t>301 Commerce Street, Suite 3300,</w:t>
            </w:r>
          </w:p>
        </w:tc>
        <w:tc>
          <w:tcPr>
            <w:tcW w:w="3060" w:type="dxa"/>
            <w:vAlign w:val="bottom"/>
          </w:tcPr>
          <w:p>
            <w:pPr>
              <w:spacing w:after="0"/>
              <w:rPr>
                <w:sz w:val="22"/>
                <w:szCs w:val="22"/>
                <w:color w:val="auto"/>
              </w:rPr>
            </w:pPr>
          </w:p>
        </w:tc>
      </w:tr>
      <w:tr>
        <w:trPr>
          <w:trHeight w:val="212"/>
        </w:trPr>
        <w:tc>
          <w:tcPr>
            <w:tcW w:w="4500" w:type="dxa"/>
            <w:vAlign w:val="bottom"/>
          </w:tcPr>
          <w:p>
            <w:pPr>
              <w:jc w:val="center"/>
              <w:ind w:right="1839"/>
              <w:spacing w:after="0"/>
              <w:rPr>
                <w:sz w:val="20"/>
                <w:szCs w:val="20"/>
                <w:color w:val="auto"/>
              </w:rPr>
            </w:pPr>
            <w:r>
              <w:rPr>
                <w:rFonts w:ascii="Arial" w:cs="Arial" w:eastAsia="Arial" w:hAnsi="Arial"/>
                <w:sz w:val="18"/>
                <w:szCs w:val="18"/>
                <w:b w:val="1"/>
                <w:bCs w:val="1"/>
                <w:color w:val="auto"/>
                <w:w w:val="97"/>
              </w:rPr>
              <w:t>Fort Worth, TX</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5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9"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86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496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00" w:type="dxa"/>
            <w:vAlign w:val="bottom"/>
          </w:tcPr>
          <w:p>
            <w:pPr>
              <w:ind w:left="86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9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4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480"/>
        <w:spacing w:after="0" w:line="27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the Registrant’s common stock, $.01 par value per share, outstanding at May 3, 2017 was 59,948,888.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760095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rPr>
              <w:t>INDEX</w:t>
            </w:r>
          </w:p>
        </w:tc>
        <w:tc>
          <w:tcPr>
            <w:tcW w:w="120" w:type="dxa"/>
            <w:vAlign w:val="bottom"/>
            <w:vMerge w:val="restart"/>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980" w:type="dxa"/>
            <w:vAlign w:val="bottom"/>
            <w:tcBorders>
              <w:bottom w:val="single" w:sz="8" w:color="auto"/>
            </w:tcBorders>
            <w:gridSpan w:val="7"/>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PART I.</w:t>
            </w:r>
          </w:p>
        </w:tc>
        <w:tc>
          <w:tcPr>
            <w:tcW w:w="94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14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Financial Statements</w:t>
              </w:r>
            </w:hyperlink>
          </w:p>
        </w:tc>
        <w:tc>
          <w:tcPr>
            <w:tcW w:w="740" w:type="dxa"/>
            <w:vAlign w:val="bottom"/>
            <w:tcBorders>
              <w:top w:val="single" w:sz="8" w:color="0000EE"/>
            </w:tcBorders>
            <w:gridSpan w:val="4"/>
          </w:tcPr>
          <w:p>
            <w:pPr>
              <w:spacing w:after="0"/>
              <w:rPr>
                <w:sz w:val="24"/>
                <w:szCs w:val="24"/>
                <w:color w:val="auto"/>
              </w:rPr>
            </w:pPr>
          </w:p>
        </w:tc>
        <w:tc>
          <w:tcPr>
            <w:tcW w:w="722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March 31, 2017 (Unaudited) and December 31, 2016</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75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for the three months ended March 31, 2017 and 2016 (Unaudited)</w:t>
              </w:r>
            </w:hyperlink>
          </w:p>
        </w:tc>
        <w:tc>
          <w:tcPr>
            <w:tcW w:w="186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Schedules of Investments as of March 31, 2017 (Unaudited) and December 31, 2016</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Consolidated Statements of Changes in Net Assets for the three months ended March 31, 2017 and 2016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8380" w:type="dxa"/>
            <w:vAlign w:val="bottom"/>
            <w:tcBorders>
              <w:top w:val="single" w:sz="8" w:color="0000EE"/>
            </w:tcBorders>
            <w:gridSpan w:val="19"/>
          </w:tcPr>
          <w:p>
            <w:pPr>
              <w:spacing w:after="0"/>
              <w:rPr>
                <w:rFonts w:ascii="Arial" w:cs="Arial" w:eastAsia="Arial" w:hAnsi="Arial"/>
                <w:sz w:val="18"/>
                <w:szCs w:val="18"/>
                <w:color w:val="0000EE"/>
                <w:w w:val="98"/>
              </w:rPr>
            </w:pPr>
            <w:hyperlink w:anchor="page17">
              <w:r>
                <w:rPr>
                  <w:rFonts w:ascii="Arial" w:cs="Arial" w:eastAsia="Arial" w:hAnsi="Arial"/>
                  <w:sz w:val="18"/>
                  <w:szCs w:val="18"/>
                  <w:color w:val="0000EE"/>
                  <w:w w:val="98"/>
                </w:rPr>
                <w:t>Consolidated Statements of Cash Flows for the three months ended March 31, 2017 and 2016 (Unaudited)</w:t>
              </w:r>
            </w:hyperlink>
          </w:p>
        </w:tc>
        <w:tc>
          <w:tcPr>
            <w:tcW w:w="104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40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Notes to Consolidated Financial Statements (Unaudited)</w:t>
              </w:r>
            </w:hyperlink>
          </w:p>
        </w:tc>
        <w:tc>
          <w:tcPr>
            <w:tcW w:w="3580" w:type="dxa"/>
            <w:vAlign w:val="bottom"/>
            <w:tcBorders>
              <w:top w:val="single" w:sz="8" w:color="0000EE"/>
            </w:tcBorders>
            <w:gridSpan w:val="7"/>
          </w:tcPr>
          <w:p>
            <w:pPr>
              <w:spacing w:after="0"/>
              <w:rPr>
                <w:sz w:val="24"/>
                <w:szCs w:val="24"/>
                <w:color w:val="auto"/>
              </w:rPr>
            </w:pPr>
          </w:p>
        </w:tc>
        <w:tc>
          <w:tcPr>
            <w:tcW w:w="182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02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61">
              <w:r>
                <w:rPr>
                  <w:rFonts w:ascii="Arial" w:cs="Arial" w:eastAsia="Arial" w:hAnsi="Arial"/>
                  <w:sz w:val="18"/>
                  <w:szCs w:val="18"/>
                  <w:color w:val="0000EE"/>
                  <w:w w:val="86"/>
                </w:rPr>
                <w:t>Controls and Procedures</w:t>
              </w:r>
            </w:hyperlink>
          </w:p>
        </w:tc>
        <w:tc>
          <w:tcPr>
            <w:tcW w:w="768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62">
              <w:r>
                <w:rPr>
                  <w:rFonts w:ascii="Arial" w:cs="Arial" w:eastAsia="Arial" w:hAnsi="Arial"/>
                  <w:sz w:val="18"/>
                  <w:szCs w:val="18"/>
                  <w:color w:val="0000EE"/>
                  <w:w w:val="93"/>
                </w:rPr>
                <w:t>OTHER INFORMATION</w:t>
              </w:r>
            </w:hyperlink>
          </w:p>
        </w:tc>
        <w:tc>
          <w:tcPr>
            <w:tcW w:w="758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21"/>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3"/>
              </w:rPr>
            </w:pPr>
            <w:hyperlink w:anchor="page62">
              <w:r>
                <w:rPr>
                  <w:rFonts w:ascii="Arial" w:cs="Arial" w:eastAsia="Arial" w:hAnsi="Arial"/>
                  <w:sz w:val="18"/>
                  <w:szCs w:val="18"/>
                  <w:color w:val="0000EE"/>
                  <w:w w:val="83"/>
                </w:rPr>
                <w:t>Risk Factors</w:t>
              </w:r>
            </w:hyperlink>
          </w:p>
        </w:tc>
        <w:tc>
          <w:tcPr>
            <w:tcW w:w="420" w:type="dxa"/>
            <w:vAlign w:val="bottom"/>
            <w:tcBorders>
              <w:top w:val="single" w:sz="8" w:color="0000EE"/>
            </w:tcBorders>
            <w:gridSpan w:val="2"/>
          </w:tcPr>
          <w:p>
            <w:pPr>
              <w:spacing w:after="0"/>
              <w:rPr>
                <w:sz w:val="24"/>
                <w:szCs w:val="24"/>
                <w:color w:val="auto"/>
              </w:rPr>
            </w:pPr>
          </w:p>
        </w:tc>
        <w:tc>
          <w:tcPr>
            <w:tcW w:w="814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4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63">
              <w:r>
                <w:rPr>
                  <w:rFonts w:ascii="Arial" w:cs="Arial" w:eastAsia="Arial" w:hAnsi="Arial"/>
                  <w:sz w:val="18"/>
                  <w:szCs w:val="18"/>
                  <w:color w:val="0000EE"/>
                  <w:w w:val="88"/>
                </w:rPr>
                <w:t>Unregistered Sales of Equity Securities and Use of Proceeds</w:t>
              </w:r>
            </w:hyperlink>
          </w:p>
        </w:tc>
        <w:tc>
          <w:tcPr>
            <w:tcW w:w="512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63">
              <w:r>
                <w:rPr>
                  <w:rFonts w:ascii="Arial" w:cs="Arial" w:eastAsia="Arial" w:hAnsi="Arial"/>
                  <w:sz w:val="18"/>
                  <w:szCs w:val="18"/>
                  <w:color w:val="0000EE"/>
                  <w:w w:val="88"/>
                </w:rPr>
                <w:t>Defaults Upon Senior Securities</w:t>
              </w:r>
            </w:hyperlink>
          </w:p>
        </w:tc>
        <w:tc>
          <w:tcPr>
            <w:tcW w:w="714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63">
              <w:r>
                <w:rPr>
                  <w:rFonts w:ascii="Arial" w:cs="Arial" w:eastAsia="Arial" w:hAnsi="Arial"/>
                  <w:sz w:val="18"/>
                  <w:szCs w:val="18"/>
                  <w:color w:val="0000EE"/>
                  <w:w w:val="88"/>
                </w:rPr>
                <w:t>Mine Safety Disclosures</w:t>
              </w:r>
            </w:hyperlink>
          </w:p>
        </w:tc>
        <w:tc>
          <w:tcPr>
            <w:tcW w:w="770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21"/>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1260" w:type="dxa"/>
            <w:vAlign w:val="bottom"/>
            <w:tcBorders>
              <w:top w:val="single" w:sz="8" w:color="0000EE"/>
            </w:tcBorders>
            <w:gridSpan w:val="3"/>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Exhibits</w:t>
              </w:r>
            </w:hyperlink>
          </w:p>
        </w:tc>
        <w:tc>
          <w:tcPr>
            <w:tcW w:w="8160" w:type="dxa"/>
            <w:vAlign w:val="bottom"/>
            <w:gridSpan w:val="1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80" w:type="dxa"/>
            <w:vAlign w:val="bottom"/>
            <w:gridSpan w:val="2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20" w:type="dxa"/>
            <w:vAlign w:val="bottom"/>
            <w:gridSpan w:val="2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8"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or SEC, the following factors, among others, could cause actual results to differ materially from forward-looking statements or historical performance:</w:t>
      </w:r>
    </w:p>
    <w:p>
      <w:pPr>
        <w:spacing w:after="0" w:line="73" w:lineRule="exact"/>
        <w:rPr>
          <w:sz w:val="20"/>
          <w:szCs w:val="20"/>
          <w:color w:val="auto"/>
        </w:rPr>
      </w:pPr>
    </w:p>
    <w:p>
      <w:pPr>
        <w:ind w:left="520" w:right="620" w:hanging="255"/>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62" w:lineRule="exact"/>
        <w:rPr>
          <w:rFonts w:ascii="Arial" w:cs="Arial" w:eastAsia="Arial" w:hAnsi="Arial"/>
          <w:sz w:val="18"/>
          <w:szCs w:val="18"/>
          <w:color w:val="auto"/>
        </w:rPr>
      </w:pPr>
    </w:p>
    <w:p>
      <w:pPr>
        <w:ind w:left="520" w:right="420" w:hanging="255"/>
        <w:spacing w:after="0" w:line="342"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17" w:lineRule="exact"/>
        <w:rPr>
          <w:rFonts w:ascii="Arial" w:cs="Arial" w:eastAsia="Arial" w:hAnsi="Arial"/>
          <w:sz w:val="18"/>
          <w:szCs w:val="18"/>
          <w:color w:val="auto"/>
        </w:rPr>
      </w:pPr>
    </w:p>
    <w:p>
      <w:pPr>
        <w:ind w:left="520" w:right="240" w:hanging="255"/>
        <w:spacing w:after="0" w:line="308" w:lineRule="auto"/>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risks, uncertainties and other factors we identify in the section entitled “Risk Factors” in this report and in our Annual Report on Form 10-K for the year ended December 31, 2016, filed with the SEC on February 22, 2017, and elsewhere in our filings with the SEC.</w:t>
      </w:r>
    </w:p>
    <w:p>
      <w:pPr>
        <w:spacing w:after="0" w:line="147"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Exchange Act, which preclude civil liability for certain forward-looking statements, do not apply to the forward-looking statements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08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$1,483,055</w:t>
            </w: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$1,567,673, respectively)</w:t>
            </w:r>
          </w:p>
        </w:tc>
        <w:tc>
          <w:tcPr>
            <w:tcW w:w="10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1,518,165</w:t>
            </w:r>
          </w:p>
        </w:tc>
        <w:tc>
          <w:tcPr>
            <w:tcW w:w="1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1,591,544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080" w:type="dxa"/>
            <w:vAlign w:val="bottom"/>
          </w:tcPr>
          <w:p>
            <w:pPr>
              <w:ind w:left="260"/>
              <w:spacing w:after="0"/>
              <w:rPr>
                <w:sz w:val="20"/>
                <w:szCs w:val="20"/>
                <w:color w:val="auto"/>
              </w:rPr>
            </w:pPr>
            <w:r>
              <w:rPr>
                <w:rFonts w:ascii="Arial" w:cs="Arial" w:eastAsia="Arial" w:hAnsi="Arial"/>
                <w:sz w:val="18"/>
                <w:szCs w:val="18"/>
                <w:color w:val="auto"/>
              </w:rPr>
              <w:t>Controlled, affiliated investments (amortized cost of $104,018 and $100,014,</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respectively)</w:t>
            </w:r>
          </w:p>
        </w:tc>
        <w:tc>
          <w:tcPr>
            <w:tcW w:w="7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62,113</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65,859</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Total investments at fair value (amortized cost of $1,587,073 and $1,667,687,</w:t>
            </w: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7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1,580,278</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1,657,403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Cash and cash equivalents (includes restricted cash of $2,601 and $1,088, respectively)</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Receivable for investments sold</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expenses and other assets</w:t>
            </w:r>
          </w:p>
        </w:tc>
        <w:tc>
          <w:tcPr>
            <w:tcW w:w="7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Assets</w:t>
            </w:r>
          </w:p>
        </w:tc>
        <w:tc>
          <w:tcPr>
            <w:tcW w:w="7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1,606,880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1,675,532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Debt (net of deferred financing costs of $14,096 and $11,019, respectively)</w:t>
            </w:r>
          </w:p>
        </w:tc>
        <w:tc>
          <w:tcPr>
            <w:tcW w:w="10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603,999</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680,709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Management fees payable to affiliate</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payable to affiliate</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Dividends payable</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23,289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Payables to affiliate</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7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w:t>
            </w:r>
          </w:p>
        </w:tc>
        <w:tc>
          <w:tcPr>
            <w:tcW w:w="7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647,239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723,320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Assets</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8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140"/>
              <w:spacing w:after="0"/>
              <w:rPr>
                <w:sz w:val="20"/>
                <w:szCs w:val="20"/>
                <w:color w:val="auto"/>
              </w:rPr>
            </w:pPr>
            <w:r>
              <w:rPr>
                <w:rFonts w:ascii="Arial" w:cs="Arial" w:eastAsia="Arial" w:hAnsi="Arial"/>
                <w:sz w:val="18"/>
                <w:szCs w:val="18"/>
                <w:color w:val="auto"/>
              </w:rPr>
              <w:t>and outstanding</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 400,000,000 shares authorized, 59,928,121 and</w:t>
            </w: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59,805,285 shares issued, respectively; and 59,839,041 and 59,716,205 shares</w:t>
            </w: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 respectively</w:t>
            </w:r>
          </w:p>
        </w:tc>
        <w:tc>
          <w:tcPr>
            <w:tcW w:w="7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900,596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898,868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 89,080 and 89,080 shares held, respectively</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(1,359)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48,619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50,142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gains (losses)</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Undistributed net realized gains</w:t>
            </w:r>
          </w:p>
        </w:tc>
        <w:tc>
          <w:tcPr>
            <w:tcW w:w="7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Net Assets</w:t>
            </w:r>
          </w:p>
        </w:tc>
        <w:tc>
          <w:tcPr>
            <w:tcW w:w="7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959,641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952,212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0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7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1,606,880</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1,675,532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0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7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223"/>
        </w:trPr>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Income</w:t>
            </w:r>
          </w:p>
        </w:tc>
        <w:tc>
          <w:tcPr>
            <w:tcW w:w="10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from investments</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47,770</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Dividend income</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10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Pr>
          <w:p>
            <w:pPr>
              <w:ind w:left="500"/>
              <w:spacing w:after="0"/>
              <w:rPr>
                <w:sz w:val="20"/>
                <w:szCs w:val="20"/>
                <w:color w:val="auto"/>
              </w:rPr>
            </w:pPr>
            <w:r>
              <w:rPr>
                <w:rFonts w:ascii="Arial" w:cs="Arial" w:eastAsia="Arial" w:hAnsi="Arial"/>
                <w:sz w:val="18"/>
                <w:szCs w:val="18"/>
                <w:color w:val="auto"/>
              </w:rPr>
              <w:t>Total investment income from non-controlled, non-affiliated investments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49,896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Interest from investments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10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investment income from controlled, affiliated investments</w:t>
            </w:r>
          </w:p>
        </w:tc>
        <w:tc>
          <w:tcPr>
            <w:tcW w:w="10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Investment Income</w:t>
            </w:r>
          </w:p>
        </w:tc>
        <w:tc>
          <w:tcPr>
            <w:tcW w:w="10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50,948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Management fees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Incentive fees</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Professional fees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1,286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Directors’ fees</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general and administrative</w:t>
            </w:r>
          </w:p>
        </w:tc>
        <w:tc>
          <w:tcPr>
            <w:tcW w:w="10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10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21,679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Management and incentive fees waived (Note 3)</w:t>
            </w:r>
          </w:p>
        </w:tc>
        <w:tc>
          <w:tcPr>
            <w:tcW w:w="10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Net Expenses</w:t>
            </w:r>
          </w:p>
        </w:tc>
        <w:tc>
          <w:tcPr>
            <w:tcW w:w="10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21,679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29,269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Income taxes, including excise taxes</w:t>
            </w:r>
          </w:p>
        </w:tc>
        <w:tc>
          <w:tcPr>
            <w:tcW w:w="10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28,519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Controlled, affiliated investments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(7,750)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Translation of assets and liabilities in foreign currencies</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(5,793)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rate swaps</w:t>
            </w:r>
          </w:p>
        </w:tc>
        <w:tc>
          <w:tcPr>
            <w:tcW w:w="10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net change in unrealized losses</w:t>
            </w:r>
          </w:p>
        </w:tc>
        <w:tc>
          <w:tcPr>
            <w:tcW w:w="10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Realized gains: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 currency transactions</w:t>
            </w:r>
          </w:p>
        </w:tc>
        <w:tc>
          <w:tcPr>
            <w:tcW w:w="10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realized gains</w:t>
            </w:r>
          </w:p>
        </w:tc>
        <w:tc>
          <w:tcPr>
            <w:tcW w:w="10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tcPr>
          <w:p>
            <w:pPr>
              <w:ind w:left="1000"/>
              <w:spacing w:after="0"/>
              <w:rPr>
                <w:sz w:val="20"/>
                <w:szCs w:val="20"/>
                <w:color w:val="auto"/>
              </w:rPr>
            </w:pPr>
            <w:r>
              <w:rPr>
                <w:rFonts w:ascii="Arial" w:cs="Arial" w:eastAsia="Arial" w:hAnsi="Arial"/>
                <w:sz w:val="18"/>
                <w:szCs w:val="18"/>
                <w:b w:val="1"/>
                <w:bCs w:val="1"/>
                <w:color w:val="auto"/>
              </w:rPr>
              <w:t>Total Unrealized and Realized Gains (Losses)</w:t>
            </w:r>
          </w:p>
        </w:tc>
        <w:tc>
          <w:tcPr>
            <w:tcW w:w="10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shd w:val="clear" w:color="auto" w:fill="CFF0FC"/>
          </w:tcPr>
          <w:p>
            <w:pPr>
              <w:ind w:left="100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0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28,278</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Earnings per common share—basic and diluted</w:t>
            </w:r>
          </w:p>
        </w:tc>
        <w:tc>
          <w:tcPr>
            <w:tcW w:w="11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tcBorders>
              <w:bottom w:val="single" w:sz="8" w:color="CFF0FC"/>
            </w:tcBorders>
            <w:vMerge w:val="continue"/>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of common stock outstanding—basic and diluted</w:t>
            </w:r>
          </w:p>
        </w:tc>
        <w:tc>
          <w:tcPr>
            <w:tcW w:w="10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59,796,731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55,802,270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March 31, 2017</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Acquisition</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20" w:type="dxa"/>
            <w:vAlign w:val="bottom"/>
          </w:tcPr>
          <w:p>
            <w:pPr>
              <w:spacing w:after="0"/>
              <w:rPr>
                <w:sz w:val="16"/>
                <w:szCs w:val="16"/>
                <w:color w:val="auto"/>
              </w:rPr>
            </w:pPr>
          </w:p>
        </w:tc>
      </w:tr>
      <w:tr>
        <w:trPr>
          <w:trHeight w:val="228"/>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680" w:type="dxa"/>
            <w:vAlign w:val="bottom"/>
          </w:tcPr>
          <w:p>
            <w:pPr>
              <w:ind w:left="106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20" w:type="dxa"/>
            <w:vAlign w:val="bottom"/>
          </w:tcPr>
          <w:p>
            <w:pPr>
              <w:spacing w:after="0"/>
              <w:rPr>
                <w:sz w:val="19"/>
                <w:szCs w:val="19"/>
                <w:color w:val="auto"/>
              </w:rPr>
            </w:pPr>
          </w:p>
        </w:tc>
      </w:tr>
      <w:tr>
        <w:trPr>
          <w:trHeight w:val="223"/>
        </w:trPr>
        <w:tc>
          <w:tcPr>
            <w:tcW w:w="2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20" w:type="dxa"/>
            <w:vAlign w:val="bottom"/>
            <w:tcBorders>
              <w:top w:val="single" w:sz="8" w:color="CFF0FC"/>
            </w:tcBorders>
            <w:shd w:val="clear" w:color="auto" w:fill="CFF0FC"/>
          </w:tcPr>
          <w:p>
            <w:pPr>
              <w:spacing w:after="0"/>
              <w:rPr>
                <w:sz w:val="19"/>
                <w:szCs w:val="19"/>
                <w:color w:val="auto"/>
              </w:rPr>
            </w:pPr>
          </w:p>
        </w:tc>
        <w:tc>
          <w:tcPr>
            <w:tcW w:w="26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Automotive</w:t>
            </w:r>
          </w:p>
        </w:tc>
        <w:tc>
          <w:tcPr>
            <w:tcW w:w="2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Heartland Automotive</w:t>
            </w: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($28,635 par, due</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Holdings, LLC </w:t>
            </w:r>
            <w:r>
              <w:rPr>
                <w:rFonts w:ascii="Arial" w:cs="Arial" w:eastAsia="Arial" w:hAnsi="Arial"/>
                <w:sz w:val="15"/>
                <w:szCs w:val="15"/>
                <w:color w:val="auto"/>
              </w:rPr>
              <w:t>(3)</w:t>
            </w: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6/2017)</w:t>
            </w:r>
          </w:p>
        </w:tc>
        <w:tc>
          <w:tcPr>
            <w:tcW w:w="168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9.75%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8/28/2012</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28,587</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28,635</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r>
      <w:tr>
        <w:trPr>
          <w:trHeight w:val="215"/>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2"/>
              </w:rPr>
              <w:t>First-lien revolving loan ($1,583 par,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due 6/2017)</w:t>
            </w:r>
          </w:p>
        </w:tc>
        <w:tc>
          <w:tcPr>
            <w:tcW w:w="1680" w:type="dxa"/>
            <w:vAlign w:val="bottom"/>
            <w:gridSpan w:val="4"/>
          </w:tcPr>
          <w:p>
            <w:pPr>
              <w:jc w:val="right"/>
              <w:ind w:right="120"/>
              <w:spacing w:after="0"/>
              <w:rPr>
                <w:sz w:val="20"/>
                <w:szCs w:val="20"/>
                <w:color w:val="auto"/>
              </w:rPr>
            </w:pPr>
            <w:r>
              <w:rPr>
                <w:rFonts w:ascii="Arial" w:cs="Arial" w:eastAsia="Arial" w:hAnsi="Arial"/>
                <w:sz w:val="18"/>
                <w:szCs w:val="18"/>
                <w:color w:val="auto"/>
              </w:rPr>
              <w:t>11.00%</w:t>
            </w:r>
          </w:p>
        </w:tc>
        <w:tc>
          <w:tcPr>
            <w:tcW w:w="920" w:type="dxa"/>
            <w:vAlign w:val="bottom"/>
          </w:tcPr>
          <w:p>
            <w:pPr>
              <w:jc w:val="right"/>
              <w:spacing w:after="0"/>
              <w:rPr>
                <w:sz w:val="20"/>
                <w:szCs w:val="20"/>
                <w:color w:val="auto"/>
              </w:rPr>
            </w:pPr>
            <w:r>
              <w:rPr>
                <w:rFonts w:ascii="Arial" w:cs="Arial" w:eastAsia="Arial" w:hAnsi="Arial"/>
                <w:sz w:val="18"/>
                <w:szCs w:val="18"/>
                <w:color w:val="auto"/>
              </w:rPr>
              <w:t>8/28/2012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1,576</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1,583</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30,163</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30,218</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r>
      <w:tr>
        <w:trPr>
          <w:trHeight w:val="223"/>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Beverage, food and tobacco</w:t>
            </w:r>
          </w:p>
        </w:tc>
        <w:tc>
          <w:tcPr>
            <w:tcW w:w="2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(3)(5)</w:t>
            </w: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($61,105 par, due</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3/2020)</w:t>
            </w:r>
          </w:p>
        </w:tc>
        <w:tc>
          <w:tcPr>
            <w:tcW w:w="168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8.90%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3/3/2014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60,322</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0"/>
                <w:szCs w:val="20"/>
                <w:color w:val="auto"/>
              </w:rPr>
            </w:pPr>
          </w:p>
        </w:tc>
      </w:tr>
      <w:tr>
        <w:trPr>
          <w:trHeight w:val="230"/>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Business services</w:t>
            </w:r>
          </w:p>
        </w:tc>
        <w:tc>
          <w:tcPr>
            <w:tcW w:w="2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5"/>
                <w:szCs w:val="15"/>
                <w:color w:val="auto"/>
              </w:rPr>
              <w:t>(3)(5)</w:t>
            </w: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($53,977 par, due</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4/2018)</w:t>
            </w:r>
          </w:p>
        </w:tc>
        <w:tc>
          <w:tcPr>
            <w:tcW w:w="168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7.69%</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4/11/2013</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53,483</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54,651</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Bullhorn, Inc. </w:t>
            </w:r>
            <w:r>
              <w:rPr>
                <w:rFonts w:ascii="Arial" w:cs="Arial" w:eastAsia="Arial" w:hAnsi="Arial"/>
                <w:sz w:val="15"/>
                <w:szCs w:val="15"/>
                <w:color w:val="auto"/>
              </w:rPr>
              <w:t>(3)(5)</w:t>
            </w:r>
          </w:p>
        </w:tc>
        <w:tc>
          <w:tcPr>
            <w:tcW w:w="2680" w:type="dxa"/>
            <w:vAlign w:val="bottom"/>
          </w:tcPr>
          <w:p>
            <w:pPr>
              <w:spacing w:after="0"/>
              <w:rPr>
                <w:sz w:val="20"/>
                <w:szCs w:val="20"/>
                <w:color w:val="auto"/>
              </w:rPr>
            </w:pPr>
            <w:r>
              <w:rPr>
                <w:rFonts w:ascii="Arial" w:cs="Arial" w:eastAsia="Arial" w:hAnsi="Arial"/>
                <w:sz w:val="18"/>
                <w:szCs w:val="18"/>
                <w:color w:val="auto"/>
              </w:rPr>
              <w:t>First-lien loan ($45,000 par, due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11/2020)</w:t>
            </w:r>
          </w:p>
        </w:tc>
        <w:tc>
          <w:tcPr>
            <w:tcW w:w="1680" w:type="dxa"/>
            <w:vAlign w:val="bottom"/>
            <w:gridSpan w:val="4"/>
          </w:tcPr>
          <w:p>
            <w:pPr>
              <w:jc w:val="right"/>
              <w:ind w:right="120"/>
              <w:spacing w:after="0"/>
              <w:rPr>
                <w:sz w:val="20"/>
                <w:szCs w:val="20"/>
                <w:color w:val="auto"/>
              </w:rPr>
            </w:pPr>
            <w:r>
              <w:rPr>
                <w:rFonts w:ascii="Arial" w:cs="Arial" w:eastAsia="Arial" w:hAnsi="Arial"/>
                <w:sz w:val="18"/>
                <w:szCs w:val="18"/>
                <w:color w:val="auto"/>
              </w:rPr>
              <w:t>8.54%</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11/12/2015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44,143</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45,675</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Idera, Inc. </w:t>
            </w:r>
            <w:r>
              <w:rPr>
                <w:rFonts w:ascii="Arial" w:cs="Arial" w:eastAsia="Arial" w:hAnsi="Arial"/>
                <w:sz w:val="15"/>
                <w:szCs w:val="15"/>
                <w:color w:val="auto"/>
              </w:rPr>
              <w:t>(3)</w:t>
            </w: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($61,719 par, due</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4/2021)</w:t>
            </w:r>
          </w:p>
        </w:tc>
        <w:tc>
          <w:tcPr>
            <w:tcW w:w="168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6.50%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10/9/2015</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56,920</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61,719</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Leaf US Holdings, Inc. </w:t>
            </w:r>
            <w:r>
              <w:rPr>
                <w:rFonts w:ascii="Arial" w:cs="Arial" w:eastAsia="Arial" w:hAnsi="Arial"/>
                <w:sz w:val="15"/>
                <w:szCs w:val="15"/>
                <w:color w:val="auto"/>
              </w:rPr>
              <w:t>(3)(4)</w:t>
            </w:r>
          </w:p>
        </w:tc>
        <w:tc>
          <w:tcPr>
            <w:tcW w:w="2680" w:type="dxa"/>
            <w:vAlign w:val="bottom"/>
          </w:tcPr>
          <w:p>
            <w:pPr>
              <w:spacing w:after="0"/>
              <w:rPr>
                <w:sz w:val="20"/>
                <w:szCs w:val="20"/>
                <w:color w:val="auto"/>
              </w:rPr>
            </w:pPr>
            <w:r>
              <w:rPr>
                <w:rFonts w:ascii="Arial" w:cs="Arial" w:eastAsia="Arial" w:hAnsi="Arial"/>
                <w:sz w:val="18"/>
                <w:szCs w:val="18"/>
                <w:color w:val="auto"/>
              </w:rPr>
              <w:t>First-lien loan ($26,721 par, due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6/2019)</w:t>
            </w:r>
          </w:p>
        </w:tc>
        <w:tc>
          <w:tcPr>
            <w:tcW w:w="1680" w:type="dxa"/>
            <w:vAlign w:val="bottom"/>
            <w:gridSpan w:val="4"/>
          </w:tcPr>
          <w:p>
            <w:pPr>
              <w:jc w:val="right"/>
              <w:ind w:right="120"/>
              <w:spacing w:after="0"/>
              <w:rPr>
                <w:sz w:val="20"/>
                <w:szCs w:val="20"/>
                <w:color w:val="auto"/>
              </w:rPr>
            </w:pPr>
            <w:r>
              <w:rPr>
                <w:rFonts w:ascii="Arial" w:cs="Arial" w:eastAsia="Arial" w:hAnsi="Arial"/>
                <w:sz w:val="18"/>
                <w:szCs w:val="18"/>
                <w:color w:val="auto"/>
              </w:rPr>
              <w:t>7.65%</w:t>
            </w:r>
          </w:p>
        </w:tc>
        <w:tc>
          <w:tcPr>
            <w:tcW w:w="920" w:type="dxa"/>
            <w:vAlign w:val="bottom"/>
          </w:tcPr>
          <w:p>
            <w:pPr>
              <w:jc w:val="right"/>
              <w:spacing w:after="0"/>
              <w:rPr>
                <w:sz w:val="20"/>
                <w:szCs w:val="20"/>
                <w:color w:val="auto"/>
              </w:rPr>
            </w:pPr>
            <w:r>
              <w:rPr>
                <w:rFonts w:ascii="Arial" w:cs="Arial" w:eastAsia="Arial" w:hAnsi="Arial"/>
                <w:sz w:val="18"/>
                <w:szCs w:val="18"/>
                <w:color w:val="auto"/>
              </w:rPr>
              <w:t>6/30/2014</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26,418</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26,865</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Marketo, Inc. </w:t>
            </w:r>
            <w:r>
              <w:rPr>
                <w:rFonts w:ascii="Arial" w:cs="Arial" w:eastAsia="Arial" w:hAnsi="Arial"/>
                <w:sz w:val="15"/>
                <w:szCs w:val="15"/>
                <w:color w:val="auto"/>
              </w:rPr>
              <w:t>(3)</w:t>
            </w: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($28,125 par, due</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8/2021)</w:t>
            </w:r>
          </w:p>
        </w:tc>
        <w:tc>
          <w:tcPr>
            <w:tcW w:w="168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10.65%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27,314</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28,125</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(3)</w:t>
            </w:r>
          </w:p>
        </w:tc>
        <w:tc>
          <w:tcPr>
            <w:tcW w:w="2680" w:type="dxa"/>
            <w:vAlign w:val="bottom"/>
          </w:tcPr>
          <w:p>
            <w:pPr>
              <w:spacing w:after="0"/>
              <w:rPr>
                <w:sz w:val="20"/>
                <w:szCs w:val="20"/>
                <w:color w:val="auto"/>
              </w:rPr>
            </w:pPr>
            <w:r>
              <w:rPr>
                <w:rFonts w:ascii="Arial" w:cs="Arial" w:eastAsia="Arial" w:hAnsi="Arial"/>
                <w:sz w:val="18"/>
                <w:szCs w:val="18"/>
                <w:color w:val="auto"/>
              </w:rPr>
              <w:t>First-lien loan ($20,311 par, due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11.04% (incl.</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7/2021)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3.00% PIK)</w:t>
            </w:r>
          </w:p>
        </w:tc>
        <w:tc>
          <w:tcPr>
            <w:tcW w:w="920" w:type="dxa"/>
            <w:vAlign w:val="bottom"/>
          </w:tcPr>
          <w:p>
            <w:pPr>
              <w:jc w:val="right"/>
              <w:spacing w:after="0"/>
              <w:rPr>
                <w:sz w:val="20"/>
                <w:szCs w:val="20"/>
                <w:color w:val="auto"/>
              </w:rPr>
            </w:pPr>
            <w:r>
              <w:rPr>
                <w:rFonts w:ascii="Arial" w:cs="Arial" w:eastAsia="Arial" w:hAnsi="Arial"/>
                <w:sz w:val="18"/>
                <w:szCs w:val="18"/>
                <w:color w:val="auto"/>
              </w:rPr>
              <w:t>7/29/2016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19,865</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20,464</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Qlik Technologies, Inc. </w:t>
            </w:r>
            <w:r>
              <w:rPr>
                <w:rFonts w:ascii="Arial" w:cs="Arial" w:eastAsia="Arial" w:hAnsi="Arial"/>
                <w:sz w:val="15"/>
                <w:szCs w:val="15"/>
                <w:color w:val="auto"/>
              </w:rPr>
              <w:t>(3)</w:t>
            </w: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($40,298 par, due</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8/2022)</w:t>
            </w:r>
          </w:p>
        </w:tc>
        <w:tc>
          <w:tcPr>
            <w:tcW w:w="168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9.25%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39,615</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42,312</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SailPoint Technologies, Inc. </w:t>
            </w:r>
            <w:r>
              <w:rPr>
                <w:rFonts w:ascii="Arial" w:cs="Arial" w:eastAsia="Arial" w:hAnsi="Arial"/>
                <w:sz w:val="15"/>
                <w:szCs w:val="15"/>
                <w:color w:val="auto"/>
              </w:rPr>
              <w:t>(3)</w:t>
            </w:r>
          </w:p>
        </w:tc>
        <w:tc>
          <w:tcPr>
            <w:tcW w:w="2680" w:type="dxa"/>
            <w:vAlign w:val="bottom"/>
          </w:tcPr>
          <w:p>
            <w:pPr>
              <w:spacing w:after="0"/>
              <w:rPr>
                <w:sz w:val="20"/>
                <w:szCs w:val="20"/>
                <w:color w:val="auto"/>
              </w:rPr>
            </w:pPr>
            <w:r>
              <w:rPr>
                <w:rFonts w:ascii="Arial" w:cs="Arial" w:eastAsia="Arial" w:hAnsi="Arial"/>
                <w:sz w:val="18"/>
                <w:szCs w:val="18"/>
                <w:color w:val="auto"/>
              </w:rPr>
              <w:t>First-lien loan ($26,304 par, due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8/2021)</w:t>
            </w:r>
          </w:p>
        </w:tc>
        <w:tc>
          <w:tcPr>
            <w:tcW w:w="1680" w:type="dxa"/>
            <w:vAlign w:val="bottom"/>
            <w:gridSpan w:val="4"/>
          </w:tcPr>
          <w:p>
            <w:pPr>
              <w:jc w:val="right"/>
              <w:ind w:right="120"/>
              <w:spacing w:after="0"/>
              <w:rPr>
                <w:sz w:val="20"/>
                <w:szCs w:val="20"/>
                <w:color w:val="auto"/>
              </w:rPr>
            </w:pPr>
            <w:r>
              <w:rPr>
                <w:rFonts w:ascii="Arial" w:cs="Arial" w:eastAsia="Arial" w:hAnsi="Arial"/>
                <w:sz w:val="18"/>
                <w:szCs w:val="18"/>
                <w:color w:val="auto"/>
              </w:rPr>
              <w:t>9.00%</w:t>
            </w:r>
          </w:p>
        </w:tc>
        <w:tc>
          <w:tcPr>
            <w:tcW w:w="920" w:type="dxa"/>
            <w:vAlign w:val="bottom"/>
          </w:tcPr>
          <w:p>
            <w:pPr>
              <w:jc w:val="right"/>
              <w:spacing w:after="0"/>
              <w:rPr>
                <w:sz w:val="20"/>
                <w:szCs w:val="20"/>
                <w:color w:val="auto"/>
              </w:rPr>
            </w:pPr>
            <w:r>
              <w:rPr>
                <w:rFonts w:ascii="Arial" w:cs="Arial" w:eastAsia="Arial" w:hAnsi="Arial"/>
                <w:sz w:val="18"/>
                <w:szCs w:val="18"/>
                <w:color w:val="auto"/>
              </w:rPr>
              <w:t>8/16/2016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25,823</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26,235</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($19,986 par, due</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12/2019)</w:t>
            </w:r>
          </w:p>
        </w:tc>
        <w:tc>
          <w:tcPr>
            <w:tcW w:w="168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8.00%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12/30/2014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19,737</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20,318</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Sovos Compliance, LLC </w:t>
            </w:r>
            <w:r>
              <w:rPr>
                <w:rFonts w:ascii="Arial" w:cs="Arial" w:eastAsia="Arial" w:hAnsi="Arial"/>
                <w:sz w:val="15"/>
                <w:szCs w:val="15"/>
                <w:color w:val="auto"/>
              </w:rPr>
              <w:t>(3)</w:t>
            </w:r>
          </w:p>
        </w:tc>
        <w:tc>
          <w:tcPr>
            <w:tcW w:w="2680" w:type="dxa"/>
            <w:vAlign w:val="bottom"/>
          </w:tcPr>
          <w:p>
            <w:pPr>
              <w:spacing w:after="0"/>
              <w:rPr>
                <w:sz w:val="20"/>
                <w:szCs w:val="20"/>
                <w:color w:val="auto"/>
              </w:rPr>
            </w:pPr>
            <w:r>
              <w:rPr>
                <w:rFonts w:ascii="Arial" w:cs="Arial" w:eastAsia="Arial" w:hAnsi="Arial"/>
                <w:sz w:val="18"/>
                <w:szCs w:val="18"/>
                <w:color w:val="auto"/>
              </w:rPr>
              <w:t>First-lien loan ($29,103 par, due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3/2022)</w:t>
            </w:r>
          </w:p>
        </w:tc>
        <w:tc>
          <w:tcPr>
            <w:tcW w:w="1680" w:type="dxa"/>
            <w:vAlign w:val="bottom"/>
            <w:gridSpan w:val="4"/>
          </w:tcPr>
          <w:p>
            <w:pPr>
              <w:jc w:val="right"/>
              <w:ind w:right="120"/>
              <w:spacing w:after="0"/>
              <w:rPr>
                <w:sz w:val="20"/>
                <w:szCs w:val="20"/>
                <w:color w:val="auto"/>
              </w:rPr>
            </w:pPr>
            <w:r>
              <w:rPr>
                <w:rFonts w:ascii="Arial" w:cs="Arial" w:eastAsia="Arial" w:hAnsi="Arial"/>
                <w:sz w:val="18"/>
                <w:szCs w:val="18"/>
                <w:color w:val="auto"/>
              </w:rPr>
              <w:t>8.40%</w:t>
            </w:r>
          </w:p>
        </w:tc>
        <w:tc>
          <w:tcPr>
            <w:tcW w:w="920" w:type="dxa"/>
            <w:vAlign w:val="bottom"/>
          </w:tcPr>
          <w:p>
            <w:pPr>
              <w:jc w:val="right"/>
              <w:spacing w:after="0"/>
              <w:rPr>
                <w:sz w:val="20"/>
                <w:szCs w:val="20"/>
                <w:color w:val="auto"/>
              </w:rPr>
            </w:pPr>
            <w:r>
              <w:rPr>
                <w:rFonts w:ascii="Arial" w:cs="Arial" w:eastAsia="Arial" w:hAnsi="Arial"/>
                <w:sz w:val="18"/>
                <w:szCs w:val="18"/>
                <w:color w:val="auto"/>
              </w:rPr>
              <w:t>7/1/2016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28,571</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29,477</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341,889</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355,841</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19"/>
                <w:szCs w:val="19"/>
                <w:color w:val="auto"/>
              </w:rPr>
            </w:pPr>
          </w:p>
        </w:tc>
      </w:tr>
      <w:tr>
        <w:trPr>
          <w:trHeight w:val="223"/>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Chemicals</w:t>
            </w:r>
          </w:p>
        </w:tc>
        <w:tc>
          <w:tcPr>
            <w:tcW w:w="2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w:t>
            </w: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($4,967 par, due</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4/2018)</w:t>
            </w:r>
          </w:p>
        </w:tc>
        <w:tc>
          <w:tcPr>
            <w:tcW w:w="168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10/31/2016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4,942</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4,954</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r>
      <w:tr>
        <w:trPr>
          <w:trHeight w:val="215"/>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8"/>
              </w:rPr>
              <w:t>Second-lien loan ($3,341 par, due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10/2021)</w:t>
            </w:r>
          </w:p>
        </w:tc>
        <w:tc>
          <w:tcPr>
            <w:tcW w:w="1680" w:type="dxa"/>
            <w:vAlign w:val="bottom"/>
            <w:gridSpan w:val="4"/>
          </w:tcPr>
          <w:p>
            <w:pPr>
              <w:jc w:val="right"/>
              <w:ind w:right="120"/>
              <w:spacing w:after="0"/>
              <w:rPr>
                <w:sz w:val="20"/>
                <w:szCs w:val="20"/>
                <w:color w:val="auto"/>
              </w:rPr>
            </w:pPr>
            <w:r>
              <w:rPr>
                <w:rFonts w:ascii="Arial" w:cs="Arial" w:eastAsia="Arial" w:hAnsi="Arial"/>
                <w:sz w:val="18"/>
                <w:szCs w:val="18"/>
                <w:color w:val="auto"/>
              </w:rPr>
              <w:t>13.00%</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10/31/2016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3,341</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3,358</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8,283</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8,312</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r>
      <w:tr>
        <w:trPr>
          <w:trHeight w:val="223"/>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Education</w:t>
            </w:r>
          </w:p>
        </w:tc>
        <w:tc>
          <w:tcPr>
            <w:tcW w:w="2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Finalsite Holdings, Inc. </w:t>
            </w:r>
            <w:r>
              <w:rPr>
                <w:rFonts w:ascii="Arial" w:cs="Arial" w:eastAsia="Arial" w:hAnsi="Arial"/>
                <w:sz w:val="15"/>
                <w:szCs w:val="15"/>
                <w:color w:val="auto"/>
              </w:rPr>
              <w:t>(3)(5)</w:t>
            </w: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($45,000 par, due</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8/2022)</w:t>
            </w:r>
          </w:p>
        </w:tc>
        <w:tc>
          <w:tcPr>
            <w:tcW w:w="168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8.15%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43,879</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44,662</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Frontline Technologies Group</w:t>
            </w:r>
          </w:p>
        </w:tc>
        <w:tc>
          <w:tcPr>
            <w:tcW w:w="2680" w:type="dxa"/>
            <w:vAlign w:val="bottom"/>
          </w:tcPr>
          <w:p>
            <w:pPr>
              <w:spacing w:after="0"/>
              <w:rPr>
                <w:sz w:val="20"/>
                <w:szCs w:val="20"/>
                <w:color w:val="auto"/>
              </w:rPr>
            </w:pPr>
            <w:r>
              <w:rPr>
                <w:rFonts w:ascii="Arial" w:cs="Arial" w:eastAsia="Arial" w:hAnsi="Arial"/>
                <w:sz w:val="18"/>
                <w:szCs w:val="18"/>
                <w:color w:val="auto"/>
              </w:rPr>
              <w:t>First-lien loan ($54,450 par, due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60" w:type="dxa"/>
            <w:vAlign w:val="bottom"/>
            <w:gridSpan w:val="2"/>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(3)(5)</w:t>
            </w:r>
          </w:p>
        </w:tc>
        <w:tc>
          <w:tcPr>
            <w:tcW w:w="2680" w:type="dxa"/>
            <w:vAlign w:val="bottom"/>
          </w:tcPr>
          <w:p>
            <w:pPr>
              <w:spacing w:after="0"/>
              <w:rPr>
                <w:sz w:val="20"/>
                <w:szCs w:val="20"/>
                <w:color w:val="auto"/>
              </w:rPr>
            </w:pPr>
            <w:r>
              <w:rPr>
                <w:rFonts w:ascii="Arial" w:cs="Arial" w:eastAsia="Arial" w:hAnsi="Arial"/>
                <w:sz w:val="18"/>
                <w:szCs w:val="18"/>
                <w:color w:val="auto"/>
              </w:rPr>
              <w:t>4/2021)</w:t>
            </w:r>
          </w:p>
        </w:tc>
        <w:tc>
          <w:tcPr>
            <w:tcW w:w="1680" w:type="dxa"/>
            <w:vAlign w:val="bottom"/>
            <w:gridSpan w:val="4"/>
          </w:tcPr>
          <w:p>
            <w:pPr>
              <w:jc w:val="right"/>
              <w:ind w:right="120"/>
              <w:spacing w:after="0"/>
              <w:rPr>
                <w:sz w:val="20"/>
                <w:szCs w:val="20"/>
                <w:color w:val="auto"/>
              </w:rPr>
            </w:pPr>
            <w:r>
              <w:rPr>
                <w:rFonts w:ascii="Arial" w:cs="Arial" w:eastAsia="Arial" w:hAnsi="Arial"/>
                <w:sz w:val="18"/>
                <w:szCs w:val="18"/>
                <w:color w:val="auto"/>
              </w:rPr>
              <w:t>7.90%</w:t>
            </w:r>
          </w:p>
        </w:tc>
        <w:tc>
          <w:tcPr>
            <w:tcW w:w="920" w:type="dxa"/>
            <w:vAlign w:val="bottom"/>
          </w:tcPr>
          <w:p>
            <w:pPr>
              <w:jc w:val="right"/>
              <w:spacing w:after="0"/>
              <w:rPr>
                <w:sz w:val="20"/>
                <w:szCs w:val="20"/>
                <w:color w:val="auto"/>
              </w:rPr>
            </w:pPr>
            <w:r>
              <w:rPr>
                <w:rFonts w:ascii="Arial" w:cs="Arial" w:eastAsia="Arial" w:hAnsi="Arial"/>
                <w:sz w:val="18"/>
                <w:szCs w:val="18"/>
                <w:color w:val="auto"/>
              </w:rPr>
              <w:t>4/1/2016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53,238</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54,995</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0"/>
                <w:szCs w:val="20"/>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97,117</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99,657</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r>
      <w:tr>
        <w:trPr>
          <w:trHeight w:val="426"/>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Acquisition</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Amortized</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20" w:type="dxa"/>
            <w:vAlign w:val="bottom"/>
          </w:tcPr>
          <w:p>
            <w:pPr>
              <w:spacing w:after="0"/>
              <w:rPr>
                <w:sz w:val="16"/>
                <w:szCs w:val="16"/>
                <w:color w:val="auto"/>
              </w:rPr>
            </w:pPr>
          </w:p>
        </w:tc>
      </w:tr>
      <w:tr>
        <w:trPr>
          <w:trHeight w:val="228"/>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740" w:type="dxa"/>
            <w:vAlign w:val="bottom"/>
          </w:tcPr>
          <w:p>
            <w:pPr>
              <w:ind w:left="1020"/>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20" w:type="dxa"/>
            <w:vAlign w:val="bottom"/>
          </w:tcPr>
          <w:p>
            <w:pPr>
              <w:spacing w:after="0"/>
              <w:rPr>
                <w:sz w:val="19"/>
                <w:szCs w:val="19"/>
                <w:color w:val="auto"/>
              </w:rPr>
            </w:pPr>
          </w:p>
        </w:tc>
      </w:tr>
      <w:tr>
        <w:trPr>
          <w:trHeight w:val="223"/>
        </w:trPr>
        <w:tc>
          <w:tcPr>
            <w:tcW w:w="276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Electronics</w:t>
            </w:r>
          </w:p>
        </w:tc>
        <w:tc>
          <w:tcPr>
            <w:tcW w:w="120" w:type="dxa"/>
            <w:vAlign w:val="bottom"/>
          </w:tcPr>
          <w:p>
            <w:pPr>
              <w:spacing w:after="0"/>
              <w:rPr>
                <w:sz w:val="19"/>
                <w:szCs w:val="19"/>
                <w:color w:val="auto"/>
              </w:rPr>
            </w:pPr>
          </w:p>
        </w:tc>
        <w:tc>
          <w:tcPr>
            <w:tcW w:w="2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MyAlarm Center, LLC </w:t>
            </w:r>
            <w:r>
              <w:rPr>
                <w:rFonts w:ascii="Arial" w:cs="Arial" w:eastAsia="Arial" w:hAnsi="Arial"/>
                <w:sz w:val="15"/>
                <w:szCs w:val="15"/>
                <w:color w:val="auto"/>
              </w:rPr>
              <w:t>(3)</w:t>
            </w: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($63,761 par, due</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1/2019)</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9.00%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1/9/2014</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62,256</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63,761</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0"/>
                <w:szCs w:val="20"/>
                <w:color w:val="auto"/>
              </w:rPr>
            </w:pPr>
          </w:p>
        </w:tc>
      </w:tr>
      <w:tr>
        <w:trPr>
          <w:trHeight w:val="230"/>
        </w:trPr>
        <w:tc>
          <w:tcPr>
            <w:tcW w:w="2880" w:type="dxa"/>
            <w:vAlign w:val="bottom"/>
            <w:gridSpan w:val="2"/>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($21,900 par, due</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8/2020)</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9.00%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8/18/2015</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21,511</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22,378</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r>
      <w:tr>
        <w:trPr>
          <w:trHeight w:val="215"/>
        </w:trPr>
        <w:tc>
          <w:tcPr>
            <w:tcW w:w="2880" w:type="dxa"/>
            <w:vAlign w:val="bottom"/>
            <w:gridSpan w:val="2"/>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740" w:type="dxa"/>
            <w:vAlign w:val="bottom"/>
          </w:tcPr>
          <w:p>
            <w:pPr>
              <w:spacing w:after="0"/>
              <w:rPr>
                <w:sz w:val="20"/>
                <w:szCs w:val="20"/>
                <w:color w:val="auto"/>
              </w:rPr>
            </w:pPr>
            <w:r>
              <w:rPr>
                <w:rFonts w:ascii="Arial" w:cs="Arial" w:eastAsia="Arial" w:hAnsi="Arial"/>
                <w:sz w:val="18"/>
                <w:szCs w:val="18"/>
                <w:color w:val="auto"/>
              </w:rPr>
              <w:t>First-lien loan ($53,953 par, due</w:t>
            </w: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10.50% (incl.</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8/2020)</w:t>
            </w:r>
          </w:p>
        </w:tc>
        <w:tc>
          <w:tcPr>
            <w:tcW w:w="10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2.38% PIK)</w:t>
            </w:r>
          </w:p>
        </w:tc>
        <w:tc>
          <w:tcPr>
            <w:tcW w:w="900" w:type="dxa"/>
            <w:vAlign w:val="bottom"/>
          </w:tcPr>
          <w:p>
            <w:pPr>
              <w:jc w:val="right"/>
              <w:spacing w:after="0"/>
              <w:rPr>
                <w:sz w:val="20"/>
                <w:szCs w:val="20"/>
                <w:color w:val="auto"/>
              </w:rPr>
            </w:pPr>
            <w:r>
              <w:rPr>
                <w:rFonts w:ascii="Arial" w:cs="Arial" w:eastAsia="Arial" w:hAnsi="Arial"/>
                <w:sz w:val="18"/>
                <w:szCs w:val="18"/>
                <w:color w:val="auto"/>
              </w:rPr>
              <w:t>8/7/2015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53,246</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54,087</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0"/>
                <w:szCs w:val="20"/>
                <w:color w:val="auto"/>
              </w:rPr>
            </w:pPr>
          </w:p>
        </w:tc>
      </w:tr>
      <w:tr>
        <w:trPr>
          <w:trHeight w:val="215"/>
        </w:trPr>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5"/>
                <w:szCs w:val="15"/>
                <w:color w:val="auto"/>
              </w:rPr>
              <w:t>(3)</w:t>
            </w: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($21,704 par, due</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9/2018)</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7.75%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9/12/2013</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21,561</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21,985</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r>
      <w:tr>
        <w:trPr>
          <w:trHeight w:val="215"/>
        </w:trPr>
        <w:tc>
          <w:tcPr>
            <w:tcW w:w="2880" w:type="dxa"/>
            <w:vAlign w:val="bottom"/>
            <w:gridSpan w:val="2"/>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740" w:type="dxa"/>
            <w:vAlign w:val="bottom"/>
          </w:tcPr>
          <w:p>
            <w:pPr>
              <w:spacing w:after="0"/>
              <w:rPr>
                <w:sz w:val="20"/>
                <w:szCs w:val="20"/>
                <w:color w:val="auto"/>
              </w:rPr>
            </w:pPr>
            <w:r>
              <w:rPr>
                <w:rFonts w:ascii="Arial" w:cs="Arial" w:eastAsia="Arial" w:hAnsi="Arial"/>
                <w:sz w:val="18"/>
                <w:szCs w:val="18"/>
                <w:color w:val="auto"/>
              </w:rPr>
              <w:t>First-lien loan ($34,718 par, due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3/2020)</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900" w:type="dxa"/>
            <w:vAlign w:val="bottom"/>
          </w:tcPr>
          <w:p>
            <w:pPr>
              <w:jc w:val="right"/>
              <w:spacing w:after="0"/>
              <w:rPr>
                <w:sz w:val="20"/>
                <w:szCs w:val="20"/>
                <w:color w:val="auto"/>
              </w:rPr>
            </w:pPr>
            <w:r>
              <w:rPr>
                <w:rFonts w:ascii="Arial" w:cs="Arial" w:eastAsia="Arial" w:hAnsi="Arial"/>
                <w:sz w:val="18"/>
                <w:szCs w:val="18"/>
                <w:color w:val="auto"/>
              </w:rPr>
              <w:t>3/6/2015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34,230</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35,016</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r>
      <w:tr>
        <w:trPr>
          <w:trHeight w:val="215"/>
        </w:trPr>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PaySimple, Inc. </w:t>
            </w:r>
            <w:r>
              <w:rPr>
                <w:rFonts w:ascii="Arial" w:cs="Arial" w:eastAsia="Arial" w:hAnsi="Arial"/>
                <w:sz w:val="15"/>
                <w:szCs w:val="15"/>
                <w:color w:val="auto"/>
              </w:rPr>
              <w:t>(3)</w:t>
            </w: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($30,029 par, due</w:t>
            </w: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9.38% (incl.</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3/2022)</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1.75% PIK)</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3/7/2017</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29,436</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29,416</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r>
      <w:tr>
        <w:trPr>
          <w:trHeight w:val="215"/>
        </w:trPr>
        <w:tc>
          <w:tcPr>
            <w:tcW w:w="2880" w:type="dxa"/>
            <w:vAlign w:val="bottom"/>
            <w:gridSpan w:val="2"/>
          </w:tcPr>
          <w:p>
            <w:pPr>
              <w:spacing w:after="0"/>
              <w:rPr>
                <w:sz w:val="20"/>
                <w:szCs w:val="20"/>
                <w:color w:val="auto"/>
              </w:rPr>
            </w:pPr>
            <w:r>
              <w:rPr>
                <w:rFonts w:ascii="Arial" w:cs="Arial" w:eastAsia="Arial" w:hAnsi="Arial"/>
                <w:sz w:val="18"/>
                <w:szCs w:val="18"/>
                <w:color w:val="auto"/>
              </w:rPr>
              <w:t xml:space="preserve">Smarsh, Inc. </w:t>
            </w:r>
            <w:r>
              <w:rPr>
                <w:rFonts w:ascii="Arial" w:cs="Arial" w:eastAsia="Arial" w:hAnsi="Arial"/>
                <w:sz w:val="15"/>
                <w:szCs w:val="15"/>
                <w:color w:val="auto"/>
              </w:rPr>
              <w:t>(3)(5)</w:t>
            </w:r>
          </w:p>
        </w:tc>
        <w:tc>
          <w:tcPr>
            <w:tcW w:w="2740" w:type="dxa"/>
            <w:vAlign w:val="bottom"/>
          </w:tcPr>
          <w:p>
            <w:pPr>
              <w:spacing w:after="0"/>
              <w:rPr>
                <w:sz w:val="20"/>
                <w:szCs w:val="20"/>
                <w:color w:val="auto"/>
              </w:rPr>
            </w:pPr>
            <w:r>
              <w:rPr>
                <w:rFonts w:ascii="Arial" w:cs="Arial" w:eastAsia="Arial" w:hAnsi="Arial"/>
                <w:sz w:val="18"/>
                <w:szCs w:val="18"/>
                <w:color w:val="auto"/>
              </w:rPr>
              <w:t>First-lien loan ($30,000 par, due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1/2021)</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8.50%</w:t>
            </w:r>
          </w:p>
        </w:tc>
        <w:tc>
          <w:tcPr>
            <w:tcW w:w="900" w:type="dxa"/>
            <w:vAlign w:val="bottom"/>
          </w:tcPr>
          <w:p>
            <w:pPr>
              <w:jc w:val="right"/>
              <w:spacing w:after="0"/>
              <w:rPr>
                <w:sz w:val="20"/>
                <w:szCs w:val="20"/>
                <w:color w:val="auto"/>
              </w:rPr>
            </w:pPr>
            <w:r>
              <w:rPr>
                <w:rFonts w:ascii="Arial" w:cs="Arial" w:eastAsia="Arial" w:hAnsi="Arial"/>
                <w:sz w:val="18"/>
                <w:szCs w:val="18"/>
                <w:color w:val="auto"/>
              </w:rPr>
              <w:t>1/7/2016</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29,375</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30,675</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r>
      <w:tr>
        <w:trPr>
          <w:trHeight w:val="20"/>
        </w:trPr>
        <w:tc>
          <w:tcPr>
            <w:tcW w:w="27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189,359</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193,557</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9"/>
                <w:szCs w:val="19"/>
                <w:color w:val="auto"/>
              </w:rPr>
            </w:pPr>
          </w:p>
        </w:tc>
      </w:tr>
      <w:tr>
        <w:trPr>
          <w:trHeight w:val="223"/>
        </w:trPr>
        <w:tc>
          <w:tcPr>
            <w:tcW w:w="2880" w:type="dxa"/>
            <w:vAlign w:val="bottom"/>
            <w:gridSpan w:val="2"/>
          </w:tcPr>
          <w:p>
            <w:pPr>
              <w:ind w:left="260"/>
              <w:spacing w:after="0"/>
              <w:rPr>
                <w:sz w:val="20"/>
                <w:szCs w:val="20"/>
                <w:color w:val="auto"/>
              </w:rPr>
            </w:pPr>
            <w:r>
              <w:rPr>
                <w:rFonts w:ascii="Arial" w:cs="Arial" w:eastAsia="Arial" w:hAnsi="Arial"/>
                <w:sz w:val="18"/>
                <w:szCs w:val="18"/>
                <w:b w:val="1"/>
                <w:bCs w:val="1"/>
                <w:color w:val="auto"/>
              </w:rPr>
              <w:t>Healthcare</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(3)(4)</w:t>
            </w: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w w:val="94"/>
              </w:rPr>
              <w:t>First-lien loan (EUR 40,043 par, due</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45,184</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9/2019)</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11.50%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9/30/2014</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47,288</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2"/>
              </w:rPr>
              <w:t>(EUR 42,245)</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r>
      <w:tr>
        <w:trPr>
          <w:trHeight w:val="215"/>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First-lien revolving loan (EUR 300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par, due 9/2019)</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11.50%</w:t>
            </w:r>
          </w:p>
        </w:tc>
        <w:tc>
          <w:tcPr>
            <w:tcW w:w="900" w:type="dxa"/>
            <w:vAlign w:val="bottom"/>
          </w:tcPr>
          <w:p>
            <w:pPr>
              <w:jc w:val="right"/>
              <w:spacing w:after="0"/>
              <w:rPr>
                <w:sz w:val="20"/>
                <w:szCs w:val="20"/>
                <w:color w:val="auto"/>
              </w:rPr>
            </w:pPr>
            <w:r>
              <w:rPr>
                <w:rFonts w:ascii="Arial" w:cs="Arial" w:eastAsia="Arial" w:hAnsi="Arial"/>
                <w:sz w:val="18"/>
                <w:szCs w:val="18"/>
                <w:color w:val="auto"/>
              </w:rPr>
              <w:t>9/30/2014</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color w:val="auto"/>
              </w:rPr>
              <w:t>(EUR 520)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MatrixCare, Inc. </w:t>
            </w:r>
            <w:r>
              <w:rPr>
                <w:rFonts w:ascii="Arial" w:cs="Arial" w:eastAsia="Arial" w:hAnsi="Arial"/>
                <w:sz w:val="15"/>
                <w:szCs w:val="15"/>
                <w:color w:val="auto"/>
              </w:rPr>
              <w:t>(3)(5)</w:t>
            </w: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($44,550 par, due</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12/2021)</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6.40%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12/17/2015</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43,877</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45,330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r>
      <w:tr>
        <w:trPr>
          <w:trHeight w:val="215"/>
        </w:trPr>
        <w:tc>
          <w:tcPr>
            <w:tcW w:w="2880" w:type="dxa"/>
            <w:vAlign w:val="bottom"/>
            <w:gridSpan w:val="2"/>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740" w:type="dxa"/>
            <w:vAlign w:val="bottom"/>
          </w:tcPr>
          <w:p>
            <w:pPr>
              <w:spacing w:after="0"/>
              <w:rPr>
                <w:sz w:val="20"/>
                <w:szCs w:val="20"/>
                <w:color w:val="auto"/>
              </w:rPr>
            </w:pPr>
            <w:r>
              <w:rPr>
                <w:rFonts w:ascii="Arial" w:cs="Arial" w:eastAsia="Arial" w:hAnsi="Arial"/>
                <w:sz w:val="18"/>
                <w:szCs w:val="18"/>
                <w:color w:val="auto"/>
              </w:rPr>
              <w:t>First-lien loan ($47,486 par, due</w:t>
            </w: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9.65% (incl.</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9/2020)</w:t>
            </w:r>
          </w:p>
        </w:tc>
        <w:tc>
          <w:tcPr>
            <w:tcW w:w="10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2.50% PIK)</w:t>
            </w:r>
          </w:p>
        </w:tc>
        <w:tc>
          <w:tcPr>
            <w:tcW w:w="900" w:type="dxa"/>
            <w:vAlign w:val="bottom"/>
          </w:tcPr>
          <w:p>
            <w:pPr>
              <w:jc w:val="right"/>
              <w:spacing w:after="0"/>
              <w:rPr>
                <w:sz w:val="20"/>
                <w:szCs w:val="20"/>
                <w:color w:val="auto"/>
              </w:rPr>
            </w:pPr>
            <w:r>
              <w:rPr>
                <w:rFonts w:ascii="Arial" w:cs="Arial" w:eastAsia="Arial" w:hAnsi="Arial"/>
                <w:sz w:val="18"/>
                <w:szCs w:val="18"/>
                <w:color w:val="auto"/>
              </w:rPr>
              <w:t>9/30/2015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46,404</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47,723</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r>
      <w:tr>
        <w:trPr>
          <w:trHeight w:val="215"/>
        </w:trPr>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Quantros, Inc. </w:t>
            </w:r>
            <w:r>
              <w:rPr>
                <w:rFonts w:ascii="Arial" w:cs="Arial" w:eastAsia="Arial" w:hAnsi="Arial"/>
                <w:sz w:val="15"/>
                <w:szCs w:val="15"/>
                <w:color w:val="auto"/>
              </w:rPr>
              <w:t>(3)(5)</w:t>
            </w: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($29,700 par, due</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2/2021)</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8.90%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2/29/2016</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28,862</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30,443</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166,693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169,236</w:t>
            </w: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9"/>
                <w:szCs w:val="19"/>
                <w:color w:val="auto"/>
              </w:rPr>
            </w:pPr>
          </w:p>
        </w:tc>
      </w:tr>
      <w:tr>
        <w:trPr>
          <w:trHeight w:val="223"/>
        </w:trPr>
        <w:tc>
          <w:tcPr>
            <w:tcW w:w="28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2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880" w:type="dxa"/>
            <w:vAlign w:val="bottom"/>
            <w:gridSpan w:val="2"/>
          </w:tcPr>
          <w:p>
            <w:pPr>
              <w:spacing w:after="0"/>
              <w:rPr>
                <w:sz w:val="20"/>
                <w:szCs w:val="20"/>
                <w:color w:val="auto"/>
              </w:rPr>
            </w:pPr>
            <w:r>
              <w:rPr>
                <w:rFonts w:ascii="Arial" w:cs="Arial" w:eastAsia="Arial" w:hAnsi="Arial"/>
                <w:sz w:val="18"/>
                <w:szCs w:val="18"/>
                <w:color w:val="auto"/>
              </w:rPr>
              <w:t>CrunchTime Information</w:t>
            </w:r>
          </w:p>
        </w:tc>
        <w:tc>
          <w:tcPr>
            <w:tcW w:w="2740" w:type="dxa"/>
            <w:vAlign w:val="bottom"/>
          </w:tcPr>
          <w:p>
            <w:pPr>
              <w:spacing w:after="0"/>
              <w:rPr>
                <w:sz w:val="20"/>
                <w:szCs w:val="20"/>
                <w:color w:val="auto"/>
              </w:rPr>
            </w:pPr>
            <w:r>
              <w:rPr>
                <w:rFonts w:ascii="Arial" w:cs="Arial" w:eastAsia="Arial" w:hAnsi="Arial"/>
                <w:sz w:val="18"/>
                <w:szCs w:val="18"/>
                <w:color w:val="auto"/>
              </w:rPr>
              <w:t>First-lien loan ($26,112 par, due</w:t>
            </w: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9.28% (incl.</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80" w:type="dxa"/>
            <w:vAlign w:val="bottom"/>
            <w:gridSpan w:val="2"/>
          </w:tcPr>
          <w:p>
            <w:pPr>
              <w:ind w:left="140"/>
              <w:spacing w:after="0"/>
              <w:rPr>
                <w:sz w:val="20"/>
                <w:szCs w:val="20"/>
                <w:color w:val="auto"/>
              </w:rPr>
            </w:pPr>
            <w:r>
              <w:rPr>
                <w:rFonts w:ascii="Arial" w:cs="Arial" w:eastAsia="Arial" w:hAnsi="Arial"/>
                <w:sz w:val="18"/>
                <w:szCs w:val="18"/>
                <w:color w:val="auto"/>
              </w:rPr>
              <w:t xml:space="preserve">Systems, Inc. </w:t>
            </w:r>
            <w:r>
              <w:rPr>
                <w:rFonts w:ascii="Arial" w:cs="Arial" w:eastAsia="Arial" w:hAnsi="Arial"/>
                <w:sz w:val="15"/>
                <w:szCs w:val="15"/>
                <w:color w:val="auto"/>
              </w:rPr>
              <w:t>(3)</w:t>
            </w:r>
          </w:p>
        </w:tc>
        <w:tc>
          <w:tcPr>
            <w:tcW w:w="2740" w:type="dxa"/>
            <w:vAlign w:val="bottom"/>
          </w:tcPr>
          <w:p>
            <w:pPr>
              <w:spacing w:after="0"/>
              <w:rPr>
                <w:sz w:val="20"/>
                <w:szCs w:val="20"/>
                <w:color w:val="auto"/>
              </w:rPr>
            </w:pPr>
            <w:r>
              <w:rPr>
                <w:rFonts w:ascii="Arial" w:cs="Arial" w:eastAsia="Arial" w:hAnsi="Arial"/>
                <w:sz w:val="18"/>
                <w:szCs w:val="18"/>
                <w:color w:val="auto"/>
              </w:rPr>
              <w:t>4/2020)</w:t>
            </w:r>
          </w:p>
        </w:tc>
        <w:tc>
          <w:tcPr>
            <w:tcW w:w="10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2.50% PIK)</w:t>
            </w:r>
          </w:p>
        </w:tc>
        <w:tc>
          <w:tcPr>
            <w:tcW w:w="900" w:type="dxa"/>
            <w:vAlign w:val="bottom"/>
          </w:tcPr>
          <w:p>
            <w:pPr>
              <w:jc w:val="right"/>
              <w:spacing w:after="0"/>
              <w:rPr>
                <w:sz w:val="20"/>
                <w:szCs w:val="20"/>
                <w:color w:val="auto"/>
              </w:rPr>
            </w:pPr>
            <w:r>
              <w:rPr>
                <w:rFonts w:ascii="Arial" w:cs="Arial" w:eastAsia="Arial" w:hAnsi="Arial"/>
                <w:sz w:val="18"/>
                <w:szCs w:val="18"/>
                <w:color w:val="auto"/>
              </w:rPr>
              <w:t>4/16/2015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25,758</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26,393</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r>
      <w:tr>
        <w:trPr>
          <w:trHeight w:val="215"/>
        </w:trPr>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(3)(7)</w:t>
            </w: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($21,581 par, due</w:t>
            </w: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10.65% (incl.</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9/2019)</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5.00% PIK)</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21,581</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17,697</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r>
      <w:tr>
        <w:trPr>
          <w:trHeight w:val="215"/>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First-lien revolving loan ($16,703</w:t>
            </w: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10.65% (incl.</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par, due 9/2019)</w:t>
            </w:r>
          </w:p>
        </w:tc>
        <w:tc>
          <w:tcPr>
            <w:tcW w:w="10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5.00% PIK)</w:t>
            </w:r>
          </w:p>
        </w:tc>
        <w:tc>
          <w:tcPr>
            <w:tcW w:w="900" w:type="dxa"/>
            <w:vAlign w:val="bottom"/>
          </w:tcPr>
          <w:p>
            <w:pPr>
              <w:jc w:val="right"/>
              <w:spacing w:after="0"/>
              <w:rPr>
                <w:sz w:val="20"/>
                <w:szCs w:val="20"/>
                <w:color w:val="auto"/>
              </w:rPr>
            </w:pPr>
            <w:r>
              <w:rPr>
                <w:rFonts w:ascii="Arial" w:cs="Arial" w:eastAsia="Arial" w:hAnsi="Arial"/>
                <w:sz w:val="18"/>
                <w:szCs w:val="18"/>
                <w:color w:val="auto"/>
              </w:rPr>
              <w:t>9/29/2015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16,703</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13,696</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r>
      <w:tr>
        <w:trPr>
          <w:trHeight w:val="20"/>
        </w:trPr>
        <w:tc>
          <w:tcPr>
            <w:tcW w:w="27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64,042</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57,786</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r>
      <w:tr>
        <w:trPr>
          <w:trHeight w:val="426"/>
        </w:trPr>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40" w:type="dxa"/>
            <w:vAlign w:val="bottom"/>
            <w:gridSpan w:val="2"/>
          </w:tcPr>
          <w:p>
            <w:pPr>
              <w:jc w:val="right"/>
              <w:ind w:right="1011"/>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14"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Acquisition</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20" w:type="dxa"/>
            <w:vAlign w:val="bottom"/>
          </w:tcPr>
          <w:p>
            <w:pPr>
              <w:spacing w:after="0"/>
              <w:rPr>
                <w:sz w:val="16"/>
                <w:szCs w:val="16"/>
                <w:color w:val="auto"/>
              </w:rPr>
            </w:pPr>
          </w:p>
        </w:tc>
      </w:tr>
      <w:tr>
        <w:trPr>
          <w:trHeight w:val="228"/>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920" w:type="dxa"/>
            <w:vAlign w:val="bottom"/>
            <w:gridSpan w:val="2"/>
          </w:tcPr>
          <w:p>
            <w:pPr>
              <w:ind w:left="1060"/>
              <w:spacing w:after="0"/>
              <w:rPr>
                <w:sz w:val="20"/>
                <w:szCs w:val="20"/>
                <w:color w:val="auto"/>
              </w:rPr>
            </w:pPr>
            <w:r>
              <w:rPr>
                <w:rFonts w:ascii="Arial" w:cs="Arial" w:eastAsia="Arial" w:hAnsi="Arial"/>
                <w:sz w:val="14"/>
                <w:szCs w:val="14"/>
                <w:b w:val="1"/>
                <w:bCs w:val="1"/>
                <w:color w:val="auto"/>
              </w:rPr>
              <w:t>Investment</w:t>
            </w: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20" w:type="dxa"/>
            <w:vAlign w:val="bottom"/>
          </w:tcPr>
          <w:p>
            <w:pPr>
              <w:spacing w:after="0"/>
              <w:rPr>
                <w:sz w:val="19"/>
                <w:szCs w:val="19"/>
                <w:color w:val="auto"/>
              </w:rPr>
            </w:pPr>
          </w:p>
        </w:tc>
      </w:tr>
      <w:tr>
        <w:trPr>
          <w:trHeight w:val="205"/>
        </w:trPr>
        <w:tc>
          <w:tcPr>
            <w:tcW w:w="2840" w:type="dxa"/>
            <w:vAlign w:val="bottom"/>
            <w:tcBorders>
              <w:top w:val="single" w:sz="8" w:color="auto"/>
            </w:tcBorders>
          </w:tcPr>
          <w:p>
            <w:pPr>
              <w:ind w:left="260"/>
              <w:spacing w:after="0" w:line="205" w:lineRule="exact"/>
              <w:rPr>
                <w:sz w:val="20"/>
                <w:szCs w:val="20"/>
                <w:color w:val="auto"/>
              </w:rPr>
            </w:pPr>
            <w:r>
              <w:rPr>
                <w:rFonts w:ascii="Arial" w:cs="Arial" w:eastAsia="Arial" w:hAnsi="Arial"/>
                <w:sz w:val="18"/>
                <w:szCs w:val="18"/>
                <w:b w:val="1"/>
                <w:bCs w:val="1"/>
                <w:color w:val="auto"/>
              </w:rPr>
              <w:t>Human resource support</w:t>
            </w:r>
          </w:p>
        </w:tc>
        <w:tc>
          <w:tcPr>
            <w:tcW w:w="120" w:type="dxa"/>
            <w:vAlign w:val="bottom"/>
          </w:tcPr>
          <w:p>
            <w:pPr>
              <w:spacing w:after="0"/>
              <w:rPr>
                <w:sz w:val="17"/>
                <w:szCs w:val="17"/>
                <w:color w:val="auto"/>
              </w:rPr>
            </w:pPr>
          </w:p>
        </w:tc>
        <w:tc>
          <w:tcPr>
            <w:tcW w:w="2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960" w:type="dxa"/>
            <w:vAlign w:val="bottom"/>
            <w:gridSpan w:val="2"/>
          </w:tcPr>
          <w:p>
            <w:pPr>
              <w:ind w:left="380"/>
              <w:spacing w:after="0"/>
              <w:rPr>
                <w:sz w:val="20"/>
                <w:szCs w:val="20"/>
                <w:color w:val="auto"/>
              </w:rPr>
            </w:pPr>
            <w:r>
              <w:rPr>
                <w:rFonts w:ascii="Arial" w:cs="Arial" w:eastAsia="Arial" w:hAnsi="Arial"/>
                <w:sz w:val="18"/>
                <w:szCs w:val="18"/>
                <w:b w:val="1"/>
                <w:bCs w:val="1"/>
                <w:color w:val="auto"/>
              </w:rPr>
              <w:t>services</w:t>
            </w: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Saba Software, Inc. </w:t>
            </w:r>
            <w:r>
              <w:rPr>
                <w:rFonts w:ascii="Arial" w:cs="Arial" w:eastAsia="Arial" w:hAnsi="Arial"/>
                <w:sz w:val="15"/>
                <w:szCs w:val="15"/>
                <w:color w:val="auto"/>
              </w:rPr>
              <w:t>(3)(5)</w:t>
            </w:r>
          </w:p>
        </w:tc>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($54,038 par, due</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3/2021)</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9.00%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3/30/2015</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53,566</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55,523</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Skillsoft </w:t>
            </w:r>
            <w:r>
              <w:rPr>
                <w:rFonts w:ascii="Arial" w:cs="Arial" w:eastAsia="Arial" w:hAnsi="Arial"/>
                <w:sz w:val="15"/>
                <w:szCs w:val="15"/>
                <w:color w:val="auto"/>
              </w:rPr>
              <w:t>(3)</w:t>
            </w:r>
          </w:p>
        </w:tc>
        <w:tc>
          <w:tcPr>
            <w:tcW w:w="2920" w:type="dxa"/>
            <w:vAlign w:val="bottom"/>
            <w:gridSpan w:val="2"/>
          </w:tcPr>
          <w:p>
            <w:pPr>
              <w:spacing w:after="0"/>
              <w:rPr>
                <w:sz w:val="20"/>
                <w:szCs w:val="20"/>
                <w:color w:val="auto"/>
              </w:rPr>
            </w:pPr>
            <w:r>
              <w:rPr>
                <w:rFonts w:ascii="Arial" w:cs="Arial" w:eastAsia="Arial" w:hAnsi="Arial"/>
                <w:sz w:val="18"/>
                <w:szCs w:val="18"/>
                <w:color w:val="auto"/>
              </w:rPr>
              <w:t>First-lien loan ($8,616 par, due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4/2021)</w:t>
            </w:r>
          </w:p>
        </w:tc>
        <w:tc>
          <w:tcPr>
            <w:tcW w:w="10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5.75%</w:t>
            </w:r>
          </w:p>
        </w:tc>
        <w:tc>
          <w:tcPr>
            <w:tcW w:w="900" w:type="dxa"/>
            <w:vAlign w:val="bottom"/>
          </w:tcPr>
          <w:p>
            <w:pPr>
              <w:jc w:val="right"/>
              <w:spacing w:after="0"/>
              <w:rPr>
                <w:sz w:val="20"/>
                <w:szCs w:val="20"/>
                <w:color w:val="auto"/>
              </w:rPr>
            </w:pPr>
            <w:r>
              <w:rPr>
                <w:rFonts w:ascii="Arial" w:cs="Arial" w:eastAsia="Arial" w:hAnsi="Arial"/>
                <w:sz w:val="18"/>
                <w:szCs w:val="18"/>
                <w:color w:val="auto"/>
              </w:rPr>
              <w:t>11/5/2015</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6,918</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7,911</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0"/>
                <w:szCs w:val="20"/>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60,484</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63,434</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r>
      <w:tr>
        <w:trPr>
          <w:trHeight w:val="223"/>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Insurance</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($64,564 par, due</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10/2020)</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7.44%</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10/31/2014</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64,041</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65,209</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0"/>
                <w:szCs w:val="20"/>
                <w:color w:val="auto"/>
              </w:rPr>
            </w:pPr>
          </w:p>
        </w:tc>
      </w:tr>
      <w:tr>
        <w:trPr>
          <w:trHeight w:val="230"/>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Office products</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5"/>
                <w:szCs w:val="15"/>
                <w:color w:val="auto"/>
              </w:rPr>
              <w:t>(3)</w:t>
            </w:r>
          </w:p>
        </w:tc>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($36,435 par, due</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3/2019)</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7.40%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3/11/2014</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36,290</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36,630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r>
      <w:tr>
        <w:trPr>
          <w:trHeight w:val="211"/>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Oil, gas and consumable</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60" w:type="dxa"/>
            <w:vAlign w:val="bottom"/>
            <w:gridSpan w:val="2"/>
          </w:tcPr>
          <w:p>
            <w:pPr>
              <w:ind w:left="380"/>
              <w:spacing w:after="0"/>
              <w:rPr>
                <w:sz w:val="20"/>
                <w:szCs w:val="20"/>
                <w:color w:val="auto"/>
              </w:rPr>
            </w:pPr>
            <w:r>
              <w:rPr>
                <w:rFonts w:ascii="Arial" w:cs="Arial" w:eastAsia="Arial" w:hAnsi="Arial"/>
                <w:sz w:val="18"/>
                <w:szCs w:val="18"/>
                <w:b w:val="1"/>
                <w:bCs w:val="1"/>
                <w:color w:val="auto"/>
              </w:rPr>
              <w:t>fuels</w:t>
            </w: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(3)(7)(10)</w:t>
            </w:r>
          </w:p>
        </w:tc>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($53,380 par, due</w:t>
            </w: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13.00% (incl.</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6/2018)</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1.50% PIK)</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6/4/2014</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52,864</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30,574</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r>
      <w:tr>
        <w:trPr>
          <w:trHeight w:val="230"/>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Pharmaceuticals</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Ironwood Pharmaceuticals, Inc. </w:t>
            </w:r>
            <w:r>
              <w:rPr>
                <w:rFonts w:ascii="Arial" w:cs="Arial" w:eastAsia="Arial" w:hAnsi="Arial"/>
                <w:sz w:val="15"/>
                <w:szCs w:val="15"/>
                <w:color w:val="auto"/>
              </w:rPr>
              <w:t>(4)(5)</w:t>
            </w:r>
          </w:p>
        </w:tc>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Secured note ($33,333 par, due</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5"/>
                <w:szCs w:val="15"/>
                <w:color w:val="auto"/>
              </w:rPr>
              <w:t>(9)</w:t>
            </w:r>
          </w:p>
        </w:tc>
        <w:tc>
          <w:tcPr>
            <w:tcW w:w="120" w:type="dxa"/>
            <w:vAlign w:val="bottom"/>
            <w:shd w:val="clear" w:color="auto" w:fill="CFF0FC"/>
          </w:tcPr>
          <w:p>
            <w:pPr>
              <w:spacing w:after="0"/>
              <w:rPr>
                <w:sz w:val="20"/>
                <w:szCs w:val="20"/>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9/2026)</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8.38%</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1/5/2017</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33,183</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33,166</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Model N, Inc. </w:t>
            </w:r>
            <w:r>
              <w:rPr>
                <w:rFonts w:ascii="Arial" w:cs="Arial" w:eastAsia="Arial" w:hAnsi="Arial"/>
                <w:sz w:val="15"/>
                <w:szCs w:val="15"/>
                <w:color w:val="auto"/>
              </w:rPr>
              <w:t>(3)(4)</w:t>
            </w:r>
          </w:p>
        </w:tc>
        <w:tc>
          <w:tcPr>
            <w:tcW w:w="2920" w:type="dxa"/>
            <w:vAlign w:val="bottom"/>
            <w:gridSpan w:val="2"/>
          </w:tcPr>
          <w:p>
            <w:pPr>
              <w:spacing w:after="0"/>
              <w:rPr>
                <w:sz w:val="20"/>
                <w:szCs w:val="20"/>
                <w:color w:val="auto"/>
              </w:rPr>
            </w:pPr>
            <w:r>
              <w:rPr>
                <w:rFonts w:ascii="Arial" w:cs="Arial" w:eastAsia="Arial" w:hAnsi="Arial"/>
                <w:sz w:val="18"/>
                <w:szCs w:val="18"/>
                <w:color w:val="auto"/>
              </w:rPr>
              <w:t>First-lien loan ($30,000 par, due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1/2022)</w:t>
            </w:r>
          </w:p>
        </w:tc>
        <w:tc>
          <w:tcPr>
            <w:tcW w:w="10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9.25%</w:t>
            </w:r>
          </w:p>
        </w:tc>
        <w:tc>
          <w:tcPr>
            <w:tcW w:w="900" w:type="dxa"/>
            <w:vAlign w:val="bottom"/>
          </w:tcPr>
          <w:p>
            <w:pPr>
              <w:jc w:val="right"/>
              <w:spacing w:after="0"/>
              <w:rPr>
                <w:sz w:val="20"/>
                <w:szCs w:val="20"/>
                <w:color w:val="auto"/>
              </w:rPr>
            </w:pPr>
            <w:r>
              <w:rPr>
                <w:rFonts w:ascii="Arial" w:cs="Arial" w:eastAsia="Arial" w:hAnsi="Arial"/>
                <w:sz w:val="18"/>
                <w:szCs w:val="18"/>
                <w:color w:val="auto"/>
              </w:rPr>
              <w:t>1/5/2017</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29,423</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29,550</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(4)(5)(9)</w:t>
            </w:r>
          </w:p>
        </w:tc>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Secured note ($74,950 par, due</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10/2020)</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7.75%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10/5/2015</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74,227</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75,700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0"/>
                <w:szCs w:val="20"/>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136,833</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138,416</w:t>
            </w: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9"/>
                <w:szCs w:val="19"/>
                <w:color w:val="auto"/>
              </w:rPr>
            </w:pPr>
          </w:p>
        </w:tc>
      </w:tr>
      <w:tr>
        <w:trPr>
          <w:trHeight w:val="205"/>
        </w:trPr>
        <w:tc>
          <w:tcPr>
            <w:tcW w:w="2960" w:type="dxa"/>
            <w:vAlign w:val="bottom"/>
            <w:tcBorders>
              <w:top w:val="single" w:sz="8" w:color="CFF0FC"/>
            </w:tcBorders>
            <w:gridSpan w:val="2"/>
            <w:shd w:val="clear" w:color="auto" w:fill="CFF0FC"/>
          </w:tcPr>
          <w:p>
            <w:pPr>
              <w:ind w:left="260"/>
              <w:spacing w:after="0" w:line="205" w:lineRule="exact"/>
              <w:rPr>
                <w:sz w:val="20"/>
                <w:szCs w:val="20"/>
                <w:color w:val="auto"/>
              </w:rPr>
            </w:pPr>
            <w:r>
              <w:rPr>
                <w:rFonts w:ascii="Arial" w:cs="Arial" w:eastAsia="Arial" w:hAnsi="Arial"/>
                <w:sz w:val="18"/>
                <w:szCs w:val="18"/>
                <w:b w:val="1"/>
                <w:bCs w:val="1"/>
                <w:color w:val="auto"/>
              </w:rPr>
              <w:t>Retail and consumer</w:t>
            </w:r>
          </w:p>
        </w:tc>
        <w:tc>
          <w:tcPr>
            <w:tcW w:w="28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960" w:type="dxa"/>
            <w:vAlign w:val="bottom"/>
            <w:gridSpan w:val="2"/>
            <w:shd w:val="clear" w:color="auto" w:fill="CFF0FC"/>
          </w:tcPr>
          <w:p>
            <w:pPr>
              <w:ind w:left="380"/>
              <w:spacing w:after="0"/>
              <w:rPr>
                <w:sz w:val="20"/>
                <w:szCs w:val="20"/>
                <w:color w:val="auto"/>
              </w:rPr>
            </w:pPr>
            <w:r>
              <w:rPr>
                <w:rFonts w:ascii="Arial" w:cs="Arial" w:eastAsia="Arial" w:hAnsi="Arial"/>
                <w:sz w:val="18"/>
                <w:szCs w:val="18"/>
                <w:b w:val="1"/>
                <w:bCs w:val="1"/>
                <w:color w:val="auto"/>
              </w:rPr>
              <w:t>products</w:t>
            </w:r>
          </w:p>
        </w:tc>
        <w:tc>
          <w:tcPr>
            <w:tcW w:w="2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American Achievement</w:t>
            </w:r>
          </w:p>
        </w:tc>
        <w:tc>
          <w:tcPr>
            <w:tcW w:w="2920" w:type="dxa"/>
            <w:vAlign w:val="bottom"/>
            <w:gridSpan w:val="2"/>
          </w:tcPr>
          <w:p>
            <w:pPr>
              <w:spacing w:after="0"/>
              <w:rPr>
                <w:sz w:val="20"/>
                <w:szCs w:val="20"/>
                <w:color w:val="auto"/>
              </w:rPr>
            </w:pPr>
            <w:r>
              <w:rPr>
                <w:rFonts w:ascii="Arial" w:cs="Arial" w:eastAsia="Arial" w:hAnsi="Arial"/>
                <w:sz w:val="18"/>
                <w:szCs w:val="18"/>
                <w:color w:val="auto"/>
              </w:rPr>
              <w:t>First-lien loan ($23,729 par, due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60" w:type="dxa"/>
            <w:vAlign w:val="bottom"/>
            <w:gridSpan w:val="2"/>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820" w:type="dxa"/>
            <w:vAlign w:val="bottom"/>
          </w:tcPr>
          <w:p>
            <w:pPr>
              <w:spacing w:after="0"/>
              <w:rPr>
                <w:sz w:val="20"/>
                <w:szCs w:val="20"/>
                <w:color w:val="auto"/>
              </w:rPr>
            </w:pPr>
            <w:r>
              <w:rPr>
                <w:rFonts w:ascii="Arial" w:cs="Arial" w:eastAsia="Arial" w:hAnsi="Arial"/>
                <w:sz w:val="18"/>
                <w:szCs w:val="18"/>
                <w:color w:val="auto"/>
              </w:rPr>
              <w:t>9/2020)</w:t>
            </w:r>
          </w:p>
        </w:tc>
        <w:tc>
          <w:tcPr>
            <w:tcW w:w="10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9.25%</w:t>
            </w:r>
          </w:p>
        </w:tc>
        <w:tc>
          <w:tcPr>
            <w:tcW w:w="900" w:type="dxa"/>
            <w:vAlign w:val="bottom"/>
          </w:tcPr>
          <w:p>
            <w:pPr>
              <w:jc w:val="right"/>
              <w:spacing w:after="0"/>
              <w:rPr>
                <w:sz w:val="20"/>
                <w:szCs w:val="20"/>
                <w:color w:val="auto"/>
              </w:rPr>
            </w:pPr>
            <w:r>
              <w:rPr>
                <w:rFonts w:ascii="Arial" w:cs="Arial" w:eastAsia="Arial" w:hAnsi="Arial"/>
                <w:sz w:val="18"/>
                <w:szCs w:val="18"/>
                <w:color w:val="auto"/>
              </w:rPr>
              <w:t>9/30/2015</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23,480</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23,729</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Eddie Bauer LLC </w:t>
            </w:r>
            <w:r>
              <w:rPr>
                <w:rFonts w:ascii="Arial" w:cs="Arial" w:eastAsia="Arial" w:hAnsi="Arial"/>
                <w:sz w:val="15"/>
                <w:szCs w:val="15"/>
                <w:color w:val="auto"/>
              </w:rPr>
              <w:t>(3)</w:t>
            </w:r>
          </w:p>
        </w:tc>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ABL FILO term loan ($28,000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6/2019)</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10.25%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3/31/2017</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27,440</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Destination Maternity</w:t>
            </w:r>
          </w:p>
        </w:tc>
        <w:tc>
          <w:tcPr>
            <w:tcW w:w="2920" w:type="dxa"/>
            <w:vAlign w:val="bottom"/>
            <w:gridSpan w:val="2"/>
          </w:tcPr>
          <w:p>
            <w:pPr>
              <w:spacing w:after="0"/>
              <w:rPr>
                <w:sz w:val="20"/>
                <w:szCs w:val="20"/>
                <w:color w:val="auto"/>
              </w:rPr>
            </w:pPr>
            <w:r>
              <w:rPr>
                <w:rFonts w:ascii="Arial" w:cs="Arial" w:eastAsia="Arial" w:hAnsi="Arial"/>
                <w:sz w:val="18"/>
                <w:szCs w:val="18"/>
                <w:color w:val="auto"/>
              </w:rPr>
              <w:t>ABL FILO term loan ($16,914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60" w:type="dxa"/>
            <w:vAlign w:val="bottom"/>
            <w:gridSpan w:val="2"/>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920" w:type="dxa"/>
            <w:vAlign w:val="bottom"/>
            <w:gridSpan w:val="2"/>
          </w:tcPr>
          <w:p>
            <w:pPr>
              <w:spacing w:after="0"/>
              <w:rPr>
                <w:sz w:val="20"/>
                <w:szCs w:val="20"/>
                <w:color w:val="auto"/>
              </w:rPr>
            </w:pPr>
            <w:r>
              <w:rPr>
                <w:rFonts w:ascii="Arial" w:cs="Arial" w:eastAsia="Arial" w:hAnsi="Arial"/>
                <w:sz w:val="18"/>
                <w:szCs w:val="18"/>
                <w:color w:val="auto"/>
              </w:rPr>
              <w:t>due 3/2021)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8.50%</w:t>
            </w:r>
          </w:p>
        </w:tc>
        <w:tc>
          <w:tcPr>
            <w:tcW w:w="900" w:type="dxa"/>
            <w:vAlign w:val="bottom"/>
          </w:tcPr>
          <w:p>
            <w:pPr>
              <w:jc w:val="right"/>
              <w:spacing w:after="0"/>
              <w:rPr>
                <w:sz w:val="20"/>
                <w:szCs w:val="20"/>
                <w:color w:val="auto"/>
              </w:rPr>
            </w:pPr>
            <w:r>
              <w:rPr>
                <w:rFonts w:ascii="Arial" w:cs="Arial" w:eastAsia="Arial" w:hAnsi="Arial"/>
                <w:sz w:val="18"/>
                <w:szCs w:val="18"/>
                <w:color w:val="auto"/>
              </w:rPr>
              <w:t>3/25/2016</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16,582</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16,956</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Payless Inc. </w:t>
            </w:r>
            <w:r>
              <w:rPr>
                <w:rFonts w:ascii="Arial" w:cs="Arial" w:eastAsia="Arial" w:hAnsi="Arial"/>
                <w:sz w:val="15"/>
                <w:szCs w:val="15"/>
                <w:color w:val="auto"/>
              </w:rPr>
              <w:t>(3)</w:t>
            </w:r>
          </w:p>
        </w:tc>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ABL FILO term loan ($50,000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3/2019)</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8.00%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10/3/2016</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48,867</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53,250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(3)(4)(6)</w:t>
            </w:r>
          </w:p>
        </w:tc>
        <w:tc>
          <w:tcPr>
            <w:tcW w:w="2920" w:type="dxa"/>
            <w:vAlign w:val="bottom"/>
            <w:gridSpan w:val="2"/>
          </w:tcPr>
          <w:p>
            <w:pPr>
              <w:spacing w:after="0"/>
              <w:rPr>
                <w:sz w:val="20"/>
                <w:szCs w:val="20"/>
                <w:color w:val="auto"/>
              </w:rPr>
            </w:pPr>
            <w:r>
              <w:rPr>
                <w:rFonts w:ascii="Arial" w:cs="Arial" w:eastAsia="Arial" w:hAnsi="Arial"/>
                <w:sz w:val="18"/>
                <w:szCs w:val="18"/>
                <w:color w:val="auto"/>
                <w:w w:val="98"/>
              </w:rPr>
              <w:t>First-lien ABL loan ($17,296 par, due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7/2020)</w:t>
            </w:r>
          </w:p>
        </w:tc>
        <w:tc>
          <w:tcPr>
            <w:tcW w:w="10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8.50%</w:t>
            </w:r>
          </w:p>
        </w:tc>
        <w:tc>
          <w:tcPr>
            <w:tcW w:w="900" w:type="dxa"/>
            <w:vAlign w:val="bottom"/>
          </w:tcPr>
          <w:p>
            <w:pPr>
              <w:jc w:val="right"/>
              <w:spacing w:after="0"/>
              <w:rPr>
                <w:sz w:val="20"/>
                <w:szCs w:val="20"/>
                <w:color w:val="auto"/>
              </w:rPr>
            </w:pPr>
            <w:r>
              <w:rPr>
                <w:rFonts w:ascii="Arial" w:cs="Arial" w:eastAsia="Arial" w:hAnsi="Arial"/>
                <w:sz w:val="18"/>
                <w:szCs w:val="18"/>
                <w:color w:val="auto"/>
              </w:rPr>
              <w:t>3/18/2016</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16,878</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17,599</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Sears Canada Inc. </w:t>
            </w:r>
            <w:r>
              <w:rPr>
                <w:rFonts w:ascii="Arial" w:cs="Arial" w:eastAsia="Arial" w:hAnsi="Arial"/>
                <w:sz w:val="15"/>
                <w:szCs w:val="15"/>
                <w:color w:val="auto"/>
              </w:rPr>
              <w:t>(3)(4)</w:t>
            </w:r>
          </w:p>
        </w:tc>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8"/>
              </w:rPr>
              <w:t>First-lien ABL loan ($20,884 par, due</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3/2022)</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10.50%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3/20/2017</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20,364</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20,362</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Toys ‘R’ Us-Delaware, Inc. </w:t>
            </w:r>
            <w:r>
              <w:rPr>
                <w:rFonts w:ascii="Arial" w:cs="Arial" w:eastAsia="Arial" w:hAnsi="Arial"/>
                <w:sz w:val="15"/>
                <w:szCs w:val="15"/>
                <w:color w:val="auto"/>
              </w:rPr>
              <w:t>(3)</w:t>
            </w:r>
          </w:p>
        </w:tc>
        <w:tc>
          <w:tcPr>
            <w:tcW w:w="2920" w:type="dxa"/>
            <w:vAlign w:val="bottom"/>
            <w:gridSpan w:val="2"/>
          </w:tcPr>
          <w:p>
            <w:pPr>
              <w:spacing w:after="0"/>
              <w:rPr>
                <w:sz w:val="20"/>
                <w:szCs w:val="20"/>
                <w:color w:val="auto"/>
              </w:rPr>
            </w:pPr>
            <w:r>
              <w:rPr>
                <w:rFonts w:ascii="Arial" w:cs="Arial" w:eastAsia="Arial" w:hAnsi="Arial"/>
                <w:sz w:val="18"/>
                <w:szCs w:val="18"/>
                <w:color w:val="auto"/>
              </w:rPr>
              <w:t>ABL FILO term loan ($20,500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due 10/2019)</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8.29%</w:t>
            </w:r>
          </w:p>
        </w:tc>
        <w:tc>
          <w:tcPr>
            <w:tcW w:w="900" w:type="dxa"/>
            <w:vAlign w:val="bottom"/>
          </w:tcPr>
          <w:p>
            <w:pPr>
              <w:jc w:val="right"/>
              <w:spacing w:after="0"/>
              <w:rPr>
                <w:sz w:val="20"/>
                <w:szCs w:val="20"/>
                <w:color w:val="auto"/>
              </w:rPr>
            </w:pPr>
            <w:r>
              <w:rPr>
                <w:rFonts w:ascii="Arial" w:cs="Arial" w:eastAsia="Arial" w:hAnsi="Arial"/>
                <w:sz w:val="18"/>
                <w:szCs w:val="18"/>
                <w:color w:val="auto"/>
              </w:rPr>
              <w:t>10/9/2014</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20,395</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20,398</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174,006</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179,694</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9"/>
                <w:szCs w:val="19"/>
                <w:color w:val="auto"/>
              </w:rPr>
            </w:pPr>
          </w:p>
        </w:tc>
      </w:tr>
      <w:tr>
        <w:trPr>
          <w:trHeight w:val="223"/>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Transportation</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Carrix, Inc. </w:t>
            </w:r>
            <w:r>
              <w:rPr>
                <w:rFonts w:ascii="Arial" w:cs="Arial" w:eastAsia="Arial" w:hAnsi="Arial"/>
                <w:sz w:val="15"/>
                <w:szCs w:val="15"/>
                <w:color w:val="auto"/>
              </w:rPr>
              <w:t>(3)</w:t>
            </w:r>
          </w:p>
        </w:tc>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($12,671 par, due</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1/2019)</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3/17/2015</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12,205</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12,397</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r>
      <w:tr>
        <w:trPr>
          <w:trHeight w:val="230"/>
        </w:trPr>
        <w:tc>
          <w:tcPr>
            <w:tcW w:w="28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960" w:type="dxa"/>
            <w:vAlign w:val="bottom"/>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Total Debt Investments</w:t>
            </w:r>
          </w:p>
        </w:tc>
        <w:tc>
          <w:tcPr>
            <w:tcW w:w="2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1,556,847</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1,560,022</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162.5%</w:t>
            </w:r>
          </w:p>
        </w:tc>
        <w:tc>
          <w:tcPr>
            <w:tcW w:w="20" w:type="dxa"/>
            <w:vAlign w:val="bottom"/>
          </w:tcPr>
          <w:p>
            <w:pPr>
              <w:spacing w:after="0"/>
              <w:rPr>
                <w:sz w:val="19"/>
                <w:szCs w:val="19"/>
                <w:color w:val="auto"/>
              </w:rPr>
            </w:pPr>
          </w:p>
        </w:tc>
      </w:tr>
      <w:tr>
        <w:trPr>
          <w:trHeight w:val="223"/>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Equity and Other Investments</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60" w:type="dxa"/>
            <w:vAlign w:val="bottom"/>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Chemicals</w:t>
            </w:r>
          </w:p>
        </w:tc>
        <w:tc>
          <w:tcPr>
            <w:tcW w:w="2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Vertellus Specialties, Inc.</w:t>
            </w:r>
          </w:p>
        </w:tc>
        <w:tc>
          <w:tcPr>
            <w:tcW w:w="2920" w:type="dxa"/>
            <w:vAlign w:val="bottom"/>
            <w:gridSpan w:val="2"/>
          </w:tcPr>
          <w:p>
            <w:pPr>
              <w:spacing w:after="0"/>
              <w:rPr>
                <w:sz w:val="20"/>
                <w:szCs w:val="20"/>
                <w:color w:val="auto"/>
              </w:rPr>
            </w:pPr>
            <w:r>
              <w:rPr>
                <w:rFonts w:ascii="Arial" w:cs="Arial" w:eastAsia="Arial" w:hAnsi="Arial"/>
                <w:sz w:val="18"/>
                <w:szCs w:val="18"/>
                <w:color w:val="auto"/>
              </w:rPr>
              <w:t>Common Units (2,672,990 units)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10/31/2016</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3,828</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3,723</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r>
      <w:tr>
        <w:trPr>
          <w:trHeight w:val="431"/>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ind w:left="2700"/>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14"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Initial</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Acquisition</w:t>
            </w:r>
          </w:p>
        </w:tc>
        <w:tc>
          <w:tcPr>
            <w:tcW w:w="860" w:type="dxa"/>
            <w:vAlign w:val="bottom"/>
          </w:tcPr>
          <w:p>
            <w:pPr>
              <w:jc w:val="right"/>
              <w:ind w:right="12"/>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228"/>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940" w:type="dxa"/>
            <w:vAlign w:val="bottom"/>
            <w:gridSpan w:val="2"/>
          </w:tcPr>
          <w:p>
            <w:pPr>
              <w:ind w:left="1060"/>
              <w:spacing w:after="0"/>
              <w:rPr>
                <w:sz w:val="20"/>
                <w:szCs w:val="20"/>
                <w:color w:val="auto"/>
              </w:rPr>
            </w:pPr>
            <w:r>
              <w:rPr>
                <w:rFonts w:ascii="Arial" w:cs="Arial" w:eastAsia="Arial" w:hAnsi="Arial"/>
                <w:sz w:val="14"/>
                <w:szCs w:val="14"/>
                <w:b w:val="1"/>
                <w:bCs w:val="1"/>
                <w:color w:val="auto"/>
              </w:rPr>
              <w:t>Investment</w:t>
            </w: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Interest</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860" w:type="dxa"/>
            <w:vAlign w:val="bottom"/>
          </w:tcPr>
          <w:p>
            <w:pPr>
              <w:jc w:val="right"/>
              <w:ind w:right="52"/>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(2)(8)</w:t>
            </w:r>
          </w:p>
        </w:tc>
        <w:tc>
          <w:tcPr>
            <w:tcW w:w="22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84"/>
              </w:rPr>
              <w:t>of Net Assets</w:t>
            </w: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100" w:type="dxa"/>
            <w:vAlign w:val="bottom"/>
            <w:tcBorders>
              <w:top w:val="single" w:sz="8" w:color="CFF0FC"/>
            </w:tcBorders>
            <w:shd w:val="clear" w:color="auto" w:fill="CFF0FC"/>
          </w:tcPr>
          <w:p>
            <w:pPr>
              <w:spacing w:after="0"/>
              <w:rPr>
                <w:sz w:val="19"/>
                <w:szCs w:val="19"/>
                <w:color w:val="auto"/>
              </w:rPr>
            </w:pPr>
          </w:p>
        </w:tc>
        <w:tc>
          <w:tcPr>
            <w:tcW w:w="2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20" w:type="dxa"/>
            <w:vAlign w:val="bottom"/>
            <w:gridSpan w:val="2"/>
          </w:tcPr>
          <w:p>
            <w:pPr>
              <w:spacing w:after="0"/>
              <w:rPr>
                <w:sz w:val="20"/>
                <w:szCs w:val="20"/>
                <w:color w:val="auto"/>
              </w:rPr>
            </w:pPr>
            <w:r>
              <w:rPr>
                <w:rFonts w:ascii="Arial" w:cs="Arial" w:eastAsia="Arial" w:hAnsi="Arial"/>
                <w:sz w:val="18"/>
                <w:szCs w:val="18"/>
                <w:color w:val="auto"/>
              </w:rPr>
              <w:t>AvidXchange,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Series E Preferred Equity (214,132</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8/7/2015</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5,760</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5"/>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Network Merchants, Inc.</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Non-Voting Preferred Units</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(774,099 units)</w:t>
            </w: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9/12/2013</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 xml:space="preserve">TICC Capital Corp. </w:t>
            </w:r>
            <w:r>
              <w:rPr>
                <w:rFonts w:ascii="Arial" w:cs="Arial" w:eastAsia="Arial" w:hAnsi="Arial"/>
                <w:sz w:val="15"/>
                <w:szCs w:val="15"/>
                <w:color w:val="auto"/>
              </w:rPr>
              <w:t>(4)</w:t>
            </w:r>
          </w:p>
        </w:tc>
        <w:tc>
          <w:tcPr>
            <w:tcW w:w="2940" w:type="dxa"/>
            <w:vAlign w:val="bottom"/>
            <w:gridSpan w:val="2"/>
          </w:tcPr>
          <w:p>
            <w:pPr>
              <w:spacing w:after="0"/>
              <w:rPr>
                <w:sz w:val="20"/>
                <w:szCs w:val="20"/>
                <w:color w:val="auto"/>
              </w:rPr>
            </w:pPr>
            <w:r>
              <w:rPr>
                <w:rFonts w:ascii="Arial" w:cs="Arial" w:eastAsia="Arial" w:hAnsi="Arial"/>
                <w:sz w:val="18"/>
                <w:szCs w:val="18"/>
                <w:color w:val="auto"/>
              </w:rPr>
              <w:t>Common Shares (1,059 shares)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8/5/2015</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4,633</w:t>
            </w:r>
          </w:p>
        </w:tc>
        <w:tc>
          <w:tcPr>
            <w:tcW w:w="22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7,529</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2920" w:type="dxa"/>
            <w:vAlign w:val="bottom"/>
            <w:gridSpan w:val="2"/>
          </w:tcPr>
          <w:p>
            <w:pPr>
              <w:ind w:left="260"/>
              <w:spacing w:after="0"/>
              <w:rPr>
                <w:sz w:val="20"/>
                <w:szCs w:val="20"/>
                <w:color w:val="auto"/>
              </w:rPr>
            </w:pPr>
            <w:r>
              <w:rPr>
                <w:rFonts w:ascii="Arial" w:cs="Arial" w:eastAsia="Arial" w:hAnsi="Arial"/>
                <w:sz w:val="18"/>
                <w:szCs w:val="18"/>
                <w:b w:val="1"/>
                <w:bCs w:val="1"/>
                <w:color w:val="auto"/>
              </w:rPr>
              <w:t>Healthcare</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Global Healthcare Exchange,</w:t>
            </w:r>
          </w:p>
        </w:tc>
        <w:tc>
          <w:tcPr>
            <w:tcW w:w="2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LLC</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4"/>
              </w:rPr>
              <w:t>Common Shares Class A (358 shares)</w:t>
            </w: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3/11/2014</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w w:val="94"/>
              </w:rPr>
              <w:t>Common Shares Class B (196 shares)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3/11/2014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567</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(4)</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Warrants</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9/30/2014</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4"/>
              </w:rPr>
              <w:t>(EUR 845)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920" w:type="dxa"/>
            <w:vAlign w:val="bottom"/>
            <w:gridSpan w:val="2"/>
          </w:tcPr>
          <w:p>
            <w:pPr>
              <w:spacing w:after="0"/>
              <w:rPr>
                <w:sz w:val="20"/>
                <w:szCs w:val="20"/>
                <w:color w:val="auto"/>
              </w:rPr>
            </w:pPr>
            <w:r>
              <w:rPr>
                <w:rFonts w:ascii="Arial" w:cs="Arial" w:eastAsia="Arial" w:hAnsi="Arial"/>
                <w:sz w:val="18"/>
                <w:szCs w:val="18"/>
                <w:color w:val="auto"/>
              </w:rPr>
              <w:t>SRS Parent Corp.</w:t>
            </w:r>
          </w:p>
        </w:tc>
        <w:tc>
          <w:tcPr>
            <w:tcW w:w="2940" w:type="dxa"/>
            <w:vAlign w:val="bottom"/>
            <w:gridSpan w:val="2"/>
          </w:tcPr>
          <w:p>
            <w:pPr>
              <w:spacing w:after="0"/>
              <w:rPr>
                <w:sz w:val="20"/>
                <w:szCs w:val="20"/>
                <w:color w:val="auto"/>
              </w:rPr>
            </w:pPr>
            <w:r>
              <w:rPr>
                <w:rFonts w:ascii="Arial" w:cs="Arial" w:eastAsia="Arial" w:hAnsi="Arial"/>
                <w:sz w:val="18"/>
                <w:szCs w:val="18"/>
                <w:color w:val="auto"/>
              </w:rPr>
              <w:t>Common Shares Class A</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(1,980 shares)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12/28/2012</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Common Shares Class B (2,953,020</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w:t>
            </w: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12/28/2012</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3,241</w:t>
            </w:r>
          </w:p>
        </w:tc>
        <w:tc>
          <w:tcPr>
            <w:tcW w:w="22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2,873</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28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(7)</w:t>
            </w:r>
          </w:p>
        </w:tc>
        <w:tc>
          <w:tcPr>
            <w:tcW w:w="2940" w:type="dxa"/>
            <w:vAlign w:val="bottom"/>
            <w:gridSpan w:val="2"/>
          </w:tcPr>
          <w:p>
            <w:pPr>
              <w:spacing w:after="0"/>
              <w:rPr>
                <w:sz w:val="20"/>
                <w:szCs w:val="20"/>
                <w:color w:val="auto"/>
              </w:rPr>
            </w:pPr>
            <w:r>
              <w:rPr>
                <w:rFonts w:ascii="Arial" w:cs="Arial" w:eastAsia="Arial" w:hAnsi="Arial"/>
                <w:sz w:val="18"/>
                <w:szCs w:val="18"/>
                <w:color w:val="auto"/>
              </w:rPr>
              <w:t>Class A Units (5,000,000 units)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9/29/2015</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3,897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Class C-1 Units (8,800,000 units)</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3,997</w:t>
            </w:r>
          </w:p>
        </w:tc>
        <w:tc>
          <w:tcPr>
            <w:tcW w:w="22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5"/>
        </w:trPr>
        <w:tc>
          <w:tcPr>
            <w:tcW w:w="2920" w:type="dxa"/>
            <w:vAlign w:val="bottom"/>
            <w:tcBorders>
              <w:top w:val="single" w:sz="8" w:color="CFF0FC"/>
            </w:tcBorders>
            <w:gridSpan w:val="2"/>
            <w:shd w:val="clear" w:color="auto" w:fill="CFF0FC"/>
          </w:tcPr>
          <w:p>
            <w:pPr>
              <w:ind w:left="260"/>
              <w:spacing w:after="0" w:line="205" w:lineRule="exact"/>
              <w:rPr>
                <w:sz w:val="20"/>
                <w:szCs w:val="20"/>
                <w:color w:val="auto"/>
              </w:rPr>
            </w:pPr>
            <w:r>
              <w:rPr>
                <w:rFonts w:ascii="Arial" w:cs="Arial" w:eastAsia="Arial" w:hAnsi="Arial"/>
                <w:sz w:val="18"/>
                <w:szCs w:val="18"/>
                <w:b w:val="1"/>
                <w:bCs w:val="1"/>
                <w:color w:val="auto"/>
              </w:rPr>
              <w:t>Oil, gas and consumable</w:t>
            </w:r>
          </w:p>
        </w:tc>
        <w:tc>
          <w:tcPr>
            <w:tcW w:w="28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gridSpan w:val="2"/>
            <w:shd w:val="clear" w:color="auto" w:fill="CFF0FC"/>
          </w:tcPr>
          <w:p>
            <w:pPr>
              <w:ind w:left="380"/>
              <w:spacing w:after="0"/>
              <w:rPr>
                <w:sz w:val="20"/>
                <w:szCs w:val="20"/>
                <w:color w:val="auto"/>
              </w:rPr>
            </w:pPr>
            <w:r>
              <w:rPr>
                <w:rFonts w:ascii="Arial" w:cs="Arial" w:eastAsia="Arial" w:hAnsi="Arial"/>
                <w:sz w:val="18"/>
                <w:szCs w:val="18"/>
                <w:b w:val="1"/>
                <w:bCs w:val="1"/>
                <w:color w:val="auto"/>
              </w:rPr>
              <w:t>fuels</w:t>
            </w:r>
          </w:p>
        </w:tc>
        <w:tc>
          <w:tcPr>
            <w:tcW w:w="2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(7)(10)</w:t>
            </w:r>
          </w:p>
        </w:tc>
        <w:tc>
          <w:tcPr>
            <w:tcW w:w="2940" w:type="dxa"/>
            <w:vAlign w:val="bottom"/>
            <w:gridSpan w:val="2"/>
          </w:tcPr>
          <w:p>
            <w:pPr>
              <w:spacing w:after="0"/>
              <w:rPr>
                <w:sz w:val="20"/>
                <w:szCs w:val="20"/>
                <w:color w:val="auto"/>
              </w:rPr>
            </w:pPr>
            <w:r>
              <w:rPr>
                <w:rFonts w:ascii="Arial" w:cs="Arial" w:eastAsia="Arial" w:hAnsi="Arial"/>
                <w:sz w:val="18"/>
                <w:szCs w:val="18"/>
                <w:color w:val="auto"/>
              </w:rPr>
              <w:t>Class A Member Units (933 units)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6/4/2014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8,874</w:t>
            </w:r>
          </w:p>
        </w:tc>
        <w:tc>
          <w:tcPr>
            <w:tcW w:w="2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Other</w:t>
            </w:r>
          </w:p>
        </w:tc>
        <w:tc>
          <w:tcPr>
            <w:tcW w:w="2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 xml:space="preserve">Symphony </w:t>
            </w:r>
            <w:r>
              <w:rPr>
                <w:rFonts w:ascii="Arial" w:cs="Arial" w:eastAsia="Arial" w:hAnsi="Arial"/>
                <w:sz w:val="15"/>
                <w:szCs w:val="15"/>
                <w:color w:val="auto"/>
              </w:rPr>
              <w:t>(4)(6)</w:t>
            </w:r>
          </w:p>
        </w:tc>
        <w:tc>
          <w:tcPr>
            <w:tcW w:w="2940" w:type="dxa"/>
            <w:vAlign w:val="bottom"/>
            <w:gridSpan w:val="2"/>
          </w:tcPr>
          <w:p>
            <w:pPr>
              <w:spacing w:after="0"/>
              <w:rPr>
                <w:sz w:val="20"/>
                <w:szCs w:val="20"/>
                <w:color w:val="auto"/>
              </w:rPr>
            </w:pPr>
            <w:r>
              <w:rPr>
                <w:rFonts w:ascii="Arial" w:cs="Arial" w:eastAsia="Arial" w:hAnsi="Arial"/>
                <w:sz w:val="18"/>
                <w:szCs w:val="18"/>
                <w:color w:val="auto"/>
              </w:rPr>
              <w:t>Structured Product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6.77%</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11/17/2014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5,653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5,986</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920" w:type="dxa"/>
            <w:vAlign w:val="bottom"/>
            <w:gridSpan w:val="2"/>
          </w:tcPr>
          <w:p>
            <w:pPr>
              <w:ind w:left="260"/>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ind w:left="380"/>
              <w:spacing w:after="0"/>
              <w:rPr>
                <w:sz w:val="20"/>
                <w:szCs w:val="20"/>
                <w:color w:val="auto"/>
              </w:rPr>
            </w:pPr>
            <w:r>
              <w:rPr>
                <w:rFonts w:ascii="Arial" w:cs="Arial" w:eastAsia="Arial" w:hAnsi="Arial"/>
                <w:sz w:val="18"/>
                <w:szCs w:val="18"/>
                <w:b w:val="1"/>
                <w:bCs w:val="1"/>
                <w:color w:val="auto"/>
              </w:rPr>
              <w:t>Investments</w:t>
            </w: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30,226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20,256</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Investments</w:t>
            </w:r>
          </w:p>
        </w:tc>
        <w:tc>
          <w:tcPr>
            <w:tcW w:w="28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$ 1,587,073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$ 1,580,278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164.6</w:t>
            </w:r>
          </w:p>
        </w:tc>
        <w:tc>
          <w:tcPr>
            <w:tcW w:w="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hanging="512"/>
        <w:spacing w:after="0" w:line="25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8"/>
          <w:szCs w:val="18"/>
          <w:color w:val="auto"/>
        </w:rPr>
      </w:pPr>
    </w:p>
    <w:p>
      <w:pPr>
        <w:jc w:val="both"/>
        <w:ind w:left="520" w:right="40" w:hanging="512"/>
        <w:spacing w:after="0" w:line="25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w:t>
      </w:r>
    </w:p>
    <w:p>
      <w:pPr>
        <w:spacing w:after="0" w:line="1" w:lineRule="exact"/>
        <w:rPr>
          <w:rFonts w:ascii="Arial" w:cs="Arial" w:eastAsia="Arial" w:hAnsi="Arial"/>
          <w:sz w:val="18"/>
          <w:szCs w:val="18"/>
          <w:color w:val="auto"/>
        </w:rPr>
      </w:pPr>
    </w:p>
    <w:p>
      <w:pPr>
        <w:ind w:left="520" w:hanging="512"/>
        <w:spacing w:after="0" w:line="25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syndicate to the extent a loan has been allocated to “first out” and “last out” tranches, whereby the “first out” tranche will have priority as to the “last out” tranche with respect to payments of principal, interest and any amounts due thereunder.</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9" w:name="page10"/>
    <w:bookmarkEnd w:id="9"/>
    <w:p>
      <w:pPr>
        <w:ind w:left="520" w:right="60" w:hanging="512"/>
        <w:spacing w:after="0" w:line="279"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2017 in which the issuer was an Affiliated Person of and was deemed to Control a portfolio company are as follows: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three months ended March 31, 2017</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76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76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Company</w:t>
            </w: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Additions (a)</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Gain/(Loss)</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Gain/(Losses)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57"/>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Mississippi Resources, LLC</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33,885</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3,431</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ind w:left="320"/>
              <w:spacing w:after="0"/>
              <w:rPr>
                <w:sz w:val="20"/>
                <w:szCs w:val="20"/>
                <w:color w:val="auto"/>
              </w:rPr>
            </w:pPr>
            <w:r>
              <w:rPr>
                <w:rFonts w:ascii="Arial" w:cs="Arial" w:eastAsia="Arial" w:hAnsi="Arial"/>
                <w:sz w:val="18"/>
                <w:szCs w:val="18"/>
                <w:color w:val="auto"/>
                <w:w w:val="80"/>
              </w:rPr>
              <w:t>(5,096)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30,574</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IRGSE Holding Corp.</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31,974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(2,653)</w:t>
            </w:r>
          </w:p>
        </w:tc>
        <w:tc>
          <w:tcPr>
            <w:tcW w:w="12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31,539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65,859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5,649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(1,646</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FF0FC"/>
          </w:tcPr>
          <w:p>
            <w:pPr>
              <w:ind w:left="320"/>
              <w:spacing w:after="0"/>
              <w:rPr>
                <w:sz w:val="20"/>
                <w:szCs w:val="20"/>
                <w:color w:val="auto"/>
              </w:rPr>
            </w:pPr>
            <w:r>
              <w:rPr>
                <w:rFonts w:ascii="Arial" w:cs="Arial" w:eastAsia="Arial" w:hAnsi="Arial"/>
                <w:sz w:val="18"/>
                <w:szCs w:val="18"/>
                <w:b w:val="1"/>
                <w:bCs w:val="1"/>
                <w:color w:val="auto"/>
                <w:w w:val="90"/>
              </w:rPr>
              <w:t>(7,749</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62,113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780" w:hanging="512"/>
        <w:spacing w:after="0" w:line="258"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jc w:val="both"/>
        <w:ind w:left="520" w:right="80" w:hanging="512"/>
        <w:spacing w:after="0" w:line="255"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2"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March 31, 2017, the tax cost of the Company’s investments approximates their amortized cost.</w:t>
      </w:r>
    </w:p>
    <w:p>
      <w:pPr>
        <w:spacing w:after="0" w:line="23" w:lineRule="exact"/>
        <w:rPr>
          <w:rFonts w:ascii="Arial" w:cs="Arial" w:eastAsia="Arial" w:hAnsi="Arial"/>
          <w:sz w:val="18"/>
          <w:szCs w:val="18"/>
          <w:color w:val="auto"/>
        </w:rPr>
      </w:pPr>
    </w:p>
    <w:p>
      <w:pPr>
        <w:ind w:left="520" w:right="220" w:hanging="512"/>
        <w:spacing w:after="0" w:line="250"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Notes contain a fixed rate structure. The Company entered into an interest rate swap agreement to swap to a floating rate. Refer to Note 5 for further information related to the Company’s interest rate swaps on investments.</w:t>
      </w: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on non-accrual as of March 31,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December 31, 2016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Acquisition</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20" w:type="dxa"/>
            <w:vAlign w:val="bottom"/>
          </w:tcPr>
          <w:p>
            <w:pPr>
              <w:spacing w:after="0"/>
              <w:rPr>
                <w:sz w:val="16"/>
                <w:szCs w:val="16"/>
                <w:color w:val="auto"/>
              </w:rPr>
            </w:pPr>
          </w:p>
        </w:tc>
      </w:tr>
      <w:tr>
        <w:trPr>
          <w:trHeight w:val="228"/>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940" w:type="dxa"/>
            <w:vAlign w:val="bottom"/>
            <w:gridSpan w:val="2"/>
          </w:tcPr>
          <w:p>
            <w:pPr>
              <w:ind w:left="1060"/>
              <w:spacing w:after="0"/>
              <w:rPr>
                <w:sz w:val="20"/>
                <w:szCs w:val="20"/>
                <w:color w:val="auto"/>
              </w:rPr>
            </w:pPr>
            <w:r>
              <w:rPr>
                <w:rFonts w:ascii="Arial" w:cs="Arial" w:eastAsia="Arial" w:hAnsi="Arial"/>
                <w:sz w:val="14"/>
                <w:szCs w:val="14"/>
                <w:b w:val="1"/>
                <w:bCs w:val="1"/>
                <w:color w:val="auto"/>
              </w:rPr>
              <w:t>Investment</w:t>
            </w: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20" w:type="dxa"/>
            <w:vAlign w:val="bottom"/>
          </w:tcPr>
          <w:p>
            <w:pPr>
              <w:spacing w:after="0"/>
              <w:rPr>
                <w:sz w:val="19"/>
                <w:szCs w:val="19"/>
                <w:color w:val="auto"/>
              </w:rPr>
            </w:pPr>
          </w:p>
        </w:tc>
      </w:tr>
      <w:tr>
        <w:trPr>
          <w:trHeight w:val="223"/>
        </w:trPr>
        <w:tc>
          <w:tcPr>
            <w:tcW w:w="2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20" w:type="dxa"/>
            <w:vAlign w:val="bottom"/>
            <w:tcBorders>
              <w:top w:val="single" w:sz="8" w:color="CFF0FC"/>
            </w:tcBorders>
            <w:shd w:val="clear" w:color="auto" w:fill="CFF0FC"/>
          </w:tcPr>
          <w:p>
            <w:pPr>
              <w:spacing w:after="0"/>
              <w:rPr>
                <w:sz w:val="19"/>
                <w:szCs w:val="19"/>
                <w:color w:val="auto"/>
              </w:rPr>
            </w:pPr>
          </w:p>
        </w:tc>
        <w:tc>
          <w:tcPr>
            <w:tcW w:w="2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Automotive</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Heartland Automotive</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($29,233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Holdings, LLC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6/2017)</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9.75%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8/28/2012</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29,136</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29,159</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r>
      <w:tr>
        <w:trPr>
          <w:trHeight w:val="215"/>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revolving loan</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($1,417 par, due 6/2017)</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10.75%</w:t>
            </w:r>
          </w:p>
        </w:tc>
        <w:tc>
          <w:tcPr>
            <w:tcW w:w="920" w:type="dxa"/>
            <w:vAlign w:val="bottom"/>
          </w:tcPr>
          <w:p>
            <w:pPr>
              <w:jc w:val="right"/>
              <w:spacing w:after="0"/>
              <w:rPr>
                <w:sz w:val="20"/>
                <w:szCs w:val="20"/>
                <w:color w:val="auto"/>
              </w:rPr>
            </w:pPr>
            <w:r>
              <w:rPr>
                <w:rFonts w:ascii="Arial" w:cs="Arial" w:eastAsia="Arial" w:hAnsi="Arial"/>
                <w:sz w:val="18"/>
                <w:szCs w:val="18"/>
                <w:color w:val="auto"/>
              </w:rPr>
              <w:t>8/28/2012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1,401</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1,403</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30,537</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30,562</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r>
      <w:tr>
        <w:trPr>
          <w:trHeight w:val="223"/>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Beverage, food and tobacco</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(3)(5)</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($61,542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3/2020)</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3/3/2014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60,698</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57,850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0"/>
                <w:szCs w:val="20"/>
                <w:color w:val="auto"/>
              </w:rPr>
            </w:pPr>
          </w:p>
        </w:tc>
      </w:tr>
      <w:tr>
        <w:trPr>
          <w:trHeight w:val="230"/>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Business services</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5"/>
                <w:szCs w:val="15"/>
                <w:color w:val="auto"/>
              </w:rPr>
              <w:t>(3)(5)</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($54,982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4/2018)</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4/11/2013</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54,366</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56,219</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Bullhorn, Inc. </w:t>
            </w:r>
            <w:r>
              <w:rPr>
                <w:rFonts w:ascii="Arial" w:cs="Arial" w:eastAsia="Arial" w:hAnsi="Arial"/>
                <w:sz w:val="15"/>
                <w:szCs w:val="15"/>
                <w:color w:val="auto"/>
              </w:rPr>
              <w:t>(3)(5)</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($45,000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11/2020)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11/12/2015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44,095</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45,225</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Clarabridge, Inc.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($19,719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4/2019)</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5/20/2015</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19,446</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19,774</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Idera, Inc.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($61,875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4/2021)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6.50%</w:t>
            </w:r>
          </w:p>
        </w:tc>
        <w:tc>
          <w:tcPr>
            <w:tcW w:w="920" w:type="dxa"/>
            <w:vAlign w:val="bottom"/>
          </w:tcPr>
          <w:p>
            <w:pPr>
              <w:jc w:val="right"/>
              <w:spacing w:after="0"/>
              <w:rPr>
                <w:sz w:val="20"/>
                <w:szCs w:val="20"/>
                <w:color w:val="auto"/>
              </w:rPr>
            </w:pPr>
            <w:r>
              <w:rPr>
                <w:rFonts w:ascii="Arial" w:cs="Arial" w:eastAsia="Arial" w:hAnsi="Arial"/>
                <w:sz w:val="18"/>
                <w:szCs w:val="18"/>
                <w:color w:val="auto"/>
              </w:rPr>
              <w:t>10/9/2015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56,817</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61,875</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Leaf US Holdings, Inc. </w:t>
            </w:r>
            <w:r>
              <w:rPr>
                <w:rFonts w:ascii="Arial" w:cs="Arial" w:eastAsia="Arial" w:hAnsi="Arial"/>
                <w:sz w:val="15"/>
                <w:szCs w:val="15"/>
                <w:color w:val="auto"/>
              </w:rPr>
              <w:t>(3)(4)</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($27,090 par, due</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6/2019)</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26,752</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27,163</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Marketo, Inc.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($28,125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8/2021)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920" w:type="dxa"/>
            <w:vAlign w:val="bottom"/>
          </w:tcPr>
          <w:p>
            <w:pPr>
              <w:jc w:val="right"/>
              <w:spacing w:after="0"/>
              <w:rPr>
                <w:sz w:val="20"/>
                <w:szCs w:val="20"/>
                <w:color w:val="auto"/>
              </w:rPr>
            </w:pPr>
            <w:r>
              <w:rPr>
                <w:rFonts w:ascii="Arial" w:cs="Arial" w:eastAsia="Arial" w:hAnsi="Arial"/>
                <w:sz w:val="18"/>
                <w:szCs w:val="18"/>
                <w:color w:val="auto"/>
              </w:rPr>
              <w:t>8/16/2016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27,278</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27,750</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($20,157 par,</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11.00% (incl.</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7/2021)</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3.00% PIK)</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19,690</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20,106</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Qlik Technologies, Inc.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($40,399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8/2022)</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9.25%</w:t>
            </w:r>
          </w:p>
        </w:tc>
        <w:tc>
          <w:tcPr>
            <w:tcW w:w="920" w:type="dxa"/>
            <w:vAlign w:val="bottom"/>
          </w:tcPr>
          <w:p>
            <w:pPr>
              <w:jc w:val="right"/>
              <w:spacing w:after="0"/>
              <w:rPr>
                <w:sz w:val="20"/>
                <w:szCs w:val="20"/>
                <w:color w:val="auto"/>
              </w:rPr>
            </w:pPr>
            <w:r>
              <w:rPr>
                <w:rFonts w:ascii="Arial" w:cs="Arial" w:eastAsia="Arial" w:hAnsi="Arial"/>
                <w:sz w:val="18"/>
                <w:szCs w:val="18"/>
                <w:color w:val="auto"/>
              </w:rPr>
              <w:t>8/22/2016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39,691</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40,096</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SailPoint Technologies, Inc.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($27,500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8/2021)</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26,973</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27,285</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($19,986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12/2019)</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12/30/2014</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19,717</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20,263</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Sovos Compliance, LLC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($29,177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3/2022)</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8.25%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28,621</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29,027</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Tibco Software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w w:val="95"/>
              </w:rPr>
              <w:t>First-lien loan ($247 par, due 12/2020)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6.50%</w:t>
            </w:r>
          </w:p>
        </w:tc>
        <w:tc>
          <w:tcPr>
            <w:tcW w:w="920" w:type="dxa"/>
            <w:vAlign w:val="bottom"/>
          </w:tcPr>
          <w:p>
            <w:pPr>
              <w:jc w:val="right"/>
              <w:spacing w:after="0"/>
              <w:rPr>
                <w:sz w:val="20"/>
                <w:szCs w:val="20"/>
                <w:color w:val="auto"/>
              </w:rPr>
            </w:pPr>
            <w:r>
              <w:rPr>
                <w:rFonts w:ascii="Arial" w:cs="Arial" w:eastAsia="Arial" w:hAnsi="Arial"/>
                <w:sz w:val="18"/>
                <w:szCs w:val="18"/>
                <w:color w:val="auto"/>
              </w:rPr>
              <w:t>1/26/2016</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363,664</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375,031</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19"/>
                <w:szCs w:val="19"/>
                <w:color w:val="auto"/>
              </w:rPr>
            </w:pPr>
          </w:p>
        </w:tc>
      </w:tr>
      <w:tr>
        <w:trPr>
          <w:trHeight w:val="223"/>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Chemicals</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($4,967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4/2018)</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10/31/2016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4,937</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4,942</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r>
      <w:tr>
        <w:trPr>
          <w:trHeight w:val="215"/>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Second-lien loan ($3,341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10/2021)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13.00%</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10/31/2016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3,341</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3,350</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8,278</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8,292</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r>
      <w:tr>
        <w:trPr>
          <w:trHeight w:val="223"/>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Education</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Finalsite Holdings, Inc. </w:t>
            </w:r>
            <w:r>
              <w:rPr>
                <w:rFonts w:ascii="Arial" w:cs="Arial" w:eastAsia="Arial" w:hAnsi="Arial"/>
                <w:sz w:val="15"/>
                <w:szCs w:val="15"/>
                <w:color w:val="auto"/>
              </w:rPr>
              <w:t>(3)(5)</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($45,000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8/2022)</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8.00%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43,830</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44,325</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Frontline Technologies Group</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($54,725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60" w:type="dxa"/>
            <w:vAlign w:val="bottom"/>
            <w:gridSpan w:val="2"/>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(3)(5)</w:t>
            </w:r>
          </w:p>
        </w:tc>
        <w:tc>
          <w:tcPr>
            <w:tcW w:w="2940" w:type="dxa"/>
            <w:vAlign w:val="bottom"/>
            <w:gridSpan w:val="2"/>
          </w:tcPr>
          <w:p>
            <w:pPr>
              <w:spacing w:after="0"/>
              <w:rPr>
                <w:sz w:val="20"/>
                <w:szCs w:val="20"/>
                <w:color w:val="auto"/>
              </w:rPr>
            </w:pPr>
            <w:r>
              <w:rPr>
                <w:rFonts w:ascii="Arial" w:cs="Arial" w:eastAsia="Arial" w:hAnsi="Arial"/>
                <w:sz w:val="18"/>
                <w:szCs w:val="18"/>
                <w:color w:val="auto"/>
              </w:rPr>
              <w:t>due 4/2021)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7.75%</w:t>
            </w:r>
          </w:p>
        </w:tc>
        <w:tc>
          <w:tcPr>
            <w:tcW w:w="920" w:type="dxa"/>
            <w:vAlign w:val="bottom"/>
          </w:tcPr>
          <w:p>
            <w:pPr>
              <w:jc w:val="right"/>
              <w:spacing w:after="0"/>
              <w:rPr>
                <w:sz w:val="20"/>
                <w:szCs w:val="20"/>
                <w:color w:val="auto"/>
              </w:rPr>
            </w:pPr>
            <w:r>
              <w:rPr>
                <w:rFonts w:ascii="Arial" w:cs="Arial" w:eastAsia="Arial" w:hAnsi="Arial"/>
                <w:sz w:val="18"/>
                <w:szCs w:val="18"/>
                <w:color w:val="auto"/>
              </w:rPr>
              <w:t>4/1/2016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53,447</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54,862</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0"/>
                <w:szCs w:val="20"/>
                <w:color w:val="auto"/>
              </w:rPr>
            </w:pPr>
          </w:p>
        </w:tc>
      </w:tr>
      <w:tr>
        <w:trPr>
          <w:trHeight w:val="426"/>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ind w:left="2660"/>
              <w:spacing w:after="0"/>
              <w:rPr>
                <w:sz w:val="20"/>
                <w:szCs w:val="20"/>
                <w:color w:val="auto"/>
              </w:rPr>
            </w:pPr>
            <w:r>
              <w:rPr>
                <w:rFonts w:ascii="Arial" w:cs="Arial" w:eastAsia="Arial" w:hAnsi="Arial"/>
                <w:sz w:val="18"/>
                <w:szCs w:val="18"/>
                <w:color w:val="auto"/>
                <w:w w:val="79"/>
              </w:rPr>
              <w:t>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Acquisition</w:t>
            </w: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20" w:type="dxa"/>
            <w:vAlign w:val="bottom"/>
          </w:tcPr>
          <w:p>
            <w:pPr>
              <w:spacing w:after="0"/>
              <w:rPr>
                <w:sz w:val="16"/>
                <w:szCs w:val="16"/>
                <w:color w:val="auto"/>
              </w:rPr>
            </w:pPr>
          </w:p>
        </w:tc>
      </w:tr>
      <w:tr>
        <w:trPr>
          <w:trHeight w:val="228"/>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20" w:type="dxa"/>
            <w:vAlign w:val="bottom"/>
            <w:tcBorders>
              <w:bottom w:val="single" w:sz="8" w:color="CFF0FC"/>
            </w:tcBorders>
          </w:tcPr>
          <w:p>
            <w:pPr>
              <w:spacing w:after="0"/>
              <w:rPr>
                <w:sz w:val="19"/>
                <w:szCs w:val="19"/>
                <w:color w:val="auto"/>
              </w:rPr>
            </w:pPr>
          </w:p>
        </w:tc>
        <w:tc>
          <w:tcPr>
            <w:tcW w:w="276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Investment</w:t>
            </w:r>
          </w:p>
        </w:tc>
        <w:tc>
          <w:tcPr>
            <w:tcW w:w="10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Interest</w:t>
            </w:r>
          </w:p>
        </w:tc>
        <w:tc>
          <w:tcPr>
            <w:tcW w:w="2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(2)(8)</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Net Assets</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97,277</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99,187</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r>
      <w:tr>
        <w:trPr>
          <w:trHeight w:val="223"/>
        </w:trPr>
        <w:tc>
          <w:tcPr>
            <w:tcW w:w="2740" w:type="dxa"/>
            <w:vAlign w:val="bottom"/>
          </w:tcPr>
          <w:p>
            <w:pPr>
              <w:ind w:left="260"/>
              <w:spacing w:after="0"/>
              <w:rPr>
                <w:sz w:val="20"/>
                <w:szCs w:val="20"/>
                <w:color w:val="auto"/>
              </w:rPr>
            </w:pPr>
            <w:r>
              <w:rPr>
                <w:rFonts w:ascii="Arial" w:cs="Arial" w:eastAsia="Arial" w:hAnsi="Arial"/>
                <w:sz w:val="18"/>
                <w:szCs w:val="18"/>
                <w:b w:val="1"/>
                <w:bCs w:val="1"/>
                <w:color w:val="auto"/>
              </w:rPr>
              <w:t>Electronics</w:t>
            </w:r>
          </w:p>
        </w:tc>
        <w:tc>
          <w:tcPr>
            <w:tcW w:w="1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MyAlarm Center, LLC </w:t>
            </w:r>
            <w:r>
              <w:rPr>
                <w:rFonts w:ascii="Arial" w:cs="Arial" w:eastAsia="Arial" w:hAnsi="Arial"/>
                <w:sz w:val="15"/>
                <w:szCs w:val="15"/>
                <w:color w:val="auto"/>
              </w:rPr>
              <w:t>(3)</w:t>
            </w: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($63,761 par,</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shd w:val="clear" w:color="auto" w:fill="CFF0FC"/>
          </w:tcPr>
          <w:p>
            <w:pPr>
              <w:spacing w:after="0"/>
              <w:rPr>
                <w:sz w:val="20"/>
                <w:szCs w:val="20"/>
                <w:color w:val="auto"/>
              </w:rPr>
            </w:pP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1/2019)</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9.00%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1/9/2014</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63,342</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64,568</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0"/>
                <w:szCs w:val="20"/>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APX Group Inc.</w:t>
            </w: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Senior notes 8.75% ($5,470 par,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due 12/2020)</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8.75%</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12/11/2014</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4,717</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5,511</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0"/>
                <w:szCs w:val="20"/>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7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68,059</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70,079</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r>
      <w:tr>
        <w:trPr>
          <w:trHeight w:val="223"/>
        </w:trPr>
        <w:tc>
          <w:tcPr>
            <w:tcW w:w="2740" w:type="dxa"/>
            <w:vAlign w:val="bottom"/>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1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($22,200 par, due</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shd w:val="clear" w:color="auto" w:fill="CFF0FC"/>
          </w:tcPr>
          <w:p>
            <w:pPr>
              <w:spacing w:after="0"/>
              <w:rPr>
                <w:sz w:val="20"/>
                <w:szCs w:val="20"/>
                <w:color w:val="auto"/>
              </w:rPr>
            </w:pP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8/2020)</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9.00%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8/18/2015</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21,781</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22,261</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First-lien loan ($53,528 par, due</w:t>
            </w: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10.50% (incl.</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8/2020)</w:t>
            </w:r>
          </w:p>
        </w:tc>
        <w:tc>
          <w:tcPr>
            <w:tcW w:w="10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2.38% PIK)</w:t>
            </w:r>
          </w:p>
        </w:tc>
        <w:tc>
          <w:tcPr>
            <w:tcW w:w="900" w:type="dxa"/>
            <w:vAlign w:val="bottom"/>
          </w:tcPr>
          <w:p>
            <w:pPr>
              <w:jc w:val="right"/>
              <w:spacing w:after="0"/>
              <w:rPr>
                <w:sz w:val="20"/>
                <w:szCs w:val="20"/>
                <w:color w:val="auto"/>
              </w:rPr>
            </w:pPr>
            <w:r>
              <w:rPr>
                <w:rFonts w:ascii="Arial" w:cs="Arial" w:eastAsia="Arial" w:hAnsi="Arial"/>
                <w:sz w:val="18"/>
                <w:szCs w:val="18"/>
                <w:color w:val="auto"/>
              </w:rPr>
              <w:t>8/7/2015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52,779</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53,394</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0"/>
                <w:szCs w:val="20"/>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5"/>
                <w:szCs w:val="15"/>
                <w:color w:val="auto"/>
              </w:rPr>
              <w:t>(3)</w:t>
            </w: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($25,782 par,</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shd w:val="clear" w:color="auto" w:fill="CFF0FC"/>
          </w:tcPr>
          <w:p>
            <w:pPr>
              <w:spacing w:after="0"/>
              <w:rPr>
                <w:sz w:val="20"/>
                <w:szCs w:val="20"/>
                <w:color w:val="auto"/>
              </w:rPr>
            </w:pP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9/2018)</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7.75%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9/12/2013</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25,585</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25,981</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First-lien loan ($34,502 par,</w:t>
            </w: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10.00% (incl.</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due 3/2020)</w:t>
            </w:r>
          </w:p>
        </w:tc>
        <w:tc>
          <w:tcPr>
            <w:tcW w:w="10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2.50% PIK)</w:t>
            </w:r>
          </w:p>
        </w:tc>
        <w:tc>
          <w:tcPr>
            <w:tcW w:w="900" w:type="dxa"/>
            <w:vAlign w:val="bottom"/>
          </w:tcPr>
          <w:p>
            <w:pPr>
              <w:jc w:val="right"/>
              <w:spacing w:after="0"/>
              <w:rPr>
                <w:sz w:val="20"/>
                <w:szCs w:val="20"/>
                <w:color w:val="auto"/>
              </w:rPr>
            </w:pPr>
            <w:r>
              <w:rPr>
                <w:rFonts w:ascii="Arial" w:cs="Arial" w:eastAsia="Arial" w:hAnsi="Arial"/>
                <w:sz w:val="18"/>
                <w:szCs w:val="18"/>
                <w:color w:val="auto"/>
              </w:rPr>
              <w:t>3/6/2015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33,979</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34,700</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Smarsh, Inc. </w:t>
            </w:r>
            <w:r>
              <w:rPr>
                <w:rFonts w:ascii="Arial" w:cs="Arial" w:eastAsia="Arial" w:hAnsi="Arial"/>
                <w:sz w:val="15"/>
                <w:szCs w:val="15"/>
                <w:color w:val="auto"/>
              </w:rPr>
              <w:t>(3)(5)</w:t>
            </w: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($30,000 par,</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shd w:val="clear" w:color="auto" w:fill="CFF0FC"/>
          </w:tcPr>
          <w:p>
            <w:pPr>
              <w:spacing w:after="0"/>
              <w:rPr>
                <w:sz w:val="20"/>
                <w:szCs w:val="20"/>
                <w:color w:val="auto"/>
              </w:rPr>
            </w:pP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1/2021)</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8.50%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1/7/2016</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29,343</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163,467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166,636</w:t>
            </w: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9"/>
                <w:szCs w:val="19"/>
                <w:color w:val="auto"/>
              </w:rPr>
            </w:pPr>
          </w:p>
        </w:tc>
      </w:tr>
      <w:tr>
        <w:trPr>
          <w:trHeight w:val="223"/>
        </w:trPr>
        <w:tc>
          <w:tcPr>
            <w:tcW w:w="27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Healthcare</w:t>
            </w:r>
          </w:p>
        </w:tc>
        <w:tc>
          <w:tcPr>
            <w:tcW w:w="120" w:type="dxa"/>
            <w:vAlign w:val="bottom"/>
            <w:tcBorders>
              <w:top w:val="single" w:sz="8" w:color="CFF0FC"/>
            </w:tcBorders>
            <w:shd w:val="clear" w:color="auto" w:fill="CFF0FC"/>
          </w:tcPr>
          <w:p>
            <w:pPr>
              <w:spacing w:after="0"/>
              <w:rPr>
                <w:sz w:val="19"/>
                <w:szCs w:val="19"/>
                <w:color w:val="auto"/>
              </w:rPr>
            </w:pPr>
          </w:p>
        </w:tc>
        <w:tc>
          <w:tcPr>
            <w:tcW w:w="27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(3)(4)</w:t>
            </w: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First-lien loan (EUR 40,573 par,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44,934</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due 9/2019)</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11.50%</w:t>
            </w:r>
          </w:p>
        </w:tc>
        <w:tc>
          <w:tcPr>
            <w:tcW w:w="900" w:type="dxa"/>
            <w:vAlign w:val="bottom"/>
          </w:tcPr>
          <w:p>
            <w:pPr>
              <w:jc w:val="right"/>
              <w:spacing w:after="0"/>
              <w:rPr>
                <w:sz w:val="20"/>
                <w:szCs w:val="20"/>
                <w:color w:val="auto"/>
              </w:rPr>
            </w:pPr>
            <w:r>
              <w:rPr>
                <w:rFonts w:ascii="Arial" w:cs="Arial" w:eastAsia="Arial" w:hAnsi="Arial"/>
                <w:sz w:val="18"/>
                <w:szCs w:val="18"/>
                <w:color w:val="auto"/>
              </w:rPr>
              <w:t>9/30/2014</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47,830</w:t>
            </w:r>
          </w:p>
        </w:tc>
        <w:tc>
          <w:tcPr>
            <w:tcW w:w="2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(EUR 43,158)</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r>
      <w:tr>
        <w:trPr>
          <w:trHeight w:val="215"/>
        </w:trPr>
        <w:tc>
          <w:tcPr>
            <w:tcW w:w="2740" w:type="dxa"/>
            <w:vAlign w:val="bottom"/>
            <w:shd w:val="clear" w:color="auto" w:fill="CFF0FC"/>
          </w:tcPr>
          <w:p>
            <w:pPr>
              <w:spacing w:after="0"/>
              <w:rPr>
                <w:sz w:val="18"/>
                <w:szCs w:val="18"/>
                <w:color w:val="auto"/>
              </w:rPr>
            </w:pP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revolving loan</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shd w:val="clear" w:color="auto" w:fill="CFF0FC"/>
          </w:tcPr>
          <w:p>
            <w:pPr>
              <w:spacing w:after="0"/>
              <w:rPr>
                <w:sz w:val="20"/>
                <w:szCs w:val="20"/>
                <w:color w:val="auto"/>
              </w:rPr>
            </w:pP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(EUR 300 par, due 9/2019)</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11.50%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9/30/2014</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(EUR 500)</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 xml:space="preserve">MatrixCare, Inc. </w:t>
            </w:r>
            <w:r>
              <w:rPr>
                <w:rFonts w:ascii="Arial" w:cs="Arial" w:eastAsia="Arial" w:hAnsi="Arial"/>
                <w:sz w:val="15"/>
                <w:szCs w:val="15"/>
                <w:color w:val="auto"/>
              </w:rPr>
              <w:t>(3)(5)</w:t>
            </w: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First-lien loan ($44,663 par,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due 12/2021)</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6.25%</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12/17/2015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43,959</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45,109</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($47,066 par, due</w:t>
            </w: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9.50% (incl.</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shd w:val="clear" w:color="auto" w:fill="CFF0FC"/>
          </w:tcPr>
          <w:p>
            <w:pPr>
              <w:spacing w:after="0"/>
              <w:rPr>
                <w:sz w:val="20"/>
                <w:szCs w:val="20"/>
                <w:color w:val="auto"/>
              </w:rPr>
            </w:pP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9/2020)</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2.50% PIK)</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9/30/2015</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45,920</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47,184</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 xml:space="preserve">Quantros, Inc. </w:t>
            </w:r>
            <w:r>
              <w:rPr>
                <w:rFonts w:ascii="Arial" w:cs="Arial" w:eastAsia="Arial" w:hAnsi="Arial"/>
                <w:sz w:val="15"/>
                <w:szCs w:val="15"/>
                <w:color w:val="auto"/>
              </w:rPr>
              <w:t>(3)(5)</w:t>
            </w: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First-lien loan ($29,775 par,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due 2/2021)</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8.75%</w:t>
            </w:r>
          </w:p>
        </w:tc>
        <w:tc>
          <w:tcPr>
            <w:tcW w:w="900" w:type="dxa"/>
            <w:vAlign w:val="bottom"/>
          </w:tcPr>
          <w:p>
            <w:pPr>
              <w:jc w:val="right"/>
              <w:spacing w:after="0"/>
              <w:rPr>
                <w:sz w:val="20"/>
                <w:szCs w:val="20"/>
                <w:color w:val="auto"/>
              </w:rPr>
            </w:pPr>
            <w:r>
              <w:rPr>
                <w:rFonts w:ascii="Arial" w:cs="Arial" w:eastAsia="Arial" w:hAnsi="Arial"/>
                <w:sz w:val="18"/>
                <w:szCs w:val="18"/>
                <w:color w:val="auto"/>
              </w:rPr>
              <w:t>2/29/2016</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28,894</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29,849</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5"/>
                <w:szCs w:val="15"/>
                <w:color w:val="auto"/>
              </w:rPr>
              <w:t>(3)</w:t>
            </w: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($30,000 par,</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shd w:val="clear" w:color="auto" w:fill="CFF0FC"/>
          </w:tcPr>
          <w:p>
            <w:pPr>
              <w:spacing w:after="0"/>
              <w:rPr>
                <w:sz w:val="20"/>
                <w:szCs w:val="20"/>
                <w:color w:val="auto"/>
              </w:rPr>
            </w:pP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12/2017)</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8.75%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12/28/2012</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29,820</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r>
      <w:tr>
        <w:trPr>
          <w:trHeight w:val="215"/>
        </w:trPr>
        <w:tc>
          <w:tcPr>
            <w:tcW w:w="2740" w:type="dxa"/>
            <w:vAlign w:val="bottom"/>
          </w:tcPr>
          <w:p>
            <w:pPr>
              <w:spacing w:after="0"/>
              <w:rPr>
                <w:sz w:val="18"/>
                <w:szCs w:val="18"/>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First-lien revolving loan</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($2,000 par, due 12/2017)</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8.75%</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12/28/2012</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1,991</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7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198,667</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199,603</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9"/>
                <w:szCs w:val="19"/>
                <w:color w:val="auto"/>
              </w:rPr>
            </w:pPr>
          </w:p>
        </w:tc>
      </w:tr>
      <w:tr>
        <w:trPr>
          <w:trHeight w:val="223"/>
        </w:trPr>
        <w:tc>
          <w:tcPr>
            <w:tcW w:w="2740" w:type="dxa"/>
            <w:vAlign w:val="bottom"/>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1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CrunchTime Information</w:t>
            </w: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($26,104 par, due</w:t>
            </w: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9.27% (incl.</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Systems, Inc. </w:t>
            </w:r>
            <w:r>
              <w:rPr>
                <w:rFonts w:ascii="Arial" w:cs="Arial" w:eastAsia="Arial" w:hAnsi="Arial"/>
                <w:sz w:val="15"/>
                <w:szCs w:val="15"/>
                <w:color w:val="auto"/>
              </w:rPr>
              <w:t>(3)</w:t>
            </w: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4/2020)</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2.50% PIK)</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4/16/2015</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25,643</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26,104</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(3)(7)</w:t>
            </w: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First-lien loan ($21,311 par, due</w:t>
            </w: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10.50% (incl.</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9/2019)</w:t>
            </w:r>
          </w:p>
        </w:tc>
        <w:tc>
          <w:tcPr>
            <w:tcW w:w="10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5.00% PIK)</w:t>
            </w:r>
          </w:p>
        </w:tc>
        <w:tc>
          <w:tcPr>
            <w:tcW w:w="900" w:type="dxa"/>
            <w:vAlign w:val="bottom"/>
          </w:tcPr>
          <w:p>
            <w:pPr>
              <w:jc w:val="right"/>
              <w:spacing w:after="0"/>
              <w:rPr>
                <w:sz w:val="20"/>
                <w:szCs w:val="20"/>
                <w:color w:val="auto"/>
              </w:rPr>
            </w:pPr>
            <w:r>
              <w:rPr>
                <w:rFonts w:ascii="Arial" w:cs="Arial" w:eastAsia="Arial" w:hAnsi="Arial"/>
                <w:sz w:val="18"/>
                <w:szCs w:val="18"/>
                <w:color w:val="auto"/>
              </w:rPr>
              <w:t>9/29/2015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21,311</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18,807</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r>
      <w:tr>
        <w:trPr>
          <w:trHeight w:val="432"/>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40" w:type="dxa"/>
            <w:vAlign w:val="bottom"/>
            <w:gridSpan w:val="2"/>
          </w:tcPr>
          <w:p>
            <w:pPr>
              <w:jc w:val="right"/>
              <w:ind w:right="972"/>
              <w:spacing w:after="0"/>
              <w:rPr>
                <w:sz w:val="20"/>
                <w:szCs w:val="20"/>
                <w:color w:val="auto"/>
              </w:rPr>
            </w:pPr>
            <w:r>
              <w:rPr>
                <w:rFonts w:ascii="Arial" w:cs="Arial" w:eastAsia="Arial" w:hAnsi="Arial"/>
                <w:sz w:val="18"/>
                <w:szCs w:val="18"/>
                <w:color w:val="auto"/>
                <w:w w:val="79"/>
              </w:rPr>
              <w:t>12</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6"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Initial</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Acquisition</w:t>
            </w:r>
          </w:p>
        </w:tc>
        <w:tc>
          <w:tcPr>
            <w:tcW w:w="840" w:type="dxa"/>
            <w:vAlign w:val="bottom"/>
          </w:tcPr>
          <w:p>
            <w:pPr>
              <w:jc w:val="right"/>
              <w:ind w:right="12"/>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00" w:type="dxa"/>
            <w:vAlign w:val="bottom"/>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20" w:type="dxa"/>
            <w:vAlign w:val="bottom"/>
          </w:tcPr>
          <w:p>
            <w:pPr>
              <w:spacing w:after="0"/>
              <w:rPr>
                <w:sz w:val="19"/>
                <w:szCs w:val="19"/>
                <w:color w:val="auto"/>
              </w:rPr>
            </w:pPr>
          </w:p>
        </w:tc>
        <w:tc>
          <w:tcPr>
            <w:tcW w:w="2680" w:type="dxa"/>
            <w:vAlign w:val="bottom"/>
          </w:tcPr>
          <w:p>
            <w:pPr>
              <w:ind w:left="1020"/>
              <w:spacing w:after="0"/>
              <w:rPr>
                <w:sz w:val="20"/>
                <w:szCs w:val="20"/>
                <w:color w:val="auto"/>
              </w:rPr>
            </w:pPr>
            <w:r>
              <w:rPr>
                <w:rFonts w:ascii="Arial" w:cs="Arial" w:eastAsia="Arial" w:hAnsi="Arial"/>
                <w:sz w:val="14"/>
                <w:szCs w:val="14"/>
                <w:b w:val="1"/>
                <w:bCs w:val="1"/>
                <w:color w:val="auto"/>
              </w:rPr>
              <w:t>Investment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Interest</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840" w:type="dxa"/>
            <w:vAlign w:val="bottom"/>
          </w:tcPr>
          <w:p>
            <w:pPr>
              <w:jc w:val="right"/>
              <w:ind w:right="32"/>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(2)(8)</w:t>
            </w:r>
          </w:p>
        </w:tc>
        <w:tc>
          <w:tcPr>
            <w:tcW w:w="2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1"/>
              </w:rPr>
              <w:t>First-lien revolver loan ($14,755 par,</w:t>
            </w:r>
          </w:p>
        </w:tc>
        <w:tc>
          <w:tcPr>
            <w:tcW w:w="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 (incl.</w:t>
            </w:r>
          </w:p>
        </w:tc>
        <w:tc>
          <w:tcPr>
            <w:tcW w:w="3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9/2019)</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5.00% PIK)</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14,755</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13,021</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5"/>
                <w:szCs w:val="15"/>
                <w:color w:val="auto"/>
              </w:rPr>
              <w:t>(4)</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3"/>
              </w:rPr>
              <w:t>Second-lien bond (GBP 12,875 par,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16,227</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due 10/2018)</w:t>
            </w:r>
          </w:p>
        </w:tc>
        <w:tc>
          <w:tcPr>
            <w:tcW w:w="1560" w:type="dxa"/>
            <w:vAlign w:val="bottom"/>
            <w:gridSpan w:val="4"/>
          </w:tcPr>
          <w:p>
            <w:pPr>
              <w:jc w:val="right"/>
              <w:ind w:right="140"/>
              <w:spacing w:after="0"/>
              <w:rPr>
                <w:sz w:val="20"/>
                <w:szCs w:val="20"/>
                <w:color w:val="auto"/>
              </w:rPr>
            </w:pPr>
            <w:r>
              <w:rPr>
                <w:rFonts w:ascii="Arial" w:cs="Arial" w:eastAsia="Arial" w:hAnsi="Arial"/>
                <w:sz w:val="18"/>
                <w:szCs w:val="18"/>
                <w:color w:val="auto"/>
              </w:rPr>
              <w:t>9.13%</w:t>
            </w:r>
          </w:p>
        </w:tc>
        <w:tc>
          <w:tcPr>
            <w:tcW w:w="900" w:type="dxa"/>
            <w:vAlign w:val="bottom"/>
          </w:tcPr>
          <w:p>
            <w:pPr>
              <w:jc w:val="right"/>
              <w:spacing w:after="0"/>
              <w:rPr>
                <w:sz w:val="20"/>
                <w:szCs w:val="20"/>
                <w:color w:val="auto"/>
              </w:rPr>
            </w:pPr>
            <w:r>
              <w:rPr>
                <w:rFonts w:ascii="Arial" w:cs="Arial" w:eastAsia="Arial" w:hAnsi="Arial"/>
                <w:sz w:val="18"/>
                <w:szCs w:val="18"/>
                <w:color w:val="auto"/>
              </w:rPr>
              <w:t>9/20/2013</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20,618</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90"/>
              </w:rPr>
              <w:t>(GBP 13,133)</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82,327</w:t>
            </w:r>
          </w:p>
        </w:tc>
        <w:tc>
          <w:tcPr>
            <w:tcW w:w="22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74,159</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800" w:type="dxa"/>
            <w:vAlign w:val="bottom"/>
          </w:tcPr>
          <w:p>
            <w:pPr>
              <w:ind w:left="260"/>
              <w:spacing w:after="0" w:line="205" w:lineRule="exact"/>
              <w:rPr>
                <w:sz w:val="20"/>
                <w:szCs w:val="20"/>
                <w:color w:val="auto"/>
              </w:rPr>
            </w:pPr>
            <w:r>
              <w:rPr>
                <w:rFonts w:ascii="Arial" w:cs="Arial" w:eastAsia="Arial" w:hAnsi="Arial"/>
                <w:sz w:val="18"/>
                <w:szCs w:val="18"/>
                <w:b w:val="1"/>
                <w:bCs w:val="1"/>
                <w:color w:val="auto"/>
              </w:rPr>
              <w:t>Human resource support</w:t>
            </w:r>
          </w:p>
        </w:tc>
        <w:tc>
          <w:tcPr>
            <w:tcW w:w="1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tcPr>
          <w:p>
            <w:pPr>
              <w:ind w:left="380"/>
              <w:spacing w:after="0"/>
              <w:rPr>
                <w:sz w:val="20"/>
                <w:szCs w:val="20"/>
                <w:color w:val="auto"/>
              </w:rPr>
            </w:pPr>
            <w:r>
              <w:rPr>
                <w:rFonts w:ascii="Arial" w:cs="Arial" w:eastAsia="Arial" w:hAnsi="Arial"/>
                <w:sz w:val="18"/>
                <w:szCs w:val="18"/>
                <w:b w:val="1"/>
                <w:bCs w:val="1"/>
                <w:color w:val="auto"/>
              </w:rPr>
              <w:t>services</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Saba Software, Inc. </w:t>
            </w:r>
            <w:r>
              <w:rPr>
                <w:rFonts w:ascii="Arial" w:cs="Arial" w:eastAsia="Arial" w:hAnsi="Arial"/>
                <w:sz w:val="15"/>
                <w:szCs w:val="15"/>
                <w:color w:val="auto"/>
              </w:rPr>
              <w:t>(3)(5)</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($54,175 par,</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3/2021)</w:t>
            </w:r>
          </w:p>
        </w:tc>
        <w:tc>
          <w:tcPr>
            <w:tcW w:w="15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9.75%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3/30/2015</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53,680</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54,310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color w:val="auto"/>
              </w:rPr>
              <w:t xml:space="preserve">Skillsoft </w:t>
            </w:r>
            <w:r>
              <w:rPr>
                <w:rFonts w:ascii="Arial" w:cs="Arial" w:eastAsia="Arial" w:hAnsi="Arial"/>
                <w:sz w:val="15"/>
                <w:szCs w:val="15"/>
                <w:color w:val="auto"/>
              </w:rPr>
              <w:t>(3)</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First-lien loan ($9,571 par,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due 4/2021)</w:t>
            </w:r>
          </w:p>
        </w:tc>
        <w:tc>
          <w:tcPr>
            <w:tcW w:w="1560" w:type="dxa"/>
            <w:vAlign w:val="bottom"/>
            <w:gridSpan w:val="4"/>
          </w:tcPr>
          <w:p>
            <w:pPr>
              <w:jc w:val="right"/>
              <w:ind w:right="140"/>
              <w:spacing w:after="0"/>
              <w:rPr>
                <w:sz w:val="20"/>
                <w:szCs w:val="20"/>
                <w:color w:val="auto"/>
              </w:rPr>
            </w:pPr>
            <w:r>
              <w:rPr>
                <w:rFonts w:ascii="Arial" w:cs="Arial" w:eastAsia="Arial" w:hAnsi="Arial"/>
                <w:sz w:val="18"/>
                <w:szCs w:val="18"/>
                <w:color w:val="auto"/>
              </w:rPr>
              <w:t>5.84%</w:t>
            </w:r>
          </w:p>
        </w:tc>
        <w:tc>
          <w:tcPr>
            <w:tcW w:w="900" w:type="dxa"/>
            <w:vAlign w:val="bottom"/>
          </w:tcPr>
          <w:p>
            <w:pPr>
              <w:jc w:val="right"/>
              <w:spacing w:after="0"/>
              <w:rPr>
                <w:sz w:val="20"/>
                <w:szCs w:val="20"/>
                <w:color w:val="auto"/>
              </w:rPr>
            </w:pPr>
            <w:r>
              <w:rPr>
                <w:rFonts w:ascii="Arial" w:cs="Arial" w:eastAsia="Arial" w:hAnsi="Arial"/>
                <w:sz w:val="18"/>
                <w:szCs w:val="18"/>
                <w:color w:val="auto"/>
              </w:rPr>
              <w:t>11/5/2015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7,629</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8,709</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61,309</w:t>
            </w:r>
          </w:p>
        </w:tc>
        <w:tc>
          <w:tcPr>
            <w:tcW w:w="22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63,019</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Pr>
          <w:p>
            <w:pPr>
              <w:ind w:left="260"/>
              <w:spacing w:after="0"/>
              <w:rPr>
                <w:sz w:val="20"/>
                <w:szCs w:val="20"/>
                <w:color w:val="auto"/>
              </w:rPr>
            </w:pPr>
            <w:r>
              <w:rPr>
                <w:rFonts w:ascii="Arial" w:cs="Arial" w:eastAsia="Arial" w:hAnsi="Arial"/>
                <w:sz w:val="18"/>
                <w:szCs w:val="18"/>
                <w:b w:val="1"/>
                <w:bCs w:val="1"/>
                <w:color w:val="auto"/>
              </w:rPr>
              <w:t>Insurance</w:t>
            </w: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($64,978 par,</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10/2020)</w:t>
            </w:r>
          </w:p>
        </w:tc>
        <w:tc>
          <w:tcPr>
            <w:tcW w:w="15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7.25%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10/31/2014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64,423</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65,952</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60"/>
              <w:spacing w:after="0"/>
              <w:rPr>
                <w:sz w:val="20"/>
                <w:szCs w:val="20"/>
                <w:color w:val="auto"/>
              </w:rPr>
            </w:pPr>
            <w:r>
              <w:rPr>
                <w:rFonts w:ascii="Arial" w:cs="Arial" w:eastAsia="Arial" w:hAnsi="Arial"/>
                <w:sz w:val="18"/>
                <w:szCs w:val="18"/>
                <w:b w:val="1"/>
                <w:bCs w:val="1"/>
                <w:color w:val="auto"/>
              </w:rPr>
              <w:t>Internet services</w:t>
            </w: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Highwinds Capital, Inc. </w:t>
            </w:r>
            <w:r>
              <w:rPr>
                <w:rFonts w:ascii="Arial" w:cs="Arial" w:eastAsia="Arial" w:hAnsi="Arial"/>
                <w:sz w:val="15"/>
                <w:szCs w:val="15"/>
                <w:color w:val="auto"/>
              </w:rPr>
              <w:t>(3)</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($47,988 par, due</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7/2018)</w:t>
            </w:r>
          </w:p>
        </w:tc>
        <w:tc>
          <w:tcPr>
            <w:tcW w:w="15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9.00%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3/7/2014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47,679</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48,588</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0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2"/>
              </w:rPr>
              <w:t>First-lien revolving loan ($3,000 par,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due 7/2018)</w:t>
            </w:r>
          </w:p>
        </w:tc>
        <w:tc>
          <w:tcPr>
            <w:tcW w:w="1560" w:type="dxa"/>
            <w:vAlign w:val="bottom"/>
            <w:gridSpan w:val="4"/>
          </w:tcPr>
          <w:p>
            <w:pPr>
              <w:jc w:val="right"/>
              <w:ind w:right="140"/>
              <w:spacing w:after="0"/>
              <w:rPr>
                <w:sz w:val="20"/>
                <w:szCs w:val="20"/>
                <w:color w:val="auto"/>
              </w:rPr>
            </w:pPr>
            <w:r>
              <w:rPr>
                <w:rFonts w:ascii="Arial" w:cs="Arial" w:eastAsia="Arial" w:hAnsi="Arial"/>
                <w:sz w:val="18"/>
                <w:szCs w:val="18"/>
                <w:color w:val="auto"/>
              </w:rPr>
              <w:t>9.00%</w:t>
            </w:r>
          </w:p>
        </w:tc>
        <w:tc>
          <w:tcPr>
            <w:tcW w:w="900" w:type="dxa"/>
            <w:vAlign w:val="bottom"/>
          </w:tcPr>
          <w:p>
            <w:pPr>
              <w:jc w:val="right"/>
              <w:spacing w:after="0"/>
              <w:rPr>
                <w:sz w:val="20"/>
                <w:szCs w:val="20"/>
                <w:color w:val="auto"/>
              </w:rPr>
            </w:pPr>
            <w:r>
              <w:rPr>
                <w:rFonts w:ascii="Arial" w:cs="Arial" w:eastAsia="Arial" w:hAnsi="Arial"/>
                <w:sz w:val="18"/>
                <w:szCs w:val="18"/>
                <w:color w:val="auto"/>
              </w:rPr>
              <w:t>3/7/2014</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2,985</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3,038</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50,664</w:t>
            </w:r>
          </w:p>
        </w:tc>
        <w:tc>
          <w:tcPr>
            <w:tcW w:w="22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51,626</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Pr>
          <w:p>
            <w:pPr>
              <w:ind w:left="260"/>
              <w:spacing w:after="0"/>
              <w:rPr>
                <w:sz w:val="20"/>
                <w:szCs w:val="20"/>
                <w:color w:val="auto"/>
              </w:rPr>
            </w:pPr>
            <w:r>
              <w:rPr>
                <w:rFonts w:ascii="Arial" w:cs="Arial" w:eastAsia="Arial" w:hAnsi="Arial"/>
                <w:sz w:val="18"/>
                <w:szCs w:val="18"/>
                <w:b w:val="1"/>
                <w:bCs w:val="1"/>
                <w:color w:val="auto"/>
              </w:rPr>
              <w:t>Manufacturing</w:t>
            </w: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Power Solutions International,</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8"/>
              </w:rPr>
              <w:t>ABL FILO term loan ($53,550 par,</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6/2021)</w:t>
            </w:r>
          </w:p>
        </w:tc>
        <w:tc>
          <w:tcPr>
            <w:tcW w:w="15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10.75%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47,285</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52,613</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60"/>
              <w:spacing w:after="0"/>
              <w:rPr>
                <w:sz w:val="20"/>
                <w:szCs w:val="20"/>
                <w:color w:val="auto"/>
              </w:rPr>
            </w:pPr>
            <w:r>
              <w:rPr>
                <w:rFonts w:ascii="Arial" w:cs="Arial" w:eastAsia="Arial" w:hAnsi="Arial"/>
                <w:sz w:val="18"/>
                <w:szCs w:val="18"/>
                <w:b w:val="1"/>
                <w:bCs w:val="1"/>
                <w:color w:val="auto"/>
              </w:rPr>
              <w:t>Office products</w:t>
            </w: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5"/>
                <w:szCs w:val="15"/>
                <w:color w:val="auto"/>
              </w:rPr>
              <w:t>(3)</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($36,529 par,</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3/2019)</w:t>
            </w:r>
          </w:p>
        </w:tc>
        <w:tc>
          <w:tcPr>
            <w:tcW w:w="15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7.25%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3/11/2014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36,366</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36,627</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800" w:type="dxa"/>
            <w:vAlign w:val="bottom"/>
          </w:tcPr>
          <w:p>
            <w:pPr>
              <w:ind w:left="260"/>
              <w:spacing w:after="0"/>
              <w:rPr>
                <w:sz w:val="20"/>
                <w:szCs w:val="20"/>
                <w:color w:val="auto"/>
              </w:rPr>
            </w:pPr>
            <w:r>
              <w:rPr>
                <w:rFonts w:ascii="Arial" w:cs="Arial" w:eastAsia="Arial" w:hAnsi="Arial"/>
                <w:sz w:val="18"/>
                <w:szCs w:val="18"/>
                <w:b w:val="1"/>
                <w:bCs w:val="1"/>
                <w:color w:val="auto"/>
              </w:rPr>
              <w:t>Oil, gas and consumable</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tcPr>
          <w:p>
            <w:pPr>
              <w:ind w:left="380"/>
              <w:spacing w:after="0"/>
              <w:rPr>
                <w:sz w:val="20"/>
                <w:szCs w:val="20"/>
                <w:color w:val="auto"/>
              </w:rPr>
            </w:pPr>
            <w:r>
              <w:rPr>
                <w:rFonts w:ascii="Arial" w:cs="Arial" w:eastAsia="Arial" w:hAnsi="Arial"/>
                <w:sz w:val="18"/>
                <w:szCs w:val="18"/>
                <w:b w:val="1"/>
                <w:bCs w:val="1"/>
                <w:color w:val="auto"/>
              </w:rPr>
              <w:t>fuels</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Key Energy Services </w:t>
            </w:r>
            <w:r>
              <w:rPr>
                <w:rFonts w:ascii="Arial" w:cs="Arial" w:eastAsia="Arial" w:hAnsi="Arial"/>
                <w:sz w:val="15"/>
                <w:szCs w:val="15"/>
                <w:color w:val="auto"/>
              </w:rPr>
              <w:t>(3)</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($10,771 par,</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12/2021)</w:t>
            </w:r>
          </w:p>
        </w:tc>
        <w:tc>
          <w:tcPr>
            <w:tcW w:w="15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11.25%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5/27/2015</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10,717</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(3)(7)</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First-lien loan ($51,537 par,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13.00% (incl.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due 6/2018)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1.50% PIK)</w:t>
            </w:r>
          </w:p>
        </w:tc>
        <w:tc>
          <w:tcPr>
            <w:tcW w:w="900" w:type="dxa"/>
            <w:vAlign w:val="bottom"/>
          </w:tcPr>
          <w:p>
            <w:pPr>
              <w:jc w:val="right"/>
              <w:spacing w:after="0"/>
              <w:rPr>
                <w:sz w:val="20"/>
                <w:szCs w:val="20"/>
                <w:color w:val="auto"/>
              </w:rPr>
            </w:pPr>
            <w:r>
              <w:rPr>
                <w:rFonts w:ascii="Arial" w:cs="Arial" w:eastAsia="Arial" w:hAnsi="Arial"/>
                <w:sz w:val="18"/>
                <w:szCs w:val="18"/>
                <w:color w:val="auto"/>
              </w:rPr>
              <w:t>6/4/2014</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51,078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33,885</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61,532</w:t>
            </w:r>
          </w:p>
        </w:tc>
        <w:tc>
          <w:tcPr>
            <w:tcW w:w="22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44,602</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Pr>
          <w:p>
            <w:pPr>
              <w:ind w:left="260"/>
              <w:spacing w:after="0"/>
              <w:rPr>
                <w:sz w:val="20"/>
                <w:szCs w:val="20"/>
                <w:color w:val="auto"/>
              </w:rPr>
            </w:pPr>
            <w:r>
              <w:rPr>
                <w:rFonts w:ascii="Arial" w:cs="Arial" w:eastAsia="Arial" w:hAnsi="Arial"/>
                <w:sz w:val="18"/>
                <w:szCs w:val="18"/>
                <w:b w:val="1"/>
                <w:bCs w:val="1"/>
                <w:color w:val="auto"/>
              </w:rPr>
              <w:t>Pharmaceuticals</w:t>
            </w: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(4)(5)(9)</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Secured note ($74,950 par, due</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10/2020)</w:t>
            </w:r>
          </w:p>
        </w:tc>
        <w:tc>
          <w:tcPr>
            <w:tcW w:w="15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7.75%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10/5/2015</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74,184</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74,575</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800" w:type="dxa"/>
            <w:vAlign w:val="bottom"/>
          </w:tcPr>
          <w:p>
            <w:pPr>
              <w:ind w:left="260"/>
              <w:spacing w:after="0"/>
              <w:rPr>
                <w:sz w:val="20"/>
                <w:szCs w:val="20"/>
                <w:color w:val="auto"/>
              </w:rPr>
            </w:pPr>
            <w:r>
              <w:rPr>
                <w:rFonts w:ascii="Arial" w:cs="Arial" w:eastAsia="Arial" w:hAnsi="Arial"/>
                <w:sz w:val="18"/>
                <w:szCs w:val="18"/>
                <w:b w:val="1"/>
                <w:bCs w:val="1"/>
                <w:color w:val="auto"/>
              </w:rPr>
              <w:t>Retail and consumer</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tcPr>
          <w:p>
            <w:pPr>
              <w:ind w:left="380"/>
              <w:spacing w:after="0"/>
              <w:rPr>
                <w:sz w:val="20"/>
                <w:szCs w:val="20"/>
                <w:color w:val="auto"/>
              </w:rPr>
            </w:pPr>
            <w:r>
              <w:rPr>
                <w:rFonts w:ascii="Arial" w:cs="Arial" w:eastAsia="Arial" w:hAnsi="Arial"/>
                <w:sz w:val="18"/>
                <w:szCs w:val="18"/>
                <w:b w:val="1"/>
                <w:bCs w:val="1"/>
                <w:color w:val="auto"/>
              </w:rPr>
              <w:t>products</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American Achievement</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($23,918 par, due</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9/2020)</w:t>
            </w:r>
          </w:p>
        </w:tc>
        <w:tc>
          <w:tcPr>
            <w:tcW w:w="15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8.25%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9/30/2015</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23,652</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23,858</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color w:val="auto"/>
              </w:rPr>
              <w:t>Destination Maternity</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8"/>
              </w:rPr>
              <w:t>ABL FILO term loan ($17,371 par,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due 3/2021)</w:t>
            </w:r>
          </w:p>
        </w:tc>
        <w:tc>
          <w:tcPr>
            <w:tcW w:w="1560" w:type="dxa"/>
            <w:vAlign w:val="bottom"/>
            <w:gridSpan w:val="4"/>
          </w:tcPr>
          <w:p>
            <w:pPr>
              <w:jc w:val="right"/>
              <w:ind w:right="140"/>
              <w:spacing w:after="0"/>
              <w:rPr>
                <w:sz w:val="20"/>
                <w:szCs w:val="20"/>
                <w:color w:val="auto"/>
              </w:rPr>
            </w:pPr>
            <w:r>
              <w:rPr>
                <w:rFonts w:ascii="Arial" w:cs="Arial" w:eastAsia="Arial" w:hAnsi="Arial"/>
                <w:sz w:val="18"/>
                <w:szCs w:val="18"/>
                <w:color w:val="auto"/>
              </w:rPr>
              <w:t>8.50%</w:t>
            </w:r>
          </w:p>
        </w:tc>
        <w:tc>
          <w:tcPr>
            <w:tcW w:w="900" w:type="dxa"/>
            <w:vAlign w:val="bottom"/>
          </w:tcPr>
          <w:p>
            <w:pPr>
              <w:jc w:val="right"/>
              <w:spacing w:after="0"/>
              <w:rPr>
                <w:sz w:val="20"/>
                <w:szCs w:val="20"/>
                <w:color w:val="auto"/>
              </w:rPr>
            </w:pPr>
            <w:r>
              <w:rPr>
                <w:rFonts w:ascii="Arial" w:cs="Arial" w:eastAsia="Arial" w:hAnsi="Arial"/>
                <w:sz w:val="18"/>
                <w:szCs w:val="18"/>
                <w:color w:val="auto"/>
              </w:rPr>
              <w:t>3/25/2016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17,013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17,328</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Payless Inc. </w:t>
            </w:r>
            <w:r>
              <w:rPr>
                <w:rFonts w:ascii="Arial" w:cs="Arial" w:eastAsia="Arial" w:hAnsi="Arial"/>
                <w:sz w:val="15"/>
                <w:szCs w:val="15"/>
                <w:color w:val="auto"/>
              </w:rPr>
              <w:t>(3)</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8"/>
              </w:rPr>
              <w:t>ABL FILO term loan ($50,000 par,</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3/2019)</w:t>
            </w:r>
          </w:p>
        </w:tc>
        <w:tc>
          <w:tcPr>
            <w:tcW w:w="15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8.00%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48,736</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49,125</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color w:val="auto"/>
              </w:rPr>
              <w:t>Quiksilver - Boardriders SA</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5,170</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2"/>
              </w:rPr>
              <w:t>Bond (EUR 5,699 par, due 12/2020)</w:t>
            </w:r>
          </w:p>
        </w:tc>
        <w:tc>
          <w:tcPr>
            <w:tcW w:w="1560" w:type="dxa"/>
            <w:vAlign w:val="bottom"/>
            <w:gridSpan w:val="4"/>
          </w:tcPr>
          <w:p>
            <w:pPr>
              <w:jc w:val="right"/>
              <w:ind w:right="140"/>
              <w:spacing w:after="0"/>
              <w:rPr>
                <w:sz w:val="20"/>
                <w:szCs w:val="20"/>
                <w:color w:val="auto"/>
              </w:rPr>
            </w:pPr>
            <w:r>
              <w:rPr>
                <w:rFonts w:ascii="Arial" w:cs="Arial" w:eastAsia="Arial" w:hAnsi="Arial"/>
                <w:sz w:val="18"/>
                <w:szCs w:val="18"/>
                <w:color w:val="auto"/>
              </w:rPr>
              <w:t>9.50%</w:t>
            </w:r>
          </w:p>
        </w:tc>
        <w:tc>
          <w:tcPr>
            <w:tcW w:w="900" w:type="dxa"/>
            <w:vAlign w:val="bottom"/>
          </w:tcPr>
          <w:p>
            <w:pPr>
              <w:jc w:val="right"/>
              <w:spacing w:after="0"/>
              <w:rPr>
                <w:sz w:val="20"/>
                <w:szCs w:val="20"/>
                <w:color w:val="auto"/>
              </w:rPr>
            </w:pPr>
            <w:r>
              <w:rPr>
                <w:rFonts w:ascii="Arial" w:cs="Arial" w:eastAsia="Arial" w:hAnsi="Arial"/>
                <w:sz w:val="18"/>
                <w:szCs w:val="18"/>
                <w:color w:val="auto"/>
              </w:rPr>
              <w:t>5/26/2015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6,036</w:t>
            </w:r>
          </w:p>
        </w:tc>
        <w:tc>
          <w:tcPr>
            <w:tcW w:w="22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(EUR 4,901)</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(3)(4)(6)</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($3,642 par,</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6/2018)</w:t>
            </w:r>
          </w:p>
        </w:tc>
        <w:tc>
          <w:tcPr>
            <w:tcW w:w="15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5.50%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3,487</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60" w:type="dxa"/>
            <w:vAlign w:val="bottom"/>
            <w:gridSpan w:val="3"/>
          </w:tcPr>
          <w:p>
            <w:pPr>
              <w:jc w:val="right"/>
              <w:ind w:right="974"/>
              <w:spacing w:after="0"/>
              <w:rPr>
                <w:sz w:val="20"/>
                <w:szCs w:val="20"/>
                <w:color w:val="auto"/>
              </w:rPr>
            </w:pPr>
            <w:r>
              <w:rPr>
                <w:rFonts w:ascii="Arial" w:cs="Arial" w:eastAsia="Arial" w:hAnsi="Arial"/>
                <w:sz w:val="18"/>
                <w:szCs w:val="18"/>
                <w:color w:val="auto"/>
                <w:w w:val="89"/>
              </w:rPr>
              <w:t>13</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6"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Initial</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Acquisition</w:t>
            </w:r>
          </w:p>
        </w:tc>
        <w:tc>
          <w:tcPr>
            <w:tcW w:w="860" w:type="dxa"/>
            <w:vAlign w:val="bottom"/>
          </w:tcPr>
          <w:p>
            <w:pPr>
              <w:jc w:val="right"/>
              <w:ind w:right="11"/>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228"/>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940" w:type="dxa"/>
            <w:vAlign w:val="bottom"/>
            <w:gridSpan w:val="2"/>
          </w:tcPr>
          <w:p>
            <w:pPr>
              <w:ind w:left="1060"/>
              <w:spacing w:after="0"/>
              <w:rPr>
                <w:sz w:val="20"/>
                <w:szCs w:val="20"/>
                <w:color w:val="auto"/>
              </w:rPr>
            </w:pPr>
            <w:r>
              <w:rPr>
                <w:rFonts w:ascii="Arial" w:cs="Arial" w:eastAsia="Arial" w:hAnsi="Arial"/>
                <w:sz w:val="14"/>
                <w:szCs w:val="14"/>
                <w:b w:val="1"/>
                <w:bCs w:val="1"/>
                <w:color w:val="auto"/>
              </w:rPr>
              <w:t>Investment</w:t>
            </w: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Interest</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860" w:type="dxa"/>
            <w:vAlign w:val="bottom"/>
          </w:tcPr>
          <w:p>
            <w:pPr>
              <w:jc w:val="right"/>
              <w:ind w:right="51"/>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(2)(8)</w:t>
            </w:r>
          </w:p>
        </w:tc>
        <w:tc>
          <w:tcPr>
            <w:tcW w:w="22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84"/>
              </w:rPr>
              <w:t>of Net Assets</w:t>
            </w:r>
          </w:p>
        </w:tc>
        <w:tc>
          <w:tcPr>
            <w:tcW w:w="0" w:type="dxa"/>
            <w:vAlign w:val="bottom"/>
          </w:tcPr>
          <w:p>
            <w:pPr>
              <w:spacing w:after="0"/>
              <w:rPr>
                <w:sz w:val="1"/>
                <w:szCs w:val="1"/>
                <w:color w:val="auto"/>
              </w:rPr>
            </w:pPr>
          </w:p>
        </w:tc>
      </w:tr>
      <w:tr>
        <w:trPr>
          <w:trHeight w:val="209"/>
        </w:trPr>
        <w:tc>
          <w:tcPr>
            <w:tcW w:w="2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First-lien ABL loan ($22,727 par,</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7/2020)</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8.50%</w:t>
            </w:r>
          </w:p>
        </w:tc>
        <w:tc>
          <w:tcPr>
            <w:tcW w:w="900" w:type="dxa"/>
            <w:vAlign w:val="bottom"/>
          </w:tcPr>
          <w:p>
            <w:pPr>
              <w:jc w:val="right"/>
              <w:spacing w:after="0"/>
              <w:rPr>
                <w:sz w:val="20"/>
                <w:szCs w:val="20"/>
                <w:color w:val="auto"/>
              </w:rPr>
            </w:pPr>
            <w:r>
              <w:rPr>
                <w:rFonts w:ascii="Arial" w:cs="Arial" w:eastAsia="Arial" w:hAnsi="Arial"/>
                <w:sz w:val="18"/>
                <w:szCs w:val="18"/>
                <w:color w:val="auto"/>
              </w:rPr>
              <w:t>3/18/2016</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22,143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22,727</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5"/>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Toys ‘R’ Us-Delaware, Inc.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ABL FILO term loan ($25,500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10/2019)</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8.25%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10/9/2014</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25,349</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25,118</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146,386</w:t>
            </w:r>
          </w:p>
        </w:tc>
        <w:tc>
          <w:tcPr>
            <w:tcW w:w="22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146,813</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Transportation</w:t>
            </w:r>
          </w:p>
        </w:tc>
        <w:tc>
          <w:tcPr>
            <w:tcW w:w="28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20" w:type="dxa"/>
            <w:vAlign w:val="bottom"/>
            <w:gridSpan w:val="2"/>
          </w:tcPr>
          <w:p>
            <w:pPr>
              <w:spacing w:after="0"/>
              <w:rPr>
                <w:sz w:val="20"/>
                <w:szCs w:val="20"/>
                <w:color w:val="auto"/>
              </w:rPr>
            </w:pPr>
            <w:r>
              <w:rPr>
                <w:rFonts w:ascii="Arial" w:cs="Arial" w:eastAsia="Arial" w:hAnsi="Arial"/>
                <w:sz w:val="18"/>
                <w:szCs w:val="18"/>
                <w:color w:val="auto"/>
              </w:rPr>
              <w:t xml:space="preserve">Carrix, Inc.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($12,878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1/2019)</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4.50%</w:t>
            </w:r>
          </w:p>
        </w:tc>
        <w:tc>
          <w:tcPr>
            <w:tcW w:w="900" w:type="dxa"/>
            <w:vAlign w:val="bottom"/>
          </w:tcPr>
          <w:p>
            <w:pPr>
              <w:jc w:val="right"/>
              <w:spacing w:after="0"/>
              <w:rPr>
                <w:sz w:val="20"/>
                <w:szCs w:val="20"/>
                <w:color w:val="auto"/>
              </w:rPr>
            </w:pPr>
            <w:r>
              <w:rPr>
                <w:rFonts w:ascii="Arial" w:cs="Arial" w:eastAsia="Arial" w:hAnsi="Arial"/>
                <w:sz w:val="18"/>
                <w:szCs w:val="18"/>
                <w:color w:val="auto"/>
              </w:rPr>
              <w:t>3/17/2015</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12,342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12,610</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 Debt Investments</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1,627,465</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1,629,836</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Equity and Other Investments</w:t>
            </w:r>
          </w:p>
        </w:tc>
        <w:tc>
          <w:tcPr>
            <w:tcW w:w="28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260"/>
              <w:spacing w:after="0"/>
              <w:rPr>
                <w:sz w:val="20"/>
                <w:szCs w:val="20"/>
                <w:color w:val="auto"/>
              </w:rPr>
            </w:pPr>
            <w:r>
              <w:rPr>
                <w:rFonts w:ascii="Arial" w:cs="Arial" w:eastAsia="Arial" w:hAnsi="Arial"/>
                <w:sz w:val="18"/>
                <w:szCs w:val="18"/>
                <w:b w:val="1"/>
                <w:bCs w:val="1"/>
                <w:color w:val="auto"/>
              </w:rPr>
              <w:t>Chemicals</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Vertellus Specialties, Inc.</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Units (2,672,990 units)</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10/31/2016</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3,627</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920" w:type="dxa"/>
            <w:vAlign w:val="bottom"/>
            <w:gridSpan w:val="2"/>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AvidXchange, Inc.</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E Preferred Equity (214,132</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w:t>
            </w: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8/7/2015</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4,548</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5"/>
        </w:trPr>
        <w:tc>
          <w:tcPr>
            <w:tcW w:w="2920" w:type="dxa"/>
            <w:vAlign w:val="bottom"/>
            <w:gridSpan w:val="2"/>
          </w:tcPr>
          <w:p>
            <w:pPr>
              <w:spacing w:after="0"/>
              <w:rPr>
                <w:sz w:val="20"/>
                <w:szCs w:val="20"/>
                <w:color w:val="auto"/>
              </w:rPr>
            </w:pPr>
            <w:r>
              <w:rPr>
                <w:rFonts w:ascii="Arial" w:cs="Arial" w:eastAsia="Arial" w:hAnsi="Arial"/>
                <w:sz w:val="18"/>
                <w:szCs w:val="18"/>
                <w:color w:val="auto"/>
              </w:rPr>
              <w:t>Network Merchants,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Non-Voting Preferred Units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(774,099 units)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9/12/2013</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1,550</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TICC Capital Corp. </w:t>
            </w:r>
            <w:r>
              <w:rPr>
                <w:rFonts w:ascii="Arial" w:cs="Arial" w:eastAsia="Arial" w:hAnsi="Arial"/>
                <w:sz w:val="15"/>
                <w:szCs w:val="15"/>
                <w:color w:val="auto"/>
              </w:rPr>
              <w:t>(4)</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Shares (995,419 shares)</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8/5/2015</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6,673</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6,580</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11,299</w:t>
            </w:r>
          </w:p>
        </w:tc>
        <w:tc>
          <w:tcPr>
            <w:tcW w:w="22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12,678</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Healthcare</w:t>
            </w:r>
          </w:p>
        </w:tc>
        <w:tc>
          <w:tcPr>
            <w:tcW w:w="28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20" w:type="dxa"/>
            <w:vAlign w:val="bottom"/>
            <w:gridSpan w:val="2"/>
          </w:tcPr>
          <w:p>
            <w:pPr>
              <w:spacing w:after="0"/>
              <w:rPr>
                <w:sz w:val="20"/>
                <w:szCs w:val="20"/>
                <w:color w:val="auto"/>
              </w:rPr>
            </w:pPr>
            <w:r>
              <w:rPr>
                <w:rFonts w:ascii="Arial" w:cs="Arial" w:eastAsia="Arial" w:hAnsi="Arial"/>
                <w:sz w:val="18"/>
                <w:szCs w:val="18"/>
                <w:color w:val="auto"/>
              </w:rPr>
              <w:t>Global Healthcare Exchange,</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140"/>
              <w:spacing w:after="0"/>
              <w:rPr>
                <w:sz w:val="20"/>
                <w:szCs w:val="20"/>
                <w:color w:val="auto"/>
              </w:rPr>
            </w:pPr>
            <w:r>
              <w:rPr>
                <w:rFonts w:ascii="Arial" w:cs="Arial" w:eastAsia="Arial" w:hAnsi="Arial"/>
                <w:sz w:val="18"/>
                <w:szCs w:val="18"/>
                <w:color w:val="auto"/>
              </w:rPr>
              <w:t>LLC</w:t>
            </w:r>
          </w:p>
        </w:tc>
        <w:tc>
          <w:tcPr>
            <w:tcW w:w="2940" w:type="dxa"/>
            <w:vAlign w:val="bottom"/>
            <w:gridSpan w:val="2"/>
          </w:tcPr>
          <w:p>
            <w:pPr>
              <w:spacing w:after="0"/>
              <w:rPr>
                <w:sz w:val="20"/>
                <w:szCs w:val="20"/>
                <w:color w:val="auto"/>
              </w:rPr>
            </w:pPr>
            <w:r>
              <w:rPr>
                <w:rFonts w:ascii="Arial" w:cs="Arial" w:eastAsia="Arial" w:hAnsi="Arial"/>
                <w:sz w:val="18"/>
                <w:szCs w:val="18"/>
                <w:color w:val="auto"/>
                <w:w w:val="94"/>
              </w:rPr>
              <w:t>Common Shares Class A (358 shares)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3/11/2014</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4"/>
              </w:rPr>
              <w:t>Common Shares Class B (196 shares)</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3/11/2014</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920" w:type="dxa"/>
            <w:vAlign w:val="bottom"/>
            <w:gridSpan w:val="2"/>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(4)</w:t>
            </w:r>
          </w:p>
        </w:tc>
        <w:tc>
          <w:tcPr>
            <w:tcW w:w="294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685</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9/30/2014</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877</w:t>
            </w:r>
          </w:p>
        </w:tc>
        <w:tc>
          <w:tcPr>
            <w:tcW w:w="22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(EUR 648)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SRS Parent Corp.</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Shares Class A</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(1,980 shares)</w:t>
            </w: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12/28/2012</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w w:val="99"/>
              </w:rPr>
              <w:t>Common Shares Class B (2,953,020</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12/28/2012</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3,241</w:t>
            </w:r>
          </w:p>
        </w:tc>
        <w:tc>
          <w:tcPr>
            <w:tcW w:w="22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2,594</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920" w:type="dxa"/>
            <w:vAlign w:val="bottom"/>
            <w:gridSpan w:val="2"/>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(7)</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Class A Units (5,000,000 units)</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3,897</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Class C-1 Units (8,800,000 units)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9/29/2015</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w:t>
            </w:r>
          </w:p>
        </w:tc>
        <w:tc>
          <w:tcPr>
            <w:tcW w:w="22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5"/>
        </w:trPr>
        <w:tc>
          <w:tcPr>
            <w:tcW w:w="2920" w:type="dxa"/>
            <w:vAlign w:val="bottom"/>
            <w:gridSpan w:val="2"/>
          </w:tcPr>
          <w:p>
            <w:pPr>
              <w:ind w:left="260"/>
              <w:spacing w:after="0" w:line="205" w:lineRule="exact"/>
              <w:rPr>
                <w:sz w:val="20"/>
                <w:szCs w:val="20"/>
                <w:color w:val="auto"/>
              </w:rPr>
            </w:pPr>
            <w:r>
              <w:rPr>
                <w:rFonts w:ascii="Arial" w:cs="Arial" w:eastAsia="Arial" w:hAnsi="Arial"/>
                <w:sz w:val="18"/>
                <w:szCs w:val="18"/>
                <w:b w:val="1"/>
                <w:bCs w:val="1"/>
                <w:color w:val="auto"/>
              </w:rPr>
              <w:t>Oil, gas and consumable</w:t>
            </w: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ind w:left="380"/>
              <w:spacing w:after="0"/>
              <w:rPr>
                <w:sz w:val="20"/>
                <w:szCs w:val="20"/>
                <w:color w:val="auto"/>
              </w:rPr>
            </w:pPr>
            <w:r>
              <w:rPr>
                <w:rFonts w:ascii="Arial" w:cs="Arial" w:eastAsia="Arial" w:hAnsi="Arial"/>
                <w:sz w:val="18"/>
                <w:szCs w:val="18"/>
                <w:b w:val="1"/>
                <w:bCs w:val="1"/>
                <w:color w:val="auto"/>
              </w:rPr>
              <w:t>fuels</w:t>
            </w: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(7)</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Class A Member Units (933 units)</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6/4/2014</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8,874</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920" w:type="dxa"/>
            <w:vAlign w:val="bottom"/>
            <w:gridSpan w:val="2"/>
          </w:tcPr>
          <w:p>
            <w:pPr>
              <w:ind w:left="260"/>
              <w:spacing w:after="0"/>
              <w:rPr>
                <w:sz w:val="20"/>
                <w:szCs w:val="20"/>
                <w:color w:val="auto"/>
              </w:rPr>
            </w:pPr>
            <w:r>
              <w:rPr>
                <w:rFonts w:ascii="Arial" w:cs="Arial" w:eastAsia="Arial" w:hAnsi="Arial"/>
                <w:sz w:val="18"/>
                <w:szCs w:val="18"/>
                <w:b w:val="1"/>
                <w:bCs w:val="1"/>
                <w:color w:val="auto"/>
              </w:rPr>
              <w:t>Other</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Oak Hill Credit Partners </w:t>
            </w:r>
            <w:r>
              <w:rPr>
                <w:rFonts w:ascii="Arial" w:cs="Arial" w:eastAsia="Arial" w:hAnsi="Arial"/>
                <w:sz w:val="15"/>
                <w:szCs w:val="15"/>
                <w:color w:val="auto"/>
              </w:rPr>
              <w:t>(4)(6)</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Structured Product</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6.38%</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8/21/2015</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3,345</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3,162</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 xml:space="preserve">Symphony </w:t>
            </w:r>
            <w:r>
              <w:rPr>
                <w:rFonts w:ascii="Arial" w:cs="Arial" w:eastAsia="Arial" w:hAnsi="Arial"/>
                <w:sz w:val="15"/>
                <w:szCs w:val="15"/>
                <w:color w:val="auto"/>
              </w:rPr>
              <w:t>(4)(6)</w:t>
            </w:r>
          </w:p>
        </w:tc>
        <w:tc>
          <w:tcPr>
            <w:tcW w:w="2940" w:type="dxa"/>
            <w:vAlign w:val="bottom"/>
            <w:gridSpan w:val="2"/>
          </w:tcPr>
          <w:p>
            <w:pPr>
              <w:spacing w:after="0"/>
              <w:rPr>
                <w:sz w:val="20"/>
                <w:szCs w:val="20"/>
                <w:color w:val="auto"/>
              </w:rPr>
            </w:pPr>
            <w:r>
              <w:rPr>
                <w:rFonts w:ascii="Arial" w:cs="Arial" w:eastAsia="Arial" w:hAnsi="Arial"/>
                <w:sz w:val="18"/>
                <w:szCs w:val="18"/>
                <w:color w:val="auto"/>
              </w:rPr>
              <w:t>Structured Product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6.63%</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11/17/2014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5,638</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5,360</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8,983</w:t>
            </w:r>
          </w:p>
        </w:tc>
        <w:tc>
          <w:tcPr>
            <w:tcW w:w="22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8,522</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5"/>
        </w:trPr>
        <w:tc>
          <w:tcPr>
            <w:tcW w:w="2920" w:type="dxa"/>
            <w:vAlign w:val="bottom"/>
            <w:gridSpan w:val="2"/>
          </w:tcPr>
          <w:p>
            <w:pPr>
              <w:ind w:left="260"/>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ind w:left="380"/>
              <w:spacing w:after="0"/>
              <w:rPr>
                <w:sz w:val="20"/>
                <w:szCs w:val="20"/>
                <w:color w:val="auto"/>
              </w:rPr>
            </w:pPr>
            <w:r>
              <w:rPr>
                <w:rFonts w:ascii="Arial" w:cs="Arial" w:eastAsia="Arial" w:hAnsi="Arial"/>
                <w:sz w:val="18"/>
                <w:szCs w:val="18"/>
                <w:b w:val="1"/>
                <w:bCs w:val="1"/>
                <w:color w:val="auto"/>
              </w:rPr>
              <w:t>Investments</w:t>
            </w: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40,222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27,567</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Investments</w:t>
            </w:r>
          </w:p>
        </w:tc>
        <w:tc>
          <w:tcPr>
            <w:tcW w:w="28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$ 1,667,687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$ 1,657,403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173.8</w:t>
            </w:r>
          </w:p>
        </w:tc>
        <w:tc>
          <w:tcPr>
            <w:tcW w:w="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4720" w:hanging="5612"/>
        <w:spacing w:after="0" w:line="528" w:lineRule="auto"/>
        <w:tabs>
          <w:tab w:leader="none" w:pos="517"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4" w:name="page15"/>
    <w:bookmarkEnd w:id="14"/>
    <w:p>
      <w:pPr>
        <w:ind w:left="520" w:right="180" w:hanging="512"/>
        <w:spacing w:after="0" w:line="258"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1" w:lineRule="exact"/>
        <w:rPr>
          <w:rFonts w:ascii="Arial" w:cs="Arial" w:eastAsia="Arial" w:hAnsi="Arial"/>
          <w:sz w:val="18"/>
          <w:szCs w:val="18"/>
          <w:color w:val="auto"/>
        </w:rPr>
      </w:pPr>
    </w:p>
    <w:p>
      <w:pPr>
        <w:ind w:left="52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8"/>
          <w:szCs w:val="18"/>
          <w:color w:val="auto"/>
        </w:rPr>
      </w:pPr>
    </w:p>
    <w:p>
      <w:pPr>
        <w:ind w:left="520" w:right="360" w:hanging="512"/>
        <w:spacing w:after="0" w:line="265"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1940 Act. Under the 1940 Act, the Company may not acquire any non-qualifying asset unless, at the time such acquisition is made, qualifying assets represent at least 70% of total assets.</w:t>
      </w:r>
    </w:p>
    <w:p>
      <w:pPr>
        <w:ind w:left="52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syndicate to the extent a loan has been allocated to “first out” and “last out” tranches, whereby the “first out” tranche will have priority as to the “last out” tranche with respect to payments of principal, interest and any amounts due thereunder.</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9" w:lineRule="exact"/>
        <w:rPr>
          <w:rFonts w:ascii="Arial" w:cs="Arial" w:eastAsia="Arial" w:hAnsi="Arial"/>
          <w:sz w:val="18"/>
          <w:szCs w:val="18"/>
          <w:color w:val="auto"/>
        </w:rPr>
      </w:pPr>
    </w:p>
    <w:p>
      <w:pPr>
        <w:ind w:left="520" w:right="60" w:hanging="512"/>
        <w:spacing w:after="0" w:line="273"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2016 in which the issuer was an Affiliated Person of and was deemed to Control a portfolio company are as follows: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year ended December 31, 2016</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79"/>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Net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79"/>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40" w:type="dxa"/>
            <w:vAlign w:val="bottom"/>
          </w:tcPr>
          <w:p>
            <w:pPr>
              <w:spacing w:after="0"/>
              <w:rPr>
                <w:sz w:val="12"/>
                <w:szCs w:val="12"/>
                <w:color w:val="auto"/>
              </w:rPr>
            </w:pPr>
          </w:p>
        </w:tc>
        <w:tc>
          <w:tcPr>
            <w:tcW w:w="78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66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Additions (a)</w:t>
            </w:r>
          </w:p>
        </w:tc>
        <w:tc>
          <w:tcPr>
            <w:tcW w:w="2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60" w:type="dxa"/>
            <w:vAlign w:val="bottom"/>
          </w:tcPr>
          <w:p>
            <w:pPr>
              <w:spacing w:after="0"/>
              <w:rPr>
                <w:sz w:val="14"/>
                <w:szCs w:val="14"/>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Gain/(Loss)</w:t>
            </w:r>
          </w:p>
        </w:tc>
        <w:tc>
          <w:tcPr>
            <w:tcW w:w="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Gain/(Losses)</w:t>
            </w:r>
          </w:p>
        </w:tc>
        <w:tc>
          <w:tcPr>
            <w:tcW w:w="140" w:type="dxa"/>
            <w:vAlign w:val="bottom"/>
          </w:tcPr>
          <w:p>
            <w:pPr>
              <w:spacing w:after="0"/>
              <w:rPr>
                <w:sz w:val="14"/>
                <w:szCs w:val="14"/>
                <w:color w:val="auto"/>
              </w:rPr>
            </w:pPr>
          </w:p>
        </w:tc>
        <w:tc>
          <w:tcPr>
            <w:tcW w:w="78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Mississippi Resources, LLC</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36,682</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5,491</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(7,794)</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33,885</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IRGSE Holding Corp.</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26,816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8,358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31,974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63,498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13,849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(10,994</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65,859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right="780" w:hanging="512"/>
        <w:spacing w:after="0" w:line="274"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520" w:right="140" w:hanging="512"/>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w:t>
      </w:r>
    </w:p>
    <w:p>
      <w:pPr>
        <w:spacing w:after="0" w:line="76"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December 31, 2016, the tax cost of the Company’s investments approximates their amortized cost.</w:t>
      </w:r>
    </w:p>
    <w:p>
      <w:pPr>
        <w:spacing w:after="0" w:line="23" w:lineRule="exact"/>
        <w:rPr>
          <w:rFonts w:ascii="Arial" w:cs="Arial" w:eastAsia="Arial" w:hAnsi="Arial"/>
          <w:sz w:val="18"/>
          <w:szCs w:val="18"/>
          <w:color w:val="auto"/>
        </w:rPr>
      </w:pPr>
    </w:p>
    <w:p>
      <w:pPr>
        <w:ind w:left="520" w:right="220" w:hanging="512"/>
        <w:spacing w:after="0" w:line="261"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Notes contain a fixed rate structure. The Company entered into an interest rate swap agreement to swap to a floating rate. Refer to Note 5 for further information related to the Company’s interest rate swaps on investments.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7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223"/>
        </w:trPr>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8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Net investment income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28,519</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23,192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losses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(2,149)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realized gains</w:t>
            </w:r>
          </w:p>
        </w:tc>
        <w:tc>
          <w:tcPr>
            <w:tcW w:w="8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8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b w:val="1"/>
                <w:bCs w:val="1"/>
                <w:color w:val="auto"/>
              </w:rPr>
              <w:t>Increase (Decrease) in Net Assets Resulting from Capital Share Transactions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Purchases of treasury stock</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(23,337)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(23,098)</w:t>
            </w: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Convertible Senior Notes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Increase (Decrease) in Net Assets Resulting from Capital Share Transactions</w:t>
            </w:r>
          </w:p>
        </w:tc>
        <w:tc>
          <w:tcPr>
            <w:tcW w:w="8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(20,849)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Increase in Net Assets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assets, beginning of period</w:t>
            </w:r>
          </w:p>
        </w:tc>
        <w:tc>
          <w:tcPr>
            <w:tcW w:w="8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952,212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820,741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Assets, End of Period</w:t>
            </w:r>
          </w:p>
        </w:tc>
        <w:tc>
          <w:tcPr>
            <w:tcW w:w="8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959,641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894,671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Undistributed Net Investment Income Included in Net Assets at the</w:t>
            </w: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0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00" w:type="dxa"/>
            <w:vAlign w:val="bottom"/>
          </w:tcPr>
          <w:p>
            <w:pPr>
              <w:ind w:left="140"/>
              <w:spacing w:after="0"/>
              <w:rPr>
                <w:sz w:val="20"/>
                <w:szCs w:val="20"/>
                <w:color w:val="auto"/>
              </w:rPr>
            </w:pPr>
            <w:r>
              <w:rPr>
                <w:rFonts w:ascii="Arial" w:cs="Arial" w:eastAsia="Arial" w:hAnsi="Arial"/>
                <w:sz w:val="18"/>
                <w:szCs w:val="18"/>
                <w:b w:val="1"/>
                <w:bCs w:val="1"/>
                <w:color w:val="auto"/>
              </w:rPr>
              <w:t>End of the Period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48,619</w:t>
            </w:r>
          </w:p>
        </w:tc>
        <w:tc>
          <w:tcPr>
            <w:tcW w:w="1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26,712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6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223"/>
        </w:trPr>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28,278</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17,771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increase in net assets resulting from operations</w:t>
            </w: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net cash provided by (used) in operating activities:</w:t>
            </w: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investments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(3,490)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change in unrealized losses on foreign currency transactions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Net change in unrealized gains on interest rate swaps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on investments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(1,322)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Net realized gains on foreign currency transactions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amortization of discount on investments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(9,425)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(3,078)</w:t>
            </w: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Amortization of debt issuance costs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Accretion of discount on Convertible Senior Notes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Purchases and originations of investments, net</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(163,626)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(137,352)</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investments, net</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Repayments on investments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178,366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Paid-in-kind interest</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(1,880)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receivable</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Interest receivable paid-in-kind</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assets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(9,007)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Management fees payable to affiliate</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Incentive fees payable to affiliate</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Payable to affiliate</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10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100,153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Borrowings on debt</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255,500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95,500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Payments on debt</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(329,608)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(115,012)</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Debt issuance costs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(3,812)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net of offering and underwriting costs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Dividends paid to stockholders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(21,157)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(18,814)</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(99,077)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0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0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color w:val="auto"/>
              </w:rPr>
              <w:t>Supplemental Information:</w:t>
            </w: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paid during the period</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4,224</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Excise taxes paid during the period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2,100</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Dividends declared during the period</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23,337</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Reinvestment of dividends during the period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2,132</w:t>
            </w:r>
          </w:p>
        </w:tc>
        <w:tc>
          <w:tcPr>
            <w:tcW w:w="1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20" w:firstLine="259"/>
        <w:spacing w:after="0" w:line="302" w:lineRule="auto"/>
        <w:rPr>
          <w:sz w:val="20"/>
          <w:szCs w:val="20"/>
          <w:color w:val="auto"/>
        </w:rPr>
      </w:pPr>
      <w:r>
        <w:rPr>
          <w:rFonts w:ascii="Arial" w:cs="Arial" w:eastAsia="Arial" w:hAnsi="Arial"/>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54" w:lineRule="exact"/>
        <w:rPr>
          <w:sz w:val="20"/>
          <w:szCs w:val="20"/>
          <w:color w:val="auto"/>
        </w:rPr>
      </w:pPr>
    </w:p>
    <w:p>
      <w:pPr>
        <w:ind w:firstLine="259"/>
        <w:spacing w:after="0" w:line="302"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2016, which was filed with the Securities and Exchange Commission (“SEC”), on February 22, 2017.</w:t>
      </w:r>
    </w:p>
    <w:p>
      <w:pPr>
        <w:spacing w:after="0" w:line="154" w:lineRule="exact"/>
        <w:rPr>
          <w:sz w:val="20"/>
          <w:szCs w:val="20"/>
          <w:color w:val="auto"/>
        </w:rPr>
      </w:pPr>
    </w:p>
    <w:p>
      <w:pPr>
        <w:ind w:right="740" w:firstLine="259"/>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200" w:firstLine="259"/>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300" w:firstLine="259"/>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jc w:val="both"/>
        <w:ind w:firstLine="259"/>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60" w:firstLine="259"/>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60" w:hanging="255"/>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580" w:hanging="255"/>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80" w:hanging="255"/>
        <w:spacing w:after="0" w:line="264"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225"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March 31, 2017,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appeared reasonable.</w:t>
      </w:r>
    </w:p>
    <w:p>
      <w:pPr>
        <w:spacing w:after="0" w:line="188"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 xml:space="preserve">The Company applies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0" w:lineRule="exact"/>
        <w:rPr>
          <w:sz w:val="20"/>
          <w:szCs w:val="20"/>
          <w:color w:val="auto"/>
        </w:rPr>
      </w:pPr>
    </w:p>
    <w:p>
      <w:pPr>
        <w:ind w:left="520" w:hanging="255"/>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has the ability to access.</w:t>
      </w:r>
    </w:p>
    <w:p>
      <w:pPr>
        <w:spacing w:after="0" w:line="117" w:lineRule="exact"/>
        <w:rPr>
          <w:rFonts w:ascii="Arial" w:cs="Arial" w:eastAsia="Arial" w:hAnsi="Arial"/>
          <w:sz w:val="18"/>
          <w:szCs w:val="18"/>
          <w:color w:val="auto"/>
        </w:rPr>
      </w:pPr>
    </w:p>
    <w:p>
      <w:pPr>
        <w:ind w:left="520" w:right="760" w:hanging="255"/>
        <w:spacing w:after="0" w:line="277"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ind w:firstLine="259"/>
        <w:spacing w:after="0" w:line="290"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66" w:lineRule="exact"/>
        <w:rPr>
          <w:sz w:val="20"/>
          <w:szCs w:val="20"/>
          <w:color w:val="auto"/>
        </w:rPr>
      </w:pPr>
    </w:p>
    <w:p>
      <w:pPr>
        <w:ind w:right="260" w:firstLine="259"/>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ind w:firstLine="259"/>
        <w:spacing w:after="0" w:line="342" w:lineRule="auto"/>
        <w:rPr>
          <w:sz w:val="20"/>
          <w:szCs w:val="20"/>
          <w:color w:val="auto"/>
        </w:rPr>
      </w:pPr>
      <w:r>
        <w:rPr>
          <w:rFonts w:ascii="Arial" w:cs="Arial" w:eastAsia="Arial" w:hAnsi="Arial"/>
          <w:sz w:val="16"/>
          <w:szCs w:val="16"/>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24" w:lineRule="exact"/>
        <w:rPr>
          <w:sz w:val="20"/>
          <w:szCs w:val="20"/>
          <w:color w:val="auto"/>
        </w:rPr>
      </w:pPr>
    </w:p>
    <w:p>
      <w:pPr>
        <w:ind w:right="60" w:firstLine="259"/>
        <w:spacing w:after="0" w:line="297" w:lineRule="auto"/>
        <w:rPr>
          <w:sz w:val="20"/>
          <w:szCs w:val="20"/>
          <w:color w:val="auto"/>
        </w:rPr>
      </w:pPr>
      <w:r>
        <w:rPr>
          <w:rFonts w:ascii="Arial" w:cs="Arial" w:eastAsia="Arial" w:hAnsi="Arial"/>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Derivatives, including the Company’s interest rate swaps, for which broker quotes are available are typically valued at those broker quotes.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the same counterparty, the Company has the legal right to offset the recognized amounts, and it intends to either settle on a net basis or realize the asset and settle the liability simultaneously.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20" w:right="40" w:hanging="255"/>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20" w:right="160" w:hanging="255"/>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0" w:name="page21"/>
    <w:bookmarkEnd w:id="20"/>
    <w:p>
      <w:pPr>
        <w:jc w:val="both"/>
        <w:ind w:right="560"/>
        <w:spacing w:after="0" w:line="264" w:lineRule="auto"/>
        <w:rPr>
          <w:sz w:val="20"/>
          <w:szCs w:val="20"/>
          <w:color w:val="auto"/>
        </w:rPr>
      </w:pPr>
      <w:r>
        <w:rPr>
          <w:rFonts w:ascii="Arial" w:cs="Arial" w:eastAsia="Arial" w:hAnsi="Arial"/>
          <w:sz w:val="18"/>
          <w:szCs w:val="18"/>
          <w:color w:val="auto"/>
        </w:rPr>
        <w:t>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1" w:lineRule="exact"/>
        <w:rPr>
          <w:sz w:val="20"/>
          <w:szCs w:val="20"/>
          <w:color w:val="auto"/>
        </w:rPr>
      </w:pPr>
    </w:p>
    <w:p>
      <w:pPr>
        <w:ind w:right="280" w:firstLine="259"/>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The Company records expenses related to registration statement filings and applicable offering costs as deferred financing costs in other assets and a portion of these expenses are charged as a reduction of capital upon each such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obligation.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240" w:firstLine="259"/>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6"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70" w:lineRule="exact"/>
        <w:rPr>
          <w:sz w:val="20"/>
          <w:szCs w:val="20"/>
          <w:color w:val="auto"/>
        </w:rPr>
      </w:pPr>
    </w:p>
    <w:p>
      <w:pPr>
        <w:ind w:right="160" w:firstLine="259"/>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generally include syndication, structuring or diligence fees, and fees for providing managerial assistance to our portfolio companies and are recognized as revenue when earned.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 Subsequent to closing, investments are recorded at fair value at each reporting period.</w:t>
      </w:r>
    </w:p>
    <w:p>
      <w:pPr>
        <w:spacing w:after="0" w:line="188"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300" w:firstLine="259"/>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80" w:firstLine="259"/>
        <w:spacing w:after="0" w:line="342" w:lineRule="auto"/>
        <w:rPr>
          <w:sz w:val="20"/>
          <w:szCs w:val="20"/>
          <w:color w:val="auto"/>
        </w:rPr>
      </w:pPr>
      <w:r>
        <w:rPr>
          <w:rFonts w:ascii="Arial" w:cs="Arial" w:eastAsia="Arial" w:hAnsi="Arial"/>
          <w:sz w:val="16"/>
          <w:szCs w:val="16"/>
          <w:color w:val="auto"/>
        </w:rPr>
        <w:t>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24" w:lineRule="exact"/>
        <w:rPr>
          <w:sz w:val="20"/>
          <w:szCs w:val="20"/>
          <w:color w:val="auto"/>
        </w:rPr>
      </w:pPr>
    </w:p>
    <w:p>
      <w:pPr>
        <w:ind w:right="40" w:firstLine="259"/>
        <w:spacing w:after="0" w:line="279" w:lineRule="auto"/>
        <w:rPr>
          <w:sz w:val="20"/>
          <w:szCs w:val="20"/>
          <w:color w:val="auto"/>
        </w:rPr>
      </w:pPr>
      <w:r>
        <w:rPr>
          <w:rFonts w:ascii="Arial" w:cs="Arial" w:eastAsia="Arial" w:hAnsi="Arial"/>
          <w:sz w:val="17"/>
          <w:szCs w:val="17"/>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2017</w:t>
      </w:r>
    </w:p>
    <w:p>
      <w:pPr>
        <w:spacing w:after="0" w:line="11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In November 2016, the Financial Accounting Standards Board issued Accounting Standards Update 2016-18 (“ASU 2016-18”), “Statement of Cash Flows (Topic 230) - Restricted Cash.” The standard requires an entity’s reconciliation of the beginning-of-period and end-of-period total amounts shown on the statement of cash flows to include in cash and cash equivalents amounts generally described as restricted cash and restricted cash equivalents. ASU 2016-18 is effective for public business entities for annual and interim periods in fiscal years beginning after December 15, 2017. Early adoption is permitted, including adoption in an interim period. The Company adopted this guidance during the quarter ended March 31, 2017 and adjusted the prior period statement of cash flows to reflect the change.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100" w:firstLine="259"/>
        <w:spacing w:after="0" w:line="255" w:lineRule="auto"/>
        <w:rPr>
          <w:sz w:val="20"/>
          <w:szCs w:val="20"/>
          <w:color w:val="auto"/>
        </w:rPr>
      </w:pPr>
      <w:r>
        <w:rPr>
          <w:rFonts w:ascii="Arial" w:cs="Arial" w:eastAsia="Arial" w:hAnsi="Arial"/>
          <w:sz w:val="18"/>
          <w:szCs w:val="18"/>
          <w:color w:val="auto"/>
        </w:rPr>
        <w:t>In May 2014, the Financial Accounting Standards Board issued Accounting Standards Update 2014-09 (“ASU 2014-09”), “Revenue from Contracts with Customers (Topic 606).” The guidance in this ASU supersedes the revenue recognition requirements in Topic 605, Revenue Recognition. Under the new 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public companies for interim and annual periods in fiscal years beginning after December 15, 2017, with early adoption permitted for interim and annual periods in fiscal years beginning after December 15, 2016. The Company expects that the adoption of this guidance will not have a material impact on the Company’s financial position, results of operations or cash flows.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60" w:firstLine="259"/>
        <w:spacing w:after="0" w:line="293"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ind w:right="200" w:firstLine="259"/>
        <w:spacing w:after="0" w:line="277" w:lineRule="auto"/>
        <w:rPr>
          <w:sz w:val="20"/>
          <w:szCs w:val="20"/>
          <w:color w:val="auto"/>
        </w:rPr>
      </w:pPr>
      <w:r>
        <w:rPr>
          <w:rFonts w:ascii="Arial" w:cs="Arial" w:eastAsia="Arial" w:hAnsi="Arial"/>
          <w:sz w:val="18"/>
          <w:szCs w:val="18"/>
          <w:color w:val="auto"/>
        </w:rPr>
        <w:t>For the three months ended March 31, 2017 and 2016, the Company incurred expenses of $1.0 million and $0.9 million, respectively, for administrative services payable to the Adviser under the terms of the Administration Agreement.</w:t>
      </w:r>
    </w:p>
    <w:p>
      <w:pPr>
        <w:spacing w:after="0" w:line="170"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The Administration Agreement was subsequently amended on February 22, 2017 to make certain clarifications to the agreement, including with respect to the scope of the costs and expenses of the Administrator’s services. In February 2017, the Board approved an amendment to the Administration Agreement. Unless earlier terminated as described below, the Administration Agreement will remain in effect until February 2018, and may be extended subject to required approvals. The Administration Agreement may be terminated by either party without penalty on 60 days’ written notice to the other party.</w:t>
      </w:r>
    </w:p>
    <w:p>
      <w:pPr>
        <w:spacing w:after="0" w:line="154" w:lineRule="exact"/>
        <w:rPr>
          <w:sz w:val="20"/>
          <w:szCs w:val="20"/>
          <w:color w:val="auto"/>
        </w:rPr>
      </w:pPr>
    </w:p>
    <w:p>
      <w:pPr>
        <w:ind w:right="120" w:firstLine="259"/>
        <w:spacing w:after="0" w:line="297"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months ended March 31, 2017 and 2016, Management Fees were $6.1 million and $5.7 million, respectively.</w:t>
      </w:r>
    </w:p>
    <w:p>
      <w:pPr>
        <w:spacing w:after="0" w:line="225" w:lineRule="exact"/>
        <w:rPr>
          <w:sz w:val="20"/>
          <w:szCs w:val="20"/>
          <w:color w:val="auto"/>
        </w:rPr>
      </w:pPr>
    </w:p>
    <w:p>
      <w:pPr>
        <w:ind w:right="280" w:firstLine="259"/>
        <w:spacing w:after="0" w:line="342" w:lineRule="auto"/>
        <w:rPr>
          <w:sz w:val="20"/>
          <w:szCs w:val="20"/>
          <w:color w:val="auto"/>
        </w:rPr>
      </w:pPr>
      <w:r>
        <w:rPr>
          <w:rFonts w:ascii="Arial" w:cs="Arial" w:eastAsia="Arial" w:hAnsi="Arial"/>
          <w:sz w:val="16"/>
          <w:szCs w:val="16"/>
          <w:color w:val="auto"/>
        </w:rPr>
        <w:t>For the periods ended December 31, 2016 and prior, the Adviser voluntarily waived the Management Fee on the Company’s ownership of shares of common stock in TICC Capital Corp. (the “TICC Shares”). The Adviser did not waive any Management Fees for the three months ended March 31, 2017.</w:t>
      </w:r>
    </w:p>
    <w:p>
      <w:pPr>
        <w:spacing w:after="0" w:line="124" w:lineRule="exact"/>
        <w:rPr>
          <w:sz w:val="20"/>
          <w:szCs w:val="20"/>
          <w:color w:val="auto"/>
        </w:rPr>
      </w:pPr>
    </w:p>
    <w:p>
      <w:pPr>
        <w:ind w:right="800" w:firstLine="259"/>
        <w:spacing w:after="0" w:line="277" w:lineRule="auto"/>
        <w:rPr>
          <w:sz w:val="20"/>
          <w:szCs w:val="20"/>
          <w:color w:val="auto"/>
        </w:rPr>
      </w:pPr>
      <w:r>
        <w:rPr>
          <w:rFonts w:ascii="Arial" w:cs="Arial" w:eastAsia="Arial" w:hAnsi="Arial"/>
          <w:sz w:val="18"/>
          <w:szCs w:val="18"/>
          <w:color w:val="auto"/>
        </w:rPr>
        <w:t>For the three months ended March 31, 2016, Management Fees of $14.6 were waived, consisting solely of Management Fees attributable to the Company’s ownership of the TICC Shares.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20" w:right="280" w:hanging="255"/>
        <w:spacing w:after="0" w:line="286"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w:t>
      </w:r>
    </w:p>
    <w:p>
      <w:pPr>
        <w:spacing w:after="0" w:line="1" w:lineRule="exact"/>
        <w:rPr>
          <w:rFonts w:ascii="Arial" w:cs="Arial" w:eastAsia="Arial" w:hAnsi="Arial"/>
          <w:sz w:val="16"/>
          <w:szCs w:val="16"/>
          <w:color w:val="auto"/>
        </w:rPr>
      </w:pPr>
    </w:p>
    <w:p>
      <w:pPr>
        <w:ind w:left="520" w:right="20"/>
        <w:spacing w:after="0" w:line="277" w:lineRule="auto"/>
        <w:rPr>
          <w:rFonts w:ascii="Arial" w:cs="Arial" w:eastAsia="Arial" w:hAnsi="Arial"/>
          <w:sz w:val="16"/>
          <w:szCs w:val="16"/>
          <w:color w:val="auto"/>
        </w:rPr>
      </w:pPr>
      <w:r>
        <w:rPr>
          <w:rFonts w:ascii="Arial" w:cs="Arial" w:eastAsia="Arial" w:hAnsi="Arial"/>
          <w:sz w:val="17"/>
          <w:szCs w:val="17"/>
          <w:color w:val="auto"/>
        </w:rPr>
        <w:t>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65" w:lineRule="exact"/>
        <w:rPr>
          <w:rFonts w:ascii="Arial" w:cs="Arial" w:eastAsia="Arial" w:hAnsi="Arial"/>
          <w:sz w:val="16"/>
          <w:szCs w:val="16"/>
          <w:color w:val="auto"/>
        </w:rPr>
      </w:pPr>
    </w:p>
    <w:p>
      <w:pPr>
        <w:ind w:left="520" w:right="60"/>
        <w:spacing w:after="0" w:line="293" w:lineRule="auto"/>
        <w:rPr>
          <w:rFonts w:ascii="Arial" w:cs="Arial" w:eastAsia="Arial" w:hAnsi="Arial"/>
          <w:sz w:val="16"/>
          <w:szCs w:val="16"/>
          <w:color w:val="auto"/>
        </w:rPr>
      </w:pPr>
      <w:r>
        <w:rPr>
          <w:rFonts w:ascii="Arial" w:cs="Arial" w:eastAsia="Arial" w:hAnsi="Arial"/>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56" w:lineRule="exact"/>
        <w:rPr>
          <w:rFonts w:ascii="Arial" w:cs="Arial" w:eastAsia="Arial" w:hAnsi="Arial"/>
          <w:sz w:val="16"/>
          <w:szCs w:val="16"/>
          <w:color w:val="auto"/>
        </w:rPr>
      </w:pPr>
    </w:p>
    <w:p>
      <w:pPr>
        <w:jc w:val="both"/>
        <w:ind w:left="520" w:right="120" w:hanging="255"/>
        <w:spacing w:after="0" w:line="26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depreciation. This component of the Incentive Fee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ind w:left="520" w:right="40"/>
        <w:spacing w:after="0" w:line="255" w:lineRule="auto"/>
        <w:rPr>
          <w:sz w:val="20"/>
          <w:szCs w:val="20"/>
          <w:color w:val="auto"/>
        </w:rPr>
      </w:pPr>
      <w:r>
        <w:rPr>
          <w:rFonts w:ascii="Arial" w:cs="Arial" w:eastAsia="Arial" w:hAnsi="Arial"/>
          <w:sz w:val="18"/>
          <w:szCs w:val="18"/>
          <w:color w:val="auto"/>
        </w:rPr>
        <w:t>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89" w:lineRule="exact"/>
        <w:rPr>
          <w:sz w:val="20"/>
          <w:szCs w:val="20"/>
          <w:color w:val="auto"/>
        </w:rPr>
      </w:pPr>
    </w:p>
    <w:p>
      <w:pPr>
        <w:ind w:right="600" w:firstLine="259"/>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47"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81"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For the three months ended March 31, 2017 and 2016, Incentive Fees were $6.0 million and $4.9 million, respectively, of which $6.0 million and $4.8 million, respectively, were realized and payable to the Adviser.</w:t>
      </w:r>
    </w:p>
    <w:p>
      <w:pPr>
        <w:spacing w:after="0" w:line="170" w:lineRule="exact"/>
        <w:rPr>
          <w:sz w:val="20"/>
          <w:szCs w:val="20"/>
          <w:color w:val="auto"/>
        </w:rPr>
      </w:pPr>
    </w:p>
    <w:p>
      <w:pPr>
        <w:jc w:val="both"/>
        <w:ind w:right="280" w:firstLine="259"/>
        <w:spacing w:after="0" w:line="302" w:lineRule="auto"/>
        <w:rPr>
          <w:sz w:val="20"/>
          <w:szCs w:val="20"/>
          <w:color w:val="auto"/>
        </w:rPr>
      </w:pPr>
      <w:r>
        <w:rPr>
          <w:rFonts w:ascii="Arial" w:cs="Arial" w:eastAsia="Arial" w:hAnsi="Arial"/>
          <w:sz w:val="16"/>
          <w:szCs w:val="16"/>
          <w:color w:val="auto"/>
        </w:rPr>
        <w:t>For the periods ended December 31, 2016 and prior, the Adviser voluntarily waived the Incentive Fees attributable to pre-Incentive Fee net investment income accrued by the Company as a result of the Company’s ownership of the TICC Shares. The Adviser did not waive any part of the Capital Gains Fee attributable to the Company’s ownership of the TICC Shares and, accordingly, any realized capital gains or losses and unrealized capital depreciation with respect to the TICC Shares apply against the Company’s cumulative realized capital gains on which the Capital Gains Fee is calculated.</w:t>
      </w:r>
    </w:p>
    <w:p>
      <w:pPr>
        <w:spacing w:after="0" w:line="154" w:lineRule="exact"/>
        <w:rPr>
          <w:sz w:val="20"/>
          <w:szCs w:val="20"/>
          <w:color w:val="auto"/>
        </w:rPr>
      </w:pPr>
    </w:p>
    <w:p>
      <w:pPr>
        <w:jc w:val="both"/>
        <w:ind w:right="20" w:firstLine="259"/>
        <w:spacing w:after="0" w:line="264" w:lineRule="auto"/>
        <w:rPr>
          <w:sz w:val="20"/>
          <w:szCs w:val="20"/>
          <w:color w:val="auto"/>
        </w:rPr>
      </w:pPr>
      <w:r>
        <w:rPr>
          <w:rFonts w:ascii="Arial" w:cs="Arial" w:eastAsia="Arial" w:hAnsi="Arial"/>
          <w:sz w:val="18"/>
          <w:szCs w:val="18"/>
          <w:color w:val="auto"/>
        </w:rPr>
        <w:t>The Adviser did not waive any Incentive Fees for the three months ended March 31, 2017. For the three months ended March 31, 2016, Incentive Fees of $0.1 million were waived consisting solely of Incentive Fees attributable to the Company’s ownership of the TICC Shares. Any waived Incentive Fees are not subject to recoupment by the Adviser.</w:t>
      </w:r>
    </w:p>
    <w:p>
      <w:pPr>
        <w:spacing w:after="0" w:line="18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Since the Company’s IPO, with the exception of its waiver of Management Fees and certain Incentive Fees attributable to the Company’s ownership of the TICC Shares, the Adviser has not waived its right to receive any Management Fees or Incentive Fees payable pursuant to the Investment Advisory Agreement.</w:t>
      </w:r>
    </w:p>
    <w:p>
      <w:pPr>
        <w:spacing w:after="0" w:line="181" w:lineRule="exact"/>
        <w:rPr>
          <w:sz w:val="20"/>
          <w:szCs w:val="20"/>
          <w:color w:val="auto"/>
        </w:rPr>
      </w:pPr>
    </w:p>
    <w:p>
      <w:pPr>
        <w:ind w:right="180" w:firstLine="259"/>
        <w:spacing w:after="0" w:line="312" w:lineRule="auto"/>
        <w:rPr>
          <w:sz w:val="20"/>
          <w:szCs w:val="20"/>
          <w:color w:val="auto"/>
        </w:rPr>
      </w:pPr>
      <w:r>
        <w:rPr>
          <w:rFonts w:ascii="Arial" w:cs="Arial" w:eastAsia="Arial" w:hAnsi="Arial"/>
          <w:sz w:val="16"/>
          <w:szCs w:val="16"/>
          <w:color w:val="auto"/>
        </w:rPr>
        <w:t>In November 2016, the Board renewed the Investment Advisory Agreement. Unless earlier terminated as described below, the Investment Advisory Agreement will remain in effect until November 2017,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260" w:firstLine="259"/>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120" w:firstLine="259"/>
        <w:spacing w:after="0" w:line="271"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ind w:left="260"/>
        <w:spacing w:after="0"/>
        <w:rPr>
          <w:sz w:val="20"/>
          <w:szCs w:val="20"/>
          <w:color w:val="auto"/>
        </w:rPr>
      </w:pPr>
      <w:r>
        <w:rPr>
          <w:rFonts w:ascii="Arial" w:cs="Arial" w:eastAsia="Arial" w:hAnsi="Arial"/>
          <w:sz w:val="18"/>
          <w:szCs w:val="18"/>
          <w:color w:val="auto"/>
        </w:rPr>
        <w:t>Investments at fair value consisted of the following at March 31, 2017 and December 31, 2016:</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Gain (Loss)</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1,553,506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1,556,664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3,358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20,256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(9,969)</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1,587,073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1,580,278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2016</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6"/>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Gain (Loss)</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1,592,753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1,599,578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23,959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19,577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(4,382)</w:t>
            </w: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w:t>
            </w: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27,567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(12,655)</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1,667,687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1,657,403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300" w:hanging="512"/>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industry composition of Investments at fair value at March 31, 2017 and December 31, 2016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March 31, 2017</w:t>
            </w:r>
          </w:p>
        </w:tc>
        <w:tc>
          <w:tcPr>
            <w:tcW w:w="320" w:type="dxa"/>
            <w:vAlign w:val="bottom"/>
            <w:vMerge w:val="restart"/>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160" w:type="dxa"/>
            <w:vAlign w:val="bottom"/>
            <w:tcBorders>
              <w:bottom w:val="single" w:sz="8" w:color="CFF0FC"/>
            </w:tcBorders>
          </w:tcPr>
          <w:p>
            <w:pPr>
              <w:spacing w:after="0"/>
              <w:rPr>
                <w:sz w:val="14"/>
                <w:szCs w:val="14"/>
                <w:color w:val="auto"/>
              </w:rPr>
            </w:pPr>
          </w:p>
        </w:tc>
        <w:tc>
          <w:tcPr>
            <w:tcW w:w="216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FF0FC"/>
            </w:tcBorders>
            <w:vMerge w:val="continue"/>
          </w:tcPr>
          <w:p>
            <w:pPr>
              <w:spacing w:after="0"/>
              <w:rPr>
                <w:sz w:val="14"/>
                <w:szCs w:val="14"/>
                <w:color w:val="auto"/>
              </w:rPr>
            </w:pP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2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3560" w:type="dxa"/>
            <w:vAlign w:val="bottom"/>
            <w:gridSpan w:val="3"/>
          </w:tcPr>
          <w:p>
            <w:pPr>
              <w:jc w:val="right"/>
              <w:ind w:right="160"/>
              <w:spacing w:after="0"/>
              <w:rPr>
                <w:sz w:val="20"/>
                <w:szCs w:val="20"/>
                <w:color w:val="auto"/>
              </w:rPr>
            </w:pPr>
            <w:r>
              <w:rPr>
                <w:rFonts w:ascii="Arial" w:cs="Arial" w:eastAsia="Arial" w:hAnsi="Arial"/>
                <w:sz w:val="18"/>
                <w:szCs w:val="18"/>
                <w:color w:val="auto"/>
              </w:rPr>
              <w:t>3.5%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Business services</w:t>
            </w:r>
          </w:p>
        </w:tc>
        <w:tc>
          <w:tcPr>
            <w:tcW w:w="35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22.5%</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Chemicals</w:t>
            </w:r>
          </w:p>
        </w:tc>
        <w:tc>
          <w:tcPr>
            <w:tcW w:w="3560" w:type="dxa"/>
            <w:vAlign w:val="bottom"/>
            <w:gridSpan w:val="3"/>
          </w:tcPr>
          <w:p>
            <w:pPr>
              <w:jc w:val="right"/>
              <w:ind w:right="160"/>
              <w:spacing w:after="0"/>
              <w:rPr>
                <w:sz w:val="20"/>
                <w:szCs w:val="20"/>
                <w:color w:val="auto"/>
              </w:rPr>
            </w:pPr>
            <w:r>
              <w:rPr>
                <w:rFonts w:ascii="Arial" w:cs="Arial" w:eastAsia="Arial" w:hAnsi="Arial"/>
                <w:sz w:val="18"/>
                <w:szCs w:val="18"/>
                <w:color w:val="auto"/>
              </w:rPr>
              <w:t>0.8%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Education</w:t>
            </w:r>
          </w:p>
        </w:tc>
        <w:tc>
          <w:tcPr>
            <w:tcW w:w="35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6.3%</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Electronics</w:t>
            </w:r>
          </w:p>
        </w:tc>
        <w:tc>
          <w:tcPr>
            <w:tcW w:w="3560" w:type="dxa"/>
            <w:vAlign w:val="bottom"/>
            <w:gridSpan w:val="3"/>
          </w:tcPr>
          <w:p>
            <w:pPr>
              <w:jc w:val="right"/>
              <w:ind w:right="160"/>
              <w:spacing w:after="0"/>
              <w:rPr>
                <w:sz w:val="20"/>
                <w:szCs w:val="20"/>
                <w:color w:val="auto"/>
              </w:rPr>
            </w:pPr>
            <w:r>
              <w:rPr>
                <w:rFonts w:ascii="Arial" w:cs="Arial" w:eastAsia="Arial" w:hAnsi="Arial"/>
                <w:sz w:val="18"/>
                <w:szCs w:val="18"/>
                <w:color w:val="auto"/>
              </w:rPr>
              <w:t>4.0%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Financial services</w:t>
            </w:r>
          </w:p>
        </w:tc>
        <w:tc>
          <w:tcPr>
            <w:tcW w:w="35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12.7%</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Healthcare</w:t>
            </w:r>
          </w:p>
        </w:tc>
        <w:tc>
          <w:tcPr>
            <w:tcW w:w="3560" w:type="dxa"/>
            <w:vAlign w:val="bottom"/>
            <w:gridSpan w:val="3"/>
          </w:tcPr>
          <w:p>
            <w:pPr>
              <w:jc w:val="right"/>
              <w:ind w:right="160"/>
              <w:spacing w:after="0"/>
              <w:rPr>
                <w:sz w:val="20"/>
                <w:szCs w:val="20"/>
                <w:color w:val="auto"/>
              </w:rPr>
            </w:pPr>
            <w:r>
              <w:rPr>
                <w:rFonts w:ascii="Arial" w:cs="Arial" w:eastAsia="Arial" w:hAnsi="Arial"/>
                <w:sz w:val="18"/>
                <w:szCs w:val="18"/>
                <w:color w:val="auto"/>
              </w:rPr>
              <w:t>10.9%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Hotel, gaming, and leisure</w:t>
            </w:r>
          </w:p>
        </w:tc>
        <w:tc>
          <w:tcPr>
            <w:tcW w:w="35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3.7%</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560" w:type="dxa"/>
            <w:vAlign w:val="bottom"/>
            <w:gridSpan w:val="3"/>
          </w:tcPr>
          <w:p>
            <w:pPr>
              <w:jc w:val="right"/>
              <w:ind w:right="160"/>
              <w:spacing w:after="0"/>
              <w:rPr>
                <w:sz w:val="20"/>
                <w:szCs w:val="20"/>
                <w:color w:val="auto"/>
              </w:rPr>
            </w:pPr>
            <w:r>
              <w:rPr>
                <w:rFonts w:ascii="Arial" w:cs="Arial" w:eastAsia="Arial" w:hAnsi="Arial"/>
                <w:sz w:val="18"/>
                <w:szCs w:val="18"/>
                <w:color w:val="auto"/>
              </w:rPr>
              <w:t>4.0%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35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4.1%</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Internet services</w:t>
            </w:r>
          </w:p>
        </w:tc>
        <w:tc>
          <w:tcPr>
            <w:tcW w:w="216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Manufacturing</w:t>
            </w:r>
          </w:p>
        </w:tc>
        <w:tc>
          <w:tcPr>
            <w:tcW w:w="2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Office products</w:t>
            </w:r>
          </w:p>
        </w:tc>
        <w:tc>
          <w:tcPr>
            <w:tcW w:w="3560" w:type="dxa"/>
            <w:vAlign w:val="bottom"/>
            <w:gridSpan w:val="3"/>
          </w:tcPr>
          <w:p>
            <w:pPr>
              <w:jc w:val="right"/>
              <w:ind w:right="160"/>
              <w:spacing w:after="0"/>
              <w:rPr>
                <w:sz w:val="20"/>
                <w:szCs w:val="20"/>
                <w:color w:val="auto"/>
              </w:rPr>
            </w:pPr>
            <w:r>
              <w:rPr>
                <w:rFonts w:ascii="Arial" w:cs="Arial" w:eastAsia="Arial" w:hAnsi="Arial"/>
                <w:sz w:val="18"/>
                <w:szCs w:val="18"/>
                <w:color w:val="auto"/>
              </w:rPr>
              <w:t>2.3%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Oil, gas and consumable fuels</w:t>
            </w:r>
          </w:p>
        </w:tc>
        <w:tc>
          <w:tcPr>
            <w:tcW w:w="35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1.9%</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w:t>
            </w:r>
          </w:p>
        </w:tc>
        <w:tc>
          <w:tcPr>
            <w:tcW w:w="3560" w:type="dxa"/>
            <w:vAlign w:val="bottom"/>
            <w:gridSpan w:val="3"/>
          </w:tcPr>
          <w:p>
            <w:pPr>
              <w:jc w:val="right"/>
              <w:ind w:right="160"/>
              <w:spacing w:after="0"/>
              <w:rPr>
                <w:sz w:val="20"/>
                <w:szCs w:val="20"/>
                <w:color w:val="auto"/>
              </w:rPr>
            </w:pPr>
            <w:r>
              <w:rPr>
                <w:rFonts w:ascii="Arial" w:cs="Arial" w:eastAsia="Arial" w:hAnsi="Arial"/>
                <w:sz w:val="18"/>
                <w:szCs w:val="18"/>
                <w:color w:val="auto"/>
              </w:rPr>
              <w:t>0.4%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Pharmaceuticals</w:t>
            </w:r>
          </w:p>
        </w:tc>
        <w:tc>
          <w:tcPr>
            <w:tcW w:w="35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8.8%</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Retail and consumer products</w:t>
            </w:r>
          </w:p>
        </w:tc>
        <w:tc>
          <w:tcPr>
            <w:tcW w:w="3560" w:type="dxa"/>
            <w:vAlign w:val="bottom"/>
            <w:gridSpan w:val="3"/>
          </w:tcPr>
          <w:p>
            <w:pPr>
              <w:jc w:val="right"/>
              <w:ind w:right="160"/>
              <w:spacing w:after="0"/>
              <w:rPr>
                <w:sz w:val="20"/>
                <w:szCs w:val="20"/>
                <w:color w:val="auto"/>
              </w:rPr>
            </w:pPr>
            <w:r>
              <w:rPr>
                <w:rFonts w:ascii="Arial" w:cs="Arial" w:eastAsia="Arial" w:hAnsi="Arial"/>
                <w:sz w:val="18"/>
                <w:szCs w:val="18"/>
                <w:color w:val="auto"/>
              </w:rPr>
              <w:t>11.4%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Transportation</w:t>
            </w:r>
          </w:p>
        </w:tc>
        <w:tc>
          <w:tcPr>
            <w:tcW w:w="2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0.8%</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6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216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20" w:type="dxa"/>
            <w:vAlign w:val="bottom"/>
          </w:tcPr>
          <w:p>
            <w:pPr>
              <w:spacing w:after="0"/>
              <w:rPr>
                <w:sz w:val="19"/>
                <w:szCs w:val="19"/>
                <w:color w:val="auto"/>
              </w:rPr>
            </w:pPr>
          </w:p>
        </w:tc>
        <w:tc>
          <w:tcPr>
            <w:tcW w:w="3160" w:type="dxa"/>
            <w:vAlign w:val="bottom"/>
            <w:vMerge w:val="continue"/>
          </w:tcPr>
          <w:p>
            <w:pPr>
              <w:spacing w:after="0"/>
              <w:rPr>
                <w:sz w:val="19"/>
                <w:szCs w:val="19"/>
                <w:color w:val="auto"/>
              </w:rPr>
            </w:pPr>
          </w:p>
        </w:tc>
        <w:tc>
          <w:tcPr>
            <w:tcW w:w="2160" w:type="dxa"/>
            <w:vAlign w:val="bottom"/>
            <w:vMerge w:val="continue"/>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160" w:type="dxa"/>
            <w:vAlign w:val="bottom"/>
            <w:vMerge w:val="restart"/>
          </w:tcPr>
          <w:p>
            <w:pPr>
              <w:jc w:val="right"/>
              <w:ind w:right="1150"/>
              <w:spacing w:after="0"/>
              <w:rPr>
                <w:sz w:val="20"/>
                <w:szCs w:val="20"/>
                <w:color w:val="auto"/>
              </w:rPr>
            </w:pPr>
            <w:r>
              <w:rPr>
                <w:rFonts w:ascii="Arial" w:cs="Arial" w:eastAsia="Arial" w:hAnsi="Arial"/>
                <w:sz w:val="18"/>
                <w:szCs w:val="18"/>
                <w:color w:val="auto"/>
              </w:rPr>
              <w:t>25</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5" w:name="page26"/>
    <w:bookmarkEnd w:id="25"/>
    <w:p>
      <w:pPr>
        <w:ind w:left="260"/>
        <w:spacing w:after="0"/>
        <w:rPr>
          <w:sz w:val="20"/>
          <w:szCs w:val="20"/>
          <w:color w:val="auto"/>
        </w:rPr>
      </w:pPr>
      <w:r>
        <w:rPr>
          <w:rFonts w:ascii="Arial" w:cs="Arial" w:eastAsia="Arial" w:hAnsi="Arial"/>
          <w:sz w:val="18"/>
          <w:szCs w:val="18"/>
          <w:color w:val="auto"/>
        </w:rPr>
        <w:t>The geographic composition of Investments at fair value at March 31, 2017 and December 31, 2016 is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8"/>
              </w:rPr>
              <w:t>March 31, 2017</w:t>
            </w: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Midwest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29.9%</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South</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34.2%</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Canada</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vMerge w:val="continue"/>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240" w:firstLine="259"/>
        <w:spacing w:after="0" w:line="264" w:lineRule="auto"/>
        <w:rPr>
          <w:sz w:val="20"/>
          <w:szCs w:val="20"/>
          <w:color w:val="auto"/>
        </w:rPr>
      </w:pPr>
      <w:r>
        <w:rPr>
          <w:rFonts w:ascii="Arial" w:cs="Arial" w:eastAsia="Arial" w:hAnsi="Arial"/>
          <w:sz w:val="18"/>
          <w:szCs w:val="18"/>
          <w:color w:val="auto"/>
        </w:rPr>
        <w:t>In January 2015, in connection with its 2019 Convertible Senior Notes, the Company entered into two interest rate swap transactions, each with a $57.5 million notional amount. The Company receives fixed rate interest at 4.50% and pays variable rate interest based on the three-month London Interbank Offered Rate (“LIBOR”) plus 286 basis points. The swap transactions mature on December 15, 2019.</w:t>
      </w:r>
    </w:p>
    <w:p>
      <w:pPr>
        <w:spacing w:after="0" w:line="181" w:lineRule="exact"/>
        <w:rPr>
          <w:sz w:val="20"/>
          <w:szCs w:val="20"/>
          <w:color w:val="auto"/>
        </w:rPr>
      </w:pPr>
    </w:p>
    <w:p>
      <w:pPr>
        <w:ind w:right="280" w:firstLine="259"/>
        <w:spacing w:after="0" w:line="342" w:lineRule="auto"/>
        <w:rPr>
          <w:sz w:val="20"/>
          <w:szCs w:val="20"/>
          <w:color w:val="auto"/>
        </w:rPr>
      </w:pPr>
      <w:r>
        <w:rPr>
          <w:rFonts w:ascii="Arial" w:cs="Arial" w:eastAsia="Arial" w:hAnsi="Arial"/>
          <w:sz w:val="16"/>
          <w:szCs w:val="16"/>
          <w:color w:val="auto"/>
        </w:rPr>
        <w:t>In November 2015, in connection with a fixed rate investment, the Company entered into two interest rate swap transactions, each with a $46.3 million notional amount. The Company receives three-month LIBOR and pays fixed rate interest at 1.16%. The swap transactions mature on October 5, 2018.</w:t>
      </w:r>
    </w:p>
    <w:p>
      <w:pPr>
        <w:spacing w:after="0" w:line="124"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In January 2017, in connection with a fixed rate investment, the Company entered into an interest rate swap transaction with a $33.3 million notional amount. The Company receives three-month LIBOR plus 665.25 basis points and pays fixed rate interest at 8.375%. The swap transaction matures on January 10, 2020.</w:t>
      </w:r>
    </w:p>
    <w:p>
      <w:pPr>
        <w:spacing w:after="0" w:line="181" w:lineRule="exact"/>
        <w:rPr>
          <w:sz w:val="20"/>
          <w:szCs w:val="20"/>
          <w:color w:val="auto"/>
        </w:rPr>
      </w:pPr>
    </w:p>
    <w:p>
      <w:pPr>
        <w:jc w:val="both"/>
        <w:ind w:right="20" w:firstLine="259"/>
        <w:spacing w:after="0" w:line="264" w:lineRule="auto"/>
        <w:rPr>
          <w:sz w:val="20"/>
          <w:szCs w:val="20"/>
          <w:color w:val="auto"/>
        </w:rPr>
      </w:pPr>
      <w:r>
        <w:rPr>
          <w:rFonts w:ascii="Arial" w:cs="Arial" w:eastAsia="Arial" w:hAnsi="Arial"/>
          <w:sz w:val="18"/>
          <w:szCs w:val="18"/>
          <w:color w:val="auto"/>
        </w:rPr>
        <w:t>In February 2017, in connection with the issuance of the 2022 Convertible Senior Notes, the Company entered into an interest rate swap transaction with a $115 million notional amount. The Company receives fixed rate interest at 4.50% and pays variable rate interest based on the three-month LIBOR plus 237.2 basis points. The swap transaction matures on August 1, 2022.</w:t>
      </w:r>
    </w:p>
    <w:p>
      <w:pPr>
        <w:spacing w:after="0" w:line="181"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present the gross and net information on the Company’s interest rate swap transactions that are eligible for offset in the Company’s consolidated balance sheets as of March 31, 2017 and December 31, 2016.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Gross Amount</w:t>
            </w:r>
          </w:p>
        </w:tc>
        <w:tc>
          <w:tcPr>
            <w:tcW w:w="100" w:type="dxa"/>
            <w:vAlign w:val="bottom"/>
          </w:tcPr>
          <w:p>
            <w:pPr>
              <w:spacing w:after="0"/>
              <w:rPr>
                <w:sz w:val="11"/>
                <w:szCs w:val="11"/>
                <w:color w:val="auto"/>
              </w:rPr>
            </w:pPr>
          </w:p>
        </w:tc>
        <w:tc>
          <w:tcPr>
            <w:tcW w:w="13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Gross Amount</w:t>
            </w:r>
          </w:p>
        </w:tc>
        <w:tc>
          <w:tcPr>
            <w:tcW w:w="120" w:type="dxa"/>
            <w:vAlign w:val="bottom"/>
          </w:tcPr>
          <w:p>
            <w:pPr>
              <w:spacing w:after="0"/>
              <w:rPr>
                <w:sz w:val="11"/>
                <w:szCs w:val="11"/>
                <w:color w:val="auto"/>
              </w:rPr>
            </w:pPr>
          </w:p>
        </w:tc>
        <w:tc>
          <w:tcPr>
            <w:tcW w:w="13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3"/>
              </w:rPr>
              <w:t>Net Amount of</w:t>
            </w:r>
          </w:p>
        </w:tc>
        <w:tc>
          <w:tcPr>
            <w:tcW w:w="2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Notional</w:t>
            </w: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Assets in the</w:t>
            </w: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400" w:type="dxa"/>
            <w:vAlign w:val="bottom"/>
            <w:gridSpan w:val="3"/>
            <w:vMerge w:val="restart"/>
          </w:tcPr>
          <w:p>
            <w:pPr>
              <w:jc w:val="right"/>
              <w:ind w:right="325"/>
              <w:spacing w:after="0"/>
              <w:rPr>
                <w:sz w:val="20"/>
                <w:szCs w:val="20"/>
                <w:color w:val="auto"/>
              </w:rPr>
            </w:pPr>
            <w:r>
              <w:rPr>
                <w:rFonts w:ascii="Arial" w:cs="Arial" w:eastAsia="Arial" w:hAnsi="Arial"/>
                <w:sz w:val="14"/>
                <w:szCs w:val="14"/>
                <w:b w:val="1"/>
                <w:bCs w:val="1"/>
                <w:color w:val="auto"/>
              </w:rPr>
              <w:t>Maturity Date</w:t>
            </w: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Account in the Consolidated Balance Sheets</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20"/>
                <w:szCs w:val="20"/>
                <w:color w:val="auto"/>
              </w:rPr>
            </w:pPr>
            <w:r>
              <w:rPr>
                <w:rFonts w:ascii="Arial" w:cs="Arial" w:eastAsia="Arial" w:hAnsi="Arial"/>
                <w:sz w:val="14"/>
                <w:szCs w:val="14"/>
                <w:color w:val="auto"/>
              </w:rPr>
              <w:t>($ in thousands)</w:t>
            </w:r>
          </w:p>
        </w:tc>
        <w:tc>
          <w:tcPr>
            <w:tcW w:w="1400" w:type="dxa"/>
            <w:vAlign w:val="bottom"/>
            <w:gridSpan w:val="3"/>
            <w:vMerge w:val="continue"/>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 xml:space="preserve">Amount </w:t>
            </w:r>
            <w:r>
              <w:rPr>
                <w:rFonts w:ascii="Arial" w:cs="Arial" w:eastAsia="Arial" w:hAnsi="Arial"/>
                <w:sz w:val="12"/>
                <w:szCs w:val="12"/>
                <w:b w:val="1"/>
                <w:bCs w:val="1"/>
                <w:color w:val="auto"/>
                <w:w w:val="95"/>
              </w:rPr>
              <w:t>(1)</w:t>
            </w:r>
          </w:p>
        </w:tc>
        <w:tc>
          <w:tcPr>
            <w:tcW w:w="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Balance Sheets</w:t>
            </w:r>
          </w:p>
        </w:tc>
        <w:tc>
          <w:tcPr>
            <w:tcW w:w="12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Balance Sheets</w:t>
            </w: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10/5/2018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260" w:type="dxa"/>
            <w:vAlign w:val="bottom"/>
            <w:tcBorders>
              <w:top w:val="single" w:sz="8" w:color="CFF0FC"/>
            </w:tcBorders>
            <w:shd w:val="clear" w:color="auto" w:fill="CFF0FC"/>
          </w:tcPr>
          <w:p>
            <w:pPr>
              <w:spacing w:after="0"/>
              <w:rPr>
                <w:sz w:val="19"/>
                <w:szCs w:val="19"/>
                <w:color w:val="auto"/>
              </w:rPr>
            </w:pPr>
          </w:p>
        </w:tc>
        <w:tc>
          <w:tcPr>
            <w:tcW w:w="27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Receivable for interest rate swaps</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Interest rate swap</w:t>
            </w:r>
          </w:p>
        </w:tc>
        <w:tc>
          <w:tcPr>
            <w:tcW w:w="1120" w:type="dxa"/>
            <w:vAlign w:val="bottom"/>
          </w:tcPr>
          <w:p>
            <w:pPr>
              <w:jc w:val="right"/>
              <w:spacing w:after="0"/>
              <w:rPr>
                <w:sz w:val="20"/>
                <w:szCs w:val="20"/>
                <w:color w:val="auto"/>
              </w:rPr>
            </w:pPr>
            <w:r>
              <w:rPr>
                <w:rFonts w:ascii="Arial" w:cs="Arial" w:eastAsia="Arial" w:hAnsi="Arial"/>
                <w:sz w:val="18"/>
                <w:szCs w:val="18"/>
                <w:color w:val="auto"/>
              </w:rPr>
              <w:t>12/15/2019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(482)</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Receivable for interest rate swaps</w:t>
            </w: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FF0FC"/>
          </w:tcPr>
          <w:p>
            <w:pPr>
              <w:spacing w:after="0"/>
              <w:rPr>
                <w:sz w:val="19"/>
                <w:szCs w:val="19"/>
                <w:color w:val="auto"/>
              </w:rPr>
            </w:pPr>
          </w:p>
        </w:tc>
        <w:tc>
          <w:tcPr>
            <w:tcW w:w="2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Receivable for interest rate swaps</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Interest rate swap</w:t>
            </w:r>
          </w:p>
        </w:tc>
        <w:tc>
          <w:tcPr>
            <w:tcW w:w="1120" w:type="dxa"/>
            <w:vAlign w:val="bottom"/>
          </w:tcPr>
          <w:p>
            <w:pPr>
              <w:jc w:val="right"/>
              <w:spacing w:after="0"/>
              <w:rPr>
                <w:sz w:val="20"/>
                <w:szCs w:val="20"/>
                <w:color w:val="auto"/>
              </w:rPr>
            </w:pPr>
            <w:r>
              <w:rPr>
                <w:rFonts w:ascii="Arial" w:cs="Arial" w:eastAsia="Arial" w:hAnsi="Arial"/>
                <w:sz w:val="18"/>
                <w:szCs w:val="18"/>
                <w:color w:val="auto"/>
              </w:rPr>
              <w:t>8/1/2022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9"/>
                <w:szCs w:val="19"/>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Receivable for interest rate swaps</w:t>
            </w: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355,833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76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right="280" w:hanging="512"/>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2016</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Gross Amount</w:t>
            </w:r>
          </w:p>
        </w:tc>
        <w:tc>
          <w:tcPr>
            <w:tcW w:w="100" w:type="dxa"/>
            <w:vAlign w:val="bottom"/>
          </w:tcPr>
          <w:p>
            <w:pPr>
              <w:spacing w:after="0"/>
              <w:rPr>
                <w:sz w:val="11"/>
                <w:szCs w:val="11"/>
                <w:color w:val="auto"/>
              </w:rPr>
            </w:pPr>
          </w:p>
        </w:tc>
        <w:tc>
          <w:tcPr>
            <w:tcW w:w="13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Gross Amount</w:t>
            </w:r>
          </w:p>
        </w:tc>
        <w:tc>
          <w:tcPr>
            <w:tcW w:w="120" w:type="dxa"/>
            <w:vAlign w:val="bottom"/>
          </w:tcPr>
          <w:p>
            <w:pPr>
              <w:spacing w:after="0"/>
              <w:rPr>
                <w:sz w:val="11"/>
                <w:szCs w:val="11"/>
                <w:color w:val="auto"/>
              </w:rPr>
            </w:pPr>
          </w:p>
        </w:tc>
        <w:tc>
          <w:tcPr>
            <w:tcW w:w="13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3"/>
              </w:rPr>
              <w:t>Net Amount of</w:t>
            </w:r>
          </w:p>
        </w:tc>
        <w:tc>
          <w:tcPr>
            <w:tcW w:w="2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Notional</w:t>
            </w: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Assets in the</w:t>
            </w: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400" w:type="dxa"/>
            <w:vAlign w:val="bottom"/>
            <w:gridSpan w:val="3"/>
            <w:vMerge w:val="restart"/>
          </w:tcPr>
          <w:p>
            <w:pPr>
              <w:jc w:val="right"/>
              <w:ind w:right="325"/>
              <w:spacing w:after="0"/>
              <w:rPr>
                <w:sz w:val="20"/>
                <w:szCs w:val="20"/>
                <w:color w:val="auto"/>
              </w:rPr>
            </w:pPr>
            <w:r>
              <w:rPr>
                <w:rFonts w:ascii="Arial" w:cs="Arial" w:eastAsia="Arial" w:hAnsi="Arial"/>
                <w:sz w:val="14"/>
                <w:szCs w:val="14"/>
                <w:b w:val="1"/>
                <w:bCs w:val="1"/>
                <w:color w:val="auto"/>
              </w:rPr>
              <w:t>Maturity Date</w:t>
            </w: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Account in the Consolidated Balance Sheets</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20"/>
                <w:szCs w:val="20"/>
                <w:color w:val="auto"/>
              </w:rPr>
            </w:pPr>
            <w:r>
              <w:rPr>
                <w:rFonts w:ascii="Arial" w:cs="Arial" w:eastAsia="Arial" w:hAnsi="Arial"/>
                <w:sz w:val="14"/>
                <w:szCs w:val="14"/>
                <w:color w:val="auto"/>
              </w:rPr>
              <w:t>($ in thousands)</w:t>
            </w:r>
          </w:p>
        </w:tc>
        <w:tc>
          <w:tcPr>
            <w:tcW w:w="1400" w:type="dxa"/>
            <w:vAlign w:val="bottom"/>
            <w:gridSpan w:val="3"/>
            <w:vMerge w:val="continue"/>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 xml:space="preserve">Amount </w:t>
            </w:r>
            <w:r>
              <w:rPr>
                <w:rFonts w:ascii="Arial" w:cs="Arial" w:eastAsia="Arial" w:hAnsi="Arial"/>
                <w:sz w:val="12"/>
                <w:szCs w:val="12"/>
                <w:b w:val="1"/>
                <w:bCs w:val="1"/>
                <w:color w:val="auto"/>
                <w:w w:val="95"/>
              </w:rPr>
              <w:t>(1)</w:t>
            </w:r>
          </w:p>
        </w:tc>
        <w:tc>
          <w:tcPr>
            <w:tcW w:w="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Balance Sheets</w:t>
            </w:r>
          </w:p>
        </w:tc>
        <w:tc>
          <w:tcPr>
            <w:tcW w:w="12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Balance Sheets</w:t>
            </w: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12/15/2019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Borders>
              <w:top w:val="single" w:sz="8" w:color="CFF0FC"/>
            </w:tcBorders>
            <w:shd w:val="clear" w:color="auto" w:fill="CFF0FC"/>
          </w:tcPr>
          <w:p>
            <w:pPr>
              <w:spacing w:after="0"/>
              <w:rPr>
                <w:sz w:val="19"/>
                <w:szCs w:val="19"/>
                <w:color w:val="auto"/>
              </w:rPr>
            </w:pPr>
          </w:p>
        </w:tc>
        <w:tc>
          <w:tcPr>
            <w:tcW w:w="27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Receivable for interest rate swaps</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Interest rate swap</w:t>
            </w:r>
          </w:p>
        </w:tc>
        <w:tc>
          <w:tcPr>
            <w:tcW w:w="1120" w:type="dxa"/>
            <w:vAlign w:val="bottom"/>
          </w:tcPr>
          <w:p>
            <w:pPr>
              <w:jc w:val="right"/>
              <w:spacing w:after="0"/>
              <w:rPr>
                <w:sz w:val="20"/>
                <w:szCs w:val="20"/>
                <w:color w:val="auto"/>
              </w:rPr>
            </w:pPr>
            <w:r>
              <w:rPr>
                <w:rFonts w:ascii="Arial" w:cs="Arial" w:eastAsia="Arial" w:hAnsi="Arial"/>
                <w:sz w:val="18"/>
                <w:szCs w:val="18"/>
                <w:color w:val="auto"/>
              </w:rPr>
              <w:t>10/5/2018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92,500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Pr>
          <w:p>
            <w:pPr>
              <w:spacing w:after="0"/>
              <w:rPr>
                <w:sz w:val="19"/>
                <w:szCs w:val="19"/>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Receivable for interest rate swaps</w:t>
            </w: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76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300" w:hanging="512"/>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170" w:lineRule="exact"/>
        <w:rPr>
          <w:sz w:val="20"/>
          <w:szCs w:val="20"/>
          <w:color w:val="auto"/>
        </w:rPr>
      </w:pPr>
    </w:p>
    <w:p>
      <w:pPr>
        <w:jc w:val="both"/>
        <w:ind w:right="300" w:firstLine="259"/>
        <w:spacing w:after="0" w:line="312" w:lineRule="auto"/>
        <w:rPr>
          <w:sz w:val="20"/>
          <w:szCs w:val="20"/>
          <w:color w:val="auto"/>
        </w:rPr>
      </w:pPr>
      <w:r>
        <w:rPr>
          <w:rFonts w:ascii="Arial" w:cs="Arial" w:eastAsia="Arial" w:hAnsi="Arial"/>
          <w:sz w:val="16"/>
          <w:szCs w:val="16"/>
          <w:color w:val="auto"/>
        </w:rPr>
        <w:t>During the three months ended March 31, 2017 and 2016, the Company received $1.3 million and $1.3 million, respectively, and paid $1.2 million and $1.0 million, respectively, related to the quarterly settlements of its total $115 million notional amount interest rate swaps, which mature on December 15, 2019. The net amounts of these settlements are reductions to interest expense in the Company’s consolidated statements of operations.</w:t>
      </w:r>
    </w:p>
    <w:p>
      <w:pPr>
        <w:spacing w:after="0" w:line="147" w:lineRule="exact"/>
        <w:rPr>
          <w:sz w:val="20"/>
          <w:szCs w:val="20"/>
          <w:color w:val="auto"/>
        </w:rPr>
      </w:pPr>
    </w:p>
    <w:p>
      <w:pPr>
        <w:ind w:right="160" w:firstLine="259"/>
        <w:spacing w:after="0" w:line="286" w:lineRule="auto"/>
        <w:rPr>
          <w:sz w:val="20"/>
          <w:szCs w:val="20"/>
          <w:color w:val="auto"/>
        </w:rPr>
      </w:pPr>
      <w:r>
        <w:rPr>
          <w:rFonts w:ascii="Arial" w:cs="Arial" w:eastAsia="Arial" w:hAnsi="Arial"/>
          <w:sz w:val="17"/>
          <w:szCs w:val="17"/>
          <w:color w:val="auto"/>
        </w:rPr>
        <w:t>During the three months ended March 31, 2017 and 2016, the Company received $0.2 million and $0.1 million, respectively, and paid $0.3 million and $0.3 million, respectively, related to the quarterly settlement of its total $92.5 million notional amount interest rate swaps, which mature on October 5, 2018. The net amounts of these settlements are a reduction to interest income in the Company’s consolidated statements of operations.</w:t>
      </w:r>
    </w:p>
    <w:p>
      <w:pPr>
        <w:spacing w:after="0" w:line="166" w:lineRule="exact"/>
        <w:rPr>
          <w:sz w:val="20"/>
          <w:szCs w:val="20"/>
          <w:color w:val="auto"/>
        </w:rPr>
      </w:pPr>
    </w:p>
    <w:p>
      <w:pPr>
        <w:jc w:val="both"/>
        <w:ind w:right="120" w:firstLine="259"/>
        <w:spacing w:after="0" w:line="259" w:lineRule="auto"/>
        <w:rPr>
          <w:sz w:val="20"/>
          <w:szCs w:val="20"/>
          <w:color w:val="auto"/>
        </w:rPr>
      </w:pPr>
      <w:r>
        <w:rPr>
          <w:rFonts w:ascii="Arial" w:cs="Arial" w:eastAsia="Arial" w:hAnsi="Arial"/>
          <w:sz w:val="18"/>
          <w:szCs w:val="18"/>
          <w:color w:val="auto"/>
        </w:rPr>
        <w:t>For the three months ended March 31, 2017 and 2016, the Company recognized $0.2 million and $1.2 million, respectively, of unrealized appreciation on derivatives in the consolidated statement of operations related to the swap transactions. As of March 31, 2017 and December 31, 2016, the swap transactions had a fair value of $0.2 million and $0.1 million, respectively, which is included in receivable for interest rate swaps on the Company’s consolidated balance sheet.</w:t>
      </w:r>
    </w:p>
    <w:p>
      <w:pPr>
        <w:spacing w:after="0" w:line="187" w:lineRule="exact"/>
        <w:rPr>
          <w:sz w:val="20"/>
          <w:szCs w:val="20"/>
          <w:color w:val="auto"/>
        </w:rPr>
      </w:pPr>
    </w:p>
    <w:p>
      <w:pPr>
        <w:ind w:right="60" w:firstLine="259"/>
        <w:spacing w:after="0" w:line="254" w:lineRule="auto"/>
        <w:rPr>
          <w:sz w:val="20"/>
          <w:szCs w:val="20"/>
          <w:color w:val="auto"/>
        </w:rPr>
      </w:pPr>
      <w:r>
        <w:rPr>
          <w:rFonts w:ascii="Arial" w:cs="Arial" w:eastAsia="Arial" w:hAnsi="Arial"/>
          <w:sz w:val="18"/>
          <w:szCs w:val="18"/>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March 31, 2017, $2.6 million of cash is pledged as collateral under the Company’s derivative instruments and is included in restricted cash as a component of cash and cash equivalents on the Company’s consolidated balance sheet. The Company had $1.1 million of cash collateral posted as of December 31, 2016, which is also included in restricted cash as a component of cash and cash equivalents on the Company’s consolidated balance sheet.</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March 31, 2017 and December 31, 2016:</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7"/>
          </w:tcPr>
          <w:p>
            <w:pPr>
              <w:ind w:left="140"/>
              <w:spacing w:after="0"/>
              <w:rPr>
                <w:sz w:val="20"/>
                <w:szCs w:val="20"/>
                <w:color w:val="auto"/>
              </w:rPr>
            </w:pPr>
            <w:r>
              <w:rPr>
                <w:rFonts w:ascii="Arial" w:cs="Arial" w:eastAsia="Arial" w:hAnsi="Arial"/>
                <w:sz w:val="14"/>
                <w:szCs w:val="14"/>
                <w:b w:val="1"/>
                <w:bCs w:val="1"/>
                <w:color w:val="auto"/>
                <w:w w:val="97"/>
              </w:rPr>
              <w:t>Fair Value Hierarchy at March 31, 2017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120,023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1,436,641</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1,556,664</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1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14,262</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20,256</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1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126,009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1,454,261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1,580,278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Interest rate swaps</w:t>
            </w: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1,454,261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1,580,501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27</w:t>
            </w: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9" w:right="219" w:bottom="1440" w:gutter="0" w:footer="0" w:header="0"/>
        </w:sectPr>
      </w:pPr>
    </w:p>
    <w:bookmarkStart w:id="27" w:name="page28"/>
    <w:bookmarkEnd w:id="27"/>
    <w:tbl>
      <w:tblPr>
        <w:tblLayout w:type="fixed"/>
        <w:tblInd w:w="58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720" w:type="dxa"/>
            <w:vAlign w:val="bottom"/>
            <w:gridSpan w:val="7"/>
          </w:tcPr>
          <w:p>
            <w:pPr>
              <w:ind w:left="40"/>
              <w:spacing w:after="0"/>
              <w:rPr>
                <w:sz w:val="20"/>
                <w:szCs w:val="20"/>
                <w:color w:val="auto"/>
              </w:rPr>
            </w:pPr>
            <w:r>
              <w:rPr>
                <w:rFonts w:ascii="Arial" w:cs="Arial" w:eastAsia="Arial" w:hAnsi="Arial"/>
                <w:sz w:val="14"/>
                <w:szCs w:val="14"/>
                <w:b w:val="1"/>
                <w:bCs w:val="1"/>
                <w:color w:val="auto"/>
                <w:w w:val="94"/>
              </w:rPr>
              <w:t>Fair Value Hierarchy at December 31, 2016</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r>
      <w:tr>
        <w:trPr>
          <w:trHeight w:val="156"/>
        </w:trPr>
        <w:tc>
          <w:tcPr>
            <w:tcW w:w="53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145,491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1,454,087</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1,599,578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16,227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19,577</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10,681</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8,522</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12,465</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27,567</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175,410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1,469,902</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1,657,403</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r>
      <w:tr>
        <w:trPr>
          <w:trHeight w:val="223"/>
        </w:trPr>
        <w:tc>
          <w:tcPr>
            <w:tcW w:w="5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1,469,902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1,657,472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52"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months ended March 31, 2017 and 2016: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4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March 31, 2017</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8"/>
              </w:rPr>
              <w:t>First-lien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8"/>
              </w:rPr>
              <w:t>Second-lien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4"/>
              </w:rPr>
              <w:t>Mezzanine</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15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and unsecured debt</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1,454,087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1,469,902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163,626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163,626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(188,342)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(188,342)</w:t>
            </w: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Paid-in-kind interest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(3,292)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(1,487)</w:t>
            </w: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realized losses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1,436,641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1,454,261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7"/>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March 31, 2016</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8"/>
              </w:rPr>
              <w:t>First-lien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8"/>
              </w:rPr>
              <w:t>Second-lien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4"/>
              </w:rPr>
              <w:t>Mezzanine</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15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and unsecured debt</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1,229,491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90,442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1,335,939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92,438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92,433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(59,198)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(61,363)</w:t>
            </w: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Paid-in-kind interest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1,267,992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91,416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1,373,423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9" w:right="219" w:bottom="1440" w:gutter="0" w:footer="0" w:header="0"/>
        </w:sectPr>
      </w:pPr>
    </w:p>
    <w:bookmarkStart w:id="28" w:name="page29"/>
    <w:bookmarkEnd w:id="28"/>
    <w:p>
      <w:pPr>
        <w:ind w:right="300" w:firstLine="259"/>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March 31, 2017 and 2016:</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Net Change in Unrealized</w:t>
            </w:r>
          </w:p>
        </w:tc>
        <w:tc>
          <w:tcPr>
            <w:tcW w:w="120" w:type="dxa"/>
            <w:vAlign w:val="bottom"/>
          </w:tcPr>
          <w:p>
            <w:pPr>
              <w:spacing w:after="0"/>
              <w:rPr>
                <w:sz w:val="14"/>
                <w:szCs w:val="14"/>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62"/>
        </w:trPr>
        <w:tc>
          <w:tcPr>
            <w:tcW w:w="3880" w:type="dxa"/>
            <w:vAlign w:val="bottom"/>
          </w:tcPr>
          <w:p>
            <w:pPr>
              <w:spacing w:after="0"/>
              <w:rPr>
                <w:sz w:val="14"/>
                <w:szCs w:val="14"/>
                <w:color w:val="auto"/>
              </w:rPr>
            </w:pPr>
          </w:p>
        </w:tc>
        <w:tc>
          <w:tcPr>
            <w:tcW w:w="2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Appreciation or (Depreciation)</w:t>
            </w:r>
          </w:p>
        </w:tc>
        <w:tc>
          <w:tcPr>
            <w:tcW w:w="2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Appreciation or (Depreciation)</w:t>
            </w:r>
          </w:p>
        </w:tc>
      </w:tr>
      <w:tr>
        <w:trPr>
          <w:trHeight w:val="162"/>
        </w:trPr>
        <w:tc>
          <w:tcPr>
            <w:tcW w:w="3880" w:type="dxa"/>
            <w:vAlign w:val="bottom"/>
          </w:tcPr>
          <w:p>
            <w:pPr>
              <w:spacing w:after="0"/>
              <w:rPr>
                <w:sz w:val="14"/>
                <w:szCs w:val="14"/>
                <w:color w:val="auto"/>
              </w:rPr>
            </w:pPr>
          </w:p>
        </w:tc>
        <w:tc>
          <w:tcPr>
            <w:tcW w:w="2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for the Three Months Ended</w:t>
            </w:r>
          </w:p>
        </w:tc>
        <w:tc>
          <w:tcPr>
            <w:tcW w:w="2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for the Three Months Ended</w:t>
            </w:r>
          </w:p>
        </w:tc>
      </w:tr>
      <w:tr>
        <w:trPr>
          <w:trHeight w:val="162"/>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March 31, 2017 on</w:t>
            </w:r>
          </w:p>
        </w:tc>
        <w:tc>
          <w:tcPr>
            <w:tcW w:w="120" w:type="dxa"/>
            <w:vAlign w:val="bottom"/>
          </w:tcPr>
          <w:p>
            <w:pPr>
              <w:spacing w:after="0"/>
              <w:rPr>
                <w:sz w:val="14"/>
                <w:szCs w:val="14"/>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March 31, 2016 on</w:t>
            </w:r>
          </w:p>
        </w:tc>
      </w:tr>
      <w:tr>
        <w:trPr>
          <w:trHeight w:val="162"/>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Investments Held at</w:t>
            </w:r>
          </w:p>
        </w:tc>
        <w:tc>
          <w:tcPr>
            <w:tcW w:w="120" w:type="dxa"/>
            <w:vAlign w:val="bottom"/>
          </w:tcPr>
          <w:p>
            <w:pPr>
              <w:spacing w:after="0"/>
              <w:rPr>
                <w:sz w:val="14"/>
                <w:szCs w:val="14"/>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Investments Held at</w:t>
            </w:r>
          </w:p>
        </w:tc>
      </w:tr>
      <w:tr>
        <w:trPr>
          <w:trHeight w:val="171"/>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March 31, 2017</w:t>
            </w:r>
          </w:p>
        </w:tc>
        <w:tc>
          <w:tcPr>
            <w:tcW w:w="120" w:type="dxa"/>
            <w:vAlign w:val="bottom"/>
          </w:tcPr>
          <w:p>
            <w:pPr>
              <w:spacing w:after="0"/>
              <w:rPr>
                <w:sz w:val="14"/>
                <w:szCs w:val="14"/>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March 31, 2016</w:t>
            </w: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r>
      <w:tr>
        <w:trPr>
          <w:trHeight w:val="215"/>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w:t>
            </w: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20"/>
                <w:szCs w:val="20"/>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r>
      <w:tr>
        <w:trPr>
          <w:trHeight w:val="223"/>
        </w:trPr>
        <w:tc>
          <w:tcPr>
            <w:tcW w:w="38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tables present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2017 and December 31, 2016. The tables are not intended to be all-inclusive, but instead capture the significant unobservable inputs relevant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determination of fair values.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March 31, 2017</w:t>
            </w:r>
          </w:p>
        </w:tc>
        <w:tc>
          <w:tcPr>
            <w:tcW w:w="1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Unobservable</w:t>
            </w:r>
          </w:p>
        </w:tc>
        <w:tc>
          <w:tcPr>
            <w:tcW w:w="1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Range (Weighted</w:t>
            </w:r>
          </w:p>
        </w:tc>
        <w:tc>
          <w:tcPr>
            <w:tcW w:w="1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from an</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4"/>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840" w:type="dxa"/>
            <w:vAlign w:val="bottom"/>
            <w:gridSpan w:val="2"/>
          </w:tcPr>
          <w:p>
            <w:pPr>
              <w:ind w:left="540"/>
              <w:spacing w:after="0"/>
              <w:rPr>
                <w:sz w:val="20"/>
                <w:szCs w:val="20"/>
                <w:color w:val="auto"/>
              </w:rPr>
            </w:pPr>
            <w:r>
              <w:rPr>
                <w:rFonts w:ascii="Arial" w:cs="Arial" w:eastAsia="Arial" w:hAnsi="Arial"/>
                <w:sz w:val="14"/>
                <w:szCs w:val="14"/>
                <w:b w:val="1"/>
                <w:bCs w:val="1"/>
                <w:color w:val="auto"/>
              </w:rPr>
              <w:t>Technique</w:t>
            </w: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Input</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Average)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Increase to Input</w:t>
            </w:r>
          </w:p>
        </w:tc>
        <w:tc>
          <w:tcPr>
            <w:tcW w:w="0" w:type="dxa"/>
            <w:vAlign w:val="bottom"/>
          </w:tcPr>
          <w:p>
            <w:pPr>
              <w:spacing w:after="0"/>
              <w:rPr>
                <w:sz w:val="1"/>
                <w:szCs w:val="1"/>
                <w:color w:val="auto"/>
              </w:rPr>
            </w:pPr>
          </w:p>
        </w:tc>
      </w:tr>
      <w:tr>
        <w:trPr>
          <w:trHeight w:val="223"/>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1,436,641</w:t>
            </w:r>
          </w:p>
        </w:tc>
        <w:tc>
          <w:tcPr>
            <w:tcW w:w="2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Market yield</w:t>
            </w:r>
          </w:p>
        </w:tc>
        <w:tc>
          <w:tcPr>
            <w:tcW w:w="10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5.2% — 12.12% (9.2%)</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3,358</w:t>
            </w: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Income approach</w:t>
            </w:r>
          </w:p>
        </w:tc>
        <w:tc>
          <w:tcPr>
            <w:tcW w:w="1860" w:type="dxa"/>
            <w:vAlign w:val="bottom"/>
            <w:gridSpan w:val="2"/>
          </w:tcPr>
          <w:p>
            <w:pPr>
              <w:spacing w:after="0"/>
              <w:rPr>
                <w:sz w:val="20"/>
                <w:szCs w:val="20"/>
                <w:color w:val="auto"/>
              </w:rPr>
            </w:pPr>
            <w:r>
              <w:rPr>
                <w:rFonts w:ascii="Arial" w:cs="Arial" w:eastAsia="Arial" w:hAnsi="Arial"/>
                <w:sz w:val="18"/>
                <w:szCs w:val="18"/>
                <w:color w:val="auto"/>
              </w:rPr>
              <w:t>Market yield</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13.5% — 13.5% (13.5%)</w:t>
            </w:r>
          </w:p>
        </w:tc>
        <w:tc>
          <w:tcPr>
            <w:tcW w:w="1740" w:type="dxa"/>
            <w:vAlign w:val="bottom"/>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14,262</w:t>
            </w:r>
          </w:p>
        </w:tc>
        <w:tc>
          <w:tcPr>
            <w:tcW w:w="206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(2)</w:t>
            </w:r>
          </w:p>
        </w:tc>
        <w:tc>
          <w:tcPr>
            <w:tcW w:w="1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Comparable multiple</w:t>
            </w:r>
          </w:p>
        </w:tc>
        <w:tc>
          <w:tcPr>
            <w:tcW w:w="196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3"/>
              </w:rPr>
              <w:t>8.4x — 13.5x (10.3x)</w:t>
            </w:r>
          </w:p>
        </w:tc>
        <w:tc>
          <w:tcPr>
            <w:tcW w:w="1740" w:type="dxa"/>
            <w:vAlign w:val="bottom"/>
            <w:shd w:val="clear" w:color="auto" w:fill="CFF0FC"/>
          </w:tcPr>
          <w:p>
            <w:pPr>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right="400" w:hanging="512"/>
        <w:spacing w:after="0" w:line="258"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$77.2 million of first-lien debt investments which, due to the proximity of the transactions relative to the measurement date, were valued using the cost of the investments.</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$0.1 million of equity investments which were valued using a weighted valuation approach.</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w w:val="90"/>
              </w:rPr>
              <w:t>December 31, 2016</w:t>
            </w: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8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Unobservable</w:t>
            </w:r>
          </w:p>
        </w:tc>
        <w:tc>
          <w:tcPr>
            <w:tcW w:w="19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2"/>
              </w:rPr>
              <w:t>Range (Weighted</w:t>
            </w:r>
          </w:p>
        </w:tc>
        <w:tc>
          <w:tcPr>
            <w:tcW w:w="1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960" w:type="dxa"/>
            <w:vAlign w:val="bottom"/>
            <w:gridSpan w:val="4"/>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from an</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4"/>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840" w:type="dxa"/>
            <w:vAlign w:val="bottom"/>
            <w:gridSpan w:val="2"/>
          </w:tcPr>
          <w:p>
            <w:pPr>
              <w:ind w:left="540"/>
              <w:spacing w:after="0"/>
              <w:rPr>
                <w:sz w:val="20"/>
                <w:szCs w:val="20"/>
                <w:color w:val="auto"/>
              </w:rPr>
            </w:pPr>
            <w:r>
              <w:rPr>
                <w:rFonts w:ascii="Arial" w:cs="Arial" w:eastAsia="Arial" w:hAnsi="Arial"/>
                <w:sz w:val="14"/>
                <w:szCs w:val="14"/>
                <w:b w:val="1"/>
                <w:bCs w:val="1"/>
                <w:color w:val="auto"/>
              </w:rPr>
              <w:t>Technique</w:t>
            </w:r>
          </w:p>
        </w:tc>
        <w:tc>
          <w:tcPr>
            <w:tcW w:w="1860" w:type="dxa"/>
            <w:vAlign w:val="bottom"/>
            <w:gridSpan w:val="2"/>
          </w:tcPr>
          <w:p>
            <w:pPr>
              <w:ind w:left="700"/>
              <w:spacing w:after="0"/>
              <w:rPr>
                <w:sz w:val="20"/>
                <w:szCs w:val="20"/>
                <w:color w:val="auto"/>
              </w:rPr>
            </w:pPr>
            <w:r>
              <w:rPr>
                <w:rFonts w:ascii="Arial" w:cs="Arial" w:eastAsia="Arial" w:hAnsi="Arial"/>
                <w:sz w:val="14"/>
                <w:szCs w:val="14"/>
                <w:b w:val="1"/>
                <w:bCs w:val="1"/>
                <w:color w:val="auto"/>
              </w:rPr>
              <w:t>Input</w:t>
            </w:r>
          </w:p>
        </w:tc>
        <w:tc>
          <w:tcPr>
            <w:tcW w:w="500" w:type="dxa"/>
            <w:vAlign w:val="bottom"/>
          </w:tcPr>
          <w:p>
            <w:pPr>
              <w:spacing w:after="0"/>
              <w:rPr>
                <w:sz w:val="14"/>
                <w:szCs w:val="14"/>
                <w:color w:val="auto"/>
              </w:rPr>
            </w:pPr>
          </w:p>
        </w:tc>
        <w:tc>
          <w:tcPr>
            <w:tcW w:w="720" w:type="dxa"/>
            <w:vAlign w:val="bottom"/>
          </w:tcPr>
          <w:p>
            <w:pPr>
              <w:jc w:val="center"/>
              <w:ind w:left="36"/>
              <w:spacing w:after="0"/>
              <w:rPr>
                <w:sz w:val="20"/>
                <w:szCs w:val="20"/>
                <w:color w:val="auto"/>
              </w:rPr>
            </w:pPr>
            <w:r>
              <w:rPr>
                <w:rFonts w:ascii="Arial" w:cs="Arial" w:eastAsia="Arial" w:hAnsi="Arial"/>
                <w:sz w:val="14"/>
                <w:szCs w:val="14"/>
                <w:b w:val="1"/>
                <w:bCs w:val="1"/>
                <w:color w:val="auto"/>
                <w:w w:val="93"/>
              </w:rPr>
              <w:t>Average)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Increase to Input</w:t>
            </w:r>
          </w:p>
        </w:tc>
        <w:tc>
          <w:tcPr>
            <w:tcW w:w="0" w:type="dxa"/>
            <w:vAlign w:val="bottom"/>
          </w:tcPr>
          <w:p>
            <w:pPr>
              <w:spacing w:after="0"/>
              <w:rPr>
                <w:sz w:val="1"/>
                <w:szCs w:val="1"/>
                <w:color w:val="auto"/>
              </w:rPr>
            </w:pPr>
          </w:p>
        </w:tc>
      </w:tr>
      <w:tr>
        <w:trPr>
          <w:trHeight w:val="223"/>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1,454,087</w:t>
            </w:r>
          </w:p>
        </w:tc>
        <w:tc>
          <w:tcPr>
            <w:tcW w:w="2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Market yield</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7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1"/>
              </w:rPr>
              <w:t>— 12.9%</w:t>
            </w:r>
          </w:p>
        </w:tc>
        <w:tc>
          <w:tcPr>
            <w:tcW w:w="6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(9.3%)</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3,350</w:t>
            </w: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Income approach</w:t>
            </w:r>
          </w:p>
        </w:tc>
        <w:tc>
          <w:tcPr>
            <w:tcW w:w="1860" w:type="dxa"/>
            <w:vAlign w:val="bottom"/>
            <w:gridSpan w:val="2"/>
          </w:tcPr>
          <w:p>
            <w:pPr>
              <w:spacing w:after="0"/>
              <w:rPr>
                <w:sz w:val="20"/>
                <w:szCs w:val="20"/>
                <w:color w:val="auto"/>
              </w:rPr>
            </w:pPr>
            <w:r>
              <w:rPr>
                <w:rFonts w:ascii="Arial" w:cs="Arial" w:eastAsia="Arial" w:hAnsi="Arial"/>
                <w:sz w:val="18"/>
                <w:szCs w:val="18"/>
                <w:color w:val="auto"/>
              </w:rPr>
              <w:t>Market yield</w:t>
            </w:r>
          </w:p>
        </w:tc>
        <w:tc>
          <w:tcPr>
            <w:tcW w:w="500" w:type="dxa"/>
            <w:vAlign w:val="bottom"/>
          </w:tcPr>
          <w:p>
            <w:pPr>
              <w:jc w:val="right"/>
              <w:spacing w:after="0"/>
              <w:rPr>
                <w:sz w:val="20"/>
                <w:szCs w:val="20"/>
                <w:color w:val="auto"/>
              </w:rPr>
            </w:pPr>
            <w:r>
              <w:rPr>
                <w:rFonts w:ascii="Arial" w:cs="Arial" w:eastAsia="Arial" w:hAnsi="Arial"/>
                <w:sz w:val="18"/>
                <w:szCs w:val="18"/>
                <w:color w:val="auto"/>
                <w:w w:val="86"/>
              </w:rPr>
              <w:t>13.6%</w:t>
            </w:r>
          </w:p>
        </w:tc>
        <w:tc>
          <w:tcPr>
            <w:tcW w:w="720" w:type="dxa"/>
            <w:vAlign w:val="bottom"/>
          </w:tcPr>
          <w:p>
            <w:pPr>
              <w:ind w:left="20"/>
              <w:spacing w:after="0"/>
              <w:rPr>
                <w:sz w:val="20"/>
                <w:szCs w:val="20"/>
                <w:color w:val="auto"/>
              </w:rPr>
            </w:pPr>
            <w:r>
              <w:rPr>
                <w:rFonts w:ascii="Arial" w:cs="Arial" w:eastAsia="Arial" w:hAnsi="Arial"/>
                <w:sz w:val="18"/>
                <w:szCs w:val="18"/>
                <w:color w:val="auto"/>
                <w:w w:val="91"/>
              </w:rPr>
              <w:t>— 13.6%</w:t>
            </w:r>
          </w:p>
        </w:tc>
        <w:tc>
          <w:tcPr>
            <w:tcW w:w="620" w:type="dxa"/>
            <w:vAlign w:val="bottom"/>
          </w:tcPr>
          <w:p>
            <w:pPr>
              <w:ind w:left="20"/>
              <w:spacing w:after="0"/>
              <w:rPr>
                <w:sz w:val="20"/>
                <w:szCs w:val="20"/>
                <w:color w:val="auto"/>
              </w:rPr>
            </w:pPr>
            <w:r>
              <w:rPr>
                <w:rFonts w:ascii="Arial" w:cs="Arial" w:eastAsia="Arial" w:hAnsi="Arial"/>
                <w:sz w:val="18"/>
                <w:szCs w:val="18"/>
                <w:color w:val="auto"/>
                <w:w w:val="91"/>
              </w:rPr>
              <w:t>(13.6%)</w:t>
            </w:r>
          </w:p>
        </w:tc>
        <w:tc>
          <w:tcPr>
            <w:tcW w:w="12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12,465</w:t>
            </w:r>
          </w:p>
        </w:tc>
        <w:tc>
          <w:tcPr>
            <w:tcW w:w="206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(2)</w:t>
            </w:r>
          </w:p>
        </w:tc>
        <w:tc>
          <w:tcPr>
            <w:tcW w:w="1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Comparable multiple</w:t>
            </w:r>
          </w:p>
        </w:tc>
        <w:tc>
          <w:tcPr>
            <w:tcW w:w="1960" w:type="dxa"/>
            <w:vAlign w:val="bottom"/>
            <w:gridSpan w:val="4"/>
            <w:shd w:val="clear" w:color="auto" w:fill="CFF0FC"/>
          </w:tcPr>
          <w:p>
            <w:pPr>
              <w:jc w:val="center"/>
              <w:ind w:right="120"/>
              <w:spacing w:after="0"/>
              <w:rPr>
                <w:sz w:val="20"/>
                <w:szCs w:val="20"/>
                <w:color w:val="auto"/>
              </w:rPr>
            </w:pPr>
            <w:r>
              <w:rPr>
                <w:rFonts w:ascii="Arial" w:cs="Arial" w:eastAsia="Arial" w:hAnsi="Arial"/>
                <w:sz w:val="18"/>
                <w:szCs w:val="18"/>
                <w:color w:val="auto"/>
                <w:w w:val="93"/>
              </w:rPr>
              <w:t>8.4x — 13.5x (10.1x)</w:t>
            </w:r>
          </w:p>
        </w:tc>
        <w:tc>
          <w:tcPr>
            <w:tcW w:w="1740" w:type="dxa"/>
            <w:vAlign w:val="bottom"/>
            <w:shd w:val="clear" w:color="auto" w:fill="CFF0FC"/>
          </w:tcPr>
          <w:p>
            <w:pPr>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$123.6 million of first-lien debt investments which were valued using a waterfall of the asset valuation.</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$4.7 million of equity investments which were valued using a weighted valuation approach.</w:t>
      </w:r>
    </w:p>
    <w:p>
      <w:pPr>
        <w:spacing w:after="0" w:line="211"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9" w:name="page30"/>
    <w:bookmarkEnd w:id="29"/>
    <w:p>
      <w:pPr>
        <w:ind w:right="20" w:firstLine="259"/>
        <w:spacing w:after="0" w:line="273"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firstLine="259"/>
        <w:spacing w:after="0" w:line="312" w:lineRule="auto"/>
        <w:rPr>
          <w:sz w:val="20"/>
          <w:szCs w:val="20"/>
          <w:color w:val="auto"/>
        </w:rPr>
      </w:pPr>
      <w:r>
        <w:rPr>
          <w:rFonts w:ascii="Arial" w:cs="Arial" w:eastAsia="Arial" w:hAnsi="Arial"/>
          <w:sz w:val="16"/>
          <w:szCs w:val="16"/>
          <w:color w:val="auto"/>
        </w:rPr>
        <w:t>The fair value of the Company’s Revolving Credit Facility, which is categorized as Level 3 within the fair value hierarchy, as of March 31, 2017, approximates its carrying value as the outstanding balance is callable at carrying value. The fair value of the Company’s Convertible Senior Notes, which are categorized as Level 2 within the fair value hierarchy, as of March 31, 2017, was $237.2 million, based on broker quotes received by the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color w:val="auto"/>
        </w:rPr>
        <w:t>The carrying amounts of the Company’s assets and liabilities, other than investments at fair value and the Convertible Senior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March 31, 2017 and December 31, 2016, the Company’s asset coverage was 255.3% and 237.7%, respectively.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March 31, 2017 and December 31, 2016:</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March 31, 2017</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78"/>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390,216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554,784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381,899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2022 Convertible Senior Notes</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1,175,000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620,216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554,784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603,999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40" w:hanging="512"/>
        <w:spacing w:after="0" w:line="261"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2019 and 2022 Convertible Senior Notes are presented net of deferred financing costs of $8.3 million, $2.1 million, and $3.7 million, respectively.</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79"/>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578,657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366,343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569,919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2019 Convertible Senior Notes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1,060,000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693,657</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366,343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680,709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2019 Convertible Senior Notes are presented net of deferred financing costs of $8.7 million and $2.3 million, respectively.</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30" w:name="page31"/>
    <w:bookmarkEnd w:id="30"/>
    <w:p>
      <w:pPr>
        <w:ind w:left="260"/>
        <w:spacing w:after="0"/>
        <w:rPr>
          <w:sz w:val="20"/>
          <w:szCs w:val="20"/>
          <w:color w:val="auto"/>
        </w:rPr>
      </w:pPr>
      <w:r>
        <w:rPr>
          <w:rFonts w:ascii="Arial" w:cs="Arial" w:eastAsia="Arial" w:hAnsi="Arial"/>
          <w:sz w:val="18"/>
          <w:szCs w:val="18"/>
          <w:color w:val="auto"/>
        </w:rPr>
        <w:t>For the three months ended March 31, 2017 and 2016, the components of interest expense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260" w:type="dxa"/>
            <w:vAlign w:val="bottom"/>
          </w:tcPr>
          <w:p>
            <w:pPr>
              <w:spacing w:after="0"/>
              <w:rPr>
                <w:sz w:val="14"/>
                <w:szCs w:val="14"/>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March 31, 2017</w:t>
            </w:r>
          </w:p>
        </w:tc>
        <w:tc>
          <w:tcPr>
            <w:tcW w:w="80" w:type="dxa"/>
            <w:vAlign w:val="bottom"/>
          </w:tcPr>
          <w:p>
            <w:pPr>
              <w:spacing w:after="0"/>
              <w:rPr>
                <w:sz w:val="14"/>
                <w:szCs w:val="14"/>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March 31, 2016</w:t>
            </w: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40" w:type="dxa"/>
            <w:vAlign w:val="bottom"/>
            <w:tcBorders>
              <w:top w:val="single" w:sz="8" w:color="auto"/>
            </w:tcBorders>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5,687</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1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4,631</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Commitment fees</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Swap settlement </w:t>
            </w:r>
            <w:r>
              <w:rPr>
                <w:rFonts w:ascii="Arial" w:cs="Arial" w:eastAsia="Arial" w:hAnsi="Arial"/>
                <w:sz w:val="15"/>
                <w:szCs w:val="15"/>
                <w:color w:val="auto"/>
              </w:rPr>
              <w:t>(1)</w:t>
            </w: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(313)</w:t>
            </w:r>
          </w:p>
        </w:tc>
      </w:tr>
      <w:tr>
        <w:trPr>
          <w:trHeight w:val="263"/>
        </w:trPr>
        <w:tc>
          <w:tcPr>
            <w:tcW w:w="5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3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6,865</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5,298</w:t>
            </w:r>
          </w:p>
        </w:tc>
        <w:tc>
          <w:tcPr>
            <w:tcW w:w="180" w:type="dxa"/>
            <w:vAlign w:val="bottom"/>
            <w:tcBorders>
              <w:bottom w:val="single" w:sz="8" w:color="CFF0FC"/>
            </w:tcBorders>
          </w:tcPr>
          <w:p>
            <w:pPr>
              <w:spacing w:after="0"/>
              <w:rPr>
                <w:sz w:val="22"/>
                <w:szCs w:val="22"/>
                <w:color w:val="auto"/>
              </w:rPr>
            </w:pPr>
          </w:p>
        </w:tc>
      </w:tr>
      <w:tr>
        <w:trPr>
          <w:trHeight w:val="21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 (in millions)</w:t>
            </w:r>
          </w:p>
        </w:tc>
        <w:tc>
          <w:tcPr>
            <w:tcW w:w="340" w:type="dxa"/>
            <w:vAlign w:val="bottom"/>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666.0</w:t>
            </w:r>
          </w:p>
        </w:tc>
        <w:tc>
          <w:tcPr>
            <w:tcW w:w="180" w:type="dxa"/>
            <w:vAlign w:val="bottom"/>
            <w:shd w:val="clear" w:color="auto" w:fill="CFF0FC"/>
          </w:tcPr>
          <w:p>
            <w:pPr>
              <w:spacing w:after="0"/>
              <w:rPr>
                <w:sz w:val="18"/>
                <w:szCs w:val="18"/>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3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Average 1-month LIBOR rate</w:t>
            </w: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0.83%</w:t>
            </w: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0.43%</w:t>
            </w:r>
          </w:p>
        </w:tc>
      </w:tr>
    </w:tbl>
    <w:p>
      <w:pPr>
        <w:spacing w:after="0" w:line="242"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quarterly settlement of the interest rate swap related to the Company’s 2019 Convertible Senior Notes.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65"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62" w:lineRule="exact"/>
        <w:rPr>
          <w:sz w:val="20"/>
          <w:szCs w:val="20"/>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17" w:lineRule="exact"/>
        <w:rPr>
          <w:rFonts w:ascii="Arial" w:cs="Arial" w:eastAsia="Arial" w:hAnsi="Arial"/>
          <w:sz w:val="18"/>
          <w:szCs w:val="18"/>
          <w:color w:val="auto"/>
        </w:rPr>
      </w:pPr>
    </w:p>
    <w:p>
      <w:pPr>
        <w:ind w:left="520" w:right="320" w:hanging="255"/>
        <w:spacing w:after="0" w:line="27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17" w:lineRule="exact"/>
        <w:rPr>
          <w:rFonts w:ascii="Arial" w:cs="Arial" w:eastAsia="Arial" w:hAnsi="Arial"/>
          <w:sz w:val="18"/>
          <w:szCs w:val="18"/>
          <w:color w:val="auto"/>
        </w:rPr>
      </w:pPr>
    </w:p>
    <w:p>
      <w:pPr>
        <w:ind w:left="780" w:right="380" w:hanging="259"/>
        <w:spacing w:after="0" w:line="277" w:lineRule="auto"/>
        <w:tabs>
          <w:tab w:leader="none" w:pos="7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jc w:val="both"/>
        <w:ind w:right="240" w:firstLine="259"/>
        <w:spacing w:after="0" w:line="342" w:lineRule="auto"/>
        <w:rPr>
          <w:sz w:val="20"/>
          <w:szCs w:val="20"/>
          <w:color w:val="auto"/>
        </w:rPr>
      </w:pPr>
      <w:r>
        <w:rPr>
          <w:rFonts w:ascii="Arial" w:cs="Arial" w:eastAsia="Arial" w:hAnsi="Arial"/>
          <w:sz w:val="16"/>
          <w:szCs w:val="16"/>
          <w:color w:val="auto"/>
        </w:rPr>
        <w:t>On May 30, 2014, the Company entered into agreements with various financial institutions pursuant to which each of the institutions agreed to provide commitments through the accordion feature of the Revolving Credit Facility, increasing the aggregate commitments from $581.3 million to $781.3 million.</w:t>
      </w:r>
    </w:p>
    <w:p>
      <w:pPr>
        <w:spacing w:after="0" w:line="124"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On June 27, 2014, the Company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17, 2014, the Company entered into a third amendment to the Revolving Credit Facility:</w:t>
      </w:r>
    </w:p>
    <w:p>
      <w:pPr>
        <w:spacing w:after="0" w:line="117" w:lineRule="exact"/>
        <w:rPr>
          <w:sz w:val="20"/>
          <w:szCs w:val="20"/>
          <w:color w:val="auto"/>
        </w:rPr>
      </w:pPr>
    </w:p>
    <w:p>
      <w:pPr>
        <w:ind w:left="520" w:right="140" w:hanging="255"/>
        <w:spacing w:after="0" w:line="308"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38" w:lineRule="exact"/>
        <w:rPr>
          <w:rFonts w:ascii="Arial" w:cs="Arial" w:eastAsia="Arial" w:hAnsi="Arial"/>
          <w:sz w:val="17"/>
          <w:szCs w:val="17"/>
          <w:color w:val="auto"/>
        </w:rPr>
      </w:pPr>
    </w:p>
    <w:p>
      <w:pPr>
        <w:ind w:left="520" w:hanging="255"/>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jc w:val="both"/>
        <w:ind w:firstLine="259"/>
        <w:spacing w:after="0" w:line="312" w:lineRule="auto"/>
        <w:rPr>
          <w:sz w:val="20"/>
          <w:szCs w:val="20"/>
          <w:color w:val="auto"/>
        </w:rPr>
      </w:pPr>
      <w:r>
        <w:rPr>
          <w:rFonts w:ascii="Arial" w:cs="Arial" w:eastAsia="Arial" w:hAnsi="Arial"/>
          <w:sz w:val="16"/>
          <w:szCs w:val="16"/>
          <w:color w:val="auto"/>
        </w:rPr>
        <w:t>On October 23, 2014, the Company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2, 2015, the Company entered into a fourth amendment to the Revolving Credit Facility:</w:t>
      </w:r>
    </w:p>
    <w:p>
      <w:pPr>
        <w:spacing w:after="0" w:line="117" w:lineRule="exact"/>
        <w:rPr>
          <w:sz w:val="20"/>
          <w:szCs w:val="20"/>
          <w:color w:val="auto"/>
        </w:rPr>
      </w:pPr>
    </w:p>
    <w:p>
      <w:pPr>
        <w:ind w:left="520" w:right="120" w:hanging="255"/>
        <w:spacing w:after="0" w:line="264"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17" w:lineRule="exact"/>
        <w:rPr>
          <w:rFonts w:ascii="Arial" w:cs="Arial" w:eastAsia="Arial" w:hAnsi="Arial"/>
          <w:sz w:val="18"/>
          <w:szCs w:val="18"/>
          <w:color w:val="auto"/>
        </w:rPr>
      </w:pPr>
    </w:p>
    <w:p>
      <w:pPr>
        <w:ind w:left="520" w:right="80" w:hanging="255"/>
        <w:spacing w:after="0" w:line="277"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the accordion feature, which allows the Company, under certain circumstances, to increase the size of the Revolving Credit Facility, from a maximum of $956.3 million to a maximum of $1.25 billion.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December 22, 2016, the Company entered into a fifth amendment to the Revolving Credit Facility:</w:t>
      </w:r>
    </w:p>
    <w:p>
      <w:pPr>
        <w:spacing w:after="0" w:line="117" w:lineRule="exact"/>
        <w:rPr>
          <w:sz w:val="20"/>
          <w:szCs w:val="20"/>
          <w:color w:val="auto"/>
        </w:rPr>
      </w:pPr>
    </w:p>
    <w:p>
      <w:pPr>
        <w:ind w:left="520" w:hanging="255"/>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the aggregate commitments from $821.3 million to $945.0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 respect to $885.0 million in commitments,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extending the revolving period from October 2, 2019 to December 22, 2020; and</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extending the stated maturity date from October 2, 2020 to December 22, 2021.</w:t>
      </w:r>
    </w:p>
    <w:p>
      <w:pPr>
        <w:spacing w:after="0" w:line="225" w:lineRule="exact"/>
        <w:rPr>
          <w:sz w:val="20"/>
          <w:szCs w:val="20"/>
          <w:color w:val="auto"/>
        </w:rPr>
      </w:pPr>
    </w:p>
    <w:p>
      <w:pPr>
        <w:ind w:right="520" w:firstLine="259"/>
        <w:spacing w:after="0" w:line="342" w:lineRule="auto"/>
        <w:rPr>
          <w:sz w:val="20"/>
          <w:szCs w:val="20"/>
          <w:color w:val="auto"/>
        </w:rPr>
      </w:pPr>
      <w:r>
        <w:rPr>
          <w:rFonts w:ascii="Arial" w:cs="Arial" w:eastAsia="Arial" w:hAnsi="Arial"/>
          <w:sz w:val="16"/>
          <w:szCs w:val="16"/>
          <w:color w:val="auto"/>
        </w:rPr>
        <w:t>The Company may borrow amounts in U.S. dollars or certain other permitted currencies. As of March 31, 2017, the Company had outstanding debt denominated in Euro (EUR) of 40.9 million on its Revolving Credit Facility, included in the Outstanding Principal amount in the table above.</w:t>
      </w:r>
    </w:p>
    <w:p>
      <w:pPr>
        <w:spacing w:after="0" w:line="124" w:lineRule="exact"/>
        <w:rPr>
          <w:sz w:val="20"/>
          <w:szCs w:val="20"/>
          <w:color w:val="auto"/>
        </w:rPr>
      </w:pPr>
    </w:p>
    <w:p>
      <w:pPr>
        <w:jc w:val="both"/>
        <w:ind w:right="120" w:firstLine="259"/>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20" w:hanging="255"/>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17" w:lineRule="exact"/>
        <w:rPr>
          <w:rFonts w:ascii="Arial" w:cs="Arial" w:eastAsia="Arial" w:hAnsi="Arial"/>
          <w:sz w:val="18"/>
          <w:szCs w:val="18"/>
          <w:color w:val="auto"/>
        </w:rPr>
      </w:pPr>
    </w:p>
    <w:p>
      <w:pPr>
        <w:ind w:left="780" w:right="60" w:hanging="259"/>
        <w:spacing w:after="0" w:line="264" w:lineRule="auto"/>
        <w:tabs>
          <w:tab w:leader="none" w:pos="7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 and</w:t>
      </w:r>
    </w:p>
    <w:p>
      <w:pPr>
        <w:spacing w:after="0" w:line="73" w:lineRule="exact"/>
        <w:rPr>
          <w:rFonts w:ascii="Arial" w:cs="Arial" w:eastAsia="Arial" w:hAnsi="Arial"/>
          <w:sz w:val="18"/>
          <w:szCs w:val="18"/>
          <w:color w:val="auto"/>
        </w:rPr>
      </w:pPr>
    </w:p>
    <w:p>
      <w:pPr>
        <w:ind w:left="780" w:hanging="259"/>
        <w:spacing w:after="0"/>
        <w:tabs>
          <w:tab w:leader="none" w:pos="7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December 22, 2016.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2" w:name="page33"/>
    <w:bookmarkEnd w:id="32"/>
    <w:p>
      <w:pPr>
        <w:ind w:right="160" w:firstLine="259"/>
        <w:spacing w:after="0" w:line="277" w:lineRule="auto"/>
        <w:rPr>
          <w:sz w:val="20"/>
          <w:szCs w:val="20"/>
          <w:color w:val="auto"/>
        </w:rPr>
      </w:pPr>
      <w:r>
        <w:rPr>
          <w:rFonts w:ascii="Arial" w:cs="Arial" w:eastAsia="Arial" w:hAnsi="Arial"/>
          <w:sz w:val="18"/>
          <w:szCs w:val="18"/>
          <w:color w:val="auto"/>
        </w:rPr>
        <w:t>Net proceeds received from the Company’s common stock issuance in March 2016 and net proceeds received from the issuance of the 2022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Senior Notes</w:t>
      </w:r>
    </w:p>
    <w:p>
      <w:pPr>
        <w:spacing w:after="0" w:line="117" w:lineRule="exact"/>
        <w:rPr>
          <w:sz w:val="20"/>
          <w:szCs w:val="20"/>
          <w:color w:val="auto"/>
        </w:rPr>
      </w:pPr>
    </w:p>
    <w:p>
      <w:pPr>
        <w:ind w:right="40" w:firstLine="259"/>
        <w:spacing w:after="0" w:line="269" w:lineRule="auto"/>
        <w:rPr>
          <w:sz w:val="20"/>
          <w:szCs w:val="20"/>
          <w:color w:val="auto"/>
        </w:rPr>
      </w:pPr>
      <w:r>
        <w:rPr>
          <w:rFonts w:ascii="Arial" w:cs="Arial" w:eastAsia="Arial" w:hAnsi="Arial"/>
          <w:sz w:val="17"/>
          <w:szCs w:val="17"/>
          <w:color w:val="auto"/>
        </w:rPr>
        <w:t>In June 2014, the Company issued in a private offering $115 million aggregate principal amount convertible senior notes due December 2019 (the “2019 Convertible Senior Notes”). The 2019 Convertible Senior Notes were issued in a private placement only to qualified institutional buyers pursuant to Rule 144A under the Securities Act. The 2019 Convertible Senior Notes are unsecured, and bear interest at a rate of 4.50% per year, payable semiannually. The 2019 Convertible Senior Notes will mature on December 15, 2019. In certain circumstances, the 2019 Convertible Senior Notes will be convertible into cash, shares of the Company’s common stock or a combination of cash and shares of the Company’s common stock, at the Company’s election, at an initial conversion rate of 38.7162 shares of common stock per $1,000 principal amount of 2019 Convertible Senior Notes, which is equivalent to an initial conversion price of approximately $25.83 per share of the Company’s common stock, subject to customary anti-dilution adjustments. The sale of the 2019 Convertible Senior Notes generated net proceeds of approximately $110.8 million. The Company used the net proceeds of the offering to pay down debt under the Revolving Credit Facility. In connection with the offering of 2019 Convertible Senior Notes, the Company has entered into interest rate swaps to continue to align the interest rates of its liabilities with its investment portfolio, which consists of predominately floating rate loans. As a result of the swaps, the Company’s effective interest rate on the 2019 Convertible Senior Notes is three-month LIBOR plus 286 basis points. See Note 5 for further information related to the Company’s interest rate swaps.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Holders may convert their 2019 Convertible Senior Notes at their option at any time prior to June 15, 2019 only under the following circumstances:</w:t>
      </w:r>
    </w:p>
    <w:p>
      <w:pPr>
        <w:spacing w:after="0" w:line="35" w:lineRule="exact"/>
        <w:rPr>
          <w:sz w:val="20"/>
          <w:szCs w:val="20"/>
          <w:color w:val="auto"/>
        </w:rPr>
      </w:pPr>
    </w:p>
    <w:p>
      <w:pPr>
        <w:ind w:right="20" w:firstLine="8"/>
        <w:spacing w:after="0" w:line="281" w:lineRule="auto"/>
        <w:tabs>
          <w:tab w:leader="none" w:pos="2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right="120" w:firstLine="8"/>
        <w:spacing w:after="0" w:line="292" w:lineRule="auto"/>
        <w:tabs>
          <w:tab w:leader="none" w:pos="2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2019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Senior Notes</w:t>
      </w:r>
    </w:p>
    <w:p>
      <w:pPr>
        <w:spacing w:after="0" w:line="117" w:lineRule="exact"/>
        <w:rPr>
          <w:sz w:val="20"/>
          <w:szCs w:val="20"/>
          <w:color w:val="auto"/>
        </w:rPr>
      </w:pPr>
    </w:p>
    <w:p>
      <w:pPr>
        <w:ind w:firstLine="259"/>
        <w:spacing w:after="0" w:line="287" w:lineRule="auto"/>
        <w:rPr>
          <w:sz w:val="20"/>
          <w:szCs w:val="20"/>
          <w:color w:val="auto"/>
        </w:rPr>
      </w:pPr>
      <w:r>
        <w:rPr>
          <w:rFonts w:ascii="Arial" w:cs="Arial" w:eastAsia="Arial" w:hAnsi="Arial"/>
          <w:sz w:val="16"/>
          <w:szCs w:val="16"/>
          <w:color w:val="auto"/>
        </w:rPr>
        <w:t>In February 2017, the Company issued in a private offering $115 million aggregate principal amount convertible senior notes due August 2022 (the “2022 Convertible Senior Notes” and, together with the 2019 Convertible Senior Notes, the “Convertible Senior Notes”). The 2022 Convertible Senior Notes were issued in a private placement only to qualified institutional buyers pursuant to Rule 144A under the Securities Act. The 2022 Convertible Senior Notes are unsecured, and bear interest at a rate of 4.50% per year, payable semiannually. The 2022 Convertible Senior Notes will mature on August 1, 2022. In certain circumstances, the 2022 Convertible Senior Notes will be convertible into cash, shares of the Company’s common stock or a combination of cash and shares of the Company’s common stock, at the Company’s election, at an initial conversion rate of 46.8516 shares of common stock per $1,000 principal amount of 2022 Convertible Senior Notes, which is equivalent to an initial conversion price of approximately $21.34 per share of the Company’s common stock, subject to customary anti-dilution adjustments. The sale of the 2022 Convertible Senior Notes generated net proceeds of approximately $111.2 million. The Company used the net proceeds of the offering to pay down debt under the Revolving Credit Facility. In connection with the offering of 2022 Convertible Senior Notes, the Company has entered into an interest rate swap to continue to align the interest rates of its liabilities with its investment portfolio, which consists of predominately floating rate loans. As a result of the swap, the Company’s effective interest rate on the 2022 Convertible Senior Notes is three-month LIBOR plus 237.2 basis points. See Note 5 for further information related to the Company’s interest rate swaps.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Holders may convert their 2022 Convertible Senior Notes at their option at any time prior to February 1, 2022 only under the following circumstances:</w:t>
      </w:r>
    </w:p>
    <w:p>
      <w:pPr>
        <w:spacing w:after="0" w:line="35" w:lineRule="exact"/>
        <w:rPr>
          <w:sz w:val="20"/>
          <w:szCs w:val="20"/>
          <w:color w:val="auto"/>
        </w:rPr>
      </w:pPr>
    </w:p>
    <w:p>
      <w:pPr>
        <w:ind w:right="60" w:firstLine="8"/>
        <w:spacing w:after="0" w:line="287" w:lineRule="auto"/>
        <w:tabs>
          <w:tab w:leader="none" w:pos="2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2022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3" w:name="page34"/>
    <w:bookmarkEnd w:id="33"/>
    <w:p>
      <w:pPr>
        <w:ind w:right="140" w:firstLine="259"/>
        <w:spacing w:after="0" w:line="276" w:lineRule="auto"/>
        <w:rPr>
          <w:sz w:val="20"/>
          <w:szCs w:val="20"/>
          <w:color w:val="auto"/>
        </w:rPr>
      </w:pPr>
      <w:r>
        <w:rPr>
          <w:rFonts w:ascii="Arial" w:cs="Arial" w:eastAsia="Arial" w:hAnsi="Arial"/>
          <w:sz w:val="17"/>
          <w:szCs w:val="17"/>
          <w:color w:val="auto"/>
        </w:rPr>
        <w:t>The Convertible Senior Notes are the Company’s senior unsecured obligations and rank senior in right of payment to the Company’s future indebtedness that is expressly subordinated in right of payment to the Convertible Senior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the three months ended March 31, 2017 and 2016, the components of interest expense related to the Convertible Senior Notes were as follows:</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4"/>
          </w:tcPr>
          <w:p>
            <w:pPr>
              <w:jc w:val="right"/>
              <w:ind w:right="2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5440" w:type="dxa"/>
            <w:vAlign w:val="bottom"/>
          </w:tcPr>
          <w:p>
            <w:pPr>
              <w:spacing w:after="0"/>
              <w:rPr>
                <w:sz w:val="14"/>
                <w:szCs w:val="14"/>
                <w:color w:val="auto"/>
              </w:rPr>
            </w:pPr>
          </w:p>
        </w:tc>
        <w:tc>
          <w:tcPr>
            <w:tcW w:w="134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31, 2017</w:t>
            </w:r>
          </w:p>
        </w:tc>
        <w:tc>
          <w:tcPr>
            <w:tcW w:w="2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2016</w:t>
            </w: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40" w:type="dxa"/>
            <w:vAlign w:val="bottom"/>
            <w:tcBorders>
              <w:top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6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issuance cost</w:t>
            </w: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60" w:type="dxa"/>
            <w:vAlign w:val="bottom"/>
            <w:shd w:val="clear" w:color="auto" w:fill="CFF0FC"/>
          </w:tcPr>
          <w:p>
            <w:pPr>
              <w:spacing w:after="0"/>
              <w:rPr>
                <w:sz w:val="19"/>
                <w:szCs w:val="19"/>
                <w:color w:val="auto"/>
              </w:rPr>
            </w:pP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6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259"/>
        <w:spacing w:after="0" w:line="302" w:lineRule="auto"/>
        <w:rPr>
          <w:sz w:val="20"/>
          <w:szCs w:val="20"/>
          <w:color w:val="auto"/>
        </w:rPr>
      </w:pPr>
      <w:r>
        <w:rPr>
          <w:rFonts w:ascii="Arial" w:cs="Arial" w:eastAsia="Arial" w:hAnsi="Arial"/>
          <w:sz w:val="16"/>
          <w:szCs w:val="16"/>
          <w:color w:val="auto"/>
        </w:rPr>
        <w:t>Total interest expense in the table above does not include the effect of the interest rate swaps related to the Convertible Senior Notes. During the three months ended March 31, 2017 and 2016, the Company received $1.3 million and $1.3 million, respectively, and paid $1.2 million and $1.0 million, respectively, related to the quarterly settlements of its interest rate swaps related to the Convertible Senior Notes. These net amounts are reductions to interest expense in the Company’s consolidated statements of operations. Please see Note 5 for further information about the Company’s interest rate swaps.</w:t>
      </w:r>
    </w:p>
    <w:p>
      <w:pPr>
        <w:spacing w:after="0" w:line="154"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As of March 31, 2017, the principal amount of the 2019 and 2022 Convertible Senior Notes exceeded the value of the underlying shares multiplied by the per share closing price of the Company’s common stock.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 of March 31, 2017, the components of the carrying value of the 2019 and 2022 Convertible Senior Notes and the stated interest rate were as follows:</w:t>
      </w:r>
    </w:p>
    <w:p>
      <w:pPr>
        <w:spacing w:after="0" w:line="321"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December 2019</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2022</w:t>
            </w:r>
          </w:p>
        </w:tc>
      </w:tr>
      <w:tr>
        <w:trPr>
          <w:trHeight w:val="149"/>
        </w:trPr>
        <w:tc>
          <w:tcPr>
            <w:tcW w:w="5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Convertible</w:t>
            </w:r>
          </w:p>
        </w:tc>
      </w:tr>
      <w:tr>
        <w:trPr>
          <w:trHeight w:val="171"/>
        </w:trPr>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Senior Notes</w:t>
            </w:r>
          </w:p>
        </w:tc>
        <w:tc>
          <w:tcPr>
            <w:tcW w:w="12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Senior Notes</w:t>
            </w: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(2,091)</w:t>
            </w: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(3,687)</w:t>
            </w:r>
          </w:p>
        </w:tc>
      </w:tr>
      <w:tr>
        <w:trPr>
          <w:trHeight w:val="263"/>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Carrying value of debt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111,134</w:t>
            </w:r>
          </w:p>
        </w:tc>
        <w:tc>
          <w:tcPr>
            <w:tcW w:w="3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110,967</w:t>
            </w:r>
          </w:p>
        </w:tc>
        <w:tc>
          <w:tcPr>
            <w:tcW w:w="180" w:type="dxa"/>
            <w:vAlign w:val="bottom"/>
            <w:tcBorders>
              <w:bottom w:val="single" w:sz="8" w:color="CFF0FC"/>
            </w:tcBorders>
          </w:tcPr>
          <w:p>
            <w:pPr>
              <w:spacing w:after="0"/>
              <w:rPr>
                <w:sz w:val="22"/>
                <w:szCs w:val="22"/>
                <w:color w:val="auto"/>
              </w:rPr>
            </w:pPr>
          </w:p>
        </w:tc>
      </w:tr>
      <w:tr>
        <w:trPr>
          <w:trHeight w:val="21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r>
    </w:tbl>
    <w:p>
      <w:pPr>
        <w:spacing w:after="0" w:line="229"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on the 2019 and 2022 Convertible Senior Notes is three month LIBOR plus 286 basis points, and three month LIBOR plus 237.2 basis points, respectively. Please see Note 5 for further information about the Company’s interest rate swaps.</w:t>
      </w:r>
    </w:p>
    <w:p>
      <w:pPr>
        <w:spacing w:after="0" w:line="181" w:lineRule="exact"/>
        <w:rPr>
          <w:sz w:val="20"/>
          <w:szCs w:val="20"/>
          <w:color w:val="auto"/>
        </w:rPr>
      </w:pPr>
    </w:p>
    <w:p>
      <w:pPr>
        <w:ind w:right="140" w:firstLine="259"/>
        <w:spacing w:after="0" w:line="276" w:lineRule="auto"/>
        <w:rPr>
          <w:sz w:val="20"/>
          <w:szCs w:val="20"/>
          <w:color w:val="auto"/>
        </w:rPr>
      </w:pPr>
      <w:r>
        <w:rPr>
          <w:rFonts w:ascii="Arial" w:cs="Arial" w:eastAsia="Arial" w:hAnsi="Arial"/>
          <w:sz w:val="17"/>
          <w:szCs w:val="17"/>
          <w:color w:val="auto"/>
        </w:rPr>
        <w:t>The indentures governing the 2019 and 2022 Convertible Senior Notes contain certain covenants, including covenants requiring the Company to comply with the requirement under the 1940 Act that the Company’s asset coverage ratio, as defined in the 1940 Act, equal at least 200% and to provide financial information to the holders of the 2019 and 2022 Convertible Senior Notes under certain circumstances. These covenants are subject to important limitations and exceptions that are described in the indentures governing the 2019 and 2022 Convertible Senior Notes. As of March 31, 2017, the Company was in compliance with the terms of the indentures governing the 2019 and 2022 Convertible Senior Notes.</w:t>
      </w:r>
    </w:p>
    <w:p>
      <w:pPr>
        <w:spacing w:after="0" w:line="173" w:lineRule="exact"/>
        <w:rPr>
          <w:sz w:val="20"/>
          <w:szCs w:val="20"/>
          <w:color w:val="auto"/>
        </w:rPr>
      </w:pPr>
    </w:p>
    <w:p>
      <w:pPr>
        <w:ind w:firstLine="259"/>
        <w:spacing w:after="0" w:line="290" w:lineRule="auto"/>
        <w:rPr>
          <w:sz w:val="20"/>
          <w:szCs w:val="20"/>
          <w:color w:val="auto"/>
        </w:rPr>
      </w:pPr>
      <w:r>
        <w:rPr>
          <w:rFonts w:ascii="Arial" w:cs="Arial" w:eastAsia="Arial" w:hAnsi="Arial"/>
          <w:sz w:val="16"/>
          <w:szCs w:val="16"/>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indentures governing the 2019 and 2022 Convertible Senior Notes. The Company has determined that the embedded conversion options in the 2019 and 2022 Convertible Senior Notes are not required to be separately accounted for as a derivative under U.S. GAAP. In accounting for the 2019 and 2022 Convertible Senior Notes, the Company estimated at the time of issuance separate debt and equity components of the 2019 and 2022 Convertible Senior Notes. An original issue discount equal to the equity components of the 2019 and 2022 Convertible Senior Notes was recorded in “additional paid-in capital” in the accompanying consolidated balance sheet.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4" w:name="page35"/>
    <w:bookmarkEnd w:id="34"/>
    <w:p>
      <w:pPr>
        <w:ind w:right="100"/>
        <w:spacing w:after="0" w:line="277" w:lineRule="auto"/>
        <w:rPr>
          <w:sz w:val="20"/>
          <w:szCs w:val="20"/>
          <w:color w:val="auto"/>
        </w:rPr>
      </w:pPr>
      <w:r>
        <w:rPr>
          <w:rFonts w:ascii="Arial" w:cs="Arial" w:eastAsia="Arial" w:hAnsi="Arial"/>
          <w:sz w:val="18"/>
          <w:szCs w:val="18"/>
          <w:color w:val="auto"/>
        </w:rPr>
        <w:t>Additionally, the issuance costs associated with the 2019 and 2022 Convertible Senior Notes were allocated to the debt and equity components in proportion to the allocation of the proceeds and accounted for as debt issuance costs and equity issuance costs, respectively.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2017 and December 31, 2016, the Company was in compliance with the terms of its debt obligations.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March 31, 2017 and December 31, 2016, the Company had the following commitments to fund investments in current portfolio companies:</w:t>
      </w:r>
    </w:p>
    <w:p>
      <w:pPr>
        <w:spacing w:after="0" w:line="22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March 31, 2017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4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340" w:type="dxa"/>
            <w:vAlign w:val="bottom"/>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Clarabridge, Inc. - Revolver</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CrunchTime Information Systems, Inc. - Delayed Draw</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CrunchTime Information Systems, Inc. - Revolver</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Ecommerce Industries, Inc. - Revolver</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Eddie Bauer - Delayed Draw</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Heartland Automotive Holdings, LLC - Revolver</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Helix Health Ltd. - Revolver</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3,958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Leaf US Holdings, Inc. - Revolver</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Marketo, Inc. - Revolver</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My Alarm Center, LLC - Delayed Draw</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Network Merchants, Inc. - Revolver</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PayLease, LLC - Revolver</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PaySimple - Revolver</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Sailpoint Technologies, Inc. - Revolver</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ScentAir Technologies, Inc. - Revolver</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Sovos Compliance, LLC - Revolver</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340" w:type="dxa"/>
            <w:vAlign w:val="bottom"/>
            <w:tcBorders>
              <w:bottom w:val="single" w:sz="8" w:color="auto"/>
            </w:tcBorders>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36,235</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43,795</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As of March 31, 2017, the Company had no additional unfunded commitments to fund investments to new borrowers that were not current portfolio companies as of March 31, 2017. As of December 31, 2016, the Company had additional unfunded commitments of $50.0 million to fund investments to new borrowers that were not current portfolio companies as of December 31, 2016.</w:t>
      </w:r>
    </w:p>
    <w:p>
      <w:pPr>
        <w:spacing w:after="0" w:line="181"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March 31, 2017 and December 31, 2016, management is not aware of any pending or threatened litigation.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In March 2016, the Company issued a total of 5,000,000 shares of common stock at $16.42 per share. Net of underwriting fees and offering costs, the Company received total cash proceeds of $78.3 million.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5" w:name="page36"/>
    <w:bookmarkEnd w:id="35"/>
    <w:p>
      <w:pPr>
        <w:ind w:firstLine="259"/>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jc w:val="both"/>
        <w:ind w:right="200" w:firstLine="259"/>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three months ended March 31, 2017 and 2016. All shares issued to stockholders in the tables below are newly issued shares.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March 31, 2017</w:t>
            </w:r>
          </w:p>
        </w:tc>
        <w:tc>
          <w:tcPr>
            <w:tcW w:w="1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ind w:left="620"/>
              <w:spacing w:after="0" w:line="147" w:lineRule="exact"/>
              <w:rPr>
                <w:sz w:val="20"/>
                <w:szCs w:val="20"/>
                <w:color w:val="auto"/>
              </w:rPr>
            </w:pPr>
            <w:r>
              <w:rPr>
                <w:rFonts w:ascii="Arial" w:cs="Arial" w:eastAsia="Arial" w:hAnsi="Arial"/>
                <w:sz w:val="14"/>
                <w:szCs w:val="14"/>
                <w:b w:val="1"/>
                <w:bCs w:val="1"/>
                <w:color w:val="auto"/>
              </w:rPr>
              <w:t>Date</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Date Declared</w:t>
            </w:r>
          </w:p>
        </w:tc>
        <w:tc>
          <w:tcPr>
            <w:tcW w:w="1620" w:type="dxa"/>
            <w:vAlign w:val="bottom"/>
            <w:gridSpan w:val="2"/>
          </w:tcPr>
          <w:p>
            <w:pPr>
              <w:ind w:left="360"/>
              <w:spacing w:after="0"/>
              <w:rPr>
                <w:sz w:val="20"/>
                <w:szCs w:val="20"/>
                <w:color w:val="auto"/>
              </w:rPr>
            </w:pPr>
            <w:r>
              <w:rPr>
                <w:rFonts w:ascii="Arial" w:cs="Arial" w:eastAsia="Arial" w:hAnsi="Arial"/>
                <w:sz w:val="14"/>
                <w:szCs w:val="14"/>
                <w:b w:val="1"/>
                <w:bCs w:val="1"/>
                <w:color w:val="auto"/>
              </w:rPr>
              <w:t>Record Date</w:t>
            </w: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 Issued</w:t>
            </w:r>
          </w:p>
        </w:tc>
        <w:tc>
          <w:tcPr>
            <w:tcW w:w="15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7, 2016</w:t>
            </w:r>
          </w:p>
        </w:tc>
        <w:tc>
          <w:tcPr>
            <w:tcW w:w="10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9"/>
              </w:rPr>
              <w:t>December 31, 2016</w:t>
            </w:r>
          </w:p>
        </w:tc>
        <w:tc>
          <w:tcPr>
            <w:tcW w:w="8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1, 2017</w:t>
            </w:r>
          </w:p>
        </w:tc>
        <w:tc>
          <w:tcPr>
            <w:tcW w:w="1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122,836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March 31, 2016</w:t>
            </w:r>
          </w:p>
        </w:tc>
        <w:tc>
          <w:tcPr>
            <w:tcW w:w="1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ind w:left="620"/>
              <w:spacing w:after="0" w:line="147" w:lineRule="exact"/>
              <w:rPr>
                <w:sz w:val="20"/>
                <w:szCs w:val="20"/>
                <w:color w:val="auto"/>
              </w:rPr>
            </w:pPr>
            <w:r>
              <w:rPr>
                <w:rFonts w:ascii="Arial" w:cs="Arial" w:eastAsia="Arial" w:hAnsi="Arial"/>
                <w:sz w:val="14"/>
                <w:szCs w:val="14"/>
                <w:b w:val="1"/>
                <w:bCs w:val="1"/>
                <w:color w:val="auto"/>
              </w:rPr>
              <w:t>Date</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Date Declared</w:t>
            </w:r>
          </w:p>
        </w:tc>
        <w:tc>
          <w:tcPr>
            <w:tcW w:w="1620" w:type="dxa"/>
            <w:vAlign w:val="bottom"/>
            <w:gridSpan w:val="2"/>
          </w:tcPr>
          <w:p>
            <w:pPr>
              <w:ind w:left="360"/>
              <w:spacing w:after="0"/>
              <w:rPr>
                <w:sz w:val="20"/>
                <w:szCs w:val="20"/>
                <w:color w:val="auto"/>
              </w:rPr>
            </w:pPr>
            <w:r>
              <w:rPr>
                <w:rFonts w:ascii="Arial" w:cs="Arial" w:eastAsia="Arial" w:hAnsi="Arial"/>
                <w:sz w:val="14"/>
                <w:szCs w:val="14"/>
                <w:b w:val="1"/>
                <w:bCs w:val="1"/>
                <w:color w:val="auto"/>
              </w:rPr>
              <w:t>Record Date</w:t>
            </w: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 Issued</w:t>
            </w:r>
          </w:p>
        </w:tc>
        <w:tc>
          <w:tcPr>
            <w:tcW w:w="15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3, 2015</w:t>
            </w:r>
          </w:p>
        </w:tc>
        <w:tc>
          <w:tcPr>
            <w:tcW w:w="10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9"/>
              </w:rPr>
              <w:t>December 31, 2015</w:t>
            </w:r>
          </w:p>
        </w:tc>
        <w:tc>
          <w:tcPr>
            <w:tcW w:w="8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1, 2016</w:t>
            </w:r>
          </w:p>
        </w:tc>
        <w:tc>
          <w:tcPr>
            <w:tcW w:w="1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147,809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60" w:firstLine="259"/>
        <w:spacing w:after="0" w:line="264" w:lineRule="auto"/>
        <w:rPr>
          <w:sz w:val="20"/>
          <w:szCs w:val="20"/>
          <w:color w:val="auto"/>
        </w:rPr>
      </w:pPr>
      <w:r>
        <w:rPr>
          <w:rFonts w:ascii="Arial" w:cs="Arial" w:eastAsia="Arial" w:hAnsi="Arial"/>
          <w:sz w:val="18"/>
          <w:szCs w:val="18"/>
          <w:color w:val="auto"/>
        </w:rPr>
        <w:t>On November 3, 2014, the Company’s Board approved a stock repurchase plan (the “Company 10b5-1 Plan”) to acquire up to $50 million in the aggregate of the Company’s common stock at prices just below the Company’s net asset value per share over a specified period, in accordance with the guidelines specified in Rule 10b-18 and Rule 10b5-1 of the Exchange Act.</w:t>
      </w:r>
    </w:p>
    <w:p>
      <w:pPr>
        <w:spacing w:after="0" w:line="181"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The Company 10b5-1 Plan is designed to allow the Company to repurchase its common stock at times when it otherwise might be prevented from doing so under insider trading laws. The Company 10b5-1 Plan requires Goldman, Sachs &amp; Co., as agent,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78" w:lineRule="exact"/>
        <w:rPr>
          <w:sz w:val="20"/>
          <w:szCs w:val="20"/>
          <w:color w:val="auto"/>
        </w:rPr>
      </w:pPr>
    </w:p>
    <w:p>
      <w:pPr>
        <w:ind w:right="22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jc w:val="both"/>
        <w:ind w:right="160" w:firstLine="259"/>
        <w:spacing w:after="0" w:line="264" w:lineRule="auto"/>
        <w:rPr>
          <w:sz w:val="20"/>
          <w:szCs w:val="20"/>
          <w:color w:val="auto"/>
        </w:rPr>
      </w:pPr>
      <w:r>
        <w:rPr>
          <w:rFonts w:ascii="Arial" w:cs="Arial" w:eastAsia="Arial" w:hAnsi="Arial"/>
          <w:sz w:val="18"/>
          <w:szCs w:val="18"/>
          <w:color w:val="auto"/>
        </w:rPr>
        <w:t>On February 22, 2017, the Board authorized the extension of the termination date of the Company 10b5-1 Plan to August 31, 2017. Unless extended or terminated by the Board, the Company 10b5-1 Plan will be in effect through the earlier of August 31, 2017 or such time as the current approved repurchase amount of up to $50 million has been fully utilized, subject to certain conditions.</w:t>
      </w:r>
    </w:p>
    <w:p>
      <w:pPr>
        <w:spacing w:after="0" w:line="181" w:lineRule="exact"/>
        <w:rPr>
          <w:sz w:val="20"/>
          <w:szCs w:val="20"/>
          <w:color w:val="auto"/>
        </w:rPr>
      </w:pPr>
    </w:p>
    <w:p>
      <w:pPr>
        <w:jc w:val="both"/>
        <w:ind w:right="120" w:firstLine="259"/>
        <w:spacing w:after="0" w:line="264" w:lineRule="auto"/>
        <w:rPr>
          <w:sz w:val="20"/>
          <w:szCs w:val="20"/>
          <w:color w:val="auto"/>
        </w:rPr>
      </w:pPr>
      <w:r>
        <w:rPr>
          <w:rFonts w:ascii="Arial" w:cs="Arial" w:eastAsia="Arial" w:hAnsi="Arial"/>
          <w:sz w:val="18"/>
          <w:szCs w:val="18"/>
          <w:color w:val="auto"/>
        </w:rPr>
        <w:t>During the three months ended March 31, 2017, no shares were repurchased under the Company 10b5-1 Plan. During the three months ended March 31, 2016, the Company repurchased 86,081 shares under the Company 10b5-1 Plan at a weighted average price per share of $15.44, inclusive of commissions, for a total cost of $1.3 million.</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36" w:name="page37"/>
    <w:bookmarkEnd w:id="36"/>
    <w:p>
      <w:pPr>
        <w:ind w:left="280" w:hanging="272"/>
        <w:spacing w:after="0"/>
        <w:tabs>
          <w:tab w:leader="none" w:pos="2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444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gridSpan w:val="2"/>
          </w:tcPr>
          <w:p>
            <w:pPr>
              <w:jc w:val="right"/>
              <w:ind w:right="14"/>
              <w:spacing w:after="0" w:line="155" w:lineRule="exact"/>
              <w:rPr>
                <w:sz w:val="20"/>
                <w:szCs w:val="20"/>
                <w:color w:val="auto"/>
              </w:rPr>
            </w:pPr>
            <w:r>
              <w:rPr>
                <w:rFonts w:ascii="Arial" w:cs="Arial" w:eastAsia="Arial" w:hAnsi="Arial"/>
                <w:sz w:val="14"/>
                <w:szCs w:val="14"/>
                <w:b w:val="1"/>
                <w:bCs w:val="1"/>
                <w:color w:val="auto"/>
              </w:rPr>
              <w:t>March 31, 2017</w:t>
            </w:r>
          </w:p>
        </w:tc>
        <w:tc>
          <w:tcPr>
            <w:tcW w:w="200" w:type="dxa"/>
            <w:vAlign w:val="bottom"/>
            <w:tcBorders>
              <w:top w:val="single" w:sz="8" w:color="auto"/>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March 31, 2016</w:t>
            </w:r>
          </w:p>
        </w:tc>
        <w:tc>
          <w:tcPr>
            <w:tcW w:w="60" w:type="dxa"/>
            <w:vAlign w:val="bottom"/>
            <w:tcBorders>
              <w:bottom w:val="single" w:sz="8" w:color="CFF0FC"/>
            </w:tcBorders>
          </w:tcPr>
          <w:p>
            <w:pPr>
              <w:spacing w:after="0"/>
              <w:rPr>
                <w:sz w:val="13"/>
                <w:szCs w:val="13"/>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17,771</w:t>
            </w:r>
          </w:p>
        </w:tc>
        <w:tc>
          <w:tcPr>
            <w:tcW w:w="60" w:type="dxa"/>
            <w:vAlign w:val="bottom"/>
            <w:shd w:val="clear" w:color="auto" w:fill="CFF0FC"/>
          </w:tcPr>
          <w:p>
            <w:pPr>
              <w:spacing w:after="0"/>
              <w:rPr>
                <w:sz w:val="19"/>
                <w:szCs w:val="19"/>
                <w:color w:val="auto"/>
              </w:rPr>
            </w:pPr>
          </w:p>
        </w:tc>
      </w:tr>
      <w:tr>
        <w:trPr>
          <w:trHeight w:val="215"/>
        </w:trPr>
        <w:tc>
          <w:tcPr>
            <w:tcW w:w="4440" w:type="dxa"/>
            <w:vAlign w:val="bottom"/>
          </w:tcPr>
          <w:p>
            <w:pPr>
              <w:spacing w:after="0"/>
              <w:rPr>
                <w:sz w:val="20"/>
                <w:szCs w:val="20"/>
                <w:color w:val="auto"/>
              </w:rPr>
            </w:pPr>
            <w:r>
              <w:rPr>
                <w:rFonts w:ascii="Arial" w:cs="Arial" w:eastAsia="Arial" w:hAnsi="Arial"/>
                <w:sz w:val="18"/>
                <w:szCs w:val="18"/>
                <w:color w:val="auto"/>
              </w:rPr>
              <w:t>Weighted average shares of common stock</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outstanding—basic and diluted</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59,796,731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55,802,270</w:t>
            </w:r>
          </w:p>
        </w:tc>
        <w:tc>
          <w:tcPr>
            <w:tcW w:w="60" w:type="dxa"/>
            <w:vAlign w:val="bottom"/>
          </w:tcPr>
          <w:p>
            <w:pPr>
              <w:spacing w:after="0"/>
              <w:rPr>
                <w:sz w:val="20"/>
                <w:szCs w:val="20"/>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share—basic and diluted</w:t>
            </w:r>
          </w:p>
        </w:tc>
        <w:tc>
          <w:tcPr>
            <w:tcW w:w="120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40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6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120" w:firstLine="259"/>
        <w:spacing w:after="0" w:line="279" w:lineRule="auto"/>
        <w:rPr>
          <w:sz w:val="20"/>
          <w:szCs w:val="20"/>
          <w:color w:val="auto"/>
        </w:rPr>
      </w:pPr>
      <w:r>
        <w:rPr>
          <w:rFonts w:ascii="Arial" w:cs="Arial" w:eastAsia="Arial" w:hAnsi="Arial"/>
          <w:sz w:val="17"/>
          <w:szCs w:val="17"/>
          <w:color w:val="auto"/>
        </w:rPr>
        <w:t>For the purpose of calculating diluted earnings per common share, the average closing price of the Company’s common stock for the three months ended March 31, 2017 was less than the conversion price for the 2019 and 2022 Convertible Senior Notes outstanding as of March 31, 2017. Therefore, for all periods presented in the consolidated financial statements, the underlying shares for the intrinsic value of the embedded options in the 2019 and 2022 Convertible Senior Notes have no impact on the computation of diluted earnings per common share.</w:t>
      </w:r>
    </w:p>
    <w:p>
      <w:pPr>
        <w:spacing w:after="0" w:line="357"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dividends declared during the three months ended March 31, 2017 and 2016:</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4"/>
              </w:rPr>
              <w:t>March 31, 2017</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0" w:type="dxa"/>
            <w:vAlign w:val="bottom"/>
            <w:gridSpan w:val="2"/>
            <w:vMerge w:val="continue"/>
          </w:tcPr>
          <w:p>
            <w:pPr>
              <w:spacing w:after="0"/>
              <w:rPr>
                <w:sz w:val="13"/>
                <w:szCs w:val="13"/>
                <w:color w:val="auto"/>
              </w:rPr>
            </w:pPr>
          </w:p>
        </w:tc>
        <w:tc>
          <w:tcPr>
            <w:tcW w:w="1360" w:type="dxa"/>
            <w:vAlign w:val="bottom"/>
          </w:tcPr>
          <w:p>
            <w:pPr>
              <w:jc w:val="right"/>
              <w:ind w:right="219"/>
              <w:spacing w:after="0" w:line="155" w:lineRule="exact"/>
              <w:rPr>
                <w:sz w:val="20"/>
                <w:szCs w:val="20"/>
                <w:color w:val="auto"/>
              </w:rPr>
            </w:pPr>
            <w:r>
              <w:rPr>
                <w:rFonts w:ascii="Arial" w:cs="Arial" w:eastAsia="Arial" w:hAnsi="Arial"/>
                <w:sz w:val="14"/>
                <w:szCs w:val="14"/>
                <w:b w:val="1"/>
                <w:bCs w:val="1"/>
                <w:color w:val="auto"/>
              </w:rPr>
              <w:t>Record Date</w:t>
            </w:r>
          </w:p>
        </w:tc>
        <w:tc>
          <w:tcPr>
            <w:tcW w:w="100" w:type="dxa"/>
            <w:vAlign w:val="bottom"/>
          </w:tcPr>
          <w:p>
            <w:pPr>
              <w:spacing w:after="0"/>
              <w:rPr>
                <w:sz w:val="13"/>
                <w:szCs w:val="13"/>
                <w:color w:val="auto"/>
              </w:rPr>
            </w:pPr>
          </w:p>
        </w:tc>
        <w:tc>
          <w:tcPr>
            <w:tcW w:w="138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22, 2017</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xml:space="preserve">April 7, 2017 </w:t>
            </w:r>
            <w:r>
              <w:rPr>
                <w:rFonts w:ascii="Arial" w:cs="Arial" w:eastAsia="Arial" w:hAnsi="Arial"/>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ind w:left="320"/>
              <w:spacing w:after="0"/>
              <w:rPr>
                <w:sz w:val="20"/>
                <w:szCs w:val="20"/>
                <w:color w:val="auto"/>
              </w:rPr>
            </w:pPr>
            <w:r>
              <w:rPr>
                <w:rFonts w:ascii="Arial" w:cs="Arial" w:eastAsia="Arial" w:hAnsi="Arial"/>
                <w:sz w:val="18"/>
                <w:szCs w:val="18"/>
                <w:color w:val="auto"/>
                <w:w w:val="93"/>
              </w:rPr>
              <w:t>April 28, 2017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4"/>
              </w:rPr>
              <w:t>March 31, 2016</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0" w:type="dxa"/>
            <w:vAlign w:val="bottom"/>
            <w:gridSpan w:val="2"/>
            <w:vMerge w:val="continue"/>
          </w:tcPr>
          <w:p>
            <w:pPr>
              <w:spacing w:after="0"/>
              <w:rPr>
                <w:sz w:val="13"/>
                <w:szCs w:val="13"/>
                <w:color w:val="auto"/>
              </w:rPr>
            </w:pPr>
          </w:p>
        </w:tc>
        <w:tc>
          <w:tcPr>
            <w:tcW w:w="1360" w:type="dxa"/>
            <w:vAlign w:val="bottom"/>
          </w:tcPr>
          <w:p>
            <w:pPr>
              <w:jc w:val="right"/>
              <w:ind w:right="219"/>
              <w:spacing w:after="0" w:line="155" w:lineRule="exact"/>
              <w:rPr>
                <w:sz w:val="20"/>
                <w:szCs w:val="20"/>
                <w:color w:val="auto"/>
              </w:rPr>
            </w:pPr>
            <w:r>
              <w:rPr>
                <w:rFonts w:ascii="Arial" w:cs="Arial" w:eastAsia="Arial" w:hAnsi="Arial"/>
                <w:sz w:val="14"/>
                <w:szCs w:val="14"/>
                <w:b w:val="1"/>
                <w:bCs w:val="1"/>
                <w:color w:val="auto"/>
              </w:rPr>
              <w:t>Record Date</w:t>
            </w:r>
          </w:p>
        </w:tc>
        <w:tc>
          <w:tcPr>
            <w:tcW w:w="100" w:type="dxa"/>
            <w:vAlign w:val="bottom"/>
          </w:tcPr>
          <w:p>
            <w:pPr>
              <w:spacing w:after="0"/>
              <w:rPr>
                <w:sz w:val="13"/>
                <w:szCs w:val="13"/>
                <w:color w:val="auto"/>
              </w:rPr>
            </w:pPr>
          </w:p>
        </w:tc>
        <w:tc>
          <w:tcPr>
            <w:tcW w:w="138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24, 2016</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2016</w:t>
            </w:r>
          </w:p>
        </w:tc>
        <w:tc>
          <w:tcPr>
            <w:tcW w:w="1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ind w:left="320"/>
              <w:spacing w:after="0"/>
              <w:rPr>
                <w:sz w:val="20"/>
                <w:szCs w:val="20"/>
                <w:color w:val="auto"/>
              </w:rPr>
            </w:pPr>
            <w:r>
              <w:rPr>
                <w:rFonts w:ascii="Arial" w:cs="Arial" w:eastAsia="Arial" w:hAnsi="Arial"/>
                <w:sz w:val="18"/>
                <w:szCs w:val="18"/>
                <w:color w:val="auto"/>
                <w:w w:val="93"/>
              </w:rPr>
              <w:t>April 29, 2016</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520" w:type="dxa"/>
            <w:vAlign w:val="bottom"/>
          </w:tcPr>
          <w:p>
            <w:pPr>
              <w:jc w:val="right"/>
              <w:ind w:right="36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line="259"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the Company’s consolidated balance sheet as of March 31, 2017. There was no change to the dividend amount or payment date.</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dividends declared during the three months ended March 31, 2017 and 2016 were derived from net investment income, determined on a tax basis.</w:t>
      </w:r>
    </w:p>
    <w:p>
      <w:pPr>
        <w:spacing w:after="0" w:line="393" w:lineRule="exact"/>
        <w:rPr>
          <w:sz w:val="20"/>
          <w:szCs w:val="20"/>
          <w:color w:val="auto"/>
        </w:rPr>
      </w:pPr>
    </w:p>
    <w:p>
      <w:pPr>
        <w:ind w:left="280" w:hanging="272"/>
        <w:spacing w:after="0"/>
        <w:tabs>
          <w:tab w:leader="none" w:pos="2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tax character of shareholder distributions attributable to the three months ended March 31, 2017 and 2016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4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2017</w:t>
            </w: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2016</w:t>
            </w: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Ordinary Income </w:t>
            </w:r>
            <w:r>
              <w:rPr>
                <w:rFonts w:ascii="Arial" w:cs="Arial" w:eastAsia="Arial" w:hAnsi="Arial"/>
                <w:sz w:val="15"/>
                <w:szCs w:val="15"/>
                <w:color w:val="auto"/>
              </w:rPr>
              <w:t>(1)</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23,337</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23,098</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Capital Gains</w:t>
            </w:r>
          </w:p>
        </w:tc>
        <w:tc>
          <w:tcPr>
            <w:tcW w:w="14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320" w:hanging="512"/>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the three months ended March 31, 2017 and 2016, 88.5% and 81.8% of ordinary income qualified as interest related dividend which is exempt from U.S. withholding tax applicable to non U.S. shareholders.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7" w:name="page38"/>
    <w:bookmarkEnd w:id="37"/>
    <w:p>
      <w:pPr>
        <w:ind w:left="260"/>
        <w:spacing w:after="0"/>
        <w:rPr>
          <w:sz w:val="20"/>
          <w:szCs w:val="20"/>
          <w:color w:val="auto"/>
        </w:rPr>
      </w:pPr>
      <w:r>
        <w:rPr>
          <w:rFonts w:ascii="Arial" w:cs="Arial" w:eastAsia="Arial" w:hAnsi="Arial"/>
          <w:sz w:val="17"/>
          <w:szCs w:val="17"/>
          <w:color w:val="auto"/>
        </w:rPr>
        <w:t>The following reconciles increase in net assets resulting from operations for the three months ended March 31, 2017 and 2016 to taxable income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2016:</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March 31, 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March 31, 2016</w:t>
            </w: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 loss on investments</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80" w:type="dxa"/>
            <w:vAlign w:val="bottom"/>
            <w:shd w:val="clear" w:color="auto" w:fill="CFF0FC"/>
          </w:tcPr>
          <w:p>
            <w:pPr>
              <w:spacing w:after="0"/>
              <w:rPr>
                <w:sz w:val="19"/>
                <w:szCs w:val="19"/>
                <w:color w:val="auto"/>
              </w:rPr>
            </w:pPr>
          </w:p>
        </w:tc>
      </w:tr>
      <w:tr>
        <w:trPr>
          <w:trHeight w:val="230"/>
        </w:trPr>
        <w:tc>
          <w:tcPr>
            <w:tcW w:w="4940" w:type="dxa"/>
            <w:vAlign w:val="bottom"/>
          </w:tcPr>
          <w:p>
            <w:pPr>
              <w:ind w:left="240"/>
              <w:spacing w:after="0"/>
              <w:rPr>
                <w:sz w:val="20"/>
                <w:szCs w:val="20"/>
                <w:color w:val="auto"/>
              </w:rPr>
            </w:pPr>
            <w:r>
              <w:rPr>
                <w:rFonts w:ascii="Arial" w:cs="Arial" w:eastAsia="Arial" w:hAnsi="Arial"/>
                <w:sz w:val="18"/>
                <w:szCs w:val="18"/>
                <w:color w:val="auto"/>
              </w:rPr>
              <w:t>Other income (loss) for tax purposes, not book</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r>
      <w:tr>
        <w:trPr>
          <w:trHeight w:val="230"/>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organization costs</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r>
        <w:trPr>
          <w:trHeight w:val="230"/>
        </w:trPr>
        <w:tc>
          <w:tcPr>
            <w:tcW w:w="4940" w:type="dxa"/>
            <w:vAlign w:val="bottom"/>
          </w:tcPr>
          <w:p>
            <w:pPr>
              <w:ind w:left="240"/>
              <w:spacing w:after="0"/>
              <w:rPr>
                <w:sz w:val="20"/>
                <w:szCs w:val="20"/>
                <w:color w:val="auto"/>
              </w:rPr>
            </w:pPr>
            <w:r>
              <w:rPr>
                <w:rFonts w:ascii="Arial" w:cs="Arial" w:eastAsia="Arial" w:hAnsi="Arial"/>
                <w:sz w:val="18"/>
                <w:szCs w:val="18"/>
                <w:color w:val="auto"/>
              </w:rPr>
              <w:t>Other expenses not currently deductible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9"/>
                <w:szCs w:val="19"/>
                <w:color w:val="auto"/>
              </w:rPr>
            </w:pPr>
          </w:p>
        </w:tc>
      </w:tr>
      <w:tr>
        <w:trPr>
          <w:trHeight w:val="230"/>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book-tax differences</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(332)</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80" w:type="dxa"/>
            <w:vAlign w:val="bottom"/>
            <w:shd w:val="clear" w:color="auto" w:fill="CFF0FC"/>
          </w:tcPr>
          <w:p>
            <w:pPr>
              <w:spacing w:after="0"/>
              <w:rPr>
                <w:sz w:val="19"/>
                <w:szCs w:val="19"/>
                <w:color w:val="auto"/>
              </w:rPr>
            </w:pPr>
          </w:p>
        </w:tc>
      </w:tr>
      <w:tr>
        <w:trPr>
          <w:trHeight w:val="223"/>
        </w:trPr>
        <w:tc>
          <w:tcPr>
            <w:tcW w:w="4940" w:type="dxa"/>
            <w:vAlign w:val="bottom"/>
          </w:tcPr>
          <w:p>
            <w:pPr>
              <w:ind w:left="500"/>
              <w:spacing w:after="0"/>
              <w:rPr>
                <w:sz w:val="20"/>
                <w:szCs w:val="20"/>
                <w:color w:val="auto"/>
              </w:rPr>
            </w:pPr>
            <w:r>
              <w:rPr>
                <w:rFonts w:ascii="Arial" w:cs="Arial" w:eastAsia="Arial" w:hAnsi="Arial"/>
                <w:sz w:val="18"/>
                <w:szCs w:val="18"/>
                <w:b w:val="1"/>
                <w:bCs w:val="1"/>
                <w:color w:val="auto"/>
              </w:rPr>
              <w:t>Taxable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33,466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24,276</w:t>
            </w:r>
          </w:p>
        </w:tc>
        <w:tc>
          <w:tcPr>
            <w:tcW w:w="8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Note: Taxable income as presented in the preceding table is an estimate and is not fully determined until the Company’s tax return is filed.</w:t>
      </w:r>
    </w:p>
    <w:p>
      <w:pPr>
        <w:spacing w:after="0" w:line="225" w:lineRule="exact"/>
        <w:rPr>
          <w:sz w:val="20"/>
          <w:szCs w:val="20"/>
          <w:color w:val="auto"/>
        </w:rPr>
      </w:pPr>
    </w:p>
    <w:p>
      <w:pPr>
        <w:jc w:val="both"/>
        <w:ind w:right="240" w:firstLine="259"/>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88"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During the three months ended March 31, 2017, permanent differences were principally related to $8.0 million of recharacterization of prepayment penalties and fees for tax purposes between ordinary income and capital gains, $0.8 million attributable to accrued U.S. federal excise taxes, and $0.6 million attributable to foreign currency reclassifications. During the three months ended March 31, 2016, permanent differences were principally related to $1.6 million of recharacterization of prepayment penalties for tax purposes between ordinary income and capital gains, $0.4 million attributable to accrued U.S. federal excise taxes, and $0.2 million attributable to foreign currency reclassifications.</w:t>
      </w:r>
    </w:p>
    <w:p>
      <w:pPr>
        <w:spacing w:after="0" w:line="188"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As of March 31, 2017 and December 31, 2016, the Company had deferred tax assets of $3.1 million and $3.1 million, respectively, pertaining to operating losses, related to one of its investments. Given the losses generated by the entity, the deferred tax assets have been offset by valuation allowances of $3.1 million and $3.1 million, respectively.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tax cost of the Company’s investments as of March 31, 2017 and December 31, 2016 approximates their amortized cost.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460" w:firstLine="259"/>
        <w:spacing w:after="0" w:line="308"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three months ended March 31, 2017 and 2016.</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2017</w:t>
            </w:r>
          </w:p>
        </w:tc>
        <w:tc>
          <w:tcPr>
            <w:tcW w:w="140" w:type="dxa"/>
            <w:vAlign w:val="bottom"/>
          </w:tcPr>
          <w:p>
            <w:pPr>
              <w:spacing w:after="0"/>
              <w:rPr>
                <w:sz w:val="14"/>
                <w:szCs w:val="14"/>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(7)</w:t>
            </w:r>
          </w:p>
        </w:tc>
        <w:tc>
          <w:tcPr>
            <w:tcW w:w="8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0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15.95</w:t>
            </w:r>
          </w:p>
        </w:tc>
        <w:tc>
          <w:tcPr>
            <w:tcW w:w="3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realized and unrealized gain (loss) </w:t>
            </w:r>
            <w:r>
              <w:rPr>
                <w:rFonts w:ascii="Arial" w:cs="Arial" w:eastAsia="Arial" w:hAnsi="Arial"/>
                <w:sz w:val="15"/>
                <w:szCs w:val="15"/>
                <w:color w:val="auto"/>
              </w:rPr>
              <w:t>(1)</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Total from operations</w:t>
            </w:r>
          </w:p>
        </w:tc>
        <w:tc>
          <w:tcPr>
            <w:tcW w:w="8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offering costs </w:t>
            </w:r>
            <w:r>
              <w:rPr>
                <w:rFonts w:ascii="Arial" w:cs="Arial" w:eastAsia="Arial" w:hAnsi="Arial"/>
                <w:sz w:val="15"/>
                <w:szCs w:val="15"/>
                <w:color w:val="auto"/>
              </w:rPr>
              <w:t>(2)</w:t>
            </w: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Dividends declared from net investment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 xml:space="preserve">income </w:t>
            </w:r>
            <w:r>
              <w:rPr>
                <w:rFonts w:ascii="Arial" w:cs="Arial" w:eastAsia="Arial" w:hAnsi="Arial"/>
                <w:sz w:val="15"/>
                <w:szCs w:val="15"/>
                <w:color w:val="auto"/>
              </w:rPr>
              <w:t>(2)</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(0.39)</w:t>
            </w:r>
          </w:p>
        </w:tc>
        <w:tc>
          <w:tcPr>
            <w:tcW w:w="14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increase (decrease) in net assets</w:t>
            </w:r>
          </w:p>
        </w:tc>
        <w:tc>
          <w:tcPr>
            <w:tcW w:w="8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CFF0FC"/>
            </w:tcBorders>
          </w:tcPr>
          <w:p>
            <w:pPr>
              <w:ind w:left="220"/>
              <w:spacing w:after="0"/>
              <w:rPr>
                <w:sz w:val="20"/>
                <w:szCs w:val="20"/>
                <w:color w:val="auto"/>
              </w:rPr>
            </w:pPr>
            <w:r>
              <w:rPr>
                <w:rFonts w:ascii="Arial" w:cs="Arial" w:eastAsia="Arial" w:hAnsi="Arial"/>
                <w:sz w:val="18"/>
                <w:szCs w:val="18"/>
                <w:b w:val="1"/>
                <w:bCs w:val="1"/>
                <w:color w:val="auto"/>
              </w:rPr>
              <w:t>Net Asset Value, End of Period</w:t>
            </w:r>
          </w:p>
        </w:tc>
        <w:tc>
          <w:tcPr>
            <w:tcW w:w="8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Per share market value at end of period</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11.24%</w:t>
            </w:r>
          </w:p>
        </w:tc>
        <w:tc>
          <w:tcPr>
            <w:tcW w:w="14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(4)</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3.01%</w:t>
            </w: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Shares Outstanding, End of Period</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59,839,041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59,225,688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Ratios / Supplemental Data </w:t>
            </w:r>
            <w:r>
              <w:rPr>
                <w:rFonts w:ascii="Arial" w:cs="Arial" w:eastAsia="Arial" w:hAnsi="Arial"/>
                <w:sz w:val="15"/>
                <w:szCs w:val="15"/>
                <w:b w:val="1"/>
                <w:bCs w:val="1"/>
                <w:color w:val="auto"/>
              </w:rPr>
              <w:t>(5)</w:t>
            </w: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Ratio of net expenses to average</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 xml:space="preserve">net assets </w:t>
            </w:r>
            <w:r>
              <w:rPr>
                <w:rFonts w:ascii="Arial" w:cs="Arial" w:eastAsia="Arial" w:hAnsi="Arial"/>
                <w:sz w:val="15"/>
                <w:szCs w:val="15"/>
                <w:color w:val="auto"/>
              </w:rPr>
              <w:t>(6)</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9.39%</w:t>
            </w:r>
          </w:p>
        </w:tc>
        <w:tc>
          <w:tcPr>
            <w:tcW w:w="14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Ratio of net investment income</w:t>
            </w: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 average net assets</w:t>
            </w: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11.93%</w:t>
            </w:r>
          </w:p>
        </w:tc>
        <w:tc>
          <w:tcPr>
            <w:tcW w:w="1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Portfolio turnover</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36.67%</w:t>
            </w:r>
          </w:p>
        </w:tc>
        <w:tc>
          <w:tcPr>
            <w:tcW w:w="14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Net assets, end of period</w:t>
            </w:r>
          </w:p>
        </w:tc>
        <w:tc>
          <w:tcPr>
            <w:tcW w:w="102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959,641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894,671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jc w:val="both"/>
        <w:ind w:left="520" w:right="200" w:hanging="512"/>
        <w:spacing w:after="0" w:line="250"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 On an annualized basis, the total return based on market value for the three months ended March 31, 2017 and 2016 is 44.97% and 7.40%, respectively.</w:t>
      </w:r>
    </w:p>
    <w:p>
      <w:pPr>
        <w:spacing w:after="0" w:line="1" w:lineRule="exact"/>
        <w:rPr>
          <w:rFonts w:ascii="Arial" w:cs="Arial" w:eastAsia="Arial" w:hAnsi="Arial"/>
          <w:sz w:val="18"/>
          <w:szCs w:val="18"/>
          <w:color w:val="auto"/>
        </w:rPr>
      </w:pPr>
    </w:p>
    <w:p>
      <w:pPr>
        <w:ind w:left="520" w:right="560" w:hanging="512"/>
        <w:spacing w:after="0" w:line="250"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 On an annualized basis, the total return based on net asset value for the three months ended March 31, 2017 and 2016 is 12.04% and 9.28%, respectively.</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520" w:right="60" w:hanging="512"/>
        <w:spacing w:after="0" w:line="250"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ratio of net expenses to average net assets in the table above reflects the Adviser’s waivers of its right to receive a portion of the Management Fee and Incentive Fees with respect to the Company’s ownership of shares of common stock of TICC Capital Corp. Excluding the effects of waivers, the ratio of net expenses to average net assets would have been 9.17% for the three months ended March 31, 2016. The Adviser did not waive any Management Fees or Incentive Fees for the three months ended March 31, 2017.</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10-Q or would be required to be recognized in the consolidated financial statements as of and for the three months ended March 31, 2017.</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used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20" w:right="520" w:hanging="255"/>
        <w:spacing w:after="0" w:line="277"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We have in place a stock repurchase plan, the Company 10b5-1 Plan, to acquire up to $50 million in the aggregate of our common stock at prices below our net asset value per share over a specified period, in accordance with the guidelines specified in Rule 10b-18 and Rule 10b5-1 of the Exchange Act. We put the Company 10b5-1 Plan in place because we believe that if our common stock is trading below our then-current net asset value, it is in the best interest of our stockholders for us to reinvest in our portfolio and increase our leverage ratio through share repurchases.</w:t>
      </w:r>
    </w:p>
    <w:p>
      <w:pPr>
        <w:spacing w:after="0" w:line="171"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On August 4, 2015, our Board authorized us to enter into a new stock repurchase plan, the Company 10b5-1 Plan, to acquire up to $50 million in the aggregate of our common stock at prices just below our net asset value over an initial six month period, in accordance with the guidelines specified in Rule 10b-18 and Rule 10b5-1 of the Exchange Act, and has continued to authorize extensions of the plan termination date prior to its expiration since that time. On February 22, 2017, our Board authorized the extension of the termination date of the Company 10b5-1 Plan to August 31, 2017. Unless extended or terminated by the Board, the Company 10b5-1 Plan will be in effect through the earlier of August 31, 2017 or such time as the current approved repurchase amount of up to $50 million has been fully utilized, subject to certain conditions.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100" w:firstLine="259"/>
        <w:spacing w:after="0" w:line="276"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March 31, 2017, we have originated more than $5.4 billion aggregate principal amount of investments and retained approximately $3.6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0" w:name="page41"/>
    <w:bookmarkEnd w:id="40"/>
    <w:p>
      <w:pPr>
        <w:ind w:right="80" w:firstLine="259"/>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March 31, 2017, our core portfolio companies, which excludes certain investments that fall outside of our typical borrower profile and represent 84.9% of our total investments based on fair value, had weighted average annual revenue of $141.0 million and weighted average annual EBITDA of $30.7 million.</w:t>
      </w:r>
    </w:p>
    <w:p>
      <w:pPr>
        <w:spacing w:after="0" w:line="18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which is often referred to as “junk”.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2017, the average investment size in each of our portfolio companies was approximately $32.9 million based on fair value.</w:t>
      </w:r>
    </w:p>
    <w:p>
      <w:pPr>
        <w:spacing w:after="0" w:line="225" w:lineRule="exact"/>
        <w:rPr>
          <w:sz w:val="20"/>
          <w:szCs w:val="20"/>
          <w:color w:val="auto"/>
        </w:rPr>
      </w:pPr>
    </w:p>
    <w:p>
      <w:pPr>
        <w:ind w:right="220" w:firstLine="259"/>
        <w:spacing w:after="0" w:line="308"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(including restructurings). As of March 31, 2017, the largest single investment based on fair value represented 4.8% of our total investment portfolio.</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2017, no industry represented more than 22.5% of our total investment portfolio based on fair value.</w:t>
      </w:r>
    </w:p>
    <w:p>
      <w:pPr>
        <w:spacing w:after="0" w:line="225" w:lineRule="exact"/>
        <w:rPr>
          <w:sz w:val="20"/>
          <w:szCs w:val="20"/>
          <w:color w:val="auto"/>
        </w:rPr>
      </w:pPr>
    </w:p>
    <w:p>
      <w:pPr>
        <w:ind w:right="80" w:firstLine="259"/>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March 31, 2017, approximately 98.7%</w:t>
      </w:r>
      <w:r>
        <w:rPr>
          <w:rFonts w:ascii="Arial" w:cs="Arial" w:eastAsia="Arial" w:hAnsi="Arial"/>
          <w:sz w:val="17"/>
          <w:szCs w:val="17"/>
          <w:i w:val="1"/>
          <w:iCs w:val="1"/>
          <w:color w:val="auto"/>
        </w:rPr>
        <w:t xml:space="preserve"> </w:t>
      </w:r>
      <w:r>
        <w:rPr>
          <w:rFonts w:ascii="Arial" w:cs="Arial" w:eastAsia="Arial" w:hAnsi="Arial"/>
          <w:sz w:val="17"/>
          <w:szCs w:val="17"/>
          <w:color w:val="auto"/>
        </w:rPr>
        <w:t>of our portfolio was invested in secured debt, including 98.5%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March 31, 2017, the weighted average term on new investment commitments in new portfolio companies was 5.6 years.</w:t>
      </w:r>
    </w:p>
    <w:p>
      <w:pPr>
        <w:spacing w:after="0" w:line="178"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20" w:firstLine="259"/>
        <w:spacing w:after="0" w:line="276" w:lineRule="auto"/>
        <w:rPr>
          <w:sz w:val="20"/>
          <w:szCs w:val="20"/>
          <w:color w:val="auto"/>
        </w:rPr>
      </w:pPr>
      <w:r>
        <w:rPr>
          <w:rFonts w:ascii="Arial" w:cs="Arial" w:eastAsia="Arial" w:hAnsi="Arial"/>
          <w:sz w:val="17"/>
          <w:szCs w:val="17"/>
          <w:i w:val="1"/>
          <w:iCs w:val="1"/>
          <w:color w:val="auto"/>
        </w:rPr>
        <w:t xml:space="preserve">Risk Mitigation. </w:t>
      </w:r>
      <w:r>
        <w:rPr>
          <w:rFonts w:ascii="Arial" w:cs="Arial" w:eastAsia="Arial" w:hAnsi="Arial"/>
          <w:sz w:val="17"/>
          <w:szCs w:val="17"/>
          <w:color w:val="auto"/>
        </w:rPr>
        <w:t>We seek to mitigate non-credit-related risk on our returns in several ways, including call protection provisions to protect future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As of March 31, 2017, we had call protection on 83.0% of our debt investments based on fair value, with weighted average call prices of 106.7% for the first year, 103.6% for the second year and 101.6% for the third year, in each case from the date of the initial investment. As of March 31, 2017, 100.0% of our debt investments based on fair value bore interest at floating rates (when including investment specific hedges), with 92.7% of these subject to interest rate floors, which we believe helps act as a portfolio-wide hedge against inflation.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117"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1" w:name="page42"/>
    <w:bookmarkEnd w:id="41"/>
    <w:p>
      <w:pPr>
        <w:ind w:right="20"/>
        <w:spacing w:after="0" w:line="279" w:lineRule="auto"/>
        <w:rPr>
          <w:sz w:val="20"/>
          <w:szCs w:val="20"/>
          <w:color w:val="auto"/>
        </w:rPr>
      </w:pPr>
      <w:r>
        <w:rPr>
          <w:rFonts w:ascii="Arial" w:cs="Arial" w:eastAsia="Arial" w:hAnsi="Arial"/>
          <w:sz w:val="17"/>
          <w:szCs w:val="17"/>
          <w:color w:val="auto"/>
        </w:rPr>
        <w:t>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TPG Special Situations Partners, or TSSP.</w:t>
      </w:r>
    </w:p>
    <w:p>
      <w:pPr>
        <w:spacing w:after="0" w:line="171"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TSSP, with over $18 billion of assets under management as of March 31, 2017, is TPG’s special situations and credit platform and encompasses TPG Specialty Lending, TPG Opportunities Partners and TSSP Adjacent Opportunities Partners, which invest in special situations and distressed investments across the credit cycle,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160 investment and operating professionals. As of March 31, 2017, twenty nine (29) of these personnel are dedicated to our business, including twenty one (21) investment professionals.</w:t>
      </w:r>
    </w:p>
    <w:p>
      <w:pPr>
        <w:spacing w:after="0" w:line="189" w:lineRule="exact"/>
        <w:rPr>
          <w:sz w:val="20"/>
          <w:szCs w:val="20"/>
          <w:color w:val="auto"/>
        </w:rPr>
      </w:pPr>
    </w:p>
    <w:p>
      <w:pPr>
        <w:ind w:right="100" w:firstLine="259"/>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jc w:val="both"/>
        <w:ind w:right="140" w:firstLine="259"/>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180" w:firstLine="259"/>
        <w:spacing w:after="0" w:line="312"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40" w:firstLine="259"/>
        <w:spacing w:after="0" w:line="312"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47"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20" w:firstLine="259"/>
        <w:spacing w:after="0" w:line="255"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sales of loans and debt and equity securities and various loan origination and other fees. Our debt investments typically have a term of two to six years, and, as of March 31, 2017, 100.0% of these investments based on fair value bear interest at a floating rate (when including investment specific hedges), with 92.7% of these subject to interest rate floors. Interest on debt investments is generally payable quarterly or semiannually. Some of our investments provide for deferred interest payments or PIK interest. For the three months ended March 31, 2017, 3.3% of our total investment income was comprised of PIK interest.</w:t>
      </w:r>
    </w:p>
    <w:p>
      <w:pPr>
        <w:spacing w:after="0" w:line="193"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and Convertible Senior Notes, after taking into account the effect of the interest rate swaps we have entered into in connection with the Convertible Senior Notes, all bear interest at floating rates. Macro trends in base interest rates like LIBOR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9" w:lineRule="exact"/>
        <w:rPr>
          <w:sz w:val="20"/>
          <w:szCs w:val="20"/>
          <w:color w:val="auto"/>
        </w:rPr>
      </w:pPr>
    </w:p>
    <w:p>
      <w:pPr>
        <w:ind w:right="220" w:firstLine="259"/>
        <w:spacing w:after="0" w:line="297"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58"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We also may generate revenue in the form of commitment, amendment, structuring, syndication or due diligence fees, fees for providing managerial assistance and consulting fees. The frequency or volume of these repayments may fluctuate significantly.</w:t>
      </w:r>
    </w:p>
    <w:p>
      <w:pPr>
        <w:spacing w:after="0" w:line="188"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160" w:firstLine="259"/>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3" w:lineRule="exact"/>
        <w:rPr>
          <w:sz w:val="20"/>
          <w:szCs w:val="20"/>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480" w:hanging="255"/>
        <w:spacing w:after="0" w:line="264"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ind w:left="520" w:hanging="255"/>
        <w:spacing w:after="0" w:line="302" w:lineRule="auto"/>
        <w:tabs>
          <w:tab w:leader="none" w:pos="5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46" w:lineRule="exact"/>
        <w:rPr>
          <w:rFonts w:ascii="Arial" w:cs="Arial" w:eastAsia="Arial" w:hAnsi="Arial"/>
          <w:sz w:val="16"/>
          <w:szCs w:val="16"/>
          <w:color w:val="auto"/>
        </w:rPr>
      </w:pPr>
    </w:p>
    <w:p>
      <w:pPr>
        <w:ind w:left="520" w:hanging="255"/>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Adviser’s allocable share of costs incurred in providing significant managerial assistance to those portfolio companies that request it;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20" w:right="320" w:hanging="255"/>
        <w:spacing w:after="0" w:line="342" w:lineRule="auto"/>
        <w:tabs>
          <w:tab w:leader="none" w:pos="5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our total borrowings are limited so that our asset coverage ratio cannot fall below 200%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reduces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4" w:name="page45"/>
    <w:bookmarkEnd w:id="44"/>
    <w:p>
      <w:pPr>
        <w:ind w:right="120" w:firstLine="259"/>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200" w:firstLine="259"/>
        <w:spacing w:after="0" w:line="286" w:lineRule="auto"/>
        <w:rPr>
          <w:sz w:val="20"/>
          <w:szCs w:val="20"/>
          <w:color w:val="auto"/>
        </w:rPr>
      </w:pPr>
      <w:r>
        <w:rPr>
          <w:rFonts w:ascii="Arial" w:cs="Arial" w:eastAsia="Arial" w:hAnsi="Arial"/>
          <w:sz w:val="17"/>
          <w:szCs w:val="17"/>
          <w:color w:val="auto"/>
        </w:rPr>
        <w:t>As of March 31, 2017, our portfolio based on fair value consisted of 98.5% first-lien debt investments, 0.2% second-lien debt investments, and 1.3% equity and other investments. As of December 31, 2016, our portfolio based on fair value consisted of 96.5% first-lien debt investments, 1.2% second-lien debt investments, 0.6% mezzanine and unsecured debt investments, and 1.7% equity and other investments.</w:t>
      </w:r>
    </w:p>
    <w:p>
      <w:pPr>
        <w:spacing w:after="0" w:line="166" w:lineRule="exact"/>
        <w:rPr>
          <w:sz w:val="20"/>
          <w:szCs w:val="20"/>
          <w:color w:val="auto"/>
        </w:rPr>
      </w:pPr>
    </w:p>
    <w:p>
      <w:pPr>
        <w:ind w:right="260" w:firstLine="259"/>
        <w:spacing w:after="0" w:line="312" w:lineRule="auto"/>
        <w:rPr>
          <w:sz w:val="20"/>
          <w:szCs w:val="20"/>
          <w:color w:val="auto"/>
        </w:rPr>
      </w:pPr>
      <w:r>
        <w:rPr>
          <w:rFonts w:ascii="Arial" w:cs="Arial" w:eastAsia="Arial" w:hAnsi="Arial"/>
          <w:sz w:val="16"/>
          <w:szCs w:val="16"/>
          <w:color w:val="auto"/>
        </w:rPr>
        <w:t>As of March 31, 2017 and December 31, 2016, our weighted average total yield of debt and income-producing securities at fair value (which includes interest income and amortization of fees and discounts) was 10.3% and 10.4%, respectively, and our weighted average total yield of debt and income-producing securities at amortized cost (which includes interest income and amortization of fees and discounts) was 10.4% and 10.4%, respectively.</w:t>
      </w:r>
    </w:p>
    <w:p>
      <w:pPr>
        <w:spacing w:after="0" w:line="147" w:lineRule="exact"/>
        <w:rPr>
          <w:sz w:val="20"/>
          <w:szCs w:val="20"/>
          <w:color w:val="auto"/>
        </w:rPr>
      </w:pPr>
    </w:p>
    <w:p>
      <w:pPr>
        <w:ind w:right="520" w:firstLine="259"/>
        <w:spacing w:after="0" w:line="277" w:lineRule="auto"/>
        <w:rPr>
          <w:sz w:val="20"/>
          <w:szCs w:val="20"/>
          <w:color w:val="auto"/>
        </w:rPr>
      </w:pPr>
      <w:r>
        <w:rPr>
          <w:rFonts w:ascii="Arial" w:cs="Arial" w:eastAsia="Arial" w:hAnsi="Arial"/>
          <w:sz w:val="18"/>
          <w:szCs w:val="18"/>
          <w:color w:val="auto"/>
        </w:rPr>
        <w:t>As of March 31, 2017 and December 31, 2016, we had investments in 48 and 52 portfolio companies, respectively, with an aggregate fair value of $1,580.3 million and $1,657.4 million, respectively.</w:t>
      </w:r>
    </w:p>
    <w:p>
      <w:pPr>
        <w:spacing w:after="0" w:line="170"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For the three months ended March 31, 2017, we made new investment commitments of $149.2 million in five new portfolio companies. For this period, we had $213.5 million aggregate principal amount in exits and repayments.</w:t>
      </w:r>
    </w:p>
    <w:p>
      <w:pPr>
        <w:spacing w:after="0" w:line="170" w:lineRule="exact"/>
        <w:rPr>
          <w:sz w:val="20"/>
          <w:szCs w:val="20"/>
          <w:color w:val="auto"/>
        </w:rPr>
      </w:pPr>
    </w:p>
    <w:p>
      <w:pPr>
        <w:ind w:firstLine="259"/>
        <w:spacing w:after="0" w:line="342" w:lineRule="auto"/>
        <w:rPr>
          <w:sz w:val="20"/>
          <w:szCs w:val="20"/>
          <w:color w:val="auto"/>
        </w:rPr>
      </w:pPr>
      <w:r>
        <w:rPr>
          <w:rFonts w:ascii="Arial" w:cs="Arial" w:eastAsia="Arial" w:hAnsi="Arial"/>
          <w:sz w:val="16"/>
          <w:szCs w:val="16"/>
          <w:color w:val="auto"/>
        </w:rPr>
        <w:t>For the three months ended March 31, 2016, we made new investment commitments of $129.6 million, including $78.5 million in four new portfolio companies and $51.1 million in four existing portfolio companies. For this period, we had $45.8 million aggregate principal amount in exits and repayments.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45" w:name="page46"/>
    <w:bookmarkEnd w:id="45"/>
    <w:p>
      <w:pPr>
        <w:ind w:right="480" w:firstLine="259"/>
        <w:spacing w:after="0" w:line="277" w:lineRule="auto"/>
        <w:rPr>
          <w:sz w:val="20"/>
          <w:szCs w:val="20"/>
          <w:color w:val="auto"/>
        </w:rPr>
      </w:pPr>
      <w:r>
        <w:rPr>
          <w:rFonts w:ascii="Arial" w:cs="Arial" w:eastAsia="Arial" w:hAnsi="Arial"/>
          <w:sz w:val="18"/>
          <w:szCs w:val="18"/>
          <w:color w:val="auto"/>
        </w:rPr>
        <w:t>Our investment activity for the three months ended March 31, 2017 and 2016 is presented below (information presented herein is at par value unless otherwise indicated).</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5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7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gridSpan w:val="3"/>
          </w:tcPr>
          <w:p>
            <w:pPr>
              <w:jc w:val="right"/>
              <w:ind w:right="320"/>
              <w:spacing w:after="0" w:line="155" w:lineRule="exact"/>
              <w:rPr>
                <w:sz w:val="20"/>
                <w:szCs w:val="20"/>
                <w:color w:val="auto"/>
              </w:rPr>
            </w:pPr>
            <w:r>
              <w:rPr>
                <w:rFonts w:ascii="Arial" w:cs="Arial" w:eastAsia="Arial" w:hAnsi="Arial"/>
                <w:sz w:val="14"/>
                <w:szCs w:val="14"/>
                <w:b w:val="1"/>
                <w:bCs w:val="1"/>
                <w:color w:val="auto"/>
              </w:rPr>
              <w:t>March 31, 2017</w:t>
            </w:r>
          </w:p>
        </w:tc>
        <w:tc>
          <w:tcPr>
            <w:tcW w:w="60" w:type="dxa"/>
            <w:vAlign w:val="bottom"/>
          </w:tcPr>
          <w:p>
            <w:pPr>
              <w:spacing w:after="0"/>
              <w:rPr>
                <w:sz w:val="13"/>
                <w:szCs w:val="13"/>
                <w:color w:val="auto"/>
              </w:rPr>
            </w:pPr>
          </w:p>
        </w:tc>
        <w:tc>
          <w:tcPr>
            <w:tcW w:w="11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March 31, 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7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Gross originations</w:t>
            </w:r>
          </w:p>
        </w:tc>
        <w:tc>
          <w:tcPr>
            <w:tcW w:w="1100" w:type="dxa"/>
            <w:vAlign w:val="bottom"/>
            <w:gridSpan w:val="2"/>
          </w:tcPr>
          <w:p>
            <w:pPr>
              <w:jc w:val="right"/>
              <w:ind w:right="186"/>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285.9</w:t>
            </w:r>
          </w:p>
        </w:tc>
        <w:tc>
          <w:tcPr>
            <w:tcW w:w="220" w:type="dxa"/>
            <w:vAlign w:val="bottom"/>
          </w:tcPr>
          <w:p>
            <w:pPr>
              <w:spacing w:after="0"/>
              <w:rPr>
                <w:sz w:val="19"/>
                <w:szCs w:val="19"/>
                <w:color w:val="auto"/>
              </w:rPr>
            </w:pPr>
          </w:p>
        </w:tc>
        <w:tc>
          <w:tcPr>
            <w:tcW w:w="660" w:type="dxa"/>
            <w:vAlign w:val="bottom"/>
            <w:gridSpan w:val="2"/>
          </w:tcPr>
          <w:p>
            <w:pPr>
              <w:jc w:val="right"/>
              <w:ind w:right="414"/>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164.6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Syndications/sell downs</w:t>
            </w:r>
          </w:p>
        </w:tc>
        <w:tc>
          <w:tcPr>
            <w:tcW w:w="7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760" w:type="dxa"/>
            <w:vAlign w:val="bottom"/>
          </w:tcPr>
          <w:p>
            <w:pPr>
              <w:spacing w:after="0"/>
              <w:rPr>
                <w:sz w:val="19"/>
                <w:szCs w:val="19"/>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149.2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129.6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1100" w:type="dxa"/>
            <w:vAlign w:val="bottom"/>
            <w:gridSpan w:val="2"/>
          </w:tcPr>
          <w:p>
            <w:pPr>
              <w:jc w:val="right"/>
              <w:ind w:right="186"/>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142.2</w:t>
            </w:r>
          </w:p>
        </w:tc>
        <w:tc>
          <w:tcPr>
            <w:tcW w:w="220" w:type="dxa"/>
            <w:vAlign w:val="bottom"/>
          </w:tcPr>
          <w:p>
            <w:pPr>
              <w:spacing w:after="0"/>
              <w:rPr>
                <w:sz w:val="19"/>
                <w:szCs w:val="19"/>
                <w:color w:val="auto"/>
              </w:rPr>
            </w:pPr>
          </w:p>
        </w:tc>
        <w:tc>
          <w:tcPr>
            <w:tcW w:w="660" w:type="dxa"/>
            <w:vAlign w:val="bottom"/>
            <w:gridSpan w:val="2"/>
          </w:tcPr>
          <w:p>
            <w:pPr>
              <w:jc w:val="right"/>
              <w:ind w:right="414"/>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127.5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Mezzanine and unsecured</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Pr>
          <w:p>
            <w:pPr>
              <w:ind w:left="500"/>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9"/>
                <w:szCs w:val="19"/>
                <w:color w:val="auto"/>
              </w:rPr>
            </w:pPr>
          </w:p>
        </w:tc>
        <w:tc>
          <w:tcPr>
            <w:tcW w:w="340" w:type="dxa"/>
            <w:vAlign w:val="bottom"/>
            <w:tcBorders>
              <w:top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top w:val="single" w:sz="8" w:color="auto"/>
            </w:tcBorders>
          </w:tcPr>
          <w:p>
            <w:pPr>
              <w:jc w:val="right"/>
              <w:ind w:right="41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1100" w:type="dxa"/>
            <w:vAlign w:val="bottom"/>
            <w:gridSpan w:val="2"/>
          </w:tcPr>
          <w:p>
            <w:pPr>
              <w:jc w:val="right"/>
              <w:ind w:right="186"/>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175.6</w:t>
            </w:r>
          </w:p>
        </w:tc>
        <w:tc>
          <w:tcPr>
            <w:tcW w:w="220" w:type="dxa"/>
            <w:vAlign w:val="bottom"/>
          </w:tcPr>
          <w:p>
            <w:pPr>
              <w:spacing w:after="0"/>
              <w:rPr>
                <w:sz w:val="19"/>
                <w:szCs w:val="19"/>
                <w:color w:val="auto"/>
              </w:rPr>
            </w:pPr>
          </w:p>
        </w:tc>
        <w:tc>
          <w:tcPr>
            <w:tcW w:w="660" w:type="dxa"/>
            <w:vAlign w:val="bottom"/>
            <w:gridSpan w:val="2"/>
          </w:tcPr>
          <w:p>
            <w:pPr>
              <w:jc w:val="right"/>
              <w:ind w:right="414"/>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Mezzanine and unsecured</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7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7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2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100" w:type="dxa"/>
            <w:vAlign w:val="bottom"/>
            <w:gridSpan w:val="2"/>
          </w:tcPr>
          <w:p>
            <w:pPr>
              <w:jc w:val="right"/>
              <w:ind w:right="186"/>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20"/>
                <w:szCs w:val="20"/>
                <w:color w:val="auto"/>
              </w:rPr>
            </w:pPr>
          </w:p>
        </w:tc>
        <w:tc>
          <w:tcPr>
            <w:tcW w:w="660" w:type="dxa"/>
            <w:vAlign w:val="bottom"/>
            <w:gridSpan w:val="2"/>
          </w:tcPr>
          <w:p>
            <w:pPr>
              <w:jc w:val="right"/>
              <w:ind w:right="414"/>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7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2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140"/>
              <w:spacing w:after="0"/>
              <w:rPr>
                <w:sz w:val="20"/>
                <w:szCs w:val="20"/>
                <w:color w:val="auto"/>
              </w:rPr>
            </w:pPr>
            <w:r>
              <w:rPr>
                <w:rFonts w:ascii="Arial" w:cs="Arial" w:eastAsia="Arial" w:hAnsi="Arial"/>
                <w:sz w:val="18"/>
                <w:szCs w:val="18"/>
                <w:b w:val="1"/>
                <w:bCs w:val="1"/>
                <w:color w:val="auto"/>
              </w:rPr>
              <w:t xml:space="preserve">at floating rates </w:t>
            </w:r>
            <w:r>
              <w:rPr>
                <w:rFonts w:ascii="Arial" w:cs="Arial" w:eastAsia="Arial" w:hAnsi="Arial"/>
                <w:sz w:val="15"/>
                <w:szCs w:val="15"/>
                <w:b w:val="1"/>
                <w:bCs w:val="1"/>
                <w:color w:val="auto"/>
              </w:rPr>
              <w:t>(1)</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1"/>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7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1"/>
        </w:trPr>
        <w:tc>
          <w:tcPr>
            <w:tcW w:w="452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1"/>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 xml:space="preserve">floating rate investment commitments </w:t>
            </w:r>
            <w:r>
              <w:rPr>
                <w:rFonts w:ascii="Arial" w:cs="Arial" w:eastAsia="Arial" w:hAnsi="Arial"/>
                <w:sz w:val="15"/>
                <w:szCs w:val="15"/>
                <w:b w:val="1"/>
                <w:bCs w:val="1"/>
                <w:color w:val="auto"/>
              </w:rPr>
              <w:t>(1)</w:t>
            </w:r>
          </w:p>
        </w:tc>
        <w:tc>
          <w:tcPr>
            <w:tcW w:w="7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w:t>
            </w:r>
          </w:p>
        </w:tc>
        <w:tc>
          <w:tcPr>
            <w:tcW w:w="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1"/>
        </w:trPr>
        <w:tc>
          <w:tcPr>
            <w:tcW w:w="452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140"/>
              <w:spacing w:after="0"/>
              <w:rPr>
                <w:sz w:val="20"/>
                <w:szCs w:val="20"/>
                <w:color w:val="auto"/>
              </w:rPr>
            </w:pPr>
            <w:r>
              <w:rPr>
                <w:rFonts w:ascii="Arial" w:cs="Arial" w:eastAsia="Arial" w:hAnsi="Arial"/>
                <w:sz w:val="18"/>
                <w:szCs w:val="18"/>
                <w:b w:val="1"/>
                <w:bCs w:val="1"/>
                <w:color w:val="auto"/>
              </w:rPr>
              <w:t>sold or paid down</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right="160" w:hanging="512"/>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one fixed rate investment for the three months ended March 31, 2017 for which we entered into an interest rate swap agreement to swap to a floating rate.</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2017 and December 31, 2016, our investments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gridSpan w:val="2"/>
            <w:vMerge w:val="restart"/>
          </w:tcPr>
          <w:p>
            <w:pPr>
              <w:ind w:left="580"/>
              <w:spacing w:after="0"/>
              <w:rPr>
                <w:sz w:val="20"/>
                <w:szCs w:val="20"/>
                <w:color w:val="auto"/>
              </w:rPr>
            </w:pPr>
            <w:r>
              <w:rPr>
                <w:rFonts w:ascii="Arial" w:cs="Arial" w:eastAsia="Arial" w:hAnsi="Arial"/>
                <w:sz w:val="14"/>
                <w:szCs w:val="14"/>
                <w:color w:val="auto"/>
              </w:rPr>
              <w:t>($ in millions)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4"/>
          </w:tcPr>
          <w:p>
            <w:pPr>
              <w:jc w:val="right"/>
              <w:ind w:right="793"/>
              <w:spacing w:after="0"/>
              <w:rPr>
                <w:sz w:val="20"/>
                <w:szCs w:val="20"/>
                <w:color w:val="auto"/>
              </w:rPr>
            </w:pPr>
            <w:r>
              <w:rPr>
                <w:rFonts w:ascii="Arial" w:cs="Arial" w:eastAsia="Arial" w:hAnsi="Arial"/>
                <w:sz w:val="14"/>
                <w:szCs w:val="14"/>
                <w:b w:val="1"/>
                <w:bCs w:val="1"/>
                <w:color w:val="auto"/>
              </w:rPr>
              <w:t>March 31, 2017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ind w:left="580"/>
              <w:spacing w:after="0"/>
              <w:rPr>
                <w:sz w:val="20"/>
                <w:szCs w:val="20"/>
                <w:color w:val="auto"/>
              </w:rPr>
            </w:pPr>
            <w:r>
              <w:rPr>
                <w:rFonts w:ascii="Arial" w:cs="Arial" w:eastAsia="Arial" w:hAnsi="Arial"/>
                <w:sz w:val="14"/>
                <w:szCs w:val="14"/>
                <w:b w:val="1"/>
                <w:bCs w:val="1"/>
                <w:color w:val="auto"/>
              </w:rPr>
              <w:t>December 31, 2016</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Fair Value</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w w:val="94"/>
              </w:rPr>
              <w:t>Amortized Cost</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Fair Value</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6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1,592.8</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6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1,580.3</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1,657.4</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1,667.7</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434"/>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6" w:name="page47"/>
    <w:bookmarkEnd w:id="46"/>
    <w:p>
      <w:pPr>
        <w:ind w:left="260"/>
        <w:spacing w:after="0"/>
        <w:rPr>
          <w:sz w:val="20"/>
          <w:szCs w:val="20"/>
          <w:color w:val="auto"/>
        </w:rPr>
      </w:pPr>
      <w:r>
        <w:rPr>
          <w:rFonts w:ascii="Arial" w:cs="Arial" w:eastAsia="Arial" w:hAnsi="Arial"/>
          <w:sz w:val="16"/>
          <w:szCs w:val="16"/>
          <w:color w:val="auto"/>
        </w:rPr>
        <w:t>The following tables show the fair value and amortized cost of our performing and non-accrual investments as of March 31, 2017 and December 31, 2016:</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7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4"/>
          </w:tcPr>
          <w:p>
            <w:pPr>
              <w:jc w:val="right"/>
              <w:ind w:right="1057"/>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6"/>
        </w:trPr>
        <w:tc>
          <w:tcPr>
            <w:tcW w:w="2700" w:type="dxa"/>
            <w:vAlign w:val="bottom"/>
            <w:tcBorders>
              <w:bottom w:val="single" w:sz="8" w:color="CFF0FC"/>
            </w:tcBorders>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600" w:type="dxa"/>
            <w:vAlign w:val="bottom"/>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1,549.7</w:t>
            </w:r>
          </w:p>
        </w:tc>
        <w:tc>
          <w:tcPr>
            <w:tcW w:w="280" w:type="dxa"/>
            <w:vAlign w:val="bottom"/>
            <w:shd w:val="clear" w:color="auto" w:fill="CFF0FC"/>
          </w:tcPr>
          <w:p>
            <w:pPr>
              <w:spacing w:after="0"/>
              <w:rPr>
                <w:sz w:val="19"/>
                <w:szCs w:val="19"/>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2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10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1,657.4</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w:t>
            </w:r>
          </w:p>
        </w:tc>
        <w:tc>
          <w:tcPr>
            <w:tcW w:w="280" w:type="dxa"/>
            <w:vAlign w:val="bottom"/>
          </w:tcPr>
          <w:p>
            <w:pPr>
              <w:spacing w:after="0"/>
              <w:rPr>
                <w:sz w:val="19"/>
                <w:szCs w:val="19"/>
                <w:color w:val="auto"/>
              </w:rPr>
            </w:pPr>
          </w:p>
        </w:tc>
        <w:tc>
          <w:tcPr>
            <w:tcW w:w="1460" w:type="dxa"/>
            <w:vAlign w:val="bottom"/>
            <w:gridSpan w:val="2"/>
          </w:tcPr>
          <w:p>
            <w:pPr>
              <w:jc w:val="right"/>
              <w:ind w:right="17"/>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0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00" w:type="dxa"/>
            <w:vAlign w:val="bottom"/>
            <w:vMerge w:val="restart"/>
            <w:shd w:val="clear" w:color="auto" w:fill="CFF0FC"/>
          </w:tcPr>
          <w:p>
            <w:pPr>
              <w:spacing w:after="0" w:line="20" w:lineRule="exact"/>
              <w:rPr>
                <w:sz w:val="1"/>
                <w:szCs w:val="1"/>
                <w:color w:val="auto"/>
              </w:rPr>
            </w:pP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00" w:type="dxa"/>
            <w:vAlign w:val="bottom"/>
            <w:tcBorders>
              <w:left w:val="single" w:sz="8" w:color="CFF0FC"/>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00" w:type="dxa"/>
            <w:vAlign w:val="bottom"/>
            <w:vMerge w:val="continue"/>
            <w:shd w:val="clear" w:color="auto" w:fill="CFF0FC"/>
          </w:tcPr>
          <w:p>
            <w:pPr>
              <w:spacing w:after="0"/>
              <w:rPr>
                <w:sz w:val="19"/>
                <w:szCs w:val="19"/>
                <w:color w:val="auto"/>
              </w:rPr>
            </w:pPr>
          </w:p>
        </w:tc>
        <w:tc>
          <w:tcPr>
            <w:tcW w:w="1600" w:type="dxa"/>
            <w:vAlign w:val="bottom"/>
            <w:vMerge w:val="continue"/>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1,580.3</w:t>
            </w: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7"/>
              <w:spacing w:after="0"/>
              <w:rPr>
                <w:sz w:val="20"/>
                <w:szCs w:val="20"/>
                <w:color w:val="auto"/>
              </w:rPr>
            </w:pPr>
            <w:r>
              <w:rPr>
                <w:rFonts w:ascii="Arial" w:cs="Arial" w:eastAsia="Arial" w:hAnsi="Arial"/>
                <w:sz w:val="18"/>
                <w:szCs w:val="18"/>
                <w:color w:val="auto"/>
              </w:rPr>
              <w:t>100.0%</w:t>
            </w:r>
          </w:p>
        </w:tc>
        <w:tc>
          <w:tcPr>
            <w:tcW w:w="100" w:type="dxa"/>
            <w:vAlign w:val="bottom"/>
            <w:vMerge w:val="continue"/>
            <w:shd w:val="clear" w:color="auto" w:fill="CFF0FC"/>
          </w:tcPr>
          <w:p>
            <w:pPr>
              <w:spacing w:after="0"/>
              <w:rPr>
                <w:sz w:val="19"/>
                <w:szCs w:val="19"/>
                <w:color w:val="auto"/>
              </w:rPr>
            </w:pPr>
          </w:p>
        </w:tc>
        <w:tc>
          <w:tcPr>
            <w:tcW w:w="10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1,657.4</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7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4"/>
          </w:tcPr>
          <w:p>
            <w:pPr>
              <w:jc w:val="right"/>
              <w:ind w:right="1077"/>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6"/>
        </w:trPr>
        <w:tc>
          <w:tcPr>
            <w:tcW w:w="2700" w:type="dxa"/>
            <w:vAlign w:val="bottom"/>
            <w:tcBorders>
              <w:bottom w:val="single" w:sz="8" w:color="CFF0FC"/>
            </w:tcBorders>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Percentage</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600" w:type="dxa"/>
            <w:vAlign w:val="bottom"/>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1,534.2</w:t>
            </w:r>
          </w:p>
        </w:tc>
        <w:tc>
          <w:tcPr>
            <w:tcW w:w="280" w:type="dxa"/>
            <w:vAlign w:val="bottom"/>
            <w:shd w:val="clear" w:color="auto" w:fill="CFF0FC"/>
          </w:tcPr>
          <w:p>
            <w:pPr>
              <w:spacing w:after="0"/>
              <w:rPr>
                <w:sz w:val="19"/>
                <w:szCs w:val="19"/>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240" w:type="dxa"/>
            <w:vAlign w:val="bottom"/>
            <w:shd w:val="clear" w:color="auto" w:fill="CFF0FC"/>
          </w:tcPr>
          <w:p>
            <w:pPr>
              <w:jc w:val="right"/>
              <w:ind w:right="37"/>
              <w:spacing w:after="0"/>
              <w:rPr>
                <w:sz w:val="20"/>
                <w:szCs w:val="20"/>
                <w:color w:val="auto"/>
              </w:rPr>
            </w:pPr>
            <w:r>
              <w:rPr>
                <w:rFonts w:ascii="Arial" w:cs="Arial" w:eastAsia="Arial" w:hAnsi="Arial"/>
                <w:sz w:val="15"/>
                <w:szCs w:val="15"/>
                <w:color w:val="auto"/>
                <w:w w:val="74"/>
              </w:rPr>
              <w:t>%</w:t>
            </w:r>
          </w:p>
        </w:tc>
        <w:tc>
          <w:tcPr>
            <w:tcW w:w="100" w:type="dxa"/>
            <w:vAlign w:val="bottom"/>
            <w:shd w:val="clear" w:color="auto" w:fill="CFF0FC"/>
          </w:tcPr>
          <w:p>
            <w:pPr>
              <w:spacing w:after="0"/>
              <w:rPr>
                <w:sz w:val="19"/>
                <w:szCs w:val="19"/>
                <w:color w:val="auto"/>
              </w:rPr>
            </w:pPr>
          </w:p>
        </w:tc>
        <w:tc>
          <w:tcPr>
            <w:tcW w:w="10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1,667.7</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w:t>
            </w:r>
          </w:p>
        </w:tc>
        <w:tc>
          <w:tcPr>
            <w:tcW w:w="280" w:type="dxa"/>
            <w:vAlign w:val="bottom"/>
          </w:tcPr>
          <w:p>
            <w:pPr>
              <w:spacing w:after="0"/>
              <w:rPr>
                <w:sz w:val="19"/>
                <w:szCs w:val="19"/>
                <w:color w:val="auto"/>
              </w:rPr>
            </w:pPr>
          </w:p>
        </w:tc>
        <w:tc>
          <w:tcPr>
            <w:tcW w:w="1460" w:type="dxa"/>
            <w:vAlign w:val="bottom"/>
            <w:gridSpan w:val="2"/>
          </w:tcPr>
          <w:p>
            <w:pPr>
              <w:jc w:val="right"/>
              <w:ind w:right="37"/>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0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00" w:type="dxa"/>
            <w:vAlign w:val="bottom"/>
            <w:vMerge w:val="restart"/>
            <w:shd w:val="clear" w:color="auto" w:fill="CFF0FC"/>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2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00" w:type="dxa"/>
            <w:vAlign w:val="bottom"/>
            <w:vMerge w:val="continue"/>
            <w:shd w:val="clear" w:color="auto" w:fill="CFF0FC"/>
          </w:tcPr>
          <w:p>
            <w:pPr>
              <w:spacing w:after="0"/>
              <w:rPr>
                <w:sz w:val="19"/>
                <w:szCs w:val="19"/>
                <w:color w:val="auto"/>
              </w:rPr>
            </w:pPr>
          </w:p>
        </w:tc>
        <w:tc>
          <w:tcPr>
            <w:tcW w:w="1600" w:type="dxa"/>
            <w:vAlign w:val="bottom"/>
            <w:vMerge w:val="continue"/>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1,587.1</w:t>
            </w: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vMerge w:val="continue"/>
            <w:shd w:val="clear" w:color="auto" w:fill="CFF0FC"/>
          </w:tcPr>
          <w:p>
            <w:pPr>
              <w:spacing w:after="0"/>
              <w:rPr>
                <w:sz w:val="19"/>
                <w:szCs w:val="19"/>
                <w:color w:val="auto"/>
              </w:rPr>
            </w:pPr>
          </w:p>
        </w:tc>
        <w:tc>
          <w:tcPr>
            <w:tcW w:w="10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1,667.7</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right="40" w:hanging="512"/>
        <w:spacing w:after="0" w:line="276"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6"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The weighted average yields and interest rates of our performing debt investments at fair value as of March 31, 2017 and December 31, 2016 were as follows: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 2017</w:t>
            </w:r>
          </w:p>
        </w:tc>
        <w:tc>
          <w:tcPr>
            <w:tcW w:w="1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December 31, 2016</w:t>
            </w:r>
          </w:p>
        </w:tc>
      </w:tr>
      <w:tr>
        <w:trPr>
          <w:trHeight w:val="209"/>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total yield of debt and income</w:t>
            </w:r>
          </w:p>
        </w:tc>
        <w:tc>
          <w:tcPr>
            <w:tcW w:w="13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producing securities</w:t>
            </w: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10.3%</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w:t>
            </w:r>
          </w:p>
        </w:tc>
      </w:t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Weighted average interest rate of debt and income</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producing securities</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spread over LIBOR of all floating</w:t>
            </w: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rate investments </w:t>
            </w:r>
            <w:r>
              <w:rPr>
                <w:rFonts w:ascii="Arial" w:cs="Arial" w:eastAsia="Arial" w:hAnsi="Arial"/>
                <w:sz w:val="15"/>
                <w:szCs w:val="15"/>
                <w:color w:val="auto"/>
              </w:rPr>
              <w:t>(1)</w:t>
            </w: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8.8%</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w:t>
            </w:r>
          </w:p>
        </w:tc>
      </w:tr>
    </w:tbl>
    <w:p>
      <w:pPr>
        <w:spacing w:after="0" w:line="229"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fixed rate investments for which we entered into interest rate swap agreements to swap to floating rates.</w:t>
      </w:r>
    </w:p>
    <w:p>
      <w:pPr>
        <w:spacing w:after="0" w:line="266"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73" w:lineRule="exact"/>
        <w:rPr>
          <w:sz w:val="20"/>
          <w:szCs w:val="20"/>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240" w:hanging="255"/>
        <w:spacing w:after="0" w:line="277"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3" w:lineRule="exact"/>
        <w:rPr>
          <w:sz w:val="20"/>
          <w:szCs w:val="20"/>
          <w:color w:val="auto"/>
        </w:rPr>
      </w:pPr>
    </w:p>
    <w:p>
      <w:pPr>
        <w:jc w:val="both"/>
        <w:ind w:left="520" w:right="800" w:hanging="255"/>
        <w:spacing w:after="0" w:line="264"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7" w:name="page48"/>
    <w:bookmarkEnd w:id="47"/>
    <w:p>
      <w:pPr>
        <w:ind w:left="520" w:right="300" w:hanging="255"/>
        <w:spacing w:after="0" w:line="264"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right="40" w:hanging="255"/>
        <w:spacing w:after="0" w:line="264"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right="260" w:hanging="255"/>
        <w:spacing w:after="0" w:line="276" w:lineRule="auto"/>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64" w:lineRule="exact"/>
        <w:rPr>
          <w:rFonts w:ascii="Arial" w:cs="Arial" w:eastAsia="Arial" w:hAnsi="Arial"/>
          <w:sz w:val="17"/>
          <w:szCs w:val="17"/>
          <w:color w:val="auto"/>
        </w:rPr>
      </w:pPr>
    </w:p>
    <w:p>
      <w:pPr>
        <w:ind w:left="520" w:right="140" w:hanging="255"/>
        <w:spacing w:after="0" w:line="259"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investments on a bi-monthly basis and, where possible, pursues workouts that achieve an early resolution to avoid further deterioration.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87"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March 31, 2017 and December 31, 2016. Investment performance ratings are accurate only as of those dates and may change due to subsequent developments relating to a portfolio company’s business or financial condition, market conditions or developments, and other factors.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rPr>
              <w:t>March 31, 2017</w:t>
            </w:r>
          </w:p>
        </w:tc>
        <w:tc>
          <w:tcPr>
            <w:tcW w:w="10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5"/>
              </w:rPr>
              <w:t>December 31, 2016</w:t>
            </w:r>
          </w:p>
        </w:tc>
        <w:tc>
          <w:tcPr>
            <w:tcW w:w="1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3"/>
          </w:tcPr>
          <w:p>
            <w:pPr>
              <w:jc w:val="center"/>
              <w:ind w:right="108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760" w:type="dxa"/>
            <w:vAlign w:val="bottom"/>
            <w:gridSpan w:val="4"/>
          </w:tcPr>
          <w:p>
            <w:pPr>
              <w:jc w:val="center"/>
              <w:ind w:right="82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95"/>
              </w:rPr>
              <w:t>Fair Value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6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95"/>
              </w:rPr>
              <w:t>Fair Value</w:t>
            </w:r>
          </w:p>
        </w:tc>
        <w:tc>
          <w:tcPr>
            <w:tcW w:w="16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3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 in millions)</w:t>
            </w:r>
          </w:p>
        </w:tc>
        <w:tc>
          <w:tcPr>
            <w:tcW w:w="34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1"/>
              </w:rPr>
              <w:t>in millions)</w:t>
            </w:r>
          </w:p>
        </w:tc>
        <w:tc>
          <w:tcPr>
            <w:tcW w:w="3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99"/>
              </w:rPr>
              <w:t>Total Portfolio</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1,262.7</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79.9%</w:t>
            </w: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1,099.1</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30"/>
        </w:trPr>
        <w:tc>
          <w:tcPr>
            <w:tcW w:w="2000" w:type="dxa"/>
            <w:vAlign w:val="bottom"/>
          </w:tcPr>
          <w:p>
            <w:pPr>
              <w:jc w:val="right"/>
              <w:ind w:right="816"/>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200.2</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12.7</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382.0</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tcPr>
          <w:p>
            <w:pPr>
              <w:jc w:val="right"/>
              <w:ind w:right="816"/>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55.3</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6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3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32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1,580.3</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1,657.4</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three months ended March 31, 2017 and 2016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6120" w:type="dxa"/>
            <w:vAlign w:val="bottom"/>
            <w:gridSpan w:val="2"/>
            <w:vMerge w:val="restart"/>
          </w:tcPr>
          <w:p>
            <w:pPr>
              <w:ind w:left="1360"/>
              <w:spacing w:after="0"/>
              <w:rPr>
                <w:sz w:val="20"/>
                <w:szCs w:val="20"/>
                <w:color w:val="auto"/>
              </w:rPr>
            </w:pPr>
            <w:r>
              <w:rPr>
                <w:rFonts w:ascii="Arial" w:cs="Arial" w:eastAsia="Arial" w:hAnsi="Arial"/>
                <w:sz w:val="14"/>
                <w:szCs w:val="14"/>
                <w:color w:val="auto"/>
              </w:rPr>
              <w:t>($ in millions)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Three Months Ended March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612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6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expenses</w:t>
            </w:r>
          </w:p>
        </w:tc>
        <w:tc>
          <w:tcPr>
            <w:tcW w:w="6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 before income taxes</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Income taxes, including excise taxes</w:t>
            </w:r>
          </w:p>
        </w:tc>
        <w:tc>
          <w:tcPr>
            <w:tcW w:w="6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 xml:space="preserve">Net realized gains </w:t>
            </w:r>
            <w:r>
              <w:rPr>
                <w:rFonts w:ascii="Arial" w:cs="Arial" w:eastAsia="Arial" w:hAnsi="Arial"/>
                <w:sz w:val="15"/>
                <w:szCs w:val="15"/>
                <w:color w:val="auto"/>
              </w:rPr>
              <w:t>(1)</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change in unrealized losses </w:t>
            </w:r>
            <w:r>
              <w:rPr>
                <w:rFonts w:ascii="Arial" w:cs="Arial" w:eastAsia="Arial" w:hAnsi="Arial"/>
                <w:sz w:val="15"/>
                <w:szCs w:val="15"/>
                <w:color w:val="auto"/>
              </w:rPr>
              <w:t>(1)</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60" w:type="dxa"/>
            <w:vAlign w:val="bottom"/>
          </w:tcPr>
          <w:p>
            <w:pPr>
              <w:ind w:left="2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(1)</w:t>
            </w:r>
          </w:p>
        </w:tc>
        <w:tc>
          <w:tcPr>
            <w:tcW w:w="6120" w:type="dxa"/>
            <w:vAlign w:val="bottom"/>
            <w:gridSpan w:val="2"/>
            <w:vMerge w:val="restart"/>
          </w:tcPr>
          <w:p>
            <w:pPr>
              <w:jc w:val="right"/>
              <w:ind w:right="2730"/>
              <w:spacing w:after="0"/>
              <w:rPr>
                <w:sz w:val="20"/>
                <w:szCs w:val="20"/>
                <w:color w:val="auto"/>
              </w:rPr>
            </w:pPr>
            <w:r>
              <w:rPr>
                <w:rFonts w:ascii="Arial" w:cs="Arial" w:eastAsia="Arial" w:hAnsi="Arial"/>
                <w:sz w:val="18"/>
                <w:szCs w:val="18"/>
                <w:color w:val="auto"/>
                <w:w w:val="95"/>
              </w:rPr>
              <w:t>Includes foreign exchange hedging activity.</w:t>
            </w: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612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60" w:type="dxa"/>
            <w:vAlign w:val="bottom"/>
          </w:tcPr>
          <w:p>
            <w:pPr>
              <w:spacing w:after="0"/>
              <w:rPr>
                <w:sz w:val="24"/>
                <w:szCs w:val="24"/>
                <w:color w:val="auto"/>
              </w:rPr>
            </w:pPr>
          </w:p>
        </w:tc>
        <w:tc>
          <w:tcPr>
            <w:tcW w:w="6120" w:type="dxa"/>
            <w:vAlign w:val="bottom"/>
            <w:gridSpan w:val="2"/>
          </w:tcPr>
          <w:p>
            <w:pPr>
              <w:jc w:val="right"/>
              <w:ind w:right="590"/>
              <w:spacing w:after="0"/>
              <w:rPr>
                <w:sz w:val="20"/>
                <w:szCs w:val="20"/>
                <w:color w:val="auto"/>
              </w:rPr>
            </w:pPr>
            <w:r>
              <w:rPr>
                <w:rFonts w:ascii="Arial" w:cs="Arial" w:eastAsia="Arial" w:hAnsi="Arial"/>
                <w:sz w:val="18"/>
                <w:szCs w:val="18"/>
                <w:color w:val="auto"/>
              </w:rPr>
              <w:t>48</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80" w:type="dxa"/>
            <w:vAlign w:val="bottom"/>
          </w:tcPr>
          <w:p>
            <w:pPr>
              <w:spacing w:after="0"/>
              <w:rPr>
                <w:sz w:val="14"/>
                <w:szCs w:val="14"/>
                <w:color w:val="auto"/>
              </w:rPr>
            </w:pPr>
          </w:p>
        </w:tc>
        <w:tc>
          <w:tcPr>
            <w:tcW w:w="24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400" w:type="dxa"/>
            <w:vAlign w:val="bottom"/>
            <w:tcBorders>
              <w:bottom w:val="single" w:sz="8" w:color="CFF0FC"/>
            </w:tcBorders>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Dividend income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259"/>
        <w:spacing w:after="0" w:line="268" w:lineRule="auto"/>
        <w:rPr>
          <w:sz w:val="20"/>
          <w:szCs w:val="20"/>
          <w:color w:val="auto"/>
        </w:rPr>
      </w:pPr>
      <w:r>
        <w:rPr>
          <w:rFonts w:ascii="Arial" w:cs="Arial" w:eastAsia="Arial" w:hAnsi="Arial"/>
          <w:sz w:val="17"/>
          <w:szCs w:val="17"/>
          <w:color w:val="auto"/>
        </w:rPr>
        <w:t>Interest from investments, which includes amortization of upfront fees and prepayment fees, increased from $41.5 million for the three months ended March 31, 2016 to $48.8 million for the three months ended March 31, 2017. The average size of our investment portfolio increased from $1.5 billion during the three months ended March 31, 2016 to $1.6 billion during the three months ended March 31, 2017. In addition, accelerated amortization of upfront fees primarily from unscheduled paydowns increased from $0.7 million for the three months ended March 31, 2016 to $7.0 million for the three months ended March 31, 2017. Prepayment fees decreased from $1.6 million for the three months ended March 31, 2016 to $1.1 million for the three months ended March 31, 2017. The accelerated amortization and prepayment fees primarily resulted from a full paydown on one portfolio investment and earning a prepayment fee on one existing portfolio investment during the three months ended March 31, 2016 and full paydowns on four portfolio investments, partial paydowns on five portfolio investments and earning prepayment fees on three portfolio investments during the three months ended March 31, 2017. The increase in paydowns during the three months ended March 31, 2017 compared to the three months ended March 31, 2016 was primarily the result of tightening of credit spreads during 2017. Dividend income decreased from $0.5 million for the three months ended March 31, 2016 to less than $0.1 million for the three months ended March 31, 2017 following the partial sale of our holdings in TICC. Other income increased from $0.7 million for the three months ended March 31, 2016 to $2.1 million for the three months ended March 31, 2017, primarily due to higher syndication and amendment fees earned during the first quarter of 2017.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three months ended March 31, 2017 and 2016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80" w:type="dxa"/>
            <w:vAlign w:val="bottom"/>
          </w:tcPr>
          <w:p>
            <w:pPr>
              <w:spacing w:after="0"/>
              <w:rPr>
                <w:sz w:val="14"/>
                <w:szCs w:val="14"/>
                <w:color w:val="auto"/>
              </w:rPr>
            </w:pPr>
          </w:p>
        </w:tc>
        <w:tc>
          <w:tcPr>
            <w:tcW w:w="24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400" w:type="dxa"/>
            <w:vAlign w:val="bottom"/>
            <w:tcBorders>
              <w:bottom w:val="single" w:sz="8" w:color="CFF0FC"/>
            </w:tcBorders>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related to pre-incentive fee net investment</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(net of waivers)</w:t>
            </w: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Directors fees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40"/>
              <w:spacing w:after="0"/>
              <w:rPr>
                <w:sz w:val="20"/>
                <w:szCs w:val="20"/>
                <w:color w:val="auto"/>
              </w:rPr>
            </w:pPr>
            <w:r>
              <w:rPr>
                <w:rFonts w:ascii="Arial" w:cs="Arial" w:eastAsia="Arial" w:hAnsi="Arial"/>
                <w:sz w:val="18"/>
                <w:szCs w:val="18"/>
                <w:b w:val="1"/>
                <w:bCs w:val="1"/>
                <w:color w:val="auto"/>
              </w:rPr>
              <w:t>Net Expenses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Interest expense, including other debt financing expenses, increased from $5.3 million for three months ended March 31, 2016 to $6.9 million for three months ended March 31, 2017. This increase was primarily due to an increase in the average interest rate on our debt outstanding from 2.6% for the three months ended March 31, 2016 to 3.2% for the three months ended March 31, 2017 following issuance of the 2022 Convertible Senior Notes and an increase in LIBOR.</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Management Fees (net of waivers) increased from $5.7 million for the three months ended March 31, 2016 to $6.1 million for the three months ended March 31, 2017 due to the increase in total assets, which increased from an average of $1.5 billion for the three months ended March 31, 2016 to an average of $1.6 billion for the three months ended March 31, 2017. Management Fees waived were $14.6 for the three months ended March 31, 2016, consisting solely of Management Fees attributable to our ownership of shares of common stock in TICC Capital Corp., or the TICC Shares. The Adviser did not waive any Management Fees for the three months ended March 31, 2017.</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49" w:name="page50"/>
    <w:bookmarkEnd w:id="49"/>
    <w:p>
      <w:pPr>
        <w:ind w:firstLine="259"/>
        <w:spacing w:after="0" w:line="259" w:lineRule="auto"/>
        <w:rPr>
          <w:sz w:val="20"/>
          <w:szCs w:val="20"/>
          <w:color w:val="auto"/>
        </w:rPr>
      </w:pPr>
      <w:r>
        <w:rPr>
          <w:rFonts w:ascii="Arial" w:cs="Arial" w:eastAsia="Arial" w:hAnsi="Arial"/>
          <w:sz w:val="18"/>
          <w:szCs w:val="18"/>
          <w:color w:val="auto"/>
        </w:rPr>
        <w:t>For the periods ended December 31, 2016 and prior, the Adviser voluntarily waived the Management Fee on our ownership of the TICC Shares. Any waived Management Fees are not subject to recoupment by the Adviser. Following our IPO, with the exception of its waiver of Management Fees attributable to our ownership of the TICC Shares, the Adviser has not waived its right to receive the full Management Fee payable pursuant to the Investment Advisory Agreement.</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Incentive Fees (net of waivers) related to pre-Incentive Fee net investment income increased from $4.8 million for three months ended March 31, 2016 to $6.0 million for the three months ended March 31, 2017. This increase resulted from the increase in prepayment fees and accelerated amortization of upfront fees primarily from unscheduled paydowns. For the three months ended March 31, 2016, Incentive Fees related to pre-Incentive Fee net investment income of $0.1 million were waived, consisting solely of Incentive Fees attributable to our ownership of the TICC Shares. The Adviser did not waive any Incentive Fees related to pre-Incentive Fee net investment income for the three months ended March 31, 2017. There were no Incentive Fees related to capital gains and losses for each of the three months ended March 31, 2017 and 2016.</w:t>
      </w:r>
    </w:p>
    <w:p>
      <w:pPr>
        <w:spacing w:after="0" w:line="178" w:lineRule="exact"/>
        <w:rPr>
          <w:sz w:val="20"/>
          <w:szCs w:val="20"/>
          <w:color w:val="auto"/>
        </w:rPr>
      </w:pPr>
    </w:p>
    <w:p>
      <w:pPr>
        <w:ind w:right="160" w:firstLine="259"/>
        <w:spacing w:after="0" w:line="257" w:lineRule="auto"/>
        <w:rPr>
          <w:sz w:val="20"/>
          <w:szCs w:val="20"/>
          <w:color w:val="auto"/>
        </w:rPr>
      </w:pPr>
      <w:r>
        <w:rPr>
          <w:rFonts w:ascii="Arial" w:cs="Arial" w:eastAsia="Arial" w:hAnsi="Arial"/>
          <w:sz w:val="18"/>
          <w:szCs w:val="18"/>
          <w:color w:val="auto"/>
        </w:rPr>
        <w:t>For the periods ended December 31, 2016 and prior, the Adviser voluntarily waived the Incentive Fees attributable to pre-Incentive Fee net investment income accrued by us as a result of our ownership of the TICC Shares. The Adviser has not waived any part of the Incentive Fee related to capital gains and losses attributable to our ownership of the TICC Shares and, accordingly, any realized capital gains or losses and unrealized capital appreciation and depreciation with respect to the TICC Shares applies towards our cumulative realized capital gains on which the Incentive Fee related to capital gains and losses is calculated.</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Incentive Fees are not subject to recoupment by the Adviser.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jc w:val="both"/>
        <w:ind w:right="340" w:firstLine="259"/>
        <w:spacing w:after="0" w:line="264" w:lineRule="auto"/>
        <w:rPr>
          <w:sz w:val="20"/>
          <w:szCs w:val="20"/>
          <w:color w:val="auto"/>
        </w:rPr>
      </w:pPr>
      <w:r>
        <w:rPr>
          <w:rFonts w:ascii="Arial" w:cs="Arial" w:eastAsia="Arial" w:hAnsi="Arial"/>
          <w:sz w:val="18"/>
          <w:szCs w:val="18"/>
          <w:color w:val="auto"/>
        </w:rPr>
        <w:t>Professional fees decreased from $1.9 million for the three months ended March 31, 2016 to $1.3 million for the three months ended March 31, 2017 primarily due to a decrease in costs associated with our investment in TICC. Other general and administrative fees were $1.3 million for each of the three months ended March 31, 2017 and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40" w:firstLine="259"/>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7"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For the three months ended March 31, 2017 and 2016, we recorded a net expense of $0.7 million and $0.4 million, respectively, for U.S. federal excise tax.</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net realized and unrealized gains (losses) for the three months ended March 31, 2017 and 2016:</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160" w:type="dxa"/>
            <w:vAlign w:val="bottom"/>
          </w:tcPr>
          <w:p>
            <w:pPr>
              <w:spacing w:after="0"/>
              <w:rPr>
                <w:sz w:val="14"/>
                <w:szCs w:val="14"/>
                <w:color w:val="auto"/>
              </w:rPr>
            </w:pPr>
          </w:p>
        </w:tc>
        <w:tc>
          <w:tcPr>
            <w:tcW w:w="23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56"/>
        </w:trPr>
        <w:tc>
          <w:tcPr>
            <w:tcW w:w="5440" w:type="dxa"/>
            <w:vAlign w:val="bottom"/>
            <w:gridSpan w:val="2"/>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realized gains on investments</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realized gains (losses) on foreign currency transactions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 on foreign currency investments</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realized gains on foreign currency borrowings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realized gains</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gains on investments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Change in unrealized losses on investments</w:t>
            </w: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(19.4)</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Unrealized depreciation on foreign currency</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borrowings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Unrealized appreciation on foreign</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currency cash and forward contracts</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Unrealized appreciation on interest rate swaps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 Foreign</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Currency Transactions and Interest Rate Swaps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Losses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259"/>
        <w:spacing w:after="0" w:line="272" w:lineRule="auto"/>
        <w:rPr>
          <w:sz w:val="20"/>
          <w:szCs w:val="20"/>
          <w:color w:val="auto"/>
        </w:rPr>
      </w:pPr>
      <w:r>
        <w:rPr>
          <w:rFonts w:ascii="Arial" w:cs="Arial" w:eastAsia="Arial" w:hAnsi="Arial"/>
          <w:sz w:val="17"/>
          <w:szCs w:val="17"/>
          <w:color w:val="auto"/>
        </w:rPr>
        <w:t>For the three months ended March 31, 2017 we had net realized gains on investments of $1.3 million. We did not have realized gains or losses on investments on investments for the three months ended March 31, 2016. For the three months ended March 31, 2017 and 2016, we had net realized gains of $0.2 million and net realized losses of $0.1 million, respectively, on foreign currency transactions, primarily as a result of translating foreign currency related to our non-USD denominated investments. For the three months ended March 31, 2017 and 2016, we had net realized losses of $4.8 million and less than $0.1 million, respectively, on foreign currency investments. For the three months ended March 31, 2017 and 2016, we had net realized gains of $5.2 million and $0.3 million, respectively, on foreign currency borrowings. The net realized gains on foreign currency borrowings for the three months ended March 31, 2017 and 2016 were a result of exiting two investments and a partial realization on one investment, respectively.</w:t>
      </w:r>
    </w:p>
    <w:p>
      <w:pPr>
        <w:spacing w:after="0" w:line="178"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For the three months ended March 31, 2017 we had $22.9 million in unrealized appreciation on 38 portfolio company investments, which was offset by $19.4 million in unrealized depreciation on 19 portfolio company investments. Unrealized appreciation resulted from an increase in fair value, primarily due to a tightening spread environment and positive credit-related adjustments. Unrealized depreciation primarily resulted from the reversal of prior period unrealized appreciation and in some instances negative credit-related adjustments.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For the three months ended March 31, 2016 we had $9.5 million in unrealized appreciation on 30 portfolio company investments, which was offset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$13.7 million in unrealized depreciation on 18 portfolio company investments. Unrealized appreciation resulted from an increase in fair value, primarily due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 tightening spread environment and positive credit-related adjustments. Unrealized depreciation primarily resulted from the reversal of prior period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unrealized appreciation and in some instances negative credit-related adjustments.</w:t>
      </w:r>
    </w:p>
    <w:p>
      <w:pPr>
        <w:spacing w:after="0" w:line="211" w:lineRule="exact"/>
        <w:rPr>
          <w:sz w:val="20"/>
          <w:szCs w:val="20"/>
          <w:color w:val="auto"/>
        </w:rPr>
      </w:pPr>
    </w:p>
    <w:p>
      <w:pPr>
        <w:ind w:firstLine="259"/>
        <w:spacing w:after="0" w:line="297" w:lineRule="auto"/>
        <w:rPr>
          <w:sz w:val="20"/>
          <w:szCs w:val="20"/>
          <w:color w:val="auto"/>
        </w:rPr>
      </w:pPr>
      <w:r>
        <w:rPr>
          <w:rFonts w:ascii="Arial" w:cs="Arial" w:eastAsia="Arial" w:hAnsi="Arial"/>
          <w:sz w:val="16"/>
          <w:szCs w:val="16"/>
          <w:color w:val="auto"/>
        </w:rPr>
        <w:t>For the three months ended March 31, 2017 and 2016, we had unrealized depreciation on foreign currency borrowings of $5.8 million and $2.7 million, respectively, as a result of fluctuations in the GBP and EUR exchange rates for the three months ended March 31, 2017 and the GBP, SEK and EUR exchange rates for the three months ended March 31, 2016. For the three months ended March 31, 2017 and 2016, we had unrealized appreciation on foreign currency cash and forward contracts of less than $0.1 million and $0.1 million, respectively. For the three months ended March 31, 2017 and 2016, we had unrealized appreciation on interest rate swaps of $0.2 million and $1.2 million, respectively, on interest rate swaps due to fluctuations in interest rates.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Cash Flow Realized Gross Internal Rate of Return</w:t>
      </w:r>
    </w:p>
    <w:p>
      <w:pPr>
        <w:spacing w:after="0" w:line="117"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Since we began investing in 2011 through March 31, 2017, our exited investments have resulted in an aggregate cash flow realized gross internal rate of return to us of 14.9% (based on cash invested of $1.8 billion and total proceeds from these exited investments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1" w:name="page52"/>
    <w:bookmarkEnd w:id="51"/>
    <w:p>
      <w:pPr>
        <w:ind w:right="160"/>
        <w:spacing w:after="0" w:line="277" w:lineRule="auto"/>
        <w:rPr>
          <w:sz w:val="20"/>
          <w:szCs w:val="20"/>
          <w:color w:val="auto"/>
        </w:rPr>
      </w:pPr>
      <w:r>
        <w:rPr>
          <w:rFonts w:ascii="Arial" w:cs="Arial" w:eastAsia="Arial" w:hAnsi="Arial"/>
          <w:sz w:val="18"/>
          <w:szCs w:val="18"/>
          <w:color w:val="auto"/>
        </w:rPr>
        <w:t>of $2.3 billion). Weighted by capital invested, our exited investments have generated an average gross internal rate of return to us of 19.9%. Ninety percent of these exited investments resulted in an aggregate cash flow realized gross internal rate of return to us of 10% or greater.</w:t>
      </w:r>
    </w:p>
    <w:p>
      <w:pPr>
        <w:spacing w:after="0" w:line="170"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81" w:lineRule="exact"/>
        <w:rPr>
          <w:sz w:val="20"/>
          <w:szCs w:val="20"/>
          <w:color w:val="auto"/>
        </w:rPr>
      </w:pPr>
    </w:p>
    <w:p>
      <w:pPr>
        <w:jc w:val="both"/>
        <w:ind w:right="60" w:firstLine="259"/>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7" w:lineRule="exact"/>
        <w:rPr>
          <w:sz w:val="20"/>
          <w:szCs w:val="20"/>
          <w:color w:val="auto"/>
        </w:rPr>
      </w:pPr>
    </w:p>
    <w:p>
      <w:pPr>
        <w:ind w:right="200" w:firstLine="259"/>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154"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40" w:firstLine="259"/>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Our current approach to hedging the foreign currency exposure in our non-U.S. dollar denominated investments is primarily to borrow the par amount in local currency under our Revolving Credit Facility to fund these investments. For the three months ended March 31, 2017 and 2016, we had $5.8 million and $2.7 million, respectively, of unrealized losses on the translation of our non-U.S. dollar denominated debt into U.S. dollars; such amounts approximate the corresponding unrealized gains and losses on the translation of our non-U.S. dollar denominated investments into U.S. dollars for the three months ended March 31, 2017 and 2016. See Note 2 for additional disclosure regarding our accounting for foreign currency. See Note 7 for additional disclosure regarding the amounts of outstanding debt denominated in each foreign currency at March 31, 2017 and 2016. See our consolidated schedule of investments for additional disclosure regarding the foreign currency amounts (in both par and fair value) of our non-U.S. dollar denominated investments.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20" w:hanging="255"/>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25"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2" w:name="page53"/>
    <w:bookmarkEnd w:id="52"/>
    <w:p>
      <w:pPr>
        <w:spacing w:after="0" w:line="257" w:lineRule="auto"/>
        <w:rPr>
          <w:sz w:val="20"/>
          <w:szCs w:val="20"/>
          <w:color w:val="auto"/>
        </w:rPr>
      </w:pPr>
      <w:r>
        <w:rPr>
          <w:rFonts w:ascii="Arial" w:cs="Arial" w:eastAsia="Arial" w:hAnsi="Arial"/>
          <w:sz w:val="18"/>
          <w:szCs w:val="18"/>
          <w:color w:val="auto"/>
        </w:rPr>
        <w:t>incur borrowings, issue debt securities or issue preferred stock if immediately after the borrowing or issuance the ratio of total assets (less total liabilities other than indebtedness) to total indebtedness plus preferred stock, is at least 200%. As of March 31, 2017 and December 31, 2016, our asset coverage ratio was 255.3% and 237.7%, respectively. We carefully consider our unfunded commitments for the purpose of planning our capital resources and ongoing liquidity, including our financial leverage. Further, we maintain sufficient borrowing capacity within the 200% asset coverage limitation to cover any outstanding unfunded commitments we are required to fund.</w:t>
      </w:r>
    </w:p>
    <w:p>
      <w:pPr>
        <w:spacing w:after="0" w:line="188" w:lineRule="exact"/>
        <w:rPr>
          <w:sz w:val="20"/>
          <w:szCs w:val="20"/>
          <w:color w:val="auto"/>
        </w:rPr>
      </w:pPr>
    </w:p>
    <w:p>
      <w:pPr>
        <w:jc w:val="both"/>
        <w:ind w:right="20" w:firstLine="259"/>
        <w:spacing w:after="0" w:line="264" w:lineRule="auto"/>
        <w:rPr>
          <w:sz w:val="20"/>
          <w:szCs w:val="20"/>
          <w:color w:val="auto"/>
        </w:rPr>
      </w:pPr>
      <w:r>
        <w:rPr>
          <w:rFonts w:ascii="Arial" w:cs="Arial" w:eastAsia="Arial" w:hAnsi="Arial"/>
          <w:sz w:val="18"/>
          <w:szCs w:val="18"/>
          <w:color w:val="auto"/>
        </w:rPr>
        <w:t>Cash and cash equivalents as of March 31, 2017, taken together with cash available under our credit facilities, is expected to be sufficient for our investing activities and to conduct our operations in the near term. As of March 31, 2017, we had approximately $554.8 million of availability on our Revolving Credit Facility, subject to asset coverage limitations.</w:t>
      </w:r>
    </w:p>
    <w:p>
      <w:pPr>
        <w:spacing w:after="0" w:line="181"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As of March 31, 2017, we had $7.0 million in cash and cash equivalents, an increase of $1.1 million from December 31, 2016. During the three months ended March 31, 2017, we provided $100.2 million in cash from operating activities, primarily as a result of repayments and proceeds from investments of $252.1 million and an increase in net assets resulting from operations of $28.3 million, which was offset by funding portfolio investments of $163.6 million and other operating activity of $16.6 million. Lastly, cash used by financing activities was $99.1 million during the period, primarily due to paydowns on our Revolving Credit Facility of $329.6 million, including $111.2 million net proceeds from our 2022 Convertible Senior Notes, dividends paid of $21.2 million and debt issuance costs of $3.8 million, which was partially offset by borrowings of $255.5 million (including the issuance of $115.0 million principal amount of our 2022 Convertible Senior Notes).</w:t>
      </w:r>
    </w:p>
    <w:p>
      <w:pPr>
        <w:spacing w:after="0" w:line="189"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As of March 31, 2017, we had $2.6 million of restricted cash pledged as collateral under our interest rate swap agreements, an increase of $1.5 million from December 31,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On March 3, 2016, we issued 5,000,000 shares of common stock at $16.42 per share. Net of underwriting fees and offering costs, we received total cash proceeds of $78.3 million.</w:t>
      </w:r>
    </w:p>
    <w:p>
      <w:pPr>
        <w:spacing w:after="0" w:line="170" w:lineRule="exact"/>
        <w:rPr>
          <w:sz w:val="20"/>
          <w:szCs w:val="20"/>
          <w:color w:val="auto"/>
        </w:rPr>
      </w:pPr>
    </w:p>
    <w:p>
      <w:pPr>
        <w:ind w:right="120" w:firstLine="259"/>
        <w:spacing w:after="0" w:line="302" w:lineRule="auto"/>
        <w:rPr>
          <w:sz w:val="20"/>
          <w:szCs w:val="20"/>
          <w:color w:val="auto"/>
        </w:rPr>
      </w:pPr>
      <w:r>
        <w:rPr>
          <w:rFonts w:ascii="Arial" w:cs="Arial" w:eastAsia="Arial" w:hAnsi="Arial"/>
          <w:sz w:val="16"/>
          <w:szCs w:val="16"/>
          <w:color w:val="auto"/>
        </w:rPr>
        <w:t>During the three months ended March 31, 2017 and 2016, we issued 122,836 and 147,809 shares of our common stock, respectively, to investors who have not opted out of our dividend reinvestment plan for proceeds of $2.1 million and $2.3 million, respectively. On May 1, 2017, we issued 109,847 shares of our common stock through our dividend reinvestment plan for proceeds of $2.2 million, which is not reflected in the number of shares issued for the three months ended March 31, 2017 in this section or the consolidated financial statements for the three months ended March 31, 2017.</w:t>
      </w:r>
    </w:p>
    <w:p>
      <w:pPr>
        <w:spacing w:after="0" w:line="154" w:lineRule="exact"/>
        <w:rPr>
          <w:sz w:val="20"/>
          <w:szCs w:val="20"/>
          <w:color w:val="auto"/>
        </w:rPr>
      </w:pPr>
    </w:p>
    <w:p>
      <w:pPr>
        <w:ind w:right="220" w:firstLine="259"/>
        <w:spacing w:after="0" w:line="302" w:lineRule="auto"/>
        <w:rPr>
          <w:sz w:val="20"/>
          <w:szCs w:val="20"/>
          <w:color w:val="auto"/>
        </w:rPr>
      </w:pPr>
      <w:r>
        <w:rPr>
          <w:rFonts w:ascii="Arial" w:cs="Arial" w:eastAsia="Arial" w:hAnsi="Arial"/>
          <w:sz w:val="16"/>
          <w:szCs w:val="16"/>
          <w:color w:val="auto"/>
        </w:rPr>
        <w:t>On November 3, 2014, the Board approved the Company 10b5-1 Plan to acquire up to $50 million in the aggregate of our common stock at prices just below our net asset value over a specified period, in accordance with the guidelines specified in Rule 10b-18 and Rule 10b5-1 of the Exchange Act. We put the Company 10b5-1 Plan in place because we believe that, in current market conditions, if our common stock is trading below our then-current net asset value, it is in the best interest of our stockholders for us to reinvest in our portfolio and increase our leverage ratio through share repurchases.</w:t>
      </w:r>
    </w:p>
    <w:p>
      <w:pPr>
        <w:spacing w:after="0" w:line="154"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28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20" w:firstLine="259"/>
        <w:spacing w:after="0" w:line="297" w:lineRule="auto"/>
        <w:rPr>
          <w:sz w:val="20"/>
          <w:szCs w:val="20"/>
          <w:color w:val="auto"/>
        </w:rPr>
      </w:pPr>
      <w:r>
        <w:rPr>
          <w:rFonts w:ascii="Arial" w:cs="Arial" w:eastAsia="Arial" w:hAnsi="Arial"/>
          <w:sz w:val="16"/>
          <w:szCs w:val="16"/>
          <w:color w:val="auto"/>
        </w:rPr>
        <w:t>The Company 10b5-1 Plan expired in accordance with its terms on June 30, 2015. On August 4, 2015, the Board authorized us to enter into a new stock repurchase plan, on substantially the same terms as the prior stock repurchase plan, over an initial six month period, and has continued to authorize extensions of the plan termination date prior to its expiration since that time. On February 22, 2017, the Board authorized the extension of the termination date of the Company 10b5-1 Plan to August 31, 2017. Unless extended or terminated by the Board, the Company 10b5-1 Plan will be in effect through the earlier of August 31, 2017 or such time as the current approved repurchase amount of up to $50 million has been fully utilized, subject to certain conditions.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ind w:right="100" w:firstLine="259"/>
        <w:spacing w:after="0" w:line="264" w:lineRule="auto"/>
        <w:rPr>
          <w:sz w:val="20"/>
          <w:szCs w:val="20"/>
          <w:color w:val="auto"/>
        </w:rPr>
      </w:pPr>
      <w:r>
        <w:rPr>
          <w:rFonts w:ascii="Arial" w:cs="Arial" w:eastAsia="Arial" w:hAnsi="Arial"/>
          <w:sz w:val="18"/>
          <w:szCs w:val="18"/>
          <w:color w:val="auto"/>
        </w:rPr>
        <w:t>For the three months ended March 31, 2017, no shares were repurchased under the Company 10b5-1 Plan . During the three months ended March 31, 2016, 86,081 shares were repurchased under the Company 10b5-1 Plan at a weighted average price per share of $15.44, inclusive of commissions, for a total cost of $1.3 million.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March 31, 2017 and December 31, 2016:</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March 31, 2017</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280" w:type="dxa"/>
            <w:vAlign w:val="bottom"/>
          </w:tcPr>
          <w:p>
            <w:pPr>
              <w:spacing w:after="0"/>
              <w:rPr>
                <w:sz w:val="12"/>
                <w:szCs w:val="12"/>
                <w:color w:val="auto"/>
              </w:rPr>
            </w:pPr>
          </w:p>
        </w:tc>
        <w:tc>
          <w:tcPr>
            <w:tcW w:w="132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98"/>
              <w:spacing w:after="0" w:line="147" w:lineRule="exact"/>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r>
      <w:tr>
        <w:trPr>
          <w:trHeight w:val="171"/>
        </w:trPr>
        <w:tc>
          <w:tcPr>
            <w:tcW w:w="4280" w:type="dxa"/>
            <w:vAlign w:val="bottom"/>
          </w:tcPr>
          <w:p>
            <w:pPr>
              <w:spacing w:after="0"/>
              <w:rPr>
                <w:sz w:val="20"/>
                <w:szCs w:val="20"/>
                <w:color w:val="auto"/>
              </w:rPr>
            </w:pPr>
            <w:r>
              <w:rPr>
                <w:rFonts w:ascii="Arial" w:cs="Arial" w:eastAsia="Arial" w:hAnsi="Arial"/>
                <w:sz w:val="14"/>
                <w:szCs w:val="14"/>
                <w:color w:val="auto"/>
              </w:rPr>
              <w:t>($ in millions)</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Amount Committed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298"/>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(2)</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top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390.2</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554.8</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2022 Convertible Senior Notes</w:t>
            </w: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FF0FC"/>
          </w:tcPr>
          <w:p>
            <w:pPr>
              <w:spacing w:after="0"/>
              <w:rPr>
                <w:sz w:val="19"/>
                <w:szCs w:val="19"/>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b w:val="1"/>
                <w:bCs w:val="1"/>
                <w:color w:val="auto"/>
              </w:rPr>
              <w:t>Total Debt</w:t>
            </w: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620.2</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604.0</w:t>
            </w: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20" w:hanging="512"/>
        <w:spacing w:after="0" w:line="261"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2019 and 2022 Convertible Senior Notes are presented net of deferred financing costs of $8.3 million, $2.1 million and $3.7 million, respectively.</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4"/>
                <w:szCs w:val="14"/>
                <w:b w:val="1"/>
                <w:bCs w:val="1"/>
                <w:color w:val="auto"/>
              </w:rPr>
              <w:t>December 31, 2016</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280" w:type="dxa"/>
            <w:vAlign w:val="bottom"/>
          </w:tcPr>
          <w:p>
            <w:pPr>
              <w:spacing w:after="0"/>
              <w:rPr>
                <w:sz w:val="12"/>
                <w:szCs w:val="12"/>
                <w:color w:val="auto"/>
              </w:rPr>
            </w:pPr>
          </w:p>
        </w:tc>
        <w:tc>
          <w:tcPr>
            <w:tcW w:w="132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99"/>
              <w:spacing w:after="0" w:line="147" w:lineRule="exact"/>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ind w:right="357"/>
              <w:spacing w:after="0" w:line="147"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77"/>
              <w:spacing w:after="0" w:line="147"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r>
      <w:tr>
        <w:trPr>
          <w:trHeight w:val="171"/>
        </w:trPr>
        <w:tc>
          <w:tcPr>
            <w:tcW w:w="4280" w:type="dxa"/>
            <w:vAlign w:val="bottom"/>
          </w:tcPr>
          <w:p>
            <w:pPr>
              <w:spacing w:after="0"/>
              <w:rPr>
                <w:sz w:val="20"/>
                <w:szCs w:val="20"/>
                <w:color w:val="auto"/>
              </w:rPr>
            </w:pPr>
            <w:r>
              <w:rPr>
                <w:rFonts w:ascii="Arial" w:cs="Arial" w:eastAsia="Arial" w:hAnsi="Arial"/>
                <w:sz w:val="14"/>
                <w:szCs w:val="14"/>
                <w:color w:val="auto"/>
              </w:rPr>
              <w:t>($ in millions)</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Amount Committed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299"/>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217"/>
              <w:spacing w:after="0"/>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2"/>
                <w:szCs w:val="12"/>
                <w:b w:val="1"/>
                <w:bCs w:val="1"/>
                <w:color w:val="auto"/>
              </w:rPr>
              <w:t>(1)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top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578.7</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2019 Convertible Senior Notes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FF0FC"/>
            </w:tcBorders>
          </w:tcPr>
          <w:p>
            <w:pPr>
              <w:spacing w:after="0"/>
              <w:rPr>
                <w:sz w:val="19"/>
                <w:szCs w:val="19"/>
                <w:color w:val="auto"/>
              </w:rPr>
            </w:pPr>
          </w:p>
        </w:tc>
      </w:tr>
      <w:tr>
        <w:trPr>
          <w:trHeight w:val="223"/>
        </w:trPr>
        <w:tc>
          <w:tcPr>
            <w:tcW w:w="42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1,060.0</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693.7</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160" w:hanging="512"/>
        <w:spacing w:after="0" w:line="261"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2019 Convertible Senior Notes are presented net of deferred financing costs of $8.7 million and $2.3 million, respectively.</w:t>
      </w:r>
    </w:p>
    <w:p>
      <w:pPr>
        <w:spacing w:after="0" w:line="184"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As of March 31, 2017 and December 31, 2016,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78"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color w:val="auto"/>
        </w:rPr>
        <w:t>On February 27, 2014, we further amended and restated the agreement. The second amended and restated agreement (the Revolving Credit Facility), among other things:</w:t>
      </w:r>
    </w:p>
    <w:p>
      <w:pPr>
        <w:spacing w:after="0" w:line="62" w:lineRule="exact"/>
        <w:rPr>
          <w:sz w:val="20"/>
          <w:szCs w:val="20"/>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17" w:lineRule="exact"/>
        <w:rPr>
          <w:rFonts w:ascii="Arial" w:cs="Arial" w:eastAsia="Arial" w:hAnsi="Arial"/>
          <w:sz w:val="18"/>
          <w:szCs w:val="18"/>
          <w:color w:val="auto"/>
        </w:rPr>
      </w:pPr>
    </w:p>
    <w:p>
      <w:pPr>
        <w:ind w:left="520" w:right="500" w:hanging="255"/>
        <w:spacing w:after="0" w:line="277"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17" w:lineRule="exact"/>
        <w:rPr>
          <w:rFonts w:ascii="Arial" w:cs="Arial" w:eastAsia="Arial" w:hAnsi="Arial"/>
          <w:sz w:val="18"/>
          <w:szCs w:val="18"/>
          <w:color w:val="auto"/>
        </w:rPr>
      </w:pPr>
    </w:p>
    <w:p>
      <w:pPr>
        <w:ind w:left="780" w:right="260" w:hanging="257"/>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extended the expiration of the revolving period from June 30, 2017 to February 27, 2018, during which period we, subject to certain conditions,</w:t>
      </w:r>
      <w:r>
        <w:rPr>
          <w:rFonts w:ascii="Courier New" w:cs="Courier New" w:eastAsia="Courier New" w:hAnsi="Courier New"/>
          <w:sz w:val="18"/>
          <w:szCs w:val="18"/>
          <w:color w:val="auto"/>
        </w:rPr>
        <w:t xml:space="preserve"> </w:t>
      </w:r>
      <w:r>
        <w:rPr>
          <w:rFonts w:ascii="Arial" w:cs="Arial" w:eastAsia="Arial" w:hAnsi="Arial"/>
          <w:sz w:val="18"/>
          <w:szCs w:val="18"/>
          <w:color w:val="auto"/>
        </w:rPr>
        <w:t>may make borrowings under the facility, and</w:t>
      </w:r>
    </w:p>
    <w:p>
      <w:pPr>
        <w:spacing w:after="0" w:line="94"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extended the stated maturity date from July 2, 2018 to February 27, 2019; and</w:t>
      </w:r>
    </w:p>
    <w:p>
      <w:pPr>
        <w:spacing w:after="0" w:line="101"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4" w:name="page55"/>
    <w:bookmarkEnd w:id="54"/>
    <w:p>
      <w:pPr>
        <w:ind w:firstLine="259"/>
        <w:spacing w:after="0" w:line="342" w:lineRule="auto"/>
        <w:rPr>
          <w:sz w:val="20"/>
          <w:szCs w:val="20"/>
          <w:color w:val="auto"/>
        </w:rPr>
      </w:pPr>
      <w:r>
        <w:rPr>
          <w:rFonts w:ascii="Arial" w:cs="Arial" w:eastAsia="Arial" w:hAnsi="Arial"/>
          <w:sz w:val="16"/>
          <w:szCs w:val="16"/>
          <w:color w:val="auto"/>
        </w:rPr>
        <w:t>On May 30, 2014, we entered into agreements with various financial institutions pursuant to which each of the institutions agreed to provide commitments through the accordion feature of our Revolving Credit Facility, increasing the aggregate commitments from $581.3 million to $781.3 million.</w:t>
      </w:r>
    </w:p>
    <w:p>
      <w:pPr>
        <w:spacing w:after="0" w:line="124" w:lineRule="exact"/>
        <w:rPr>
          <w:sz w:val="20"/>
          <w:szCs w:val="20"/>
          <w:color w:val="auto"/>
        </w:rPr>
      </w:pPr>
    </w:p>
    <w:p>
      <w:pPr>
        <w:jc w:val="both"/>
        <w:ind w:right="220" w:firstLine="259"/>
        <w:spacing w:after="0" w:line="264" w:lineRule="auto"/>
        <w:rPr>
          <w:sz w:val="20"/>
          <w:szCs w:val="20"/>
          <w:color w:val="auto"/>
        </w:rPr>
      </w:pPr>
      <w:r>
        <w:rPr>
          <w:rFonts w:ascii="Arial" w:cs="Arial" w:eastAsia="Arial" w:hAnsi="Arial"/>
          <w:sz w:val="18"/>
          <w:szCs w:val="18"/>
          <w:color w:val="auto"/>
        </w:rPr>
        <w:t>On June 27, 2014, we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17, 2014, we entered into a third amendment to the Revolving Credit Facility:</w:t>
      </w:r>
    </w:p>
    <w:p>
      <w:pPr>
        <w:spacing w:after="0" w:line="117" w:lineRule="exact"/>
        <w:rPr>
          <w:sz w:val="20"/>
          <w:szCs w:val="20"/>
          <w:color w:val="auto"/>
        </w:rPr>
      </w:pPr>
    </w:p>
    <w:p>
      <w:pPr>
        <w:ind w:left="520" w:right="120" w:hanging="255"/>
        <w:spacing w:after="0" w:line="308"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38" w:lineRule="exact"/>
        <w:rPr>
          <w:rFonts w:ascii="Arial" w:cs="Arial" w:eastAsia="Arial" w:hAnsi="Arial"/>
          <w:sz w:val="17"/>
          <w:szCs w:val="17"/>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right="160" w:firstLine="259"/>
        <w:spacing w:after="0" w:line="286" w:lineRule="auto"/>
        <w:rPr>
          <w:sz w:val="20"/>
          <w:szCs w:val="20"/>
          <w:color w:val="auto"/>
        </w:rPr>
      </w:pPr>
      <w:r>
        <w:rPr>
          <w:rFonts w:ascii="Arial" w:cs="Arial" w:eastAsia="Arial" w:hAnsi="Arial"/>
          <w:sz w:val="17"/>
          <w:szCs w:val="17"/>
          <w:color w:val="auto"/>
        </w:rPr>
        <w:t>On October 23, 2014, we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2, 2015, we entered into a fourth amendment to the Revolving Credit Facility:</w:t>
      </w:r>
    </w:p>
    <w:p>
      <w:pPr>
        <w:spacing w:after="0" w:line="117" w:lineRule="exact"/>
        <w:rPr>
          <w:sz w:val="20"/>
          <w:szCs w:val="20"/>
          <w:color w:val="auto"/>
        </w:rPr>
      </w:pPr>
    </w:p>
    <w:p>
      <w:pPr>
        <w:ind w:left="520" w:right="120" w:hanging="255"/>
        <w:spacing w:after="0" w:line="264"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17" w:lineRule="exact"/>
        <w:rPr>
          <w:rFonts w:ascii="Arial" w:cs="Arial" w:eastAsia="Arial" w:hAnsi="Arial"/>
          <w:sz w:val="18"/>
          <w:szCs w:val="18"/>
          <w:color w:val="auto"/>
        </w:rPr>
      </w:pPr>
    </w:p>
    <w:p>
      <w:pPr>
        <w:ind w:left="520" w:right="100" w:hanging="255"/>
        <w:spacing w:after="0" w:line="277"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increasing the accordion feature, which allows us, under certain circumstances, to increase the size of the Revolving Credit Facility, from a maximum of $956.3 million to a maximum of $1.25 billion.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December 22, 2016, we entered into a fifth amendment to the Revolving Credit Facility:</w:t>
      </w:r>
    </w:p>
    <w:p>
      <w:pPr>
        <w:spacing w:after="0" w:line="117" w:lineRule="exact"/>
        <w:rPr>
          <w:sz w:val="20"/>
          <w:szCs w:val="20"/>
          <w:color w:val="auto"/>
        </w:rPr>
      </w:pPr>
    </w:p>
    <w:p>
      <w:pPr>
        <w:ind w:left="520" w:hanging="255"/>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increasing the aggregate commitments from $821.3 million to $945.0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$885.0 million in commitments,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extending the revolving period from October 2, 2019 to December 22, 2020; and</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extending the stated maturity date from October 2, 2020 to December 22, 2021.</w:t>
      </w:r>
    </w:p>
    <w:p>
      <w:pPr>
        <w:spacing w:after="0" w:line="225" w:lineRule="exact"/>
        <w:rPr>
          <w:sz w:val="20"/>
          <w:szCs w:val="20"/>
          <w:color w:val="auto"/>
        </w:rPr>
      </w:pPr>
    </w:p>
    <w:p>
      <w:pPr>
        <w:ind w:right="500" w:firstLine="259"/>
        <w:spacing w:after="0" w:line="308" w:lineRule="auto"/>
        <w:rPr>
          <w:sz w:val="20"/>
          <w:szCs w:val="20"/>
          <w:color w:val="auto"/>
        </w:rPr>
      </w:pPr>
      <w:r>
        <w:rPr>
          <w:rFonts w:ascii="Arial" w:cs="Arial" w:eastAsia="Arial" w:hAnsi="Arial"/>
          <w:sz w:val="17"/>
          <w:szCs w:val="17"/>
          <w:color w:val="auto"/>
        </w:rPr>
        <w:t>We may borrow amounts in U.S. dollars or certain other permitted currencies. As of March 31, 2017, we had outstanding debt denominated in Euro (EUR) of 40.9 million on our Revolving Credit Facility, included in the Outstanding Principal amount in the table above.</w:t>
      </w:r>
    </w:p>
    <w:p>
      <w:pPr>
        <w:spacing w:after="0" w:line="147" w:lineRule="exact"/>
        <w:rPr>
          <w:sz w:val="20"/>
          <w:szCs w:val="20"/>
          <w:color w:val="auto"/>
        </w:rPr>
      </w:pPr>
    </w:p>
    <w:p>
      <w:pPr>
        <w:jc w:val="both"/>
        <w:ind w:right="60" w:firstLine="259"/>
        <w:spacing w:after="0" w:line="259"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5" w:name="page56"/>
    <w:bookmarkEnd w:id="55"/>
    <w:p>
      <w:pPr>
        <w:ind w:right="220" w:firstLine="259"/>
        <w:spacing w:after="0" w:line="312" w:lineRule="auto"/>
        <w:rPr>
          <w:sz w:val="20"/>
          <w:szCs w:val="20"/>
          <w:color w:val="auto"/>
        </w:rPr>
      </w:pPr>
      <w:r>
        <w:rPr>
          <w:rFonts w:ascii="Arial" w:cs="Arial" w:eastAsia="Arial" w:hAnsi="Arial"/>
          <w:sz w:val="16"/>
          <w:szCs w:val="16"/>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47"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20" w:hanging="255"/>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17" w:lineRule="exact"/>
        <w:rPr>
          <w:rFonts w:ascii="Arial" w:cs="Arial" w:eastAsia="Arial" w:hAnsi="Arial"/>
          <w:sz w:val="18"/>
          <w:szCs w:val="18"/>
          <w:color w:val="auto"/>
        </w:rPr>
      </w:pPr>
    </w:p>
    <w:p>
      <w:pPr>
        <w:ind w:left="520" w:right="380" w:hanging="255"/>
        <w:spacing w:after="0" w:line="375" w:lineRule="auto"/>
        <w:tabs>
          <w:tab w:leader="none" w:pos="5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 and</w:t>
      </w:r>
    </w:p>
    <w:p>
      <w:pPr>
        <w:spacing w:after="0" w:line="1" w:lineRule="exact"/>
        <w:rPr>
          <w:rFonts w:ascii="Arial" w:cs="Arial" w:eastAsia="Arial" w:hAnsi="Arial"/>
          <w:sz w:val="15"/>
          <w:szCs w:val="15"/>
          <w:color w:val="auto"/>
        </w:rPr>
      </w:pPr>
    </w:p>
    <w:p>
      <w:pPr>
        <w:ind w:left="520" w:hanging="255"/>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December 22, 2016.</w:t>
      </w:r>
    </w:p>
    <w:p>
      <w:pPr>
        <w:spacing w:after="0" w:line="225"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Net proceeds received from our common stock issuance in March 2016, and net proceeds received from the issuance of the 2022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Senior Notes</w:t>
      </w:r>
    </w:p>
    <w:p>
      <w:pPr>
        <w:spacing w:after="0" w:line="117" w:lineRule="exact"/>
        <w:rPr>
          <w:sz w:val="20"/>
          <w:szCs w:val="20"/>
          <w:color w:val="auto"/>
        </w:rPr>
      </w:pPr>
    </w:p>
    <w:p>
      <w:pPr>
        <w:ind w:right="60" w:firstLine="259"/>
        <w:spacing w:after="0" w:line="269" w:lineRule="auto"/>
        <w:rPr>
          <w:sz w:val="20"/>
          <w:szCs w:val="20"/>
          <w:color w:val="auto"/>
        </w:rPr>
      </w:pPr>
      <w:r>
        <w:rPr>
          <w:rFonts w:ascii="Arial" w:cs="Arial" w:eastAsia="Arial" w:hAnsi="Arial"/>
          <w:sz w:val="17"/>
          <w:szCs w:val="17"/>
          <w:color w:val="auto"/>
        </w:rPr>
        <w:t>In June 2014, we issued in a private offering $115 million aggregate principal amount convertible senior notes due December 2019, or the 2019 Convertible Senior Notes. The 2019 Convertible Senior Notes were issued in a private placement only to qualified institutional buyers pursuant to Rule 144A under the Securities Act. The 2019 Convertible Senior Notes are unsecured and bear interest at a rate of 4.50% per year, payable semiannually. The 2019 Convertible Senior Notes will mature on December 15, 2019. In certain circumstances, the 2019 Convertible Senior Notes will be convertible into cash, shares of our common stock or a combination of cash and shares of our common stock, at our election, at an initial conversion rate of 38.7162 shares of common stock per $1,000 principal amount of 2019 Convertible Senior Notes, which is equivalent to an initial conversion price of approximately $25.83 per share of our common stock, subject to customary anti-dilution adjustments. The sale of the 2019 Convertible Senior Notes generated net proceeds of approximately $110.8 million. We used the net proceeds of the offering to pay down debt under the Revolving Credit Facility. In connection with the offering of 2019 Convertible Senior Notes, we have entered into interest rate swaps to continue to align the interest rates of our liabilities with our investment portfolio, which consists of predominately floating rate loans. As a result of the swaps, our effective interest rate on the 2019 Convertible Senior Notes is three-month LIBOR plus 286 basis points.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Holders may convert their 2019 Convertible Senior Notes at their option at any time prior to June 15, 2019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55"/>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firstLine="8"/>
        <w:spacing w:after="0" w:line="271" w:lineRule="auto"/>
        <w:tabs>
          <w:tab w:leader="none" w:pos="255" w:val="left"/>
        </w:tabs>
        <w:numPr>
          <w:ilvl w:val="0"/>
          <w:numId w:val="55"/>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or the measurement period, in which the trading price (as defined in the indenture governing the 2019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2022 Convertible Senior Notes</w:t>
      </w:r>
    </w:p>
    <w:p>
      <w:pPr>
        <w:spacing w:after="0" w:line="117" w:lineRule="exact"/>
        <w:rPr>
          <w:sz w:val="20"/>
          <w:szCs w:val="20"/>
          <w:color w:val="auto"/>
        </w:rPr>
      </w:pPr>
    </w:p>
    <w:p>
      <w:pPr>
        <w:ind w:right="20" w:firstLine="259"/>
        <w:spacing w:after="0" w:line="287" w:lineRule="auto"/>
        <w:rPr>
          <w:sz w:val="20"/>
          <w:szCs w:val="20"/>
          <w:color w:val="auto"/>
        </w:rPr>
      </w:pPr>
      <w:r>
        <w:rPr>
          <w:rFonts w:ascii="Arial" w:cs="Arial" w:eastAsia="Arial" w:hAnsi="Arial"/>
          <w:sz w:val="16"/>
          <w:szCs w:val="16"/>
          <w:color w:val="auto"/>
        </w:rPr>
        <w:t>In February 2017, we issued in a private offering $115 million aggregate principal amount convertible senior notes due August 2022, or the 2022 Convertible Senior Notes. We refer to the 2019 Convertible Senior Notes and the 2022 Convertible Senior Notes collectively as the Convertible Senior Notes. The 2022 Convertible Senior Notes were issued in a private placement only to qualified institutional buyers pursuant to Rule 144A under the Securities Act. The 2022 Convertible Senior Notes are unsecured, and bear interest at a rate of 4.50% per year, payable semiannually. The 2022 Convertible Senior Notes will mature on August 1, 2022. In certain circumstances, the 2022 Convertible Senior Notes will be convertible into cash, shares of our common stock or a combination of cash and shares of our common stock, at our election, at an initial conversion rate of 46.8516 shares of common stock per $1,000 principal amount of 2022 Convertible Senior Notes, which is equivalent to an initial conversion price of approximately $21.34 per share of our common stock, subject to customary anti-dilution adjustments. The sale of the 2022 Convertible Senior Notes generated net proceeds of approximately $111.2 million. We used the net proceeds of the offering to pay down debt under the Revolving Credit Facility. In connection with the offering of 2022 Convertible Senior Notes, we have entered into an interest rate swap to continue to align the interest rates of our liabilities with our investment portfolio, which consists of predominately floating rate loans. As a result of the swaps, our effective interest rate on the 2022 Convertible Senior Notes is three-month LIBOR plus 237.2 basis points.</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Holders may convert their 2022 Convertible Senior Notes at their option at any time prior to February 1, 2022 only under the following circumstances:</w:t>
      </w:r>
    </w:p>
    <w:p>
      <w:pPr>
        <w:spacing w:after="0" w:line="35" w:lineRule="exact"/>
        <w:rPr>
          <w:sz w:val="20"/>
          <w:szCs w:val="20"/>
          <w:color w:val="auto"/>
        </w:rPr>
      </w:pPr>
    </w:p>
    <w:p>
      <w:pPr>
        <w:ind w:right="80" w:firstLine="8"/>
        <w:spacing w:after="0" w:line="287" w:lineRule="auto"/>
        <w:tabs>
          <w:tab w:leader="none" w:pos="2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or the measurement period, in which the trading price (as defined in the indenture governing the 2022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70"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The Convertible Senior Notes are our senior unsecured obligations and rank senior in right of payment to our future indebtedness that is expressly subordinated in right of payment to the Convertible Senior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8"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As of March 31, 2017, the principal amount of the 2019 and 2022 Convertible Senior Notes exceeded the value of the underlying shares multiplied by the per share closing price of our common stock.</w:t>
      </w:r>
    </w:p>
    <w:p>
      <w:pPr>
        <w:spacing w:after="0" w:line="170"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The indentures governing the 2019 and 2022 Convertible Senior Notes contain certain covenants, including covenants requiring us to comply with the requirement under the 1940 Act that our asset coverage ratio, as defined in the 1940 Act, equal at least 200% and to provide financial information to the holders of the 2019 and 2022 Convertible Senior Notes under certain circumstances. These covenants are subject to important limitations and exceptions that are described in the indentures governing the 2019 and 2022 Convertible Senior Notes. As of March 31, 2017, we were in compliance with the terms of the indentures governing the 2019 and 2022 Convertible Senior Notes.</w:t>
      </w:r>
    </w:p>
    <w:p>
      <w:pPr>
        <w:spacing w:after="0" w:line="188" w:lineRule="exact"/>
        <w:rPr>
          <w:sz w:val="20"/>
          <w:szCs w:val="20"/>
          <w:color w:val="auto"/>
        </w:rPr>
      </w:pPr>
    </w:p>
    <w:p>
      <w:pPr>
        <w:ind w:firstLine="259"/>
        <w:spacing w:after="0" w:line="286" w:lineRule="auto"/>
        <w:rPr>
          <w:sz w:val="20"/>
          <w:szCs w:val="20"/>
          <w:color w:val="auto"/>
        </w:rPr>
      </w:pPr>
      <w:r>
        <w:rPr>
          <w:rFonts w:ascii="Arial" w:cs="Arial" w:eastAsia="Arial" w:hAnsi="Arial"/>
          <w:sz w:val="16"/>
          <w:szCs w:val="16"/>
          <w:color w:val="auto"/>
        </w:rPr>
        <w:t>The Convertible Senior Notes are accounted for in accordance with Accounting Standards Codification (“ASC”) 470-20. Upon conversion of any of the Convertible Senior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indentures governing the 2019 and 2022 Convertible Senior Notes. We have determined that the embedded conversion options in the</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2019 and 2022 Convertible Senior Notes are not required to be separately accounted for as a derivative under U.S. GAAP. In accounting for the 2019 and 2022 Convertible Senior Notes, we estimated at the time of issuance separate debt and equity components of the 2019 and 2022 Convertible Senior Notes. An original issue discount equal to the equity components of the 2019 and 2022 Convertible Senior Notes was recorded in “additional paid-in capital” in the accompanying consolidated balance sheet. Additionally, the issuance costs associated with the 2019 and 2022 Convertible Senior Notes were allocated to the debt and equity components in proportion to the allocation of the proceeds and accounted for as debt issuance costs and equity issuance costs, respectively.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From time to time, we may enter into commitments to fund investments. We incorporated these commitments into our assessment of our liquidity position.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March 31, 2017 and December 31, 2016, we had the following commitments to fund investments in current portfolio companies:</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March 31, 2017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4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 in millions)</w:t>
            </w:r>
          </w:p>
        </w:tc>
        <w:tc>
          <w:tcPr>
            <w:tcW w:w="112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440" w:type="dxa"/>
            <w:vAlign w:val="bottom"/>
            <w:shd w:val="clear" w:color="auto" w:fill="CFF0FC"/>
          </w:tcPr>
          <w:p>
            <w:pPr>
              <w:jc w:val="right"/>
              <w:ind w:right="28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Clarabridge, Inc. - Revolver</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CrunchTime Information Systems, Inc. - Delayed Draw</w:t>
            </w: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CrunchTime Information Systems, Inc. - Revolver</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Ecommerce Industries, Inc. - Revolver</w:t>
            </w: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Eddie Bauer - Delayed Draw</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Heartland Automotive Holdings, LLC - Revolver</w:t>
            </w: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Helix Health Ltd. - Revolver</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Leaf US Holdings, Inc. - Revolver</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Marketo, Inc. - Revolver</w:t>
            </w: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My Alarm Center, LLC - Delayed Draw</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Network Merchants, Inc. - Revolver</w:t>
            </w: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PayLease, LLC - Revolver</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PaySimple - Revolver</w:t>
            </w: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Sailpoint Technologies, Inc. - Revolver</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ScentAir Technologies, Inc. - Revolver</w:t>
            </w: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Sovos Compliance, LLC - Revolver</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440" w:type="dxa"/>
            <w:vAlign w:val="bottom"/>
            <w:tcBorders>
              <w:bottom w:val="single" w:sz="8" w:color="auto"/>
            </w:tcBorders>
            <w:shd w:val="clear" w:color="auto" w:fill="CFF0FC"/>
          </w:tcPr>
          <w:p>
            <w:pPr>
              <w:jc w:val="right"/>
              <w:ind w:right="28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880" w:firstLine="259"/>
        <w:spacing w:after="0" w:line="342" w:lineRule="auto"/>
        <w:rPr>
          <w:sz w:val="20"/>
          <w:szCs w:val="20"/>
          <w:color w:val="auto"/>
        </w:rPr>
      </w:pPr>
      <w:r>
        <w:rPr>
          <w:rFonts w:ascii="Arial" w:cs="Arial" w:eastAsia="Arial" w:hAnsi="Arial"/>
          <w:sz w:val="16"/>
          <w:szCs w:val="16"/>
          <w:color w:val="auto"/>
        </w:rPr>
        <w:t>As of March 31, 2017, we had no additional unfunded commitments to new borrowers. As of December 31, 2016, we had additional unfunded commitments of $50.0 million to fund investments to new borrowers that were not current portfolio companies as of December 31, 2016.</w:t>
      </w:r>
    </w:p>
    <w:p>
      <w:pPr>
        <w:spacing w:after="0" w:line="124"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March 31, 2017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center"/>
              <w:ind w:left="638"/>
              <w:spacing w:after="0"/>
              <w:rPr>
                <w:sz w:val="20"/>
                <w:szCs w:val="20"/>
                <w:color w:val="auto"/>
              </w:rPr>
            </w:pPr>
            <w:r>
              <w:rPr>
                <w:rFonts w:ascii="Arial" w:cs="Arial" w:eastAsia="Arial" w:hAnsi="Arial"/>
                <w:sz w:val="14"/>
                <w:szCs w:val="14"/>
                <w:b w:val="1"/>
                <w:bCs w:val="1"/>
                <w:color w:val="auto"/>
                <w:w w:val="92"/>
              </w:rPr>
              <w:t>Payments Due by Period</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Less than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200" w:type="dxa"/>
            <w:vAlign w:val="bottom"/>
          </w:tcPr>
          <w:p>
            <w:pPr>
              <w:spacing w:after="0"/>
              <w:rPr>
                <w:sz w:val="20"/>
                <w:szCs w:val="20"/>
                <w:color w:val="auto"/>
              </w:rPr>
            </w:pPr>
            <w:r>
              <w:rPr>
                <w:rFonts w:ascii="Arial" w:cs="Arial" w:eastAsia="Arial" w:hAnsi="Arial"/>
                <w:sz w:val="14"/>
                <w:szCs w:val="14"/>
                <w:color w:val="auto"/>
              </w:rPr>
              <w:t>($ in millions)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1-3 years</w:t>
            </w: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After 5 years</w:t>
            </w: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2022 Convertible Senior Notes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FF0FC"/>
          </w:tcPr>
          <w:p>
            <w:pPr>
              <w:spacing w:after="0"/>
              <w:rPr>
                <w:sz w:val="19"/>
                <w:szCs w:val="19"/>
                <w:color w:val="auto"/>
              </w:rPr>
            </w:pPr>
          </w:p>
        </w:tc>
      </w:tr>
      <w:tr>
        <w:trPr>
          <w:trHeight w:val="223"/>
        </w:trPr>
        <w:tc>
          <w:tcPr>
            <w:tcW w:w="5200" w:type="dxa"/>
            <w:vAlign w:val="bottom"/>
          </w:tcPr>
          <w:p>
            <w:pPr>
              <w:ind w:left="260"/>
              <w:spacing w:after="0"/>
              <w:rPr>
                <w:sz w:val="20"/>
                <w:szCs w:val="20"/>
                <w:color w:val="auto"/>
              </w:rPr>
            </w:pPr>
            <w:r>
              <w:rPr>
                <w:rFonts w:ascii="Arial" w:cs="Arial" w:eastAsia="Arial" w:hAnsi="Arial"/>
                <w:sz w:val="18"/>
                <w:szCs w:val="18"/>
                <w:b w:val="1"/>
                <w:bCs w:val="1"/>
                <w:color w:val="auto"/>
              </w:rPr>
              <w:t>Total Contractual Obligations</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240" w:firstLine="259"/>
        <w:spacing w:after="0" w:line="34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20" w:right="140" w:hanging="255"/>
        <w:spacing w:after="0" w:line="277"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net tax-exempt interest income (which is the excess of our gross tax-exempt interest income over certain disallowed deductions) for such taxable year.</w:t>
      </w:r>
    </w:p>
    <w:p>
      <w:pPr>
        <w:spacing w:after="0" w:line="248"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jc w:val="both"/>
        <w:ind w:right="440" w:firstLine="259"/>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100" w:firstLine="259"/>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16" w:lineRule="exact"/>
        <w:rPr>
          <w:sz w:val="20"/>
          <w:szCs w:val="20"/>
          <w:color w:val="auto"/>
        </w:rPr>
      </w:pPr>
    </w:p>
    <w:p>
      <w:pPr>
        <w:ind w:left="520" w:hanging="255"/>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17" w:lineRule="exact"/>
        <w:rPr>
          <w:rFonts w:ascii="Arial" w:cs="Arial" w:eastAsia="Arial" w:hAnsi="Arial"/>
          <w:sz w:val="18"/>
          <w:szCs w:val="18"/>
          <w:color w:val="auto"/>
        </w:rPr>
      </w:pPr>
    </w:p>
    <w:p>
      <w:pPr>
        <w:ind w:left="520" w:right="140" w:hanging="255"/>
        <w:spacing w:after="0" w:line="277"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9" w:name="page60"/>
    <w:bookmarkEnd w:id="59"/>
    <w:p>
      <w:pPr>
        <w:ind w:right="200" w:firstLine="259"/>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5"/>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17" w:lineRule="exact"/>
        <w:rPr>
          <w:rFonts w:ascii="Arial" w:cs="Arial" w:eastAsia="Arial" w:hAnsi="Arial"/>
          <w:sz w:val="18"/>
          <w:szCs w:val="18"/>
          <w:color w:val="auto"/>
        </w:rPr>
      </w:pPr>
    </w:p>
    <w:p>
      <w:pPr>
        <w:ind w:left="520" w:right="100" w:hanging="255"/>
        <w:spacing w:after="0" w:line="264"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firstLine="259"/>
        <w:spacing w:after="0" w:line="302"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2016, filed with the SEC on February 22, 2017, and elsewhere in our filings with the SEC.</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259"/>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right="700" w:firstLine="259"/>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1"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As of March 31, 2017, 100.0% of our debt investments based on fair value in our portfolio bore interest at floating rates (when including investment specific hedges), with 92.7% of these subject to interest rate floors. Our credit facilities also bear interest at floating rates and in connection with our 2019 Convertible Senior Notes and 2022 Convertible Senior Notes, which bear interest at a fixed rate; we entered into fixed-to-floating interest rate swaps in order to continue to align the interest rates of our liabilities with our investment portfolio.</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0" w:name="page61"/>
    <w:bookmarkEnd w:id="60"/>
    <w:p>
      <w:pPr>
        <w:jc w:val="both"/>
        <w:ind w:right="60" w:firstLine="259"/>
        <w:spacing w:after="0" w:line="264" w:lineRule="auto"/>
        <w:rPr>
          <w:sz w:val="20"/>
          <w:szCs w:val="20"/>
          <w:color w:val="auto"/>
        </w:rPr>
      </w:pPr>
      <w:r>
        <w:rPr>
          <w:rFonts w:ascii="Arial" w:cs="Arial" w:eastAsia="Arial" w:hAnsi="Arial"/>
          <w:sz w:val="18"/>
          <w:szCs w:val="18"/>
          <w:color w:val="auto"/>
        </w:rPr>
        <w:t>Assuming that our consolidated balance sheet as of March 31, 2017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Basis Point Change</w:t>
            </w:r>
          </w:p>
        </w:tc>
        <w:tc>
          <w:tcPr>
            <w:tcW w:w="120" w:type="dxa"/>
            <w:vAlign w:val="bottom"/>
          </w:tcPr>
          <w:p>
            <w:pPr>
              <w:spacing w:after="0"/>
              <w:rPr>
                <w:sz w:val="14"/>
                <w:szCs w:val="14"/>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Interest Income</w:t>
            </w:r>
          </w:p>
        </w:tc>
        <w:tc>
          <w:tcPr>
            <w:tcW w:w="8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 Expense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Net Income</w:t>
            </w:r>
          </w:p>
        </w:tc>
      </w:tr>
      <w:tr>
        <w:trPr>
          <w:trHeight w:val="223"/>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Up 200 basis points</w:t>
            </w: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54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Down 25 basis points</w:t>
            </w: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bl>
    <w:p>
      <w:pPr>
        <w:spacing w:after="0" w:line="241"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120" w:firstLine="259"/>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As of the end of the period covered by this report, we carried out an evaluation, under the supervision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with the participation of our management, including our Co-Chief Executive Officers and Chief Financial Officer, of the effectiveness of the design and operation of our disclosure controls and procedures (as defined in Rule 13a-15 under the Exchange Act). Based on that evaluation, our Co-Chief Executive Officers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3"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PART II –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0" w:firstLine="259"/>
        <w:spacing w:after="0" w:line="279" w:lineRule="auto"/>
        <w:rPr>
          <w:sz w:val="20"/>
          <w:szCs w:val="20"/>
          <w:color w:val="auto"/>
        </w:rPr>
      </w:pPr>
      <w:r>
        <w:rPr>
          <w:rFonts w:ascii="Arial" w:cs="Arial" w:eastAsia="Arial" w:hAnsi="Arial"/>
          <w:sz w:val="17"/>
          <w:szCs w:val="17"/>
          <w:color w:val="auto"/>
        </w:rPr>
        <w:t>In addition to the other information set forth in this report, you should carefully consider the risk factors discussed in Part I, “Item 1A. Risk Factors” in our Annual Report on Form 10-K for the fiscal year ended December 31, 2016,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right"/>
        <w:ind w:right="10020"/>
        <w:spacing w:after="0"/>
        <w:rPr>
          <w:sz w:val="20"/>
          <w:szCs w:val="20"/>
          <w:color w:val="auto"/>
        </w:rPr>
      </w:pPr>
      <w:r>
        <w:rPr>
          <w:rFonts w:ascii="Arial" w:cs="Arial" w:eastAsia="Arial" w:hAnsi="Arial"/>
          <w:sz w:val="16"/>
          <w:szCs w:val="16"/>
          <w:b w:val="1"/>
          <w:bCs w:val="1"/>
          <w:color w:val="auto"/>
        </w:rPr>
        <w:t>Item 6. Exhibits.</w:t>
      </w:r>
    </w:p>
    <w:p>
      <w:pPr>
        <w:spacing w:after="0" w:line="140" w:lineRule="exact"/>
        <w:rPr>
          <w:sz w:val="20"/>
          <w:szCs w:val="20"/>
          <w:color w:val="auto"/>
        </w:rPr>
      </w:pPr>
    </w:p>
    <w:p>
      <w:pPr>
        <w:jc w:val="right"/>
        <w:ind w:right="9980"/>
        <w:spacing w:after="0"/>
        <w:tabs>
          <w:tab w:leader="none" w:pos="10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580" w:hanging="463"/>
        <w:spacing w:after="0" w:line="277" w:lineRule="auto"/>
        <w:tabs>
          <w:tab w:leader="none" w:pos="560" w:val="left"/>
        </w:tabs>
        <w:rPr>
          <w:sz w:val="20"/>
          <w:szCs w:val="20"/>
          <w:color w:val="auto"/>
        </w:rPr>
      </w:pPr>
      <w:r>
        <w:rPr>
          <w:rFonts w:ascii="Arial" w:cs="Arial" w:eastAsia="Arial" w:hAnsi="Arial"/>
          <w:sz w:val="18"/>
          <w:szCs w:val="18"/>
          <w:color w:val="auto"/>
        </w:rPr>
        <w:t>4.1</w:t>
        <w:tab/>
        <w:t>Indenture, dated as of February 1, 2017, between TPG Specialty Lending, Inc. and Wells Fargo Bank, National Association, as Trustee (incorporated by reference to Exhibit 4.1 to the Company’s Current Report on Form 8-K filed on February 1, 2017).</w:t>
      </w:r>
    </w:p>
    <w:p>
      <w:pPr>
        <w:spacing w:after="0" w:line="76" w:lineRule="exact"/>
        <w:rPr>
          <w:sz w:val="20"/>
          <w:szCs w:val="20"/>
          <w:color w:val="auto"/>
        </w:rPr>
      </w:pPr>
    </w:p>
    <w:p>
      <w:pPr>
        <w:ind w:left="580" w:right="40" w:hanging="463"/>
        <w:spacing w:after="0" w:line="277" w:lineRule="auto"/>
        <w:tabs>
          <w:tab w:leader="none" w:pos="560" w:val="left"/>
        </w:tabs>
        <w:rPr>
          <w:sz w:val="20"/>
          <w:szCs w:val="20"/>
          <w:color w:val="auto"/>
        </w:rPr>
      </w:pPr>
      <w:r>
        <w:rPr>
          <w:rFonts w:ascii="Arial" w:cs="Arial" w:eastAsia="Arial" w:hAnsi="Arial"/>
          <w:sz w:val="18"/>
          <w:szCs w:val="18"/>
          <w:color w:val="auto"/>
        </w:rPr>
        <w:t>4.2</w:t>
        <w:tab/>
        <w:t>Form of 4.50% Convertible Senior Note Due 2022 (incorporated by reference to Exhibit 4.2 to the Company’s Current Report on Form 8-K filed on February 1, 2017).</w:t>
      </w:r>
    </w:p>
    <w:p>
      <w:pPr>
        <w:spacing w:after="0" w:line="76" w:lineRule="exact"/>
        <w:rPr>
          <w:sz w:val="20"/>
          <w:szCs w:val="20"/>
          <w:color w:val="auto"/>
        </w:rPr>
      </w:pPr>
    </w:p>
    <w:p>
      <w:pPr>
        <w:ind w:left="580" w:right="20" w:hanging="508"/>
        <w:spacing w:after="0" w:line="277" w:lineRule="auto"/>
        <w:tabs>
          <w:tab w:leader="none" w:pos="560" w:val="left"/>
        </w:tabs>
        <w:rPr>
          <w:sz w:val="20"/>
          <w:szCs w:val="20"/>
          <w:color w:val="auto"/>
        </w:rPr>
      </w:pPr>
      <w:r>
        <w:rPr>
          <w:rFonts w:ascii="Arial" w:cs="Arial" w:eastAsia="Arial" w:hAnsi="Arial"/>
          <w:sz w:val="18"/>
          <w:szCs w:val="18"/>
          <w:color w:val="auto"/>
        </w:rPr>
        <w:t>10.1</w:t>
        <w:tab/>
        <w:t>Amended and Restated Administration Agreement, dated as of February 22, 2017 between the Company and the Adviser (incorporated by reference to Exhibit 10.16 to the Company’s Annual Report on Form 10-K filed on February 22, 2017).</w:t>
      </w:r>
    </w:p>
    <w:p>
      <w:pPr>
        <w:spacing w:after="0" w:line="76" w:lineRule="exact"/>
        <w:rPr>
          <w:sz w:val="20"/>
          <w:szCs w:val="20"/>
          <w:color w:val="auto"/>
        </w:rPr>
      </w:pPr>
    </w:p>
    <w:p>
      <w:pPr>
        <w:ind w:left="8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65">
        <w:r>
          <w:rPr>
            <w:rFonts w:ascii="Arial" w:cs="Arial" w:eastAsia="Arial" w:hAnsi="Arial"/>
            <w:sz w:val="16"/>
            <w:szCs w:val="16"/>
            <w:u w:val="single" w:color="auto"/>
            <w:color w:val="0000EE"/>
          </w:rPr>
          <w:t>Certification of Co-Chief Executive Officer Pursuant to 18 U.S.C. Section 1350, as Adopted Pursuant to Section 302 of the Sarbanes-Oxley Act of</w:t>
        </w:r>
      </w:hyperlink>
    </w:p>
    <w:p>
      <w:pPr>
        <w:spacing w:after="0" w:line="23" w:lineRule="exact"/>
        <w:rPr>
          <w:sz w:val="20"/>
          <w:szCs w:val="20"/>
          <w:color w:val="auto"/>
        </w:rPr>
      </w:pPr>
    </w:p>
    <w:p>
      <w:pPr>
        <w:ind w:left="58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2002</w:t>
        </w:r>
      </w:hyperlink>
    </w:p>
    <w:p>
      <w:pPr>
        <w:spacing w:after="0" w:line="116" w:lineRule="exact"/>
        <w:rPr>
          <w:sz w:val="20"/>
          <w:szCs w:val="20"/>
          <w:color w:val="auto"/>
        </w:rPr>
      </w:pPr>
    </w:p>
    <w:p>
      <w:pPr>
        <w:ind w:left="8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66">
        <w:r>
          <w:rPr>
            <w:rFonts w:ascii="Arial" w:cs="Arial" w:eastAsia="Arial" w:hAnsi="Arial"/>
            <w:sz w:val="16"/>
            <w:szCs w:val="16"/>
            <w:u w:val="single" w:color="auto"/>
            <w:color w:val="0000EE"/>
          </w:rPr>
          <w:t>Certification of Co-Chief Executive Officer Pursuant to 18 U.S.C. Section 1350, as Adopted Pursuant to Section 302 of the Sarbanes-Oxley Act of</w:t>
        </w:r>
      </w:hyperlink>
    </w:p>
    <w:p>
      <w:pPr>
        <w:spacing w:after="0" w:line="23" w:lineRule="exact"/>
        <w:rPr>
          <w:sz w:val="20"/>
          <w:szCs w:val="20"/>
          <w:color w:val="auto"/>
        </w:rPr>
      </w:pPr>
    </w:p>
    <w:p>
      <w:pPr>
        <w:ind w:left="58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2002</w:t>
        </w:r>
      </w:hyperlink>
    </w:p>
    <w:p>
      <w:pPr>
        <w:spacing w:after="0" w:line="116" w:lineRule="exact"/>
        <w:rPr>
          <w:sz w:val="20"/>
          <w:szCs w:val="20"/>
          <w:color w:val="auto"/>
        </w:rPr>
      </w:pPr>
    </w:p>
    <w:p>
      <w:pPr>
        <w:ind w:left="8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31.3</w:t>
      </w:r>
      <w:r>
        <w:rPr>
          <w:sz w:val="20"/>
          <w:szCs w:val="20"/>
          <w:color w:val="auto"/>
        </w:rPr>
        <w:tab/>
      </w:r>
      <w:hyperlink w:anchor="page67">
        <w:r>
          <w:rPr>
            <w:rFonts w:ascii="Arial" w:cs="Arial" w:eastAsia="Arial" w:hAnsi="Arial"/>
            <w:sz w:val="16"/>
            <w:szCs w:val="16"/>
            <w:u w:val="single" w:color="auto"/>
            <w:color w:val="0000EE"/>
          </w:rPr>
          <w:t>Certification of Chief Financial Officer Pursuant to 18 U.S.C. Section 1350, as Adopted Pursuant to Section 302 of the Sarbanes-Oxley Act of 2002</w:t>
        </w:r>
      </w:hyperlink>
    </w:p>
    <w:p>
      <w:pPr>
        <w:spacing w:after="0" w:line="131" w:lineRule="exact"/>
        <w:rPr>
          <w:sz w:val="20"/>
          <w:szCs w:val="20"/>
          <w:color w:val="auto"/>
        </w:rPr>
      </w:pPr>
    </w:p>
    <w:p>
      <w:pPr>
        <w:ind w:left="580" w:hanging="500"/>
        <w:spacing w:after="0"/>
        <w:tabs>
          <w:tab w:leader="none" w:pos="580" w:val="left"/>
        </w:tabs>
        <w:numPr>
          <w:ilvl w:val="0"/>
          <w:numId w:val="60"/>
        </w:numPr>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Certification of Co-CEOs and CFO Pursuant to 18 U.S.C. Section 1350, as Adopted Pursuant to Section 906 of the Sarbanes-Oxley Act of 2002</w:t>
        </w:r>
      </w:hyperlink>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12" w:lineRule="exact"/>
        <w:rPr>
          <w:rFonts w:ascii="Arial" w:cs="Arial" w:eastAsia="Arial" w:hAnsi="Arial"/>
          <w:sz w:val="16"/>
          <w:szCs w:val="16"/>
          <w:u w:val="single" w:color="auto"/>
          <w:color w:val="0000EE"/>
        </w:rPr>
      </w:pPr>
    </w:p>
    <w:p>
      <w:pPr>
        <w:ind w:left="5620"/>
        <w:spacing w:after="0"/>
        <w:rPr>
          <w:rFonts w:ascii="Arial" w:cs="Arial" w:eastAsia="Arial" w:hAnsi="Arial"/>
          <w:sz w:val="16"/>
          <w:szCs w:val="16"/>
          <w:u w:val="single" w:color="auto"/>
          <w:color w:val="0000EE"/>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920" w:type="dxa"/>
            <w:vAlign w:val="bottom"/>
            <w:gridSpan w:val="2"/>
          </w:tcPr>
          <w:p>
            <w:pPr>
              <w:ind w:left="3360"/>
              <w:spacing w:after="0"/>
              <w:rPr>
                <w:sz w:val="20"/>
                <w:szCs w:val="20"/>
                <w:color w:val="auto"/>
              </w:rPr>
            </w:pPr>
            <w:r>
              <w:rPr>
                <w:rFonts w:ascii="Arial" w:cs="Arial" w:eastAsia="Arial" w:hAnsi="Arial"/>
                <w:sz w:val="18"/>
                <w:szCs w:val="18"/>
                <w:color w:val="auto"/>
              </w:rPr>
              <w:t>TPG SPECIALTY LENDING, INC.</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3, 2017</w:t>
            </w:r>
          </w:p>
        </w:tc>
        <w:tc>
          <w:tcPr>
            <w:tcW w:w="7920" w:type="dxa"/>
            <w:vAlign w:val="bottom"/>
            <w:gridSpan w:val="2"/>
          </w:tcPr>
          <w:p>
            <w:pPr>
              <w:ind w:left="3360"/>
              <w:spacing w:after="0"/>
              <w:rPr>
                <w:sz w:val="20"/>
                <w:szCs w:val="20"/>
                <w:color w:val="auto"/>
              </w:rPr>
            </w:pPr>
            <w:r>
              <w:rPr>
                <w:rFonts w:ascii="Arial" w:cs="Arial" w:eastAsia="Arial" w:hAnsi="Arial"/>
                <w:sz w:val="18"/>
                <w:szCs w:val="18"/>
                <w:color w:val="auto"/>
              </w:rPr>
              <w:t>By:  /s/ Joshua Easterly</w:t>
            </w:r>
          </w:p>
        </w:tc>
      </w:tr>
      <w:tr>
        <w:trPr>
          <w:trHeight w:val="195"/>
        </w:trPr>
        <w:tc>
          <w:tcPr>
            <w:tcW w:w="35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35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Co-Chief Executive Officer</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3, 2017</w:t>
            </w:r>
          </w:p>
        </w:tc>
        <w:tc>
          <w:tcPr>
            <w:tcW w:w="7920" w:type="dxa"/>
            <w:vAlign w:val="bottom"/>
            <w:gridSpan w:val="2"/>
          </w:tcPr>
          <w:p>
            <w:pPr>
              <w:ind w:left="3360"/>
              <w:spacing w:after="0"/>
              <w:rPr>
                <w:sz w:val="20"/>
                <w:szCs w:val="20"/>
                <w:color w:val="auto"/>
              </w:rPr>
            </w:pPr>
            <w:r>
              <w:rPr>
                <w:rFonts w:ascii="Arial" w:cs="Arial" w:eastAsia="Arial" w:hAnsi="Arial"/>
                <w:sz w:val="18"/>
                <w:szCs w:val="18"/>
                <w:color w:val="auto"/>
              </w:rPr>
              <w:t>By:  /s/ Michael Fishman</w:t>
            </w:r>
          </w:p>
        </w:tc>
      </w:tr>
      <w:tr>
        <w:trPr>
          <w:trHeight w:val="195"/>
        </w:trPr>
        <w:tc>
          <w:tcPr>
            <w:tcW w:w="35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Fishman</w:t>
            </w:r>
          </w:p>
        </w:tc>
      </w:tr>
      <w:tr>
        <w:trPr>
          <w:trHeight w:val="230"/>
        </w:trPr>
        <w:tc>
          <w:tcPr>
            <w:tcW w:w="35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Co-Chief Executive Officer</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3, 2017</w:t>
            </w:r>
          </w:p>
        </w:tc>
        <w:tc>
          <w:tcPr>
            <w:tcW w:w="7920" w:type="dxa"/>
            <w:vAlign w:val="bottom"/>
            <w:gridSpan w:val="2"/>
          </w:tcPr>
          <w:p>
            <w:pPr>
              <w:ind w:left="3360"/>
              <w:spacing w:after="0"/>
              <w:rPr>
                <w:sz w:val="20"/>
                <w:szCs w:val="20"/>
                <w:color w:val="auto"/>
              </w:rPr>
            </w:pPr>
            <w:r>
              <w:rPr>
                <w:rFonts w:ascii="Arial" w:cs="Arial" w:eastAsia="Arial" w:hAnsi="Arial"/>
                <w:sz w:val="18"/>
                <w:szCs w:val="18"/>
                <w:color w:val="auto"/>
              </w:rPr>
              <w:t>By:  /s/ Ian Simmonds</w:t>
            </w:r>
          </w:p>
        </w:tc>
      </w:tr>
      <w:tr>
        <w:trPr>
          <w:trHeight w:val="195"/>
        </w:trPr>
        <w:tc>
          <w:tcPr>
            <w:tcW w:w="35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5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500" w:type="dxa"/>
            <w:vAlign w:val="bottom"/>
          </w:tcPr>
          <w:p>
            <w:pPr>
              <w:spacing w:after="0"/>
              <w:rPr>
                <w:sz w:val="24"/>
                <w:szCs w:val="24"/>
                <w:color w:val="auto"/>
              </w:rPr>
            </w:pPr>
          </w:p>
        </w:tc>
        <w:tc>
          <w:tcPr>
            <w:tcW w:w="3740" w:type="dxa"/>
            <w:vAlign w:val="bottom"/>
          </w:tcPr>
          <w:p>
            <w:pPr>
              <w:ind w:left="2120"/>
              <w:spacing w:after="0"/>
              <w:rPr>
                <w:sz w:val="20"/>
                <w:szCs w:val="20"/>
                <w:color w:val="auto"/>
              </w:rPr>
            </w:pPr>
            <w:r>
              <w:rPr>
                <w:rFonts w:ascii="Arial" w:cs="Arial" w:eastAsia="Arial" w:hAnsi="Arial"/>
                <w:sz w:val="18"/>
                <w:szCs w:val="18"/>
                <w:color w:val="auto"/>
              </w:rPr>
              <w:t>64</w:t>
            </w:r>
          </w:p>
        </w:tc>
        <w:tc>
          <w:tcPr>
            <w:tcW w:w="41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780" w:hanging="515"/>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5"/>
        <w:spacing w:after="0" w:line="342" w:lineRule="auto"/>
        <w:tabs>
          <w:tab w:leader="none" w:pos="7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40" w:hanging="522"/>
        <w:spacing w:after="0" w:line="342"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Date: May 3, 2017</w:t>
            </w:r>
          </w:p>
        </w:tc>
        <w:tc>
          <w:tcPr>
            <w:tcW w:w="7300" w:type="dxa"/>
            <w:vAlign w:val="bottom"/>
            <w:gridSpan w:val="2"/>
          </w:tcPr>
          <w:p>
            <w:pPr>
              <w:ind w:left="2740"/>
              <w:spacing w:after="0"/>
              <w:rPr>
                <w:sz w:val="20"/>
                <w:szCs w:val="20"/>
                <w:color w:val="auto"/>
              </w:rPr>
            </w:pPr>
            <w:r>
              <w:rPr>
                <w:rFonts w:ascii="Arial" w:cs="Arial" w:eastAsia="Arial" w:hAnsi="Arial"/>
                <w:sz w:val="18"/>
                <w:szCs w:val="18"/>
                <w:color w:val="auto"/>
              </w:rPr>
              <w:t>By:  /s/ Joshua Easterly</w:t>
            </w:r>
          </w:p>
        </w:tc>
      </w:tr>
      <w:tr>
        <w:trPr>
          <w:trHeight w:val="195"/>
        </w:trPr>
        <w:tc>
          <w:tcPr>
            <w:tcW w:w="4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Co-Chief Executive Officer</w:t>
            </w:r>
          </w:p>
        </w:tc>
      </w:tr>
    </w:tbl>
    <w:p>
      <w:pPr>
        <w:sectPr>
          <w:pgSz w:w="11900" w:h="16838" w:orient="portrait"/>
          <w:cols w:equalWidth="0" w:num="1">
            <w:col w:w="11420"/>
          </w:cols>
          <w:pgMar w:left="2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117" w:lineRule="exact"/>
        <w:rPr>
          <w:sz w:val="20"/>
          <w:szCs w:val="20"/>
          <w:color w:val="auto"/>
        </w:rPr>
      </w:pPr>
    </w:p>
    <w:p>
      <w:pPr>
        <w:ind w:left="780" w:hanging="515"/>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5"/>
        <w:spacing w:after="0" w:line="342" w:lineRule="auto"/>
        <w:tabs>
          <w:tab w:leader="none" w:pos="7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40" w:hanging="522"/>
        <w:spacing w:after="0" w:line="342"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Date: May 3, 2017</w:t>
            </w:r>
          </w:p>
        </w:tc>
        <w:tc>
          <w:tcPr>
            <w:tcW w:w="7300" w:type="dxa"/>
            <w:vAlign w:val="bottom"/>
            <w:gridSpan w:val="2"/>
          </w:tcPr>
          <w:p>
            <w:pPr>
              <w:ind w:left="2740"/>
              <w:spacing w:after="0"/>
              <w:rPr>
                <w:sz w:val="20"/>
                <w:szCs w:val="20"/>
                <w:color w:val="auto"/>
              </w:rPr>
            </w:pPr>
            <w:r>
              <w:rPr>
                <w:rFonts w:ascii="Arial" w:cs="Arial" w:eastAsia="Arial" w:hAnsi="Arial"/>
                <w:sz w:val="18"/>
                <w:szCs w:val="18"/>
                <w:color w:val="auto"/>
              </w:rPr>
              <w:t>By:  /s/ Michael Fishman</w:t>
            </w:r>
          </w:p>
        </w:tc>
      </w:tr>
      <w:tr>
        <w:trPr>
          <w:trHeight w:val="195"/>
        </w:trPr>
        <w:tc>
          <w:tcPr>
            <w:tcW w:w="4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Fishman</w:t>
            </w:r>
          </w:p>
        </w:tc>
      </w:tr>
      <w:tr>
        <w:trPr>
          <w:trHeight w:val="230"/>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Co-Chief Executive Officer</w:t>
            </w:r>
          </w:p>
        </w:tc>
      </w:tr>
    </w:tbl>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17" w:lineRule="exact"/>
        <w:rPr>
          <w:sz w:val="20"/>
          <w:szCs w:val="20"/>
          <w:color w:val="auto"/>
        </w:rPr>
      </w:pPr>
    </w:p>
    <w:p>
      <w:pPr>
        <w:ind w:left="780" w:hanging="515"/>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5"/>
        <w:spacing w:after="0" w:line="342" w:lineRule="auto"/>
        <w:tabs>
          <w:tab w:leader="none" w:pos="7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40" w:hanging="522"/>
        <w:spacing w:after="0" w:line="342" w:lineRule="auto"/>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Date: May 3, 2017</w:t>
            </w:r>
          </w:p>
        </w:tc>
        <w:tc>
          <w:tcPr>
            <w:tcW w:w="7300" w:type="dxa"/>
            <w:vAlign w:val="bottom"/>
            <w:gridSpan w:val="2"/>
          </w:tcPr>
          <w:p>
            <w:pPr>
              <w:ind w:left="2760"/>
              <w:spacing w:after="0"/>
              <w:rPr>
                <w:sz w:val="20"/>
                <w:szCs w:val="20"/>
                <w:color w:val="auto"/>
              </w:rPr>
            </w:pPr>
            <w:r>
              <w:rPr>
                <w:rFonts w:ascii="Arial" w:cs="Arial" w:eastAsia="Arial" w:hAnsi="Arial"/>
                <w:sz w:val="18"/>
                <w:szCs w:val="18"/>
                <w:color w:val="auto"/>
              </w:rPr>
              <w:t>By:  /</w:t>
            </w:r>
            <w:r>
              <w:rPr>
                <w:rFonts w:ascii="Arial" w:cs="Arial" w:eastAsia="Arial" w:hAnsi="Arial"/>
                <w:sz w:val="13"/>
                <w:szCs w:val="13"/>
                <w:color w:val="auto"/>
              </w:rPr>
              <w:t>S</w:t>
            </w:r>
            <w:r>
              <w:rPr>
                <w:rFonts w:ascii="Arial" w:cs="Arial" w:eastAsia="Arial" w:hAnsi="Arial"/>
                <w:sz w:val="18"/>
                <w:szCs w:val="18"/>
                <w:color w:val="auto"/>
              </w:rPr>
              <w:t>/ Ian Simmonds</w:t>
            </w:r>
          </w:p>
        </w:tc>
      </w:tr>
      <w:tr>
        <w:trPr>
          <w:trHeight w:val="195"/>
        </w:trPr>
        <w:tc>
          <w:tcPr>
            <w:tcW w:w="4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3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connection with the quarterly report on Form 10-Q of TPG Specialty Lending, Inc. (the “Company”) for the quarterly period ended March 31, 2017, as filed with the Securities and Exchange Commission on the date hereof (the “Report”), Joshua Easterly and Michael Fishman, as Co-Chief Executive Officers of the Company, and Ian Simmonds, as Chief Financial Officer of the Company, each hereby certifies, pursuant to 18 U.S.C. § 1350, as adopted pursuant to § 906 of the Sarbanes-Oxley Act of 2002, that, to such officer’s knowledge:</w:t>
      </w:r>
    </w:p>
    <w:p>
      <w:pPr>
        <w:spacing w:after="0" w:line="79" w:lineRule="exact"/>
        <w:rPr>
          <w:sz w:val="20"/>
          <w:szCs w:val="20"/>
          <w:color w:val="auto"/>
        </w:rPr>
      </w:pPr>
    </w:p>
    <w:p>
      <w:pPr>
        <w:ind w:left="780" w:hanging="254"/>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Joshua Easterly</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100"/>
              <w:spacing w:after="0"/>
              <w:rPr>
                <w:sz w:val="20"/>
                <w:szCs w:val="20"/>
                <w:color w:val="auto"/>
              </w:rPr>
            </w:pPr>
            <w:r>
              <w:rPr>
                <w:rFonts w:ascii="Arial" w:cs="Arial" w:eastAsia="Arial" w:hAnsi="Arial"/>
                <w:sz w:val="18"/>
                <w:szCs w:val="18"/>
                <w:color w:val="auto"/>
              </w:rPr>
              <w:t>Co-Chief Executive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00"/>
              <w:spacing w:after="0"/>
              <w:rPr>
                <w:sz w:val="20"/>
                <w:szCs w:val="20"/>
                <w:color w:val="auto"/>
              </w:rPr>
            </w:pPr>
            <w:r>
              <w:rPr>
                <w:rFonts w:ascii="Arial" w:cs="Arial" w:eastAsia="Arial" w:hAnsi="Arial"/>
                <w:sz w:val="18"/>
                <w:szCs w:val="18"/>
                <w:color w:val="auto"/>
              </w:rPr>
              <w:t>May 3, 2017</w:t>
            </w:r>
          </w:p>
        </w:tc>
      </w:tr>
      <w:tr>
        <w:trPr>
          <w:trHeight w:val="459"/>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Fishman</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320"/>
              <w:spacing w:after="0" w:line="195" w:lineRule="exact"/>
              <w:rPr>
                <w:sz w:val="20"/>
                <w:szCs w:val="20"/>
                <w:color w:val="auto"/>
              </w:rPr>
            </w:pPr>
            <w:r>
              <w:rPr>
                <w:rFonts w:ascii="Arial" w:cs="Arial" w:eastAsia="Arial" w:hAnsi="Arial"/>
                <w:sz w:val="18"/>
                <w:szCs w:val="18"/>
                <w:color w:val="auto"/>
              </w:rPr>
              <w:t>Michael Fishman</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320"/>
              <w:spacing w:after="0"/>
              <w:rPr>
                <w:sz w:val="20"/>
                <w:szCs w:val="20"/>
                <w:color w:val="auto"/>
              </w:rPr>
            </w:pPr>
            <w:r>
              <w:rPr>
                <w:rFonts w:ascii="Arial" w:cs="Arial" w:eastAsia="Arial" w:hAnsi="Arial"/>
                <w:sz w:val="18"/>
                <w:szCs w:val="18"/>
                <w:color w:val="auto"/>
              </w:rPr>
              <w:t>Co-Chief Executive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320"/>
              <w:spacing w:after="0"/>
              <w:rPr>
                <w:sz w:val="20"/>
                <w:szCs w:val="20"/>
                <w:color w:val="auto"/>
              </w:rPr>
            </w:pPr>
            <w:r>
              <w:rPr>
                <w:rFonts w:ascii="Arial" w:cs="Arial" w:eastAsia="Arial" w:hAnsi="Arial"/>
                <w:sz w:val="18"/>
                <w:szCs w:val="18"/>
                <w:color w:val="auto"/>
              </w:rPr>
              <w:t>May 3, 2017</w:t>
            </w:r>
          </w:p>
        </w:tc>
      </w:tr>
      <w:tr>
        <w:trPr>
          <w:trHeight w:val="459"/>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Ian Simmonds</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320"/>
              <w:spacing w:after="0" w:line="195" w:lineRule="exact"/>
              <w:rPr>
                <w:sz w:val="20"/>
                <w:szCs w:val="20"/>
                <w:color w:val="auto"/>
              </w:rPr>
            </w:pPr>
            <w:r>
              <w:rPr>
                <w:rFonts w:ascii="Arial" w:cs="Arial" w:eastAsia="Arial" w:hAnsi="Arial"/>
                <w:sz w:val="18"/>
                <w:szCs w:val="18"/>
                <w:color w:val="auto"/>
              </w:rPr>
              <w:t>Ian Simmonds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320"/>
              <w:spacing w:after="0"/>
              <w:rPr>
                <w:sz w:val="20"/>
                <w:szCs w:val="20"/>
                <w:color w:val="auto"/>
              </w:rPr>
            </w:pPr>
            <w:r>
              <w:rPr>
                <w:rFonts w:ascii="Arial" w:cs="Arial" w:eastAsia="Arial" w:hAnsi="Arial"/>
                <w:sz w:val="18"/>
                <w:szCs w:val="18"/>
                <w:color w:val="auto"/>
              </w:rPr>
              <w:t>Chief Financial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320"/>
              <w:spacing w:after="0"/>
              <w:rPr>
                <w:sz w:val="20"/>
                <w:szCs w:val="20"/>
                <w:color w:val="auto"/>
              </w:rPr>
            </w:pPr>
            <w:r>
              <w:rPr>
                <w:rFonts w:ascii="Arial" w:cs="Arial" w:eastAsia="Arial" w:hAnsi="Arial"/>
                <w:sz w:val="18"/>
                <w:szCs w:val="18"/>
                <w:color w:val="auto"/>
              </w:rPr>
              <w:t>May 3, 2017</w:t>
            </w:r>
          </w:p>
        </w:tc>
      </w:tr>
    </w:tbl>
    <w:p>
      <w:pPr>
        <w:spacing w:after="0" w:line="20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7"/>
    </w:lvl>
  </w:abstractNum>
  <w:abstractNum w:abstractNumId="5">
    <w:nsid w:val="5577F8E1"/>
    <w:multiLevelType w:val="hybridMultilevel"/>
    <w:lvl w:ilvl="0">
      <w:lvlJc w:val="left"/>
      <w:lvlText w:val="(%1)"/>
      <w:numFmt w:val="lowerLetter"/>
      <w:start w:val="1"/>
    </w:lvl>
  </w:abstractNum>
  <w:abstractNum w:abstractNumId="6">
    <w:nsid w:val="440BADFC"/>
    <w:multiLevelType w:val="hybridMultilevel"/>
    <w:lvl w:ilvl="0">
      <w:lvlJc w:val="left"/>
      <w:lvlText w:val="(%1)"/>
      <w:numFmt w:val="decimal"/>
      <w:start w:val="8"/>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1)"/>
      <w:numFmt w:val="decimal"/>
      <w:start w:val="2"/>
    </w:lvl>
  </w:abstractNum>
  <w:abstractNum w:abstractNumId="9">
    <w:nsid w:val="77465F01"/>
    <w:multiLevelType w:val="hybridMultilevel"/>
    <w:lvl w:ilvl="0">
      <w:lvlJc w:val="left"/>
      <w:lvlText w:val="(%1)"/>
      <w:numFmt w:val="lowerLetter"/>
      <w:start w:val="1"/>
    </w:lvl>
  </w:abstractNum>
  <w:abstractNum w:abstractNumId="10">
    <w:nsid w:val="7724C67E"/>
    <w:multiLevelType w:val="hybridMultilevel"/>
    <w:lvl w:ilvl="0">
      <w:lvlJc w:val="left"/>
      <w:lvlText w:val="(%1)"/>
      <w:numFmt w:val="decimal"/>
      <w:start w:val="8"/>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1)"/>
      <w:numFmt w:val="lowerRoman"/>
      <w:start w:val="1"/>
    </w:lvl>
  </w:abstractNum>
  <w:abstractNum w:abstractNumId="15">
    <w:nsid w:val="2D517796"/>
    <w:multiLevelType w:val="hybridMultilevel"/>
    <w:lvl w:ilvl="0">
      <w:lvlJc w:val="left"/>
      <w:lvlText w:val="(%1)"/>
      <w:numFmt w:val="decimal"/>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decimal"/>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1)"/>
      <w:numFmt w:val="decimal"/>
      <w:start w:val="1"/>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
      <w:numFmt w:val="bullet"/>
      <w:start w:val="1"/>
    </w:lvl>
    <w:lvl w:ilvl="1">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lvl w:ilvl="1">
      <w:lvlJc w:val="left"/>
      <w:lvlText w:val="•"/>
      <w:numFmt w:val="bullet"/>
      <w:start w:val="1"/>
    </w:lvl>
  </w:abstractNum>
  <w:abstractNum w:abstractNumId="28">
    <w:nsid w:val="542289EC"/>
    <w:multiLevelType w:val="hybridMultilevel"/>
    <w:lvl w:ilvl="0">
      <w:lvlJc w:val="left"/>
      <w:lvlText w:val="•"/>
      <w:numFmt w:val="bullet"/>
      <w:start w:val="1"/>
    </w:lvl>
    <w:lvl w:ilvl="1">
      <w:lvlJc w:val="left"/>
      <w:lvlText w:val="•"/>
      <w:numFmt w:val="bullet"/>
      <w:start w:val="1"/>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1)"/>
      <w:numFmt w:val="decimal"/>
      <w:start w:val="1"/>
    </w:lvl>
  </w:abstractNum>
  <w:abstractNum w:abstractNumId="31">
    <w:nsid w:val="7644A45C"/>
    <w:multiLevelType w:val="hybridMultilevel"/>
    <w:lvl w:ilvl="0">
      <w:lvlJc w:val="left"/>
      <w:lvlText w:val="%1."/>
      <w:numFmt w:val="decimal"/>
      <w:start w:val="10"/>
    </w:lvl>
  </w:abstractNum>
  <w:abstractNum w:abstractNumId="32">
    <w:nsid w:val="32FFF902"/>
    <w:multiLevelType w:val="hybridMultilevel"/>
    <w:lvl w:ilvl="0">
      <w:lvlJc w:val="left"/>
      <w:lvlText w:val="%1."/>
      <w:numFmt w:val="decimal"/>
      <w:start w:val="11"/>
    </w:lvl>
  </w:abstractNum>
  <w:abstractNum w:abstractNumId="33">
    <w:nsid w:val="684A481A"/>
    <w:multiLevelType w:val="hybridMultilevel"/>
    <w:lvl w:ilvl="0">
      <w:lvlJc w:val="left"/>
      <w:lvlText w:val="(%1)"/>
      <w:numFmt w:val="decimal"/>
      <w:start w:val="1"/>
    </w:lvl>
  </w:abstractNum>
  <w:abstractNum w:abstractNumId="34">
    <w:nsid w:val="579478FE"/>
    <w:multiLevelType w:val="hybridMultilevel"/>
    <w:lvl w:ilvl="0">
      <w:lvlJc w:val="left"/>
      <w:lvlText w:val="%1."/>
      <w:numFmt w:val="decimal"/>
      <w:start w:val="12"/>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1)"/>
      <w:numFmt w:val="decimal"/>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1)"/>
      <w:numFmt w:val="decimal"/>
      <w:start w:val="1"/>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1)"/>
      <w:numFmt w:val="decimal"/>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lvl w:ilvl="1">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1)"/>
      <w:numFmt w:val="decimal"/>
      <w:start w:val="1"/>
    </w:lvl>
  </w:abstractNum>
  <w:abstractNum w:abstractNumId="55">
    <w:nsid w:val="741226BB"/>
    <w:multiLevelType w:val="hybridMultilevel"/>
    <w:lvl w:ilvl="0">
      <w:lvlJc w:val="left"/>
      <w:lvlText w:val="(%1)"/>
      <w:numFmt w:val="decimal"/>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1"/>
      <w:numFmt w:val="decimal"/>
      <w:start w:val="32"/>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2019-12-29T05:46:14Z</dcterms:created>
  <dcterms:modified xsi:type="dcterms:W3CDTF">2019-12-29T05:46:14Z</dcterms:modified>
</cp:coreProperties>
</file>