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$0.01 par value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____________________________________________________________________________________________</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_________________________________________________</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jc w:val="both"/>
        <w:ind w:left="480" w:right="7580" w:firstLine="7"/>
        <w:spacing w:after="0" w:line="598" w:lineRule="auto"/>
        <w:tabs>
          <w:tab w:leader="none" w:pos="675" w:val="left"/>
        </w:tabs>
        <w:numPr>
          <w:ilvl w:val="0"/>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spacing w:after="0" w:line="1" w:lineRule="exact"/>
        <w:rPr>
          <w:rFonts w:ascii="Arial" w:cs="Arial" w:eastAsia="Arial" w:hAnsi="Arial"/>
          <w:sz w:val="16"/>
          <w:szCs w:val="16"/>
          <w:color w:val="auto"/>
        </w:rPr>
      </w:pPr>
    </w:p>
    <w:p>
      <w:pPr>
        <w:ind w:left="680" w:hanging="19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80"/>
          </w:cols>
          <w:pgMar w:left="1220" w:top="513" w:right="1299" w:bottom="1440" w:gutter="0" w:footer="0" w:header="0"/>
        </w:sectPr>
      </w:pPr>
    </w:p>
    <w:bookmarkStart w:id="2" w:name="page3"/>
    <w:bookmarkEnd w:id="2"/>
    <w:p>
      <w:pPr>
        <w:spacing w:after="0" w:line="4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CUSIP No.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32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8"/>
          <w:szCs w:val="18"/>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7322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Morgan Stanley</w:t>
      </w:r>
    </w:p>
    <w:p>
      <w:pPr>
        <w:spacing w:after="0" w:line="204" w:lineRule="exact"/>
        <w:rPr>
          <w:sz w:val="20"/>
          <w:szCs w:val="20"/>
          <w:color w:val="auto"/>
        </w:rPr>
      </w:pPr>
    </w:p>
    <w:p>
      <w:pPr>
        <w:ind w:left="1980"/>
        <w:spacing w:after="0" w:line="253" w:lineRule="exact"/>
        <w:rPr>
          <w:sz w:val="20"/>
          <w:szCs w:val="20"/>
          <w:color w:val="auto"/>
        </w:rPr>
      </w:pPr>
      <w:r>
        <w:rPr>
          <w:rFonts w:ascii="Arial" w:cs="Arial" w:eastAsia="Arial" w:hAnsi="Arial"/>
          <w:sz w:val="22"/>
          <w:szCs w:val="22"/>
          <w:b w:val="1"/>
          <w:bCs w:val="1"/>
          <w:color w:val="auto"/>
        </w:rPr>
        <w:t>2</w:t>
      </w:r>
      <w:r>
        <w:rPr>
          <w:rFonts w:ascii="Arial" w:cs="Arial" w:eastAsia="Arial" w:hAnsi="Arial"/>
          <w:sz w:val="18"/>
          <w:szCs w:val="18"/>
          <w:b w:val="1"/>
          <w:bCs w:val="1"/>
          <w:color w:val="auto"/>
        </w:rPr>
        <w:t>Check the appropriate box if a member of a group. (a)</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 (b) R</w:t>
      </w:r>
    </w:p>
    <w:p>
      <w:pPr>
        <w:spacing w:after="0" w:line="223"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4</w:t>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The state of organization is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5</w:t>
            </w:r>
          </w:p>
        </w:tc>
        <w:tc>
          <w:tcPr>
            <w:tcW w:w="558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51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6</w:t>
            </w:r>
          </w:p>
        </w:tc>
        <w:tc>
          <w:tcPr>
            <w:tcW w:w="5580" w:type="dxa"/>
            <w:vAlign w:val="bottom"/>
          </w:tcPr>
          <w:p>
            <w:pPr>
              <w:ind w:left="6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1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rPr>
              <w:t>EACH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7</w:t>
            </w:r>
          </w:p>
        </w:tc>
        <w:tc>
          <w:tcPr>
            <w:tcW w:w="5580" w:type="dxa"/>
            <w:vAlign w:val="bottom"/>
          </w:tcPr>
          <w:p>
            <w:pPr>
              <w:ind w:left="640"/>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WITH: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8</w:t>
            </w:r>
          </w:p>
        </w:tc>
        <w:tc>
          <w:tcPr>
            <w:tcW w:w="5580" w:type="dxa"/>
            <w:vAlign w:val="bottom"/>
          </w:tcPr>
          <w:p>
            <w:pPr>
              <w:ind w:left="64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9</w:t>
      </w: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5,994,646 shares</w:t>
      </w:r>
    </w:p>
    <w:p>
      <w:pPr>
        <w:ind w:left="1880"/>
        <w:spacing w:after="0" w:line="253" w:lineRule="exact"/>
        <w:rPr>
          <w:sz w:val="20"/>
          <w:szCs w:val="20"/>
          <w:color w:val="auto"/>
        </w:rPr>
      </w:pPr>
      <w:r>
        <w:rPr>
          <w:rFonts w:ascii="Arial" w:cs="Arial" w:eastAsia="Arial" w:hAnsi="Arial"/>
          <w:sz w:val="22"/>
          <w:szCs w:val="22"/>
          <w:b w:val="1"/>
          <w:bCs w:val="1"/>
          <w:color w:val="auto"/>
        </w:rPr>
        <w:t>10</w:t>
      </w:r>
      <w:r>
        <w:rPr>
          <w:rFonts w:ascii="Arial" w:cs="Arial" w:eastAsia="Arial" w:hAnsi="Arial"/>
          <w:sz w:val="18"/>
          <w:szCs w:val="18"/>
          <w:b w:val="1"/>
          <w:bCs w:val="1"/>
          <w:color w:val="auto"/>
        </w:rPr>
        <w:t>Check box if the aggregate amount in row (9) excludes certain shares</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w:t>
      </w:r>
    </w:p>
    <w:p>
      <w:pPr>
        <w:spacing w:after="0" w:line="21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11</w:t>
      </w: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14.5%</w:t>
      </w:r>
    </w:p>
    <w:p>
      <w:pPr>
        <w:ind w:left="1880"/>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right="780"/>
        <w:spacing w:after="0" w:line="255" w:lineRule="auto"/>
        <w:rPr>
          <w:sz w:val="20"/>
          <w:szCs w:val="20"/>
          <w:color w:val="auto"/>
        </w:rPr>
      </w:pPr>
      <w:r>
        <w:rPr>
          <w:rFonts w:ascii="Arial" w:cs="Arial" w:eastAsia="Arial" w:hAnsi="Arial"/>
          <w:sz w:val="18"/>
          <w:szCs w:val="18"/>
          <w:color w:val="auto"/>
        </w:rPr>
        <w:t xml:space="preserve">*Although MSSB TPG Specialty Lending Onshore Feeder Fund (the “Trust”) beneficially owns 5,994,646 shares of the common stock of the Issuer and would otherwise be entitled to vote such shares, the Trust has contractually agreed to pass such voting rights through to the Trust’s underlying investors (each a “Unitholder” and collectively, the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0" w:lineRule="exact"/>
        <w:rPr>
          <w:sz w:val="20"/>
          <w:szCs w:val="20"/>
          <w:color w:val="auto"/>
        </w:rPr>
      </w:pPr>
    </w:p>
    <w:p>
      <w:pPr>
        <w:spacing w:after="0" w:line="26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CUSIP No.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32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8"/>
          <w:szCs w:val="18"/>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7322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Morgan Stanley Smith Barney Holdings LLC</w:t>
      </w:r>
    </w:p>
    <w:p>
      <w:pPr>
        <w:spacing w:after="0" w:line="204" w:lineRule="exact"/>
        <w:rPr>
          <w:sz w:val="20"/>
          <w:szCs w:val="20"/>
          <w:color w:val="auto"/>
        </w:rPr>
      </w:pPr>
    </w:p>
    <w:p>
      <w:pPr>
        <w:ind w:left="1980"/>
        <w:spacing w:after="0" w:line="253" w:lineRule="exact"/>
        <w:rPr>
          <w:sz w:val="20"/>
          <w:szCs w:val="20"/>
          <w:color w:val="auto"/>
        </w:rPr>
      </w:pPr>
      <w:r>
        <w:rPr>
          <w:rFonts w:ascii="Arial" w:cs="Arial" w:eastAsia="Arial" w:hAnsi="Arial"/>
          <w:sz w:val="22"/>
          <w:szCs w:val="22"/>
          <w:b w:val="1"/>
          <w:bCs w:val="1"/>
          <w:color w:val="auto"/>
        </w:rPr>
        <w:t>2</w:t>
      </w:r>
      <w:r>
        <w:rPr>
          <w:rFonts w:ascii="Arial" w:cs="Arial" w:eastAsia="Arial" w:hAnsi="Arial"/>
          <w:sz w:val="18"/>
          <w:szCs w:val="18"/>
          <w:b w:val="1"/>
          <w:bCs w:val="1"/>
          <w:color w:val="auto"/>
        </w:rPr>
        <w:t>Check the appropriate box if a member of a group. (a)</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 (b) R</w:t>
      </w:r>
    </w:p>
    <w:p>
      <w:pPr>
        <w:spacing w:after="0" w:line="223"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4</w:t>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The state of organization is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5</w:t>
            </w:r>
          </w:p>
        </w:tc>
        <w:tc>
          <w:tcPr>
            <w:tcW w:w="558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51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6</w:t>
            </w:r>
          </w:p>
        </w:tc>
        <w:tc>
          <w:tcPr>
            <w:tcW w:w="5580" w:type="dxa"/>
            <w:vAlign w:val="bottom"/>
          </w:tcPr>
          <w:p>
            <w:pPr>
              <w:ind w:left="6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1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rPr>
              <w:t>EACH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7</w:t>
            </w:r>
          </w:p>
        </w:tc>
        <w:tc>
          <w:tcPr>
            <w:tcW w:w="5580" w:type="dxa"/>
            <w:vAlign w:val="bottom"/>
          </w:tcPr>
          <w:p>
            <w:pPr>
              <w:ind w:left="640"/>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WITH: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8</w:t>
            </w:r>
          </w:p>
        </w:tc>
        <w:tc>
          <w:tcPr>
            <w:tcW w:w="5580" w:type="dxa"/>
            <w:vAlign w:val="bottom"/>
          </w:tcPr>
          <w:p>
            <w:pPr>
              <w:ind w:left="64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9</w:t>
      </w: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5,994,646 shares</w:t>
      </w:r>
    </w:p>
    <w:p>
      <w:pPr>
        <w:ind w:left="1880"/>
        <w:spacing w:after="0" w:line="253" w:lineRule="exact"/>
        <w:rPr>
          <w:sz w:val="20"/>
          <w:szCs w:val="20"/>
          <w:color w:val="auto"/>
        </w:rPr>
      </w:pPr>
      <w:r>
        <w:rPr>
          <w:rFonts w:ascii="Arial" w:cs="Arial" w:eastAsia="Arial" w:hAnsi="Arial"/>
          <w:sz w:val="22"/>
          <w:szCs w:val="22"/>
          <w:b w:val="1"/>
          <w:bCs w:val="1"/>
          <w:color w:val="auto"/>
        </w:rPr>
        <w:t>10</w:t>
      </w:r>
      <w:r>
        <w:rPr>
          <w:rFonts w:ascii="Arial" w:cs="Arial" w:eastAsia="Arial" w:hAnsi="Arial"/>
          <w:sz w:val="18"/>
          <w:szCs w:val="18"/>
          <w:b w:val="1"/>
          <w:bCs w:val="1"/>
          <w:color w:val="auto"/>
        </w:rPr>
        <w:t>Check box if the aggregate amount in row (9) excludes certain shares</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Percent of class represented by amount in row (9).</w:t>
      </w:r>
    </w:p>
    <w:p>
      <w:pPr>
        <w:sectPr>
          <w:pgSz w:w="11900" w:h="16883" w:orient="portrait"/>
          <w:cols w:equalWidth="0" w:num="1">
            <w:col w:w="11420"/>
          </w:cols>
          <w:pgMar w:left="240" w:top="1013" w:right="239" w:bottom="0" w:gutter="0" w:footer="0" w:header="0"/>
        </w:sectPr>
      </w:pPr>
    </w:p>
    <w:bookmarkStart w:id="3" w:name="page4"/>
    <w:bookmarkEnd w:id="3"/>
    <w:p>
      <w:pPr>
        <w:ind w:left="1548"/>
        <w:spacing w:after="0"/>
        <w:rPr>
          <w:sz w:val="20"/>
          <w:szCs w:val="20"/>
          <w:color w:val="auto"/>
        </w:rPr>
      </w:pPr>
      <w:r>
        <w:rPr>
          <w:rFonts w:ascii="Arial" w:cs="Arial" w:eastAsia="Arial" w:hAnsi="Arial"/>
          <w:sz w:val="22"/>
          <w:szCs w:val="22"/>
          <w:b w:val="1"/>
          <w:bCs w:val="1"/>
          <w:color w:val="auto"/>
        </w:rPr>
        <w:t>11</w:t>
      </w: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11430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48"/>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18"/>
          <w:szCs w:val="18"/>
          <w:b w:val="1"/>
          <w:bCs w:val="1"/>
          <w:color w:val="auto"/>
        </w:rPr>
        <w:t>Type of reporting person</w:t>
      </w:r>
    </w:p>
    <w:p>
      <w:pPr>
        <w:ind w:left="1748"/>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jc w:val="both"/>
        <w:ind w:left="8" w:hanging="8"/>
        <w:spacing w:after="0" w:line="273" w:lineRule="auto"/>
        <w:tabs>
          <w:tab w:leader="none" w:pos="163"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Although the Trust beneficially owns 5,994,646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703580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8"/>
          </w:cols>
          <w:pgMar w:left="572" w:top="112" w:right="1019" w:bottom="1440" w:gutter="0" w:footer="0" w:header="0"/>
        </w:sectPr>
      </w:pPr>
    </w:p>
    <w:bookmarkStart w:id="4" w:name="page5"/>
    <w:bookmarkEnd w:id="4"/>
    <w:p>
      <w:pPr>
        <w:ind w:left="4680"/>
        <w:spacing w:after="0"/>
        <w:rPr>
          <w:sz w:val="20"/>
          <w:szCs w:val="20"/>
          <w:color w:val="auto"/>
        </w:rPr>
      </w:pPr>
      <w:r>
        <w:rPr>
          <w:rFonts w:ascii="Arial" w:cs="Arial" w:eastAsia="Arial" w:hAnsi="Arial"/>
          <w:sz w:val="18"/>
          <w:szCs w:val="18"/>
          <w:b w:val="1"/>
          <w:bCs w:val="1"/>
          <w:color w:val="auto"/>
        </w:rPr>
        <w:t>CUSIP No.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32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8"/>
          <w:szCs w:val="18"/>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7322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Morgan Stanley GWM Feeder Strategies LLC</w:t>
      </w:r>
    </w:p>
    <w:p>
      <w:pPr>
        <w:spacing w:after="0" w:line="204" w:lineRule="exact"/>
        <w:rPr>
          <w:sz w:val="20"/>
          <w:szCs w:val="20"/>
          <w:color w:val="auto"/>
        </w:rPr>
      </w:pPr>
    </w:p>
    <w:p>
      <w:pPr>
        <w:ind w:left="1980"/>
        <w:spacing w:after="0" w:line="253" w:lineRule="exact"/>
        <w:rPr>
          <w:sz w:val="20"/>
          <w:szCs w:val="20"/>
          <w:color w:val="auto"/>
        </w:rPr>
      </w:pPr>
      <w:r>
        <w:rPr>
          <w:rFonts w:ascii="Arial" w:cs="Arial" w:eastAsia="Arial" w:hAnsi="Arial"/>
          <w:sz w:val="22"/>
          <w:szCs w:val="22"/>
          <w:b w:val="1"/>
          <w:bCs w:val="1"/>
          <w:color w:val="auto"/>
        </w:rPr>
        <w:t>2</w:t>
      </w:r>
      <w:r>
        <w:rPr>
          <w:rFonts w:ascii="Arial" w:cs="Arial" w:eastAsia="Arial" w:hAnsi="Arial"/>
          <w:sz w:val="18"/>
          <w:szCs w:val="18"/>
          <w:b w:val="1"/>
          <w:bCs w:val="1"/>
          <w:color w:val="auto"/>
        </w:rPr>
        <w:t>Check the appropriate box if a member of a group. (a)</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 (b) R</w:t>
      </w:r>
    </w:p>
    <w:p>
      <w:pPr>
        <w:spacing w:after="0" w:line="223"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4</w:t>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The state of organization is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5</w:t>
            </w:r>
          </w:p>
        </w:tc>
        <w:tc>
          <w:tcPr>
            <w:tcW w:w="558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51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6</w:t>
            </w:r>
          </w:p>
        </w:tc>
        <w:tc>
          <w:tcPr>
            <w:tcW w:w="5580" w:type="dxa"/>
            <w:vAlign w:val="bottom"/>
          </w:tcPr>
          <w:p>
            <w:pPr>
              <w:ind w:left="6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1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rPr>
              <w:t>EACH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7</w:t>
            </w:r>
          </w:p>
        </w:tc>
        <w:tc>
          <w:tcPr>
            <w:tcW w:w="5580" w:type="dxa"/>
            <w:vAlign w:val="bottom"/>
          </w:tcPr>
          <w:p>
            <w:pPr>
              <w:ind w:left="640"/>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WITH: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8</w:t>
            </w:r>
          </w:p>
        </w:tc>
        <w:tc>
          <w:tcPr>
            <w:tcW w:w="5580" w:type="dxa"/>
            <w:vAlign w:val="bottom"/>
          </w:tcPr>
          <w:p>
            <w:pPr>
              <w:ind w:left="64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9</w:t>
      </w: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5,994,646 shares</w:t>
      </w:r>
    </w:p>
    <w:p>
      <w:pPr>
        <w:ind w:left="1880"/>
        <w:spacing w:after="0" w:line="253" w:lineRule="exact"/>
        <w:rPr>
          <w:sz w:val="20"/>
          <w:szCs w:val="20"/>
          <w:color w:val="auto"/>
        </w:rPr>
      </w:pPr>
      <w:r>
        <w:rPr>
          <w:rFonts w:ascii="Arial" w:cs="Arial" w:eastAsia="Arial" w:hAnsi="Arial"/>
          <w:sz w:val="22"/>
          <w:szCs w:val="22"/>
          <w:b w:val="1"/>
          <w:bCs w:val="1"/>
          <w:color w:val="auto"/>
        </w:rPr>
        <w:t>10</w:t>
      </w:r>
      <w:r>
        <w:rPr>
          <w:rFonts w:ascii="Arial" w:cs="Arial" w:eastAsia="Arial" w:hAnsi="Arial"/>
          <w:sz w:val="18"/>
          <w:szCs w:val="18"/>
          <w:b w:val="1"/>
          <w:bCs w:val="1"/>
          <w:color w:val="auto"/>
        </w:rPr>
        <w:t>Check box if the aggregate amount in row (9) excludes certain shares</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w:t>
      </w:r>
    </w:p>
    <w:p>
      <w:pPr>
        <w:spacing w:after="0" w:line="21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11</w:t>
      </w: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14.5%</w:t>
      </w:r>
    </w:p>
    <w:p>
      <w:pPr>
        <w:ind w:left="1880"/>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jc w:val="both"/>
        <w:ind w:left="340" w:right="780"/>
        <w:spacing w:after="0" w:line="273" w:lineRule="auto"/>
        <w:rPr>
          <w:sz w:val="20"/>
          <w:szCs w:val="20"/>
          <w:color w:val="auto"/>
        </w:rPr>
      </w:pPr>
      <w:r>
        <w:rPr>
          <w:rFonts w:ascii="Arial" w:cs="Arial" w:eastAsia="Arial" w:hAnsi="Arial"/>
          <w:sz w:val="17"/>
          <w:szCs w:val="17"/>
          <w:color w:val="auto"/>
        </w:rPr>
        <w:t xml:space="preserve">*Although the Trust beneficially owns 5,994,646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5" w:name="page6"/>
    <w:bookmarkEnd w:id="5"/>
    <w:p>
      <w:pPr>
        <w:ind w:left="4680"/>
        <w:spacing w:after="0"/>
        <w:rPr>
          <w:sz w:val="20"/>
          <w:szCs w:val="20"/>
          <w:color w:val="auto"/>
        </w:rPr>
      </w:pPr>
      <w:r>
        <w:rPr>
          <w:rFonts w:ascii="Arial" w:cs="Arial" w:eastAsia="Arial" w:hAnsi="Arial"/>
          <w:sz w:val="18"/>
          <w:szCs w:val="18"/>
          <w:b w:val="1"/>
          <w:bCs w:val="1"/>
          <w:color w:val="auto"/>
        </w:rPr>
        <w:t>CUSIP No.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32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8"/>
          <w:szCs w:val="18"/>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7322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MSSB TPG Specialty Lending Onshore Feeder Fund</w:t>
      </w:r>
    </w:p>
    <w:p>
      <w:pPr>
        <w:spacing w:after="0" w:line="204" w:lineRule="exact"/>
        <w:rPr>
          <w:sz w:val="20"/>
          <w:szCs w:val="20"/>
          <w:color w:val="auto"/>
        </w:rPr>
      </w:pPr>
    </w:p>
    <w:p>
      <w:pPr>
        <w:ind w:left="1980"/>
        <w:spacing w:after="0" w:line="253" w:lineRule="exact"/>
        <w:rPr>
          <w:sz w:val="20"/>
          <w:szCs w:val="20"/>
          <w:color w:val="auto"/>
        </w:rPr>
      </w:pPr>
      <w:r>
        <w:rPr>
          <w:rFonts w:ascii="Arial" w:cs="Arial" w:eastAsia="Arial" w:hAnsi="Arial"/>
          <w:sz w:val="22"/>
          <w:szCs w:val="22"/>
          <w:b w:val="1"/>
          <w:bCs w:val="1"/>
          <w:color w:val="auto"/>
        </w:rPr>
        <w:t>2</w:t>
      </w:r>
      <w:r>
        <w:rPr>
          <w:rFonts w:ascii="Arial" w:cs="Arial" w:eastAsia="Arial" w:hAnsi="Arial"/>
          <w:sz w:val="18"/>
          <w:szCs w:val="18"/>
          <w:b w:val="1"/>
          <w:bCs w:val="1"/>
          <w:color w:val="auto"/>
        </w:rPr>
        <w:t>Check the appropriate box if a member of a group. (a)</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 (b) R</w:t>
      </w:r>
    </w:p>
    <w:p>
      <w:pPr>
        <w:spacing w:after="0" w:line="223"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4</w:t>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The state of organization is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5</w:t>
            </w:r>
          </w:p>
        </w:tc>
        <w:tc>
          <w:tcPr>
            <w:tcW w:w="558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51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6</w:t>
            </w:r>
          </w:p>
        </w:tc>
        <w:tc>
          <w:tcPr>
            <w:tcW w:w="5580" w:type="dxa"/>
            <w:vAlign w:val="bottom"/>
          </w:tcPr>
          <w:p>
            <w:pPr>
              <w:ind w:left="6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1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rPr>
              <w:t>EACH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7</w:t>
            </w:r>
          </w:p>
        </w:tc>
        <w:tc>
          <w:tcPr>
            <w:tcW w:w="5580" w:type="dxa"/>
            <w:vAlign w:val="bottom"/>
          </w:tcPr>
          <w:p>
            <w:pPr>
              <w:ind w:left="640"/>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74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7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WITH:</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8</w:t>
            </w:r>
          </w:p>
        </w:tc>
        <w:tc>
          <w:tcPr>
            <w:tcW w:w="5580" w:type="dxa"/>
            <w:vAlign w:val="bottom"/>
          </w:tcPr>
          <w:p>
            <w:pPr>
              <w:ind w:left="64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5,994,646 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9</w:t>
      </w: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5,994,646 shares</w:t>
      </w:r>
    </w:p>
    <w:p>
      <w:pPr>
        <w:ind w:left="1880"/>
        <w:spacing w:after="0" w:line="253" w:lineRule="exact"/>
        <w:rPr>
          <w:sz w:val="20"/>
          <w:szCs w:val="20"/>
          <w:color w:val="auto"/>
        </w:rPr>
      </w:pPr>
      <w:r>
        <w:rPr>
          <w:rFonts w:ascii="Arial" w:cs="Arial" w:eastAsia="Arial" w:hAnsi="Arial"/>
          <w:sz w:val="22"/>
          <w:szCs w:val="22"/>
          <w:b w:val="1"/>
          <w:bCs w:val="1"/>
          <w:color w:val="auto"/>
        </w:rPr>
        <w:t>10</w:t>
      </w:r>
      <w:r>
        <w:rPr>
          <w:rFonts w:ascii="Arial" w:cs="Arial" w:eastAsia="Arial" w:hAnsi="Arial"/>
          <w:sz w:val="18"/>
          <w:szCs w:val="18"/>
          <w:b w:val="1"/>
          <w:bCs w:val="1"/>
          <w:color w:val="auto"/>
        </w:rPr>
        <w:t>Check box if the aggregate amount in row (9) excludes certain shares</w:t>
      </w:r>
      <w:r>
        <w:rPr>
          <w:rFonts w:ascii="Arial" w:cs="Arial" w:eastAsia="Arial" w:hAnsi="Arial"/>
          <w:sz w:val="22"/>
          <w:szCs w:val="22"/>
          <w:b w:val="1"/>
          <w:bCs w:val="1"/>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b w:val="1"/>
          <w:bCs w:val="1"/>
          <w:color w:val="auto"/>
        </w:rPr>
        <w:t>(see instructions).</w:t>
      </w:r>
    </w:p>
    <w:p>
      <w:pPr>
        <w:spacing w:after="0" w:line="21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11</w:t>
      </w: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14.5%</w:t>
      </w:r>
    </w:p>
    <w:p>
      <w:pPr>
        <w:ind w:left="1880"/>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right="780" w:firstLine="8"/>
        <w:spacing w:after="0" w:line="255" w:lineRule="auto"/>
        <w:tabs>
          <w:tab w:leader="none" w:pos="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5,994,646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This Schedule 13G is jointly filed by: (i) Morgan Stanley; (ii) Morgan Stanley Smith Barney Holdings LLC; (iii) Morgan Stanley GWM Feeder Strategies LLC; and (iv) MSSB TPG Specialty Lending Onshore Feeder Fund (all together, the “Reporting Persons”), with respect to shares of common stock (the “Shares”) of the Issuer beneficially owned by MSSB TPG Specialty Lending Onshore Feeder Fund. Morgan Stanley GWM Feeder Strategies LLC is the managing owner of MSSB TPG Specialty Lending Onshore Feeder Fund, and is a wholly-owned subsidiary of Morgan Stanley Smith Barney Holdings LLC. Morgan Stanley Smith Barney Holdings LLC is indirectly majority-owned by Morgan Stanley.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principal business address of each of MSSB TPG Specialty Lending Onshore Feeder Fund and Morgan Stanley GWM Feeder Strategies LLC is 522 Fifth Avenue, 13th floor, New York, NY 10036. The principal business address of each of Morgan Stanley Smith Barney Holdings LLC and Morgan Stanley is 1585 Broadway New York, NY 10036.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state of organization of each of MSSB TPG Specialty Lending Onshore Feeder Fund, Morgan Stanley GWM Feeder Strategies LLC, Morgan Stanley Smith Barney Holdings LLC and Morgan Stanley is Delaware.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$0.01 par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 as of December 31, 2013*.</w:t>
      </w:r>
    </w:p>
    <w:p>
      <w:pPr>
        <w:spacing w:after="0" w:line="256" w:lineRule="exact"/>
        <w:rPr>
          <w:sz w:val="20"/>
          <w:szCs w:val="20"/>
          <w:color w:val="auto"/>
        </w:rPr>
      </w:pPr>
    </w:p>
    <w:p>
      <w:pPr>
        <w:ind w:left="1300" w:right="8020" w:hanging="644"/>
        <w:spacing w:after="0" w:line="532" w:lineRule="auto"/>
        <w:tabs>
          <w:tab w:leader="none" w:pos="1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5,994,646 shares.</w:t>
      </w: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14.5%</w:t>
      </w:r>
    </w:p>
    <w:p>
      <w:pPr>
        <w:spacing w:after="0" w:line="252" w:lineRule="exact"/>
        <w:rPr>
          <w:sz w:val="20"/>
          <w:szCs w:val="20"/>
          <w:color w:val="auto"/>
        </w:rPr>
      </w:pPr>
    </w:p>
    <w:p>
      <w:pPr>
        <w:ind w:left="1820" w:hanging="1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1960" w:right="6420" w:hanging="317"/>
        <w:spacing w:after="0" w:line="532"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5,994,646 shares**</w:t>
      </w:r>
    </w:p>
    <w:p>
      <w:pPr>
        <w:ind w:left="2060" w:hanging="755"/>
        <w:spacing w:after="0"/>
        <w:tabs>
          <w:tab w:leader="none" w:pos="2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1960" w:right="5420" w:hanging="655"/>
        <w:spacing w:after="0" w:line="559" w:lineRule="auto"/>
        <w:tabs>
          <w:tab w:leader="none" w:pos="2067"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5,994,646 shares**</w:t>
      </w:r>
    </w:p>
    <w:p>
      <w:pPr>
        <w:sectPr>
          <w:pgSz w:w="11900" w:h="16838" w:orient="portrait"/>
          <w:cols w:equalWidth="0" w:num="1">
            <w:col w:w="11420"/>
          </w:cols>
          <w:pgMar w:left="240" w:top="513" w:right="239" w:bottom="0" w:gutter="0" w:footer="0" w:header="0"/>
        </w:sectPr>
      </w:pPr>
    </w:p>
    <w:bookmarkStart w:id="7" w:name="page8"/>
    <w:bookmarkEnd w:id="7"/>
    <w:p>
      <w:pPr>
        <w:jc w:val="both"/>
        <w:ind w:right="700" w:firstLine="656"/>
        <w:spacing w:after="0" w:line="257" w:lineRule="auto"/>
        <w:tabs>
          <w:tab w:leader="none" w:pos="81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15" w:lineRule="exact"/>
        <w:rPr>
          <w:sz w:val="20"/>
          <w:szCs w:val="20"/>
          <w:color w:val="auto"/>
        </w:rPr>
      </w:pPr>
    </w:p>
    <w:p>
      <w:pPr>
        <w:jc w:val="both"/>
        <w:ind w:right="700" w:firstLine="656"/>
        <w:spacing w:after="0" w:line="255" w:lineRule="auto"/>
        <w:tabs>
          <w:tab w:leader="none" w:pos="8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5,994,646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1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by the Parent Holding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Exhibit 99.2.</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56" w:lineRule="exact"/>
        <w:rPr>
          <w:sz w:val="20"/>
          <w:szCs w:val="20"/>
          <w:color w:val="auto"/>
        </w:rPr>
      </w:pPr>
    </w:p>
    <w:p>
      <w:pPr>
        <w:jc w:val="both"/>
        <w:ind w:right="20" w:firstLine="656"/>
        <w:spacing w:after="0" w:line="264" w:lineRule="auto"/>
        <w:tabs>
          <w:tab w:leader="none" w:pos="9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ind w:left="980"/>
              <w:spacing w:after="0"/>
              <w:rPr>
                <w:sz w:val="20"/>
                <w:szCs w:val="20"/>
                <w:color w:val="auto"/>
              </w:rPr>
            </w:pPr>
            <w:r>
              <w:rPr>
                <w:rFonts w:ascii="Arial" w:cs="Arial" w:eastAsia="Arial" w:hAnsi="Arial"/>
                <w:sz w:val="18"/>
                <w:szCs w:val="18"/>
                <w:b w:val="1"/>
                <w:bCs w:val="1"/>
                <w:color w:val="auto"/>
                <w:w w:val="88"/>
              </w:rPr>
              <w:t>Exhibits</w:t>
            </w:r>
          </w:p>
        </w:tc>
        <w:tc>
          <w:tcPr>
            <w:tcW w:w="9800" w:type="dxa"/>
            <w:vAlign w:val="bottom"/>
          </w:tcPr>
          <w:p>
            <w:pPr>
              <w:spacing w:after="0"/>
              <w:rPr>
                <w:sz w:val="20"/>
                <w:szCs w:val="20"/>
                <w:color w:val="auto"/>
              </w:rPr>
            </w:pPr>
          </w:p>
        </w:tc>
      </w:tr>
      <w:tr>
        <w:trPr>
          <w:trHeight w:val="445"/>
        </w:trPr>
        <w:tc>
          <w:tcPr>
            <w:tcW w:w="1620" w:type="dxa"/>
            <w:vAlign w:val="bottom"/>
          </w:tcPr>
          <w:p>
            <w:pPr>
              <w:jc w:val="right"/>
              <w:ind w:right="1210"/>
              <w:spacing w:after="0"/>
              <w:rPr>
                <w:sz w:val="20"/>
                <w:szCs w:val="20"/>
                <w:color w:val="auto"/>
              </w:rPr>
            </w:pPr>
            <w:r>
              <w:rPr>
                <w:rFonts w:ascii="Arial" w:cs="Arial" w:eastAsia="Arial" w:hAnsi="Arial"/>
                <w:sz w:val="18"/>
                <w:szCs w:val="18"/>
                <w:color w:val="auto"/>
                <w:w w:val="85"/>
              </w:rPr>
              <w:t>99.1</w:t>
            </w:r>
          </w:p>
        </w:tc>
        <w:tc>
          <w:tcPr>
            <w:tcW w:w="9800" w:type="dxa"/>
            <w:vAlign w:val="bottom"/>
          </w:tcPr>
          <w:p>
            <w:pPr>
              <w:spacing w:after="0"/>
              <w:rPr>
                <w:sz w:val="20"/>
                <w:szCs w:val="20"/>
                <w:color w:val="auto"/>
              </w:rPr>
            </w:pPr>
            <w:r>
              <w:rPr>
                <w:rFonts w:ascii="Arial" w:cs="Arial" w:eastAsia="Arial" w:hAnsi="Arial"/>
                <w:sz w:val="18"/>
                <w:szCs w:val="18"/>
                <w:color w:val="auto"/>
              </w:rPr>
              <w:t>Joint Filing Agreement, dated the date hereof, between the Reporting Persons.</w:t>
            </w:r>
          </w:p>
        </w:tc>
      </w:tr>
      <w:tr>
        <w:trPr>
          <w:trHeight w:val="230"/>
        </w:trPr>
        <w:tc>
          <w:tcPr>
            <w:tcW w:w="1620" w:type="dxa"/>
            <w:vAlign w:val="bottom"/>
          </w:tcPr>
          <w:p>
            <w:pPr>
              <w:ind w:left="980"/>
              <w:spacing w:after="0"/>
              <w:rPr>
                <w:sz w:val="20"/>
                <w:szCs w:val="20"/>
                <w:color w:val="auto"/>
              </w:rPr>
            </w:pPr>
            <w:r>
              <w:rPr>
                <w:rFonts w:ascii="Arial" w:cs="Arial" w:eastAsia="Arial" w:hAnsi="Arial"/>
                <w:sz w:val="18"/>
                <w:szCs w:val="18"/>
                <w:color w:val="auto"/>
              </w:rPr>
              <w:t>99.2</w:t>
            </w:r>
          </w:p>
        </w:tc>
        <w:tc>
          <w:tcPr>
            <w:tcW w:w="9800" w:type="dxa"/>
            <w:vAlign w:val="bottom"/>
          </w:tcPr>
          <w:p>
            <w:pPr>
              <w:ind w:left="900"/>
              <w:spacing w:after="0"/>
              <w:rPr>
                <w:sz w:val="20"/>
                <w:szCs w:val="20"/>
                <w:color w:val="auto"/>
              </w:rPr>
            </w:pPr>
            <w:r>
              <w:rPr>
                <w:rFonts w:ascii="Arial" w:cs="Arial" w:eastAsia="Arial" w:hAnsi="Arial"/>
                <w:sz w:val="18"/>
                <w:szCs w:val="18"/>
                <w:color w:val="auto"/>
              </w:rPr>
              <w:t>Item 7 Information.</w:t>
            </w:r>
          </w:p>
        </w:tc>
      </w:tr>
      <w:tr>
        <w:trPr>
          <w:trHeight w:val="902"/>
        </w:trPr>
        <w:tc>
          <w:tcPr>
            <w:tcW w:w="16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568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January 30, 2014</w:t>
            </w: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MSSB TPG SPECIALTY LENDING ONSHORE FEEDER FUND</w:t>
            </w:r>
          </w:p>
        </w:tc>
      </w:tr>
      <w:tr>
        <w:trPr>
          <w:trHeight w:val="418"/>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By: MORGAN STANLEY GWM FEEDER STRATEGIES LLC</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360"/>
              <w:spacing w:after="0"/>
              <w:rPr>
                <w:sz w:val="20"/>
                <w:szCs w:val="20"/>
                <w:color w:val="auto"/>
              </w:rPr>
            </w:pPr>
            <w:r>
              <w:rPr>
                <w:rFonts w:ascii="Arial" w:cs="Arial" w:eastAsia="Arial" w:hAnsi="Arial"/>
                <w:sz w:val="18"/>
                <w:szCs w:val="18"/>
                <w:color w:val="auto"/>
              </w:rPr>
              <w:t>Its Managing Owner</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Bruno</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James Bruno</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MORGAN STANLEY GWM FEEDER STRATEGIES LLC</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Bruno</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James Bruno</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MORGAN STANLEY SMITH BARNEY HOLDINGS LLC</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Cooney</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Anne Cooney</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MORGAN STANLEY</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Marielle Giudice</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Marielle Giudice</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875"/>
        </w:trPr>
        <w:tc>
          <w:tcPr>
            <w:tcW w:w="364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agree that the foregoing statement on Schedule 13G, dated January 30, 2014, with respect to the shares of TPG Specialty Lending, Inc.’s Common Stock is, and any amendments thereto executed by each of the undersigned shall be, filed on behalf of each of the undersigned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the 30th day of January, 2014.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January 30, 2014</w:t>
            </w: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MSSB TPG SPECIALTY LENDING ONSHORE FEEDER FUND</w:t>
            </w:r>
          </w:p>
        </w:tc>
      </w:tr>
      <w:tr>
        <w:trPr>
          <w:trHeight w:val="418"/>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By: MORGAN STANLEY GWM FEEDER STRATEGIES LLC</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360"/>
              <w:spacing w:after="0"/>
              <w:rPr>
                <w:sz w:val="20"/>
                <w:szCs w:val="20"/>
                <w:color w:val="auto"/>
              </w:rPr>
            </w:pPr>
            <w:r>
              <w:rPr>
                <w:rFonts w:ascii="Arial" w:cs="Arial" w:eastAsia="Arial" w:hAnsi="Arial"/>
                <w:sz w:val="18"/>
                <w:szCs w:val="18"/>
                <w:color w:val="auto"/>
              </w:rPr>
              <w:t>Its Managing Owner</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Bruno</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James Bruno</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MORGAN STANLEY GWM FEEDER STRATEGIES LLC</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Bruno</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James Bruno</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MORGAN STANLEY SMITH BARNEY HOLDINGS LLC</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Cooney</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Anne Cooney</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1920"/>
              <w:spacing w:after="0"/>
              <w:rPr>
                <w:sz w:val="20"/>
                <w:szCs w:val="20"/>
                <w:color w:val="auto"/>
              </w:rPr>
            </w:pPr>
            <w:r>
              <w:rPr>
                <w:rFonts w:ascii="Arial" w:cs="Arial" w:eastAsia="Arial" w:hAnsi="Arial"/>
                <w:sz w:val="18"/>
                <w:szCs w:val="18"/>
                <w:color w:val="auto"/>
              </w:rPr>
              <w:t>MORGAN STANLEY</w:t>
            </w:r>
          </w:p>
        </w:tc>
      </w:tr>
      <w:tr>
        <w:trPr>
          <w:trHeight w:val="439"/>
        </w:trPr>
        <w:tc>
          <w:tcPr>
            <w:tcW w:w="3640" w:type="dxa"/>
            <w:vAlign w:val="bottom"/>
          </w:tcPr>
          <w:p>
            <w:pPr>
              <w:spacing w:after="0"/>
              <w:rPr>
                <w:sz w:val="24"/>
                <w:szCs w:val="24"/>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Marielle Giudice</w:t>
            </w:r>
          </w:p>
        </w:tc>
      </w:tr>
      <w:tr>
        <w:trPr>
          <w:trHeight w:val="202"/>
        </w:trPr>
        <w:tc>
          <w:tcPr>
            <w:tcW w:w="3640" w:type="dxa"/>
            <w:vAlign w:val="bottom"/>
          </w:tcPr>
          <w:p>
            <w:pPr>
              <w:spacing w:after="0"/>
              <w:rPr>
                <w:sz w:val="17"/>
                <w:szCs w:val="17"/>
                <w:color w:val="auto"/>
              </w:rPr>
            </w:pPr>
          </w:p>
        </w:tc>
        <w:tc>
          <w:tcPr>
            <w:tcW w:w="30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Marielle Giudice</w:t>
            </w:r>
          </w:p>
        </w:tc>
      </w:tr>
      <w:tr>
        <w:trPr>
          <w:trHeight w:val="230"/>
        </w:trPr>
        <w:tc>
          <w:tcPr>
            <w:tcW w:w="3640" w:type="dxa"/>
            <w:vAlign w:val="bottom"/>
          </w:tcPr>
          <w:p>
            <w:pPr>
              <w:spacing w:after="0"/>
              <w:rPr>
                <w:sz w:val="20"/>
                <w:szCs w:val="20"/>
                <w:color w:val="auto"/>
              </w:rPr>
            </w:pPr>
          </w:p>
        </w:tc>
        <w:tc>
          <w:tcPr>
            <w:tcW w:w="30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59"/>
        </w:trPr>
        <w:tc>
          <w:tcPr>
            <w:tcW w:w="364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INFORMATION</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securities being reported on by Morgan Stanley as a parent holding company are owned, or may be deemed to be beneficially owned, by MSSB TPG Specialty Lending Onshore Feeder Fund (the “Trust”). Morgan Stanley is the indirect majority owner of Morgan Stanley GWM Feeder Strategies, the managing owner of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3"/>
    </w:lvl>
    <w:lvl w:ilvl="1">
      <w:lvlJc w:val="left"/>
      <w:lvlText w:val="(%2)"/>
      <w:numFmt w:val="lowerLetter"/>
      <w:start w:val="9"/>
    </w:lvl>
  </w:abstractNum>
  <w:abstractNum w:abstractNumId="5">
    <w:nsid w:val="515F007C"/>
    <w:multiLevelType w:val="hybridMultilevel"/>
    <w:lvl w:ilvl="0">
      <w:lvlJc w:val="left"/>
      <w:lvlText w:val="%1"/>
      <w:numFmt w:val="lowerRoman"/>
      <w:start w:val="1"/>
    </w:lvl>
    <w:lvl w:ilvl="1">
      <w:lvlJc w:val="left"/>
      <w:lvlText w:val="(%2)"/>
      <w:numFmt w:val="lowerRoman"/>
      <w:start w:val="2"/>
    </w:lvl>
  </w:abstractNum>
  <w:abstractNum w:abstractNumId="6">
    <w:nsid w:val="5BD062C2"/>
    <w:multiLevelType w:val="hybridMultilevel"/>
    <w:lvl w:ilvl="0">
      <w:lvlJc w:val="left"/>
      <w:lvlText w:val="(%1)"/>
      <w:numFmt w:val="lowerRoman"/>
      <w:start w:val="3"/>
    </w:lvl>
    <w:lvl w:ilvl="1">
      <w:lvlJc w:val="left"/>
      <w:lvlText w:val="%2"/>
      <w:numFmt w:val="lowerRoman"/>
      <w:start w:val="1"/>
    </w:lvl>
  </w:abstractNum>
  <w:abstractNum w:abstractNumId="7">
    <w:nsid w:val="12200854"/>
    <w:multiLevelType w:val="hybridMultilevel"/>
    <w:lvl w:ilvl="0">
      <w:lvlJc w:val="left"/>
      <w:lvlText w:val="(%1)"/>
      <w:numFmt w:val="lowerRoman"/>
      <w:start w:val="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2019-12-07T23:35:07Z</dcterms:created>
  <dcterms:modified xsi:type="dcterms:W3CDTF">2019-12-07T23:35:07Z</dcterms:modified>
</cp:coreProperties>
</file>