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7, 2017</w:t>
      </w:r>
    </w:p>
    <w:p>
      <w:pPr>
        <w:spacing w:after="0" w:line="1" w:lineRule="exact"/>
        <w:rPr>
          <w:sz w:val="24"/>
          <w:szCs w:val="24"/>
          <w:color w:val="auto"/>
        </w:rPr>
      </w:pPr>
    </w:p>
    <w:p>
      <w:pPr>
        <w:ind w:left="9460"/>
        <w:spacing w:after="0"/>
        <w:rPr>
          <w:sz w:val="20"/>
          <w:szCs w:val="20"/>
          <w:color w:val="auto"/>
        </w:rPr>
      </w:pPr>
      <w:r>
        <w:rPr>
          <w:rFonts w:ascii="Arial" w:cs="Arial" w:eastAsia="Arial" w:hAnsi="Arial"/>
          <w:sz w:val="14"/>
          <w:szCs w:val="14"/>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154940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N-2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6"/>
          <w:szCs w:val="16"/>
          <w:b w:val="1"/>
          <w:bCs w:val="1"/>
          <w:i w:val="1"/>
          <w:iCs w:val="1"/>
          <w:color w:val="auto"/>
        </w:rPr>
        <w:t>UNDER</w:t>
      </w:r>
    </w:p>
    <w:tbl>
      <w:tblPr>
        <w:tblLayout w:type="fixed"/>
        <w:tblInd w:w="4380" w:type="dxa"/>
        <w:tblCellMar>
          <w:top w:w="0" w:type="dxa"/>
          <w:left w:w="0" w:type="dxa"/>
          <w:bottom w:w="0" w:type="dxa"/>
          <w:right w:w="0" w:type="dxa"/>
        </w:tblCellMar>
      </w:tblPr>
      <w:tr>
        <w:trPr>
          <w:trHeight w:val="177"/>
        </w:trPr>
        <w:tc>
          <w:tcPr>
            <w:tcW w:w="4600" w:type="dxa"/>
            <w:vAlign w:val="bottom"/>
          </w:tcPr>
          <w:p>
            <w:pPr>
              <w:jc w:val="center"/>
              <w:ind w:right="2219"/>
              <w:spacing w:after="0" w:line="178" w:lineRule="exact"/>
              <w:rPr>
                <w:sz w:val="20"/>
                <w:szCs w:val="20"/>
                <w:color w:val="auto"/>
              </w:rPr>
            </w:pPr>
            <w:r>
              <w:rPr>
                <w:rFonts w:ascii="Arial" w:cs="Arial" w:eastAsia="Arial" w:hAnsi="Arial"/>
                <w:sz w:val="16"/>
                <w:szCs w:val="16"/>
                <w:b w:val="1"/>
                <w:bCs w:val="1"/>
                <w:i w:val="1"/>
                <w:iCs w:val="1"/>
                <w:color w:val="auto"/>
                <w:w w:val="97"/>
              </w:rPr>
              <w:t>THE SECURITIES ACT OF 1933</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4600" w:type="dxa"/>
            <w:vAlign w:val="bottom"/>
          </w:tcPr>
          <w:p>
            <w:pPr>
              <w:jc w:val="center"/>
              <w:ind w:right="2199"/>
              <w:spacing w:after="0"/>
              <w:rPr>
                <w:sz w:val="20"/>
                <w:szCs w:val="20"/>
                <w:color w:val="auto"/>
              </w:rPr>
            </w:pPr>
            <w:r>
              <w:rPr>
                <w:rFonts w:ascii="Arial" w:cs="Arial" w:eastAsia="Arial" w:hAnsi="Arial"/>
                <w:sz w:val="16"/>
                <w:szCs w:val="16"/>
                <w:b w:val="1"/>
                <w:bCs w:val="1"/>
                <w:color w:val="auto"/>
                <w:w w:val="92"/>
              </w:rPr>
              <w:t>Pre-Effective Amendment No.</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4600" w:type="dxa"/>
            <w:vAlign w:val="bottom"/>
          </w:tcPr>
          <w:p>
            <w:pPr>
              <w:jc w:val="center"/>
              <w:ind w:right="2219"/>
              <w:spacing w:after="0"/>
              <w:rPr>
                <w:sz w:val="20"/>
                <w:szCs w:val="20"/>
                <w:color w:val="auto"/>
              </w:rPr>
            </w:pPr>
            <w:r>
              <w:rPr>
                <w:rFonts w:ascii="Arial" w:cs="Arial" w:eastAsia="Arial" w:hAnsi="Arial"/>
                <w:sz w:val="16"/>
                <w:szCs w:val="16"/>
                <w:b w:val="1"/>
                <w:bCs w:val="1"/>
                <w:color w:val="auto"/>
                <w:w w:val="91"/>
              </w:rPr>
              <w:t>Post-Effective Amendment No.</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138430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TPG Specialty Lending,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301 Commerce Street, Suite 3300</w:t>
      </w:r>
    </w:p>
    <w:p>
      <w:pPr>
        <w:jc w:val="center"/>
        <w:spacing w:after="0" w:line="223" w:lineRule="auto"/>
        <w:rPr>
          <w:sz w:val="20"/>
          <w:szCs w:val="20"/>
          <w:color w:val="auto"/>
        </w:rPr>
      </w:pPr>
      <w:r>
        <w:rPr>
          <w:rFonts w:ascii="Arial" w:cs="Arial" w:eastAsia="Arial" w:hAnsi="Arial"/>
          <w:sz w:val="14"/>
          <w:szCs w:val="14"/>
          <w:b w:val="1"/>
          <w:bCs w:val="1"/>
          <w:color w:val="auto"/>
        </w:rPr>
        <w:t>Fort Worth, TX 76102</w:t>
      </w:r>
    </w:p>
    <w:p>
      <w:pPr>
        <w:jc w:val="center"/>
        <w:spacing w:after="0" w:line="222"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1" w:lineRule="auto"/>
        <w:rPr>
          <w:sz w:val="20"/>
          <w:szCs w:val="20"/>
          <w:color w:val="auto"/>
        </w:rPr>
      </w:pPr>
      <w:r>
        <w:rPr>
          <w:rFonts w:ascii="Arial" w:cs="Arial" w:eastAsia="Arial" w:hAnsi="Arial"/>
          <w:sz w:val="14"/>
          <w:szCs w:val="14"/>
          <w:b w:val="1"/>
          <w:bCs w:val="1"/>
          <w:color w:val="auto"/>
        </w:rPr>
        <w:t>(817) 871-4000</w:t>
      </w:r>
    </w:p>
    <w:p>
      <w:pPr>
        <w:jc w:val="center"/>
        <w:spacing w:after="0" w:line="222" w:lineRule="auto"/>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line="221" w:lineRule="auto"/>
        <w:rPr>
          <w:sz w:val="20"/>
          <w:szCs w:val="20"/>
          <w:color w:val="auto"/>
        </w:rPr>
      </w:pPr>
      <w:r>
        <w:rPr>
          <w:rFonts w:ascii="Arial" w:cs="Arial" w:eastAsia="Arial" w:hAnsi="Arial"/>
          <w:sz w:val="14"/>
          <w:szCs w:val="14"/>
          <w:b w:val="1"/>
          <w:bCs w:val="1"/>
          <w:color w:val="auto"/>
        </w:rPr>
        <w:t>David Stiepleman</w:t>
      </w:r>
    </w:p>
    <w:p>
      <w:pPr>
        <w:jc w:val="center"/>
        <w:spacing w:after="0" w:line="222" w:lineRule="auto"/>
        <w:rPr>
          <w:sz w:val="20"/>
          <w:szCs w:val="20"/>
          <w:color w:val="auto"/>
        </w:rPr>
      </w:pPr>
      <w:r>
        <w:rPr>
          <w:rFonts w:ascii="Arial" w:cs="Arial" w:eastAsia="Arial" w:hAnsi="Arial"/>
          <w:sz w:val="14"/>
          <w:szCs w:val="14"/>
          <w:b w:val="1"/>
          <w:bCs w:val="1"/>
          <w:color w:val="auto"/>
        </w:rPr>
        <w:t>c/o TPG Specialty Lending, Inc.</w:t>
      </w:r>
    </w:p>
    <w:p>
      <w:pPr>
        <w:jc w:val="center"/>
        <w:spacing w:after="0" w:line="221" w:lineRule="auto"/>
        <w:rPr>
          <w:sz w:val="20"/>
          <w:szCs w:val="20"/>
          <w:color w:val="auto"/>
        </w:rPr>
      </w:pPr>
      <w:r>
        <w:rPr>
          <w:rFonts w:ascii="Arial" w:cs="Arial" w:eastAsia="Arial" w:hAnsi="Arial"/>
          <w:sz w:val="14"/>
          <w:szCs w:val="14"/>
          <w:b w:val="1"/>
          <w:bCs w:val="1"/>
          <w:color w:val="auto"/>
        </w:rPr>
        <w:t>345 California Street, Suite 3300</w:t>
      </w:r>
    </w:p>
    <w:p>
      <w:pPr>
        <w:jc w:val="center"/>
        <w:spacing w:after="0" w:line="222" w:lineRule="auto"/>
        <w:rPr>
          <w:sz w:val="20"/>
          <w:szCs w:val="20"/>
          <w:color w:val="auto"/>
        </w:rPr>
      </w:pPr>
      <w:r>
        <w:rPr>
          <w:rFonts w:ascii="Arial" w:cs="Arial" w:eastAsia="Arial" w:hAnsi="Arial"/>
          <w:sz w:val="14"/>
          <w:szCs w:val="14"/>
          <w:b w:val="1"/>
          <w:bCs w:val="1"/>
          <w:color w:val="auto"/>
        </w:rPr>
        <w:t>San Francisco, CA 94104</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WITH COPIES TO:</w:t>
      </w:r>
    </w:p>
    <w:p>
      <w:pPr>
        <w:jc w:val="center"/>
        <w:spacing w:after="0" w:line="223" w:lineRule="auto"/>
        <w:rPr>
          <w:sz w:val="20"/>
          <w:szCs w:val="20"/>
          <w:color w:val="auto"/>
        </w:rPr>
      </w:pPr>
      <w:r>
        <w:rPr>
          <w:rFonts w:ascii="Arial" w:cs="Arial" w:eastAsia="Arial" w:hAnsi="Arial"/>
          <w:sz w:val="14"/>
          <w:szCs w:val="14"/>
          <w:b w:val="1"/>
          <w:bCs w:val="1"/>
          <w:color w:val="auto"/>
        </w:rPr>
        <w:t>Adam E. Fleisher, Esq.</w:t>
      </w:r>
    </w:p>
    <w:p>
      <w:pPr>
        <w:jc w:val="center"/>
        <w:spacing w:after="0" w:line="222" w:lineRule="auto"/>
        <w:rPr>
          <w:sz w:val="20"/>
          <w:szCs w:val="20"/>
          <w:color w:val="auto"/>
        </w:rPr>
      </w:pPr>
      <w:r>
        <w:rPr>
          <w:rFonts w:ascii="Arial" w:cs="Arial" w:eastAsia="Arial" w:hAnsi="Arial"/>
          <w:sz w:val="14"/>
          <w:szCs w:val="14"/>
          <w:b w:val="1"/>
          <w:bCs w:val="1"/>
          <w:color w:val="auto"/>
        </w:rPr>
        <w:t>Helena K. Grannis, Esq.</w:t>
      </w:r>
    </w:p>
    <w:p>
      <w:pPr>
        <w:jc w:val="center"/>
        <w:spacing w:after="0" w:line="221" w:lineRule="auto"/>
        <w:rPr>
          <w:sz w:val="20"/>
          <w:szCs w:val="20"/>
          <w:color w:val="auto"/>
        </w:rPr>
      </w:pPr>
      <w:r>
        <w:rPr>
          <w:rFonts w:ascii="Arial" w:cs="Arial" w:eastAsia="Arial" w:hAnsi="Arial"/>
          <w:sz w:val="14"/>
          <w:szCs w:val="14"/>
          <w:b w:val="1"/>
          <w:bCs w:val="1"/>
          <w:color w:val="auto"/>
        </w:rPr>
        <w:t>Cleary Gottlieb Steen &amp; Hamilton LLP</w:t>
      </w:r>
    </w:p>
    <w:p>
      <w:pPr>
        <w:jc w:val="center"/>
        <w:spacing w:after="0" w:line="222" w:lineRule="auto"/>
        <w:rPr>
          <w:sz w:val="20"/>
          <w:szCs w:val="20"/>
          <w:color w:val="auto"/>
        </w:rPr>
      </w:pPr>
      <w:r>
        <w:rPr>
          <w:rFonts w:ascii="Arial" w:cs="Arial" w:eastAsia="Arial" w:hAnsi="Arial"/>
          <w:sz w:val="14"/>
          <w:szCs w:val="14"/>
          <w:b w:val="1"/>
          <w:bCs w:val="1"/>
          <w:color w:val="auto"/>
        </w:rPr>
        <w:t>One Liberty Plaza</w:t>
      </w:r>
    </w:p>
    <w:p>
      <w:pPr>
        <w:jc w:val="center"/>
        <w:spacing w:after="0" w:line="221" w:lineRule="auto"/>
        <w:rPr>
          <w:sz w:val="20"/>
          <w:szCs w:val="20"/>
          <w:color w:val="auto"/>
        </w:rPr>
      </w:pPr>
      <w:r>
        <w:rPr>
          <w:rFonts w:ascii="Arial" w:cs="Arial" w:eastAsia="Arial" w:hAnsi="Arial"/>
          <w:sz w:val="14"/>
          <w:szCs w:val="14"/>
          <w:b w:val="1"/>
          <w:bCs w:val="1"/>
          <w:color w:val="auto"/>
        </w:rPr>
        <w:t>New York, NY 10006</w:t>
      </w:r>
    </w:p>
    <w:p>
      <w:pPr>
        <w:jc w:val="center"/>
        <w:spacing w:after="0" w:line="222" w:lineRule="auto"/>
        <w:rPr>
          <w:sz w:val="20"/>
          <w:szCs w:val="20"/>
          <w:color w:val="auto"/>
        </w:rPr>
      </w:pPr>
      <w:r>
        <w:rPr>
          <w:rFonts w:ascii="Arial" w:cs="Arial" w:eastAsia="Arial" w:hAnsi="Arial"/>
          <w:sz w:val="14"/>
          <w:szCs w:val="14"/>
          <w:b w:val="1"/>
          <w:bCs w:val="1"/>
          <w:color w:val="auto"/>
        </w:rPr>
        <w:t>Telephone: (212) 225-2000</w:t>
      </w:r>
    </w:p>
    <w:p>
      <w:pPr>
        <w:jc w:val="center"/>
        <w:spacing w:after="0"/>
        <w:rPr>
          <w:sz w:val="20"/>
          <w:szCs w:val="20"/>
          <w:color w:val="auto"/>
        </w:rPr>
      </w:pPr>
      <w:r>
        <w:rPr>
          <w:rFonts w:ascii="Arial" w:cs="Arial" w:eastAsia="Arial" w:hAnsi="Arial"/>
          <w:sz w:val="14"/>
          <w:szCs w:val="14"/>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Proposed Public Offering: </w:t>
      </w:r>
      <w:r>
        <w:rPr>
          <w:rFonts w:ascii="Arial" w:cs="Arial" w:eastAsia="Arial" w:hAnsi="Arial"/>
          <w:sz w:val="14"/>
          <w:szCs w:val="14"/>
          <w:color w:val="auto"/>
        </w:rPr>
        <w:t>From time to time after the effective date of this Registration Statement.</w:t>
      </w:r>
    </w:p>
    <w:p>
      <w:pPr>
        <w:spacing w:after="0" w:line="98" w:lineRule="exact"/>
        <w:rPr>
          <w:sz w:val="24"/>
          <w:szCs w:val="24"/>
          <w:color w:val="auto"/>
        </w:rPr>
      </w:pPr>
    </w:p>
    <w:p>
      <w:pPr>
        <w:ind w:right="40"/>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2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7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8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7"/>
              </w:rPr>
              <w:t>Being</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Being Registered</w:t>
            </w:r>
          </w:p>
        </w:tc>
        <w:tc>
          <w:tcPr>
            <w:tcW w:w="17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68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2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 xml:space="preserve">Common Stock, $0.01 par value per share </w:t>
            </w:r>
            <w:r>
              <w:rPr>
                <w:rFonts w:ascii="Arial" w:cs="Arial" w:eastAsia="Arial" w:hAnsi="Arial"/>
                <w:sz w:val="11"/>
                <w:szCs w:val="11"/>
                <w:color w:val="auto"/>
              </w:rPr>
              <w:t>(1)(2)</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Preferred Stock, $0.01 par value per share </w:t>
            </w:r>
            <w:r>
              <w:rPr>
                <w:rFonts w:ascii="Arial" w:cs="Arial" w:eastAsia="Arial" w:hAnsi="Arial"/>
                <w:sz w:val="11"/>
                <w:szCs w:val="11"/>
                <w:color w:val="auto"/>
              </w:rPr>
              <w:t>(1)(2)</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Subscription Rights </w:t>
            </w:r>
            <w:r>
              <w:rPr>
                <w:rFonts w:ascii="Arial" w:cs="Arial" w:eastAsia="Arial" w:hAnsi="Arial"/>
                <w:sz w:val="11"/>
                <w:szCs w:val="11"/>
                <w:color w:val="auto"/>
              </w:rPr>
              <w:t>(1)</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Warrants </w:t>
            </w:r>
            <w:r>
              <w:rPr>
                <w:rFonts w:ascii="Arial" w:cs="Arial" w:eastAsia="Arial" w:hAnsi="Arial"/>
                <w:sz w:val="11"/>
                <w:szCs w:val="11"/>
                <w:color w:val="auto"/>
              </w:rPr>
              <w:t>(3)</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Debt Securities </w:t>
            </w:r>
            <w:r>
              <w:rPr>
                <w:rFonts w:ascii="Arial" w:cs="Arial" w:eastAsia="Arial" w:hAnsi="Arial"/>
                <w:sz w:val="11"/>
                <w:szCs w:val="11"/>
                <w:color w:val="auto"/>
              </w:rPr>
              <w:t>(2)(4)</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Total </w:t>
            </w:r>
            <w:r>
              <w:rPr>
                <w:rFonts w:ascii="Arial" w:cs="Arial" w:eastAsia="Arial" w:hAnsi="Arial"/>
                <w:sz w:val="11"/>
                <w:szCs w:val="11"/>
                <w:color w:val="auto"/>
              </w:rPr>
              <w:t>(5)</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$750,000,000</w:t>
            </w:r>
            <w:r>
              <w:rPr>
                <w:rFonts w:ascii="Arial" w:cs="Arial" w:eastAsia="Arial" w:hAnsi="Arial"/>
                <w:sz w:val="11"/>
                <w:szCs w:val="11"/>
                <w:color w:val="auto"/>
                <w:w w:val="88"/>
              </w:rPr>
              <w:t>(6)</w:t>
            </w:r>
          </w:p>
        </w:tc>
        <w:tc>
          <w:tcPr>
            <w:tcW w:w="1680" w:type="dxa"/>
            <w:vAlign w:val="bottom"/>
            <w:tcBorders>
              <w:bottom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87"/>
              </w:rPr>
              <w:t>$86,925</w:t>
            </w:r>
            <w:r>
              <w:rPr>
                <w:rFonts w:ascii="Arial" w:cs="Arial" w:eastAsia="Arial" w:hAnsi="Arial"/>
                <w:sz w:val="11"/>
                <w:szCs w:val="11"/>
                <w:color w:val="auto"/>
                <w:w w:val="87"/>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4"/>
          <w:szCs w:val="24"/>
          <w:color w:val="auto"/>
        </w:rPr>
      </w:pPr>
    </w:p>
    <w:p>
      <w:pPr>
        <w:ind w:left="340" w:right="200" w:hanging="332"/>
        <w:spacing w:after="0" w:line="230"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or preferred stock, or subscription rights to purchase shares of common stock as may be sold, from time to time.</w:t>
      </w:r>
    </w:p>
    <w:p>
      <w:pPr>
        <w:ind w:left="340" w:right="2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ind w:left="340" w:right="12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warrants as may be sold, from time to time, representing rights to purchase common stock, preferred stock or debt securities.</w:t>
      </w:r>
    </w:p>
    <w:p>
      <w:pPr>
        <w:ind w:left="340" w:right="320" w:hanging="332"/>
        <w:spacing w:after="0" w:line="25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ind w:left="3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by the Registrant exceed $750,000,000.</w:t>
      </w:r>
    </w:p>
    <w:p>
      <w:pPr>
        <w:ind w:left="340" w:right="1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jc w:val="both"/>
        <w:ind w:left="340" w:right="500" w:hanging="332"/>
        <w:spacing w:after="0" w:line="25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Prior to the initial filing of this registration statement, $667,900,000 aggregate principal amount of securities remained registered and unsold pursuant to a registration statement on Form N-2 (File No. 333-203450), which was initially filed by the Registrant on April 16, 2015. Pursuant to Rule 457(p), $77,609.98 of the total filing fee of $86,925 required in connection with the registration of</w:t>
      </w:r>
    </w:p>
    <w:p>
      <w:pPr>
        <w:ind w:left="340" w:right="20"/>
        <w:spacing w:after="0" w:line="230" w:lineRule="auto"/>
        <w:rPr>
          <w:rFonts w:ascii="Arial" w:cs="Arial" w:eastAsia="Arial" w:hAnsi="Arial"/>
          <w:sz w:val="12"/>
          <w:szCs w:val="12"/>
          <w:color w:val="auto"/>
        </w:rPr>
      </w:pPr>
      <w:r>
        <w:rPr>
          <w:rFonts w:ascii="Arial" w:cs="Arial" w:eastAsia="Arial" w:hAnsi="Arial"/>
          <w:sz w:val="14"/>
          <w:szCs w:val="14"/>
          <w:color w:val="auto"/>
        </w:rPr>
        <w:t>$750,000,000 aggregate principal amount of securities under this registration statement is being offset against the $77,609.98 filing fee associated with the unsold securities registered under the registration statement on Form N-2 (File No. 333-203450), and an additional $9,315.02 is being paid in connection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9" w:lineRule="exact"/>
        <w:rPr>
          <w:sz w:val="24"/>
          <w:szCs w:val="24"/>
          <w:color w:val="auto"/>
        </w:rPr>
      </w:pPr>
    </w:p>
    <w:p>
      <w:pPr>
        <w:ind w:right="36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B0029"/>
        </w:rPr>
        <w:t>Subject to completion, dated April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172085</wp:posOffset>
            </wp:positionV>
            <wp:extent cx="1346200" cy="660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of December 31, 2016, our investment portfolio consisted of investments in 52 portfolio companies with an aggregate fair value of $1,657.4 million. We intend to continue to pursue an investment strategy focused on direct origination of loans to middle-market companies principally domiciled in the United States.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$18 billion of assets under management as of December 31, 2016. TPG Special Situations Partners is the special situations and credit platform of TPG, a leading global private investment firm founded in 1992 with approximately $72 billion of assets under management as of December 31, 2016.</w:t>
      </w:r>
    </w:p>
    <w:p>
      <w:pPr>
        <w:spacing w:after="0" w:line="17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Substantially all of our debt investments have variable interest rates that reset periodically based on interest rate benchmarks such as the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5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common stock is traded on the New York Stock Exchange, or NYSE, under the symbol “TSLX.” On April 6, 2017, the last reported sales price of our common stock on the NYSE was $20.55 per share. The net asset value per share of our common stock at December 31, 2016 (the last date prior to the date of this prospectus for which we reported net asset value) was $15.95.</w:t>
      </w:r>
    </w:p>
    <w:p>
      <w:pPr>
        <w:spacing w:after="0" w:line="177" w:lineRule="exact"/>
        <w:rPr>
          <w:sz w:val="20"/>
          <w:szCs w:val="20"/>
          <w:color w:val="auto"/>
        </w:rPr>
      </w:pPr>
    </w:p>
    <w:p>
      <w:pPr>
        <w:ind w:right="80" w:firstLine="45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21 of this prospectus.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our securities unless accompanied by a prospectus supplement.</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188"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18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The date of this prospectus is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ITEM</w:t>
            </w:r>
          </w:p>
        </w:tc>
        <w:tc>
          <w:tcPr>
            <w:tcW w:w="5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6"/>
                <w:szCs w:val="16"/>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CAPTION</w:t>
            </w:r>
          </w:p>
        </w:tc>
        <w:tc>
          <w:tcPr>
            <w:tcW w:w="4840" w:type="dxa"/>
            <w:vAlign w:val="bottom"/>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540" w:type="dxa"/>
            <w:vAlign w:val="bottom"/>
            <w:vMerge w:val="restart"/>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820" w:type="dxa"/>
            <w:vAlign w:val="bottom"/>
          </w:tcPr>
          <w:p>
            <w:pPr>
              <w:jc w:val="center"/>
              <w:spacing w:after="0" w:line="178" w:lineRule="exact"/>
              <w:rPr>
                <w:sz w:val="20"/>
                <w:szCs w:val="20"/>
                <w:color w:val="auto"/>
              </w:rPr>
            </w:pPr>
            <w:r>
              <w:rPr>
                <w:rFonts w:ascii="Arial" w:cs="Arial" w:eastAsia="Arial" w:hAnsi="Arial"/>
                <w:sz w:val="18"/>
                <w:szCs w:val="18"/>
                <w:color w:val="auto"/>
                <w:w w:val="91"/>
              </w:rPr>
              <w:t>Outside Front Cover</w:t>
            </w:r>
          </w:p>
        </w:tc>
        <w:tc>
          <w:tcPr>
            <w:tcW w:w="560" w:type="dxa"/>
            <w:vAlign w:val="bottom"/>
            <w:vMerge w:val="continue"/>
          </w:tcPr>
          <w:p>
            <w:pPr>
              <w:spacing w:after="0"/>
              <w:rPr>
                <w:sz w:val="15"/>
                <w:szCs w:val="15"/>
                <w:color w:val="auto"/>
              </w:rPr>
            </w:pPr>
          </w:p>
        </w:tc>
        <w:tc>
          <w:tcPr>
            <w:tcW w:w="4840" w:type="dxa"/>
            <w:vAlign w:val="bottom"/>
          </w:tcPr>
          <w:p>
            <w:pPr>
              <w:jc w:val="center"/>
              <w:spacing w:after="0" w:line="178"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2</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Cover Pages; Other Offering Information</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Fee Table and Synopsis</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4</w:t>
            </w:r>
          </w:p>
        </w:tc>
        <w:tc>
          <w:tcPr>
            <w:tcW w:w="540" w:type="dxa"/>
            <w:vAlign w:val="bottom"/>
          </w:tcPr>
          <w:p>
            <w:pPr>
              <w:spacing w:after="0"/>
              <w:rPr>
                <w:sz w:val="19"/>
                <w:szCs w:val="19"/>
                <w:color w:val="auto"/>
              </w:rPr>
            </w:pPr>
          </w:p>
        </w:tc>
        <w:tc>
          <w:tcPr>
            <w:tcW w:w="538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Financial Highlights</w:t>
            </w: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Selected Financial Data and Other Information; Selected Quarterly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Financial Data; Management’s Discussion and Analysis of</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Financial 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Plan of Distribution</w:t>
            </w: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Selling Shareholders</w:t>
            </w: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7</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Use of Proceeds</w:t>
            </w:r>
          </w:p>
        </w:tc>
        <w:tc>
          <w:tcPr>
            <w:tcW w:w="4840" w:type="dxa"/>
            <w:vAlign w:val="bottom"/>
          </w:tcPr>
          <w:p>
            <w:pPr>
              <w:jc w:val="center"/>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8</w:t>
            </w:r>
          </w:p>
        </w:tc>
        <w:tc>
          <w:tcPr>
            <w:tcW w:w="540" w:type="dxa"/>
            <w:vAlign w:val="bottom"/>
          </w:tcPr>
          <w:p>
            <w:pPr>
              <w:spacing w:after="0"/>
              <w:rPr>
                <w:sz w:val="19"/>
                <w:szCs w:val="19"/>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General Description of the Registrant</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Outside Front Cover Page; Prospectus Summary; Risk Factors;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and Results of Operations; The Company; Portfolio Companies;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Regulation; Shares Eligible for Future Sale; Price Range of</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Common Stock and Distributions</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Management</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10</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Transfer and Dividend Paying Agent and Registrar</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Capital Stock, Long-Term Debt, and Other Securities</w:t>
            </w: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Our Capital Stock; Description of Our Preferred Stock;</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3"/>
              </w:rPr>
              <w:t>Description of Our Subscription Rights; Description of Our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Warrants; Description of Our Debt Securities; Dividend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Reinvestment Plan; Management’s Discussion and Analysis of</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11</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Defaults and Arrears on Senior Securities</w:t>
            </w: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540" w:type="dxa"/>
            <w:vAlign w:val="bottom"/>
          </w:tcPr>
          <w:p>
            <w:pPr>
              <w:spacing w:after="0"/>
              <w:rPr>
                <w:sz w:val="20"/>
                <w:szCs w:val="20"/>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Legal Proceedings</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The Company</w:t>
            </w:r>
          </w:p>
        </w:tc>
        <w:tc>
          <w:tcPr>
            <w:tcW w:w="0" w:type="dxa"/>
            <w:vAlign w:val="bottom"/>
          </w:tcPr>
          <w:p>
            <w:pPr>
              <w:spacing w:after="0"/>
              <w:rPr>
                <w:sz w:val="1"/>
                <w:szCs w:val="1"/>
                <w:color w:val="auto"/>
              </w:rPr>
            </w:pPr>
          </w:p>
        </w:tc>
      </w:tr>
    </w:tbl>
    <w:p>
      <w:pPr>
        <w:ind w:left="1280" w:hanging="1272"/>
        <w:spacing w:after="0"/>
        <w:tabs>
          <w:tab w:leader="none" w:pos="12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Table of Contents of the Statement of Additional Information, or</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14</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rPr>
              <w:t>SAI</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1"/>
              </w:rPr>
              <w:t>Cover Page of SAI</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15</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0"/>
              </w:rPr>
              <w:t>Table of Contents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16</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2"/>
              </w:rPr>
              <w:t>General Information and History</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20"/>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17</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Investment Objective and Policies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18</w:t>
            </w:r>
          </w:p>
        </w:tc>
        <w:tc>
          <w:tcPr>
            <w:tcW w:w="5140" w:type="dxa"/>
            <w:vAlign w:val="bottom"/>
          </w:tcPr>
          <w:p>
            <w:pPr>
              <w:spacing w:after="0"/>
              <w:rPr>
                <w:sz w:val="18"/>
                <w:szCs w:val="18"/>
                <w:color w:val="auto"/>
              </w:rPr>
            </w:pP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and Results of Operations; Senior Securities</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9"/>
              </w:rPr>
              <w:t>Management</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19</w:t>
            </w:r>
          </w:p>
        </w:tc>
        <w:tc>
          <w:tcPr>
            <w:tcW w:w="5140" w:type="dxa"/>
            <w:vAlign w:val="bottom"/>
          </w:tcPr>
          <w:p>
            <w:pPr>
              <w:spacing w:after="0"/>
              <w:rPr>
                <w:sz w:val="18"/>
                <w:szCs w:val="18"/>
                <w:color w:val="auto"/>
              </w:rPr>
            </w:pP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2"/>
              </w:rPr>
              <w:t>Regulation</w:t>
            </w: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0"/>
              </w:rPr>
              <w:t>Control Persons and Principal Holders of Securities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20</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Investment Advisory and Other Services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Management and Other Agreements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21</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2"/>
              </w:rPr>
              <w:t>Portfolio Managers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22</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Brokerage Allocation and Other Practices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23</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5"/>
              </w:rPr>
              <w:t>Tax Status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4"/>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24</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9"/>
              </w:rPr>
              <w:t>Financial Statements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6"/>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44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80" w:type="dxa"/>
            <w:vAlign w:val="bottom"/>
            <w:gridSpan w:val="20"/>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OFFERING</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FEES AND EXPENSES</w:t>
              </w:r>
            </w:hyperlink>
          </w:p>
        </w:tc>
        <w:tc>
          <w:tcPr>
            <w:tcW w:w="7120" w:type="dxa"/>
            <w:vAlign w:val="bottom"/>
            <w:gridSpan w:val="2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80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SELECTED QUARTERLY FINANCIAL DATA</w:t>
              </w:r>
            </w:hyperlink>
          </w:p>
        </w:tc>
        <w:tc>
          <w:tcPr>
            <w:tcW w:w="5380" w:type="dxa"/>
            <w:vAlign w:val="bottom"/>
            <w:gridSpan w:val="1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7640" w:type="dxa"/>
            <w:vAlign w:val="bottom"/>
            <w:gridSpan w:val="2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SPECIAL NOTE REGARDING FORWARD-LOOKING STATEMENTS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53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PRICE RANGE OF COMMON STOCK AND DISTRIBUTIONS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MANAGEMENT’S DISCUSSION AND ANALYSIS OF FINANCIAL CONDITION AND RESULTS OF OPERATIONS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SENIOR SECURITIES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THE COMPANY</w:t>
              </w:r>
            </w:hyperlink>
          </w:p>
        </w:tc>
        <w:tc>
          <w:tcPr>
            <w:tcW w:w="7200" w:type="dxa"/>
            <w:vAlign w:val="bottom"/>
            <w:gridSpan w:val="2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PORTFOLIO COMPANIES</w:t>
              </w:r>
            </w:hyperlink>
          </w:p>
        </w:tc>
        <w:tc>
          <w:tcPr>
            <w:tcW w:w="6860" w:type="dxa"/>
            <w:vAlign w:val="bottom"/>
            <w:gridSpan w:val="2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MANAGEMENT</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MANAGEMENT AND OTHER AGREEMENTS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CONTROL PERSONS AND PRINCIPAL STOCKHOLDERS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142">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7"/>
          </w:tcPr>
          <w:p>
            <w:pPr>
              <w:spacing w:after="0"/>
              <w:rPr>
                <w:sz w:val="17"/>
                <w:szCs w:val="17"/>
                <w:color w:val="auto"/>
              </w:rPr>
            </w:pPr>
          </w:p>
        </w:tc>
        <w:tc>
          <w:tcPr>
            <w:tcW w:w="438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SALES OF COMMON STOCK BELOW NET ASSET VALUE</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46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DIVIDEND REINVESTMENT PLAN</w:t>
              </w:r>
            </w:hyperlink>
          </w:p>
        </w:tc>
        <w:tc>
          <w:tcPr>
            <w:tcW w:w="4280" w:type="dxa"/>
            <w:vAlign w:val="bottom"/>
            <w:gridSpan w:val="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150">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DESCRIPTION OF OUR SECURITIES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DESCRIPTION OF OUR CAPITAL STOCK</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63">
              <w:r>
                <w:rPr>
                  <w:rFonts w:ascii="Arial" w:cs="Arial" w:eastAsia="Arial" w:hAnsi="Arial"/>
                  <w:sz w:val="18"/>
                  <w:szCs w:val="18"/>
                  <w:color w:val="0000EE"/>
                  <w:w w:val="94"/>
                </w:rPr>
                <w:t>DESCRIPTION OF OUR PREFERRED STOCK</w:t>
              </w:r>
            </w:hyperlink>
          </w:p>
        </w:tc>
        <w:tc>
          <w:tcPr>
            <w:tcW w:w="5280" w:type="dxa"/>
            <w:vAlign w:val="bottom"/>
            <w:gridSpan w:val="1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196"/>
        </w:trPr>
        <w:tc>
          <w:tcPr>
            <w:tcW w:w="39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64">
              <w:r>
                <w:rPr>
                  <w:rFonts w:ascii="Arial" w:cs="Arial" w:eastAsia="Arial" w:hAnsi="Arial"/>
                  <w:sz w:val="18"/>
                  <w:szCs w:val="18"/>
                  <w:color w:val="0000EE"/>
                  <w:w w:val="94"/>
                </w:rPr>
                <w:t>DESCRIPTION OF OUR SUBSCRIPTION RIGHTS</w:t>
              </w:r>
            </w:hyperlink>
          </w:p>
        </w:tc>
        <w:tc>
          <w:tcPr>
            <w:tcW w:w="5020" w:type="dxa"/>
            <w:vAlign w:val="bottom"/>
            <w:gridSpan w:val="1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66">
              <w:r>
                <w:rPr>
                  <w:rFonts w:ascii="Arial" w:cs="Arial" w:eastAsia="Arial" w:hAnsi="Arial"/>
                  <w:sz w:val="18"/>
                  <w:szCs w:val="18"/>
                  <w:color w:val="0000EE"/>
                  <w:w w:val="94"/>
                </w:rPr>
                <w:t>DESCRIPTION OF OUR WARRANTS</w:t>
              </w:r>
            </w:hyperlink>
          </w:p>
        </w:tc>
        <w:tc>
          <w:tcPr>
            <w:tcW w:w="5980" w:type="dxa"/>
            <w:vAlign w:val="bottom"/>
            <w:gridSpan w:val="1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DESCRIPTION OF OUR DEBT SECURITIES</w:t>
              </w:r>
            </w:hyperlink>
          </w:p>
        </w:tc>
        <w:tc>
          <w:tcPr>
            <w:tcW w:w="5460" w:type="dxa"/>
            <w:vAlign w:val="bottom"/>
            <w:gridSpan w:val="1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SHARES ELIGIBLE FOR FUTURE SALE</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3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REGULATION</w:t>
              </w:r>
            </w:hyperlink>
          </w:p>
        </w:tc>
        <w:tc>
          <w:tcPr>
            <w:tcW w:w="5740" w:type="dxa"/>
            <w:vAlign w:val="bottom"/>
            <w:gridSpan w:val="1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CUSTODIAN, TRANSFER AND DIVIDEND PAYING AGENT AND REGISTRAR</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62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188">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2"/>
          </w:tcPr>
          <w:p>
            <w:pPr>
              <w:spacing w:after="0"/>
              <w:rPr>
                <w:sz w:val="17"/>
                <w:szCs w:val="17"/>
                <w:color w:val="auto"/>
              </w:rPr>
            </w:pPr>
          </w:p>
        </w:tc>
        <w:tc>
          <w:tcPr>
            <w:tcW w:w="454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LEGAL MATTERS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90">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7460" w:type="dxa"/>
            <w:vAlign w:val="bottom"/>
            <w:gridSpan w:val="2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190">
              <w:r>
                <w:rPr>
                  <w:rFonts w:ascii="Arial" w:cs="Arial" w:eastAsia="Arial" w:hAnsi="Arial"/>
                  <w:sz w:val="18"/>
                  <w:szCs w:val="18"/>
                  <w:color w:val="0000EE"/>
                  <w:w w:val="99"/>
                </w:rPr>
                <w:t>AVAILABLE INFORMATION</w:t>
              </w:r>
            </w:hyperlink>
          </w:p>
        </w:tc>
        <w:tc>
          <w:tcPr>
            <w:tcW w:w="6640" w:type="dxa"/>
            <w:vAlign w:val="bottom"/>
            <w:gridSpan w:val="1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INDEX TO CONSOLIDATED FINANCIAL STATEMENTS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read this prospectus and the accompanying prospectus supplement before you make an investment decision.</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64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26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carefully. In particular, you should read the more detailed information set forth under “Risk Factors” and the consolidated financial statements and the related notes included elsewhere in this prospectus and any accompanying prospectus supplement.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060" w:right="40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060" w:right="48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Unless indicated otherwise or the context suggests otherwise, all information in this prospectus gives effect to our stock split in the form of a stock dividend on December 5, 2013.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through December 31, 2016, we have originated more than $5.0 billion aggregate principal amount of investments and retained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 billion aggregate principal amount of these investments on our balance sheet prior to any subsequent exits and repayments. We seek to generate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current income primarily in U.S.-domiciled middle-market companies through direct originations of senior secured loans and, to a lesser extent,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originations of mezzanine and unsecured loans and investments in corporate bonds and equity securities. By “middle-market companies,” we mean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companies that have annual earnings before interest, income taxes, depreciation and amortization, or EBITDA, which we believe is a useful proxy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cash flow, of $10 million to $250 million, although we may invest in larger or smaller companies on occasion. As of December 31, 2016, our core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portfolio companies, which exclude certain investments that fall outside of our typical borrower profile and represent 88.2% of our total investments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based on fair value, had weighted average annual revenue of $144.1 million and weighted average annual EBITDA of $31.4 million.</w:t>
      </w:r>
    </w:p>
    <w:p>
      <w:pPr>
        <w:spacing w:after="0" w:line="211" w:lineRule="exact"/>
        <w:rPr>
          <w:sz w:val="20"/>
          <w:szCs w:val="20"/>
          <w:color w:val="auto"/>
        </w:rPr>
      </w:pPr>
    </w:p>
    <w:p>
      <w:pPr>
        <w:ind w:left="200" w:right="120" w:firstLine="443"/>
        <w:spacing w:after="0" w:line="34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24" w:lineRule="exact"/>
        <w:rPr>
          <w:sz w:val="20"/>
          <w:szCs w:val="20"/>
          <w:color w:val="auto"/>
        </w:rPr>
      </w:pPr>
    </w:p>
    <w:p>
      <w:pPr>
        <w:ind w:left="200" w:right="20" w:firstLine="443"/>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60" w:firstLine="443"/>
        <w:spacing w:after="0" w:line="273"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78"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As of December 31, 2016, based on fair value our portfolio consisted of 96.5% first-lien debt investments, 1.2% second-lien debt investments, 0.6% mezzanine and unsecured debt investments, and 1.7% equity and other investments. Approximately 98.4% of our debt investments based on fair value as of December 31, 2016 bore interest at floating rates (when including investment specific hedges), with 94.8% of these subject to interest rate floors, which we believe helps act as a portfolio-wide hedge against inflation.</w:t>
      </w:r>
    </w:p>
    <w:p>
      <w:pPr>
        <w:spacing w:after="0" w:line="187" w:lineRule="exact"/>
        <w:rPr>
          <w:sz w:val="20"/>
          <w:szCs w:val="20"/>
          <w:color w:val="auto"/>
        </w:rPr>
      </w:pPr>
    </w:p>
    <w:p>
      <w:pPr>
        <w:ind w:left="200" w:right="400" w:firstLine="443"/>
        <w:spacing w:after="0" w:line="291" w:lineRule="auto"/>
        <w:rPr>
          <w:sz w:val="20"/>
          <w:szCs w:val="20"/>
          <w:color w:val="auto"/>
        </w:rPr>
      </w:pPr>
      <w:r>
        <w:rPr>
          <w:rFonts w:ascii="Arial" w:cs="Arial" w:eastAsia="Arial" w:hAnsi="Arial"/>
          <w:sz w:val="16"/>
          <w:szCs w:val="16"/>
          <w:color w:val="auto"/>
        </w:rPr>
        <w:t>As of December 31, 2016, we had investments in 52 portfolio companies with an aggregate fair value of $1,657.4 million. For the year ended December 31, 2016, we made new investment commitments of $562.7 million, including $492.7 million in 14 new portfolio companies and</w:t>
      </w:r>
    </w:p>
    <w:p>
      <w:pPr>
        <w:ind w:left="200" w:right="60"/>
        <w:spacing w:after="0" w:line="261" w:lineRule="auto"/>
        <w:rPr>
          <w:sz w:val="20"/>
          <w:szCs w:val="20"/>
          <w:color w:val="auto"/>
        </w:rPr>
      </w:pPr>
      <w:r>
        <w:rPr>
          <w:rFonts w:ascii="Arial" w:cs="Arial" w:eastAsia="Arial" w:hAnsi="Arial"/>
          <w:sz w:val="18"/>
          <w:szCs w:val="18"/>
          <w:color w:val="auto"/>
        </w:rPr>
        <w:t>$70.0 million in nine existing portfolio companies. For this period, we had $416.5 million aggregate principal amount in exits and repayments, resulting in a net portfolio increase of $103.6 million aggregate principal amount.</w:t>
      </w:r>
    </w:p>
    <w:p>
      <w:pPr>
        <w:spacing w:after="0" w:line="184" w:lineRule="exact"/>
        <w:rPr>
          <w:sz w:val="20"/>
          <w:szCs w:val="20"/>
          <w:color w:val="auto"/>
        </w:rPr>
      </w:pPr>
    </w:p>
    <w:p>
      <w:pPr>
        <w:ind w:left="200" w:right="400" w:firstLine="443"/>
        <w:spacing w:after="0" w:line="291" w:lineRule="auto"/>
        <w:rPr>
          <w:sz w:val="20"/>
          <w:szCs w:val="20"/>
          <w:color w:val="auto"/>
        </w:rPr>
      </w:pPr>
      <w:r>
        <w:rPr>
          <w:rFonts w:ascii="Arial" w:cs="Arial" w:eastAsia="Arial" w:hAnsi="Arial"/>
          <w:sz w:val="16"/>
          <w:szCs w:val="16"/>
          <w:color w:val="auto"/>
        </w:rPr>
        <w:t>As of December 31, 2015, we had investments in 46 portfolio companies with an aggregate fair value of $1,485.7 million. For the year ended December 31, 2015, we made new investment commitments of $718.7 million, including $631.6 million in 20 new portfolio companies and</w:t>
      </w:r>
    </w:p>
    <w:p>
      <w:pPr>
        <w:ind w:left="200"/>
        <w:spacing w:after="0" w:line="261" w:lineRule="auto"/>
        <w:rPr>
          <w:sz w:val="20"/>
          <w:szCs w:val="20"/>
          <w:color w:val="auto"/>
        </w:rPr>
      </w:pPr>
      <w:r>
        <w:rPr>
          <w:rFonts w:ascii="Arial" w:cs="Arial" w:eastAsia="Arial" w:hAnsi="Arial"/>
          <w:sz w:val="18"/>
          <w:szCs w:val="18"/>
          <w:color w:val="auto"/>
        </w:rPr>
        <w:t>$87.1 million in 14 existing portfolio companies. For this period, we had $385.2 million aggregate principal amount in exits and repayments, resulting in a net portfolio increase of $278.8 million aggregate principal amount.</w:t>
      </w:r>
    </w:p>
    <w:p>
      <w:pPr>
        <w:spacing w:after="0" w:line="184"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As of December 31, 2016, the average investment size in each of our portfolio companies was approximately $31.9 million based on fair value. As of December 31, 2016, the largest single investment based on fair value represented 4.5% of our total investment portfolio.</w:t>
      </w:r>
    </w:p>
    <w:p>
      <w:pPr>
        <w:spacing w:after="0" w:line="170"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As of December 31, 2016, our portfolio was invested across 19 different industries. The largest industries in our portfolio as of December 31, 2016 were business services and healthcare, which represented, as a percentage of our portfolio, 22.6% and 12.2%, respectively, based on fair value.</w:t>
      </w:r>
    </w:p>
    <w:p>
      <w:pPr>
        <w:spacing w:after="0" w:line="124" w:lineRule="exact"/>
        <w:rPr>
          <w:sz w:val="20"/>
          <w:szCs w:val="20"/>
          <w:color w:val="auto"/>
        </w:rPr>
      </w:pPr>
    </w:p>
    <w:p>
      <w:pPr>
        <w:ind w:left="200" w:right="80" w:firstLine="443"/>
        <w:spacing w:after="0" w:line="276" w:lineRule="auto"/>
        <w:rPr>
          <w:sz w:val="20"/>
          <w:szCs w:val="20"/>
          <w:color w:val="auto"/>
        </w:rPr>
      </w:pPr>
      <w:r>
        <w:rPr>
          <w:rFonts w:ascii="Arial" w:cs="Arial" w:eastAsia="Arial" w:hAnsi="Arial"/>
          <w:sz w:val="17"/>
          <w:szCs w:val="17"/>
          <w:color w:val="auto"/>
        </w:rPr>
        <w:t>Since we began investing in 2011 through December 31, 2016, our exited investments have resulted in an aggregate cash flow realized gross internal rate of return to us of 15.3% (based on cash invested of $1.6 billion and total proceeds from these exited investments of $2.0 billion). Ninety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TSSP, with over $18 billion of assets under management as of December 31, 2016,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December 31, 2016, twenty nine (29) of these personnel are dedicated to our business, including twenty one (21) investment professionals.</w:t>
      </w:r>
    </w:p>
    <w:p>
      <w:pPr>
        <w:spacing w:after="0" w:line="178" w:lineRule="exact"/>
        <w:rPr>
          <w:sz w:val="20"/>
          <w:szCs w:val="20"/>
          <w:color w:val="auto"/>
        </w:rPr>
      </w:pPr>
    </w:p>
    <w:p>
      <w:pPr>
        <w:ind w:left="200" w:right="120" w:firstLine="443"/>
        <w:spacing w:after="0" w:line="290" w:lineRule="auto"/>
        <w:rPr>
          <w:sz w:val="20"/>
          <w:szCs w:val="20"/>
          <w:color w:val="auto"/>
        </w:rPr>
      </w:pPr>
      <w:r>
        <w:rPr>
          <w:rFonts w:ascii="Arial" w:cs="Arial" w:eastAsia="Arial" w:hAnsi="Arial"/>
          <w:sz w:val="16"/>
          <w:szCs w:val="16"/>
          <w:color w:val="auto"/>
        </w:rPr>
        <w:t>TPG is a leading global private investment firm founded in 1992 with approximately $72 billion of assets under management as of December 31, 2016,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66"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920" w:firstLine="443"/>
        <w:spacing w:after="0" w:line="34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24"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92"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$1.4 trillion as of December 2016,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sources. Our Adviser has a dedicated team of 21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The senior members of our Investment Team have over 200 years of collective experience as commercial dealmakers.</w:t>
      </w:r>
    </w:p>
    <w:p>
      <w:pPr>
        <w:spacing w:after="0" w:line="147" w:lineRule="exact"/>
        <w:rPr>
          <w:sz w:val="20"/>
          <w:szCs w:val="20"/>
          <w:color w:val="auto"/>
        </w:rPr>
      </w:pPr>
    </w:p>
    <w:p>
      <w:pPr>
        <w:ind w:left="200" w:right="40" w:firstLine="443"/>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right="2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8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80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130" w:lineRule="exact"/>
        <w:rPr>
          <w:rFonts w:ascii="Arial" w:cs="Arial" w:eastAsia="Arial" w:hAnsi="Arial"/>
          <w:sz w:val="18"/>
          <w:szCs w:val="18"/>
          <w:color w:val="auto"/>
        </w:rPr>
      </w:pPr>
    </w:p>
    <w:p>
      <w:pPr>
        <w:ind w:left="1060" w:right="22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left="200" w:right="100" w:firstLine="443"/>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approximately 5,600 investment opportunities our Investment Team reviewed since our inception through December 31, 2016.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27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127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6"/>
          <w:szCs w:val="16"/>
          <w:color w:val="auto"/>
        </w:rPr>
        <w:t>Since we began investing in 2011, we have invested approximately $3.5 billion. As of December 31, 2016, we had a portfolio of investments in 52 portfolio companies with an aggregate fair value of $1,657.4 million that we believe exhibits strong credit quality and broad industry composition. As of December 31, 2016, 98.4% of our debt investments based on fair value bore interest at floating rates (when including investment specific hedges), with 94.8% of these subject to interest rate floors, and 96.5% of the fair value of our portfolio was invested in first-lien debt investments. We believe this portfolio will allow us to generate meaningful investment income, and consequently dividend income, for our stockholders.</w:t>
      </w:r>
    </w:p>
    <w:p>
      <w:pPr>
        <w:spacing w:after="0" w:line="165" w:lineRule="exact"/>
        <w:rPr>
          <w:sz w:val="20"/>
          <w:szCs w:val="20"/>
          <w:color w:val="auto"/>
        </w:rPr>
      </w:pPr>
    </w:p>
    <w:p>
      <w:pPr>
        <w:ind w:left="200" w:right="60" w:firstLine="443"/>
        <w:spacing w:after="0" w:line="270" w:lineRule="auto"/>
        <w:rPr>
          <w:sz w:val="20"/>
          <w:szCs w:val="20"/>
          <w:color w:val="auto"/>
        </w:rPr>
      </w:pPr>
      <w:r>
        <w:rPr>
          <w:rFonts w:ascii="Arial" w:cs="Arial" w:eastAsia="Arial" w:hAnsi="Arial"/>
          <w:sz w:val="17"/>
          <w:szCs w:val="17"/>
          <w:i w:val="1"/>
          <w:iCs w:val="1"/>
          <w:color w:val="auto"/>
        </w:rPr>
        <w:t>Experienced management team</w:t>
      </w:r>
      <w:r>
        <w:rPr>
          <w:rFonts w:ascii="Arial" w:cs="Arial" w:eastAsia="Arial" w:hAnsi="Arial"/>
          <w:sz w:val="17"/>
          <w:szCs w:val="17"/>
          <w:color w:val="auto"/>
        </w:rPr>
        <w:t>. The Adviser has a highly experienced management team consisting of seven TSSP Partners and four TSSP</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2"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0" w:firstLine="443"/>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40" w:hanging="323"/>
        <w:spacing w:after="0" w:line="25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legislation introduced in the U.S. House of Representatives, if passed, would modify this section of the 1940 Act and increase the amount of debt that BDCs may incur.</w:t>
      </w:r>
    </w:p>
    <w:p>
      <w:pPr>
        <w:spacing w:after="0" w:line="93" w:lineRule="exact"/>
        <w:rPr>
          <w:rFonts w:ascii="Arial" w:cs="Arial" w:eastAsia="Arial" w:hAnsi="Arial"/>
          <w:sz w:val="18"/>
          <w:szCs w:val="18"/>
          <w:color w:val="auto"/>
        </w:rPr>
      </w:pPr>
    </w:p>
    <w:p>
      <w:pPr>
        <w:ind w:left="1060" w:hanging="323"/>
        <w:spacing w:after="0" w:line="28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Investment Allocation</w:t>
      </w:r>
      <w:r>
        <w:rPr>
          <w:rFonts w:ascii="Arial" w:cs="Arial" w:eastAsia="Arial" w:hAnsi="Arial"/>
          <w:sz w:val="17"/>
          <w:szCs w:val="17"/>
          <w:color w:val="auto"/>
        </w:rPr>
        <w:t>. As a BDC, we are required to invest at least 70% of our total assets in qualifying assets, which generally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“eligible portfolio companies,” cash, cash equivalents, U.S. government securities and high-quality debt instruments maturing in one year or less from the time of investment. “Eligible portfolio companies” are defined in the 1940 Act as:</w:t>
      </w:r>
    </w:p>
    <w:p>
      <w:pPr>
        <w:spacing w:after="0" w:line="70" w:lineRule="exact"/>
        <w:rPr>
          <w:rFonts w:ascii="Arial" w:cs="Arial" w:eastAsia="Arial" w:hAnsi="Arial"/>
          <w:sz w:val="17"/>
          <w:szCs w:val="17"/>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20" w:hanging="437"/>
        <w:spacing w:after="0" w:line="342" w:lineRule="auto"/>
        <w:tabs>
          <w:tab w:leader="none" w:pos="1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29" w:lineRule="exact"/>
        <w:rPr>
          <w:rFonts w:ascii="Arial" w:cs="Arial" w:eastAsia="Arial" w:hAnsi="Arial"/>
          <w:sz w:val="16"/>
          <w:szCs w:val="16"/>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right="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78"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66"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color w:val="auto"/>
        </w:rPr>
        <w:t>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Order</w:t>
      </w:r>
    </w:p>
    <w:p>
      <w:pPr>
        <w:spacing w:after="0" w:line="121"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left="200" w:right="200" w:firstLine="443"/>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Relationships—Exemptive Order.”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in the current market conditions, if our common stock is trading below our then-current net asset value per share, it is in the best interest of our stockholders for us to reinvest in our portfolio and increase our leverage ratio through share repurchases.</w:t>
      </w:r>
    </w:p>
    <w:p>
      <w:pPr>
        <w:spacing w:after="0" w:line="188"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8" w:lineRule="exact"/>
        <w:rPr>
          <w:sz w:val="20"/>
          <w:szCs w:val="20"/>
          <w:color w:val="auto"/>
        </w:rPr>
      </w:pPr>
    </w:p>
    <w:p>
      <w:pPr>
        <w:ind w:left="200" w:right="440" w:firstLine="443"/>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24" w:lineRule="exact"/>
        <w:rPr>
          <w:sz w:val="20"/>
          <w:szCs w:val="20"/>
          <w:color w:val="auto"/>
        </w:rPr>
      </w:pPr>
    </w:p>
    <w:p>
      <w:pPr>
        <w:jc w:val="both"/>
        <w:ind w:left="200" w:right="180" w:firstLine="443"/>
        <w:spacing w:after="0" w:line="264" w:lineRule="auto"/>
        <w:rPr>
          <w:sz w:val="20"/>
          <w:szCs w:val="20"/>
          <w:color w:val="auto"/>
        </w:rPr>
      </w:pPr>
      <w:r>
        <w:rPr>
          <w:rFonts w:ascii="Arial" w:cs="Arial" w:eastAsia="Arial" w:hAnsi="Arial"/>
          <w:sz w:val="18"/>
          <w:szCs w:val="18"/>
          <w:color w:val="auto"/>
        </w:rPr>
        <w:t>On August 4, 2015, our Board authorized us to enter into a new stock repurchase plan, the Company 10b5-1 Plan, to acquire up to $50 million in the aggregate of our common stock at prices just below our net asset value per share over an initial six-month period, in accordance with the guidelines specified in Rule 10b-18 and Rule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274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4274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10b5-1 of the Exchange Act, and has continued to authorize extensions of the plan termination date prior to its expiration since that time. On February 22, 2017, our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52"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legislation may allow us to incur additional leverage;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20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060" w:right="2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75" w:lineRule="exact"/>
        <w:rPr>
          <w:rFonts w:ascii="Arial" w:cs="Arial" w:eastAsia="Arial" w:hAnsi="Arial"/>
          <w:sz w:val="18"/>
          <w:szCs w:val="18"/>
          <w:color w:val="auto"/>
        </w:rPr>
      </w:pPr>
    </w:p>
    <w:p>
      <w:pPr>
        <w:ind w:left="1060" w:right="6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right="6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TPG, and any new investment advisory agreement would require stockholder approval;</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right="22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86"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risks associated with our investments in energy companies;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060" w:right="8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060" w:right="10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w:t>
      </w:r>
    </w:p>
    <w:p>
      <w:pPr>
        <w:spacing w:after="0" w:line="130" w:lineRule="exact"/>
        <w:rPr>
          <w:rFonts w:ascii="Arial" w:cs="Arial" w:eastAsia="Arial" w:hAnsi="Arial"/>
          <w:sz w:val="18"/>
          <w:szCs w:val="18"/>
          <w:color w:val="auto"/>
        </w:rPr>
      </w:pPr>
    </w:p>
    <w:p>
      <w:pPr>
        <w:ind w:left="1060" w:right="22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w:t>
      </w:r>
    </w:p>
    <w:p>
      <w:pPr>
        <w:spacing w:after="0" w:line="23" w:lineRule="exact"/>
        <w:rPr>
          <w:sz w:val="20"/>
          <w:szCs w:val="20"/>
          <w:color w:val="auto"/>
        </w:rPr>
      </w:pPr>
    </w:p>
    <w:p>
      <w:pPr>
        <w:ind w:left="200" w:right="40" w:hanging="3"/>
        <w:spacing w:after="0" w:line="26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firstLine="443"/>
        <w:spacing w:after="0" w:line="284"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160" w:hanging="3"/>
        <w:spacing w:after="0" w:line="277" w:lineRule="auto"/>
        <w:tabs>
          <w:tab w:leader="none" w:pos="4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73"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We have submitted to our stockholders, for their approval at a special meeting of stockholders to be held on May 18, 2017, a proposal seeking authority to sell or otherwise issue shares of our common stock at a price below our then-current net asset value per share, subject to the approval of our Board and certain other conditions. If approved, the authorization would be effective for securities issued during a twelve-month period expiring on the anniversary of the date of the special meeting of stockholders.</w:t>
      </w:r>
    </w:p>
    <w:p>
      <w:pPr>
        <w:spacing w:after="0" w:line="187"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7"/>
          <w:szCs w:val="17"/>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ectPr>
          <w:pgSz w:w="11900" w:h="16838" w:orient="portrait"/>
          <w:cols w:equalWidth="0" w:num="1">
            <w:col w:w="11200"/>
          </w:cols>
          <w:pgMar w:left="240" w:top="459" w:right="459" w:bottom="1440" w:gutter="0" w:footer="0" w:header="0"/>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98"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4400" w:right="180"/>
        <w:spacing w:after="0" w:line="277" w:lineRule="auto"/>
        <w:rPr>
          <w:sz w:val="20"/>
          <w:szCs w:val="20"/>
          <w:color w:val="auto"/>
        </w:rPr>
      </w:pPr>
      <w:r>
        <w:rPr>
          <w:rFonts w:ascii="Arial" w:cs="Arial" w:eastAsia="Arial" w:hAnsi="Arial"/>
          <w:sz w:val="18"/>
          <w:szCs w:val="18"/>
          <w:color w:val="auto"/>
        </w:rPr>
        <w:t>Each supplement to this prospectus relating to an offering will more fully identify the use of the proceeds from such offering. See “Use of Proceeds.”</w:t>
      </w:r>
    </w:p>
    <w:p>
      <w:pPr>
        <w:sectPr>
          <w:pgSz w:w="11900" w:h="16838" w:orient="portrait"/>
          <w:cols w:equalWidth="0" w:num="1">
            <w:col w:w="11200"/>
          </w:cols>
          <w:pgMar w:left="240" w:top="459" w:right="459" w:bottom="1440" w:gutter="0" w:footer="0" w:header="0"/>
          <w:type w:val="continuous"/>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Symbol on the NYSE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“TSLX”</w:t>
      </w:r>
    </w:p>
    <w:p>
      <w:pPr>
        <w:spacing w:after="0" w:line="200"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spacing w:after="0" w:line="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Distributions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w:t>
      </w:r>
    </w:p>
    <w:p>
      <w:pPr>
        <w:spacing w:after="0" w:line="200"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240" w:top="459"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To maintain our tax treatment as a RIC, we must make certain distributions. See “Material U.S.</w:t>
      </w:r>
    </w:p>
    <w:p>
      <w:pPr>
        <w:spacing w:after="0" w:line="4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Federal Income Tax Considerations—Regulated Investment Company Classification.”</w:t>
      </w:r>
    </w:p>
    <w:p>
      <w:pPr>
        <w:sectPr>
          <w:pgSz w:w="11900" w:h="16838" w:orient="portrait"/>
          <w:cols w:equalWidth="0" w:num="1">
            <w:col w:w="11260"/>
          </w:cols>
          <w:pgMar w:left="240" w:top="459" w:right="399" w:bottom="1440" w:gutter="0" w:footer="0" w:header="0"/>
        </w:sectPr>
      </w:pPr>
    </w:p>
    <w:p>
      <w:pPr>
        <w:spacing w:after="0" w:line="23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8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Taxation</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Arial" w:cs="Arial" w:eastAsia="Arial" w:hAnsi="Arial"/>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92"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right="440"/>
        <w:spacing w:after="0" w:line="277" w:lineRule="auto"/>
        <w:rPr>
          <w:sz w:val="20"/>
          <w:szCs w:val="20"/>
          <w:color w:val="auto"/>
        </w:rPr>
      </w:pPr>
      <w:r>
        <w:rPr>
          <w:rFonts w:ascii="Arial" w:cs="Arial" w:eastAsia="Arial" w:hAnsi="Arial"/>
          <w:sz w:val="18"/>
          <w:szCs w:val="18"/>
          <w:color w:val="auto"/>
        </w:rPr>
        <w:t>To maintain our status as a RIC and to avoid being subject to corporate-level U.S. federal income taxation on our earnings, we must, among other things:</w:t>
      </w:r>
    </w:p>
    <w:p>
      <w:pPr>
        <w:spacing w:after="0" w:line="7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maintain our election under the 1940 Act to be treated as a BDC;</w:t>
      </w:r>
    </w:p>
    <w:p>
      <w:pPr>
        <w:spacing w:after="0" w:line="131" w:lineRule="exact"/>
        <w:rPr>
          <w:sz w:val="20"/>
          <w:szCs w:val="20"/>
          <w:color w:val="auto"/>
        </w:rPr>
      </w:pPr>
    </w:p>
    <w:p>
      <w:pPr>
        <w:ind w:left="4620" w:right="80" w:hanging="179"/>
        <w:spacing w:after="0" w:line="264" w:lineRule="auto"/>
        <w:tabs>
          <w:tab w:leader="none" w:pos="4600" w:val="left"/>
        </w:tabs>
        <w:rPr>
          <w:sz w:val="20"/>
          <w:szCs w:val="20"/>
          <w:color w:val="auto"/>
        </w:rPr>
      </w:pPr>
      <w:r>
        <w:rPr>
          <w:rFonts w:ascii="Arial" w:cs="Arial" w:eastAsia="Arial" w:hAnsi="Arial"/>
          <w:sz w:val="18"/>
          <w:szCs w:val="18"/>
          <w:color w:val="auto"/>
        </w:rPr>
        <w:t>•</w:t>
        <w:tab/>
        <w:t>derive in each taxable year at least 90% of our gross income from dividends, interest, gains from the sale or other disposition of stock or securities and other specified categories of investment income; and</w:t>
      </w:r>
    </w:p>
    <w:p>
      <w:pPr>
        <w:spacing w:after="0" w:line="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maintain diversified holdings.</w:t>
      </w:r>
    </w:p>
    <w:p>
      <w:pPr>
        <w:spacing w:after="0" w:line="252" w:lineRule="exact"/>
        <w:rPr>
          <w:sz w:val="20"/>
          <w:szCs w:val="20"/>
          <w:color w:val="auto"/>
        </w:rPr>
      </w:pPr>
    </w:p>
    <w:p>
      <w:pPr>
        <w:ind w:left="4400" w:right="40"/>
        <w:spacing w:after="0" w:line="264" w:lineRule="auto"/>
        <w:rPr>
          <w:sz w:val="20"/>
          <w:szCs w:val="20"/>
          <w:color w:val="auto"/>
        </w:rPr>
      </w:pPr>
      <w:r>
        <w:rPr>
          <w:rFonts w:ascii="Arial" w:cs="Arial" w:eastAsia="Arial" w:hAnsi="Arial"/>
          <w:sz w:val="18"/>
          <w:szCs w:val="18"/>
          <w:color w:val="auto"/>
        </w:rPr>
        <w:t>In addition, we must distribute (or be treated as distributing) in each taxable year dividends for tax purposes equal to at least 90% of our investment company taxable income and net tax-exempt income for that taxable year.</w:t>
      </w:r>
    </w:p>
    <w:p>
      <w:pPr>
        <w:spacing w:after="0" w:line="208" w:lineRule="exact"/>
        <w:rPr>
          <w:sz w:val="20"/>
          <w:szCs w:val="20"/>
          <w:color w:val="auto"/>
        </w:rPr>
      </w:pPr>
    </w:p>
    <w:p>
      <w:pPr>
        <w:ind w:left="4400" w:right="60"/>
        <w:spacing w:after="0" w:line="287" w:lineRule="auto"/>
        <w:rPr>
          <w:sz w:val="20"/>
          <w:szCs w:val="20"/>
          <w:color w:val="auto"/>
        </w:rPr>
      </w:pPr>
      <w:r>
        <w:rPr>
          <w:rFonts w:ascii="Arial" w:cs="Arial" w:eastAsia="Arial" w:hAnsi="Arial"/>
          <w:sz w:val="16"/>
          <w:szCs w:val="16"/>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calendar years ended December 31, 2016 and 2015 and we recorded a net expense of $2.2 million and $1.5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240" w:top="459" w:right="39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552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Leverage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8" w:lineRule="exact"/>
        <w:rPr>
          <w:sz w:val="20"/>
          <w:szCs w:val="20"/>
          <w:color w:val="auto"/>
        </w:rPr>
      </w:pPr>
    </w:p>
    <w:p>
      <w:pPr>
        <w:ind w:left="4400" w:right="40"/>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With certain limited exceptions, we currently are only allowed to borrow amounts, including by issuing debt securities or preferred stock, where our asset coverage, as defined in the 1940 Act, equals at least 200% after the borrowing. The costs associated with our borrowings, including any increase in the fees payable to the Adviser, are borne by our stockholders. See “Regulation.”</w:t>
      </w:r>
    </w:p>
    <w:p>
      <w:pPr>
        <w:sectPr>
          <w:pgSz w:w="11900" w:h="16838" w:orient="portrait"/>
          <w:cols w:equalWidth="0" w:num="1">
            <w:col w:w="11180"/>
          </w:cols>
          <w:pgMar w:left="240" w:top="459" w:right="479" w:bottom="1440" w:gutter="0" w:footer="0" w:header="0"/>
          <w:type w:val="continuous"/>
        </w:sectPr>
      </w:pP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5" w:lineRule="exact"/>
        <w:rPr>
          <w:sz w:val="20"/>
          <w:szCs w:val="20"/>
          <w:color w:val="auto"/>
        </w:rPr>
      </w:pPr>
    </w:p>
    <w:p>
      <w:pPr>
        <w:ind w:left="4400" w:right="20"/>
        <w:spacing w:after="0" w:line="276" w:lineRule="auto"/>
        <w:rPr>
          <w:sz w:val="20"/>
          <w:szCs w:val="20"/>
          <w:color w:val="auto"/>
        </w:rPr>
      </w:pPr>
      <w:r>
        <w:rPr>
          <w:rFonts w:ascii="Arial" w:cs="Arial" w:eastAsia="Arial" w:hAnsi="Arial"/>
          <w:sz w:val="17"/>
          <w:szCs w:val="17"/>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ectPr>
          <w:pgSz w:w="11900" w:h="16838" w:orient="portrait"/>
          <w:cols w:equalWidth="0" w:num="1">
            <w:col w:w="11180"/>
          </w:cols>
          <w:pgMar w:left="240" w:top="459" w:right="479" w:bottom="1440" w:gutter="0" w:footer="0" w:header="0"/>
          <w:type w:val="continuous"/>
        </w:sectPr>
      </w:pP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Management Arrangements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Adviser serves as our investment adviser and our administrator. For a description of our Adviser and TPG and our contractual arrangements with these companies, see “Management and Other Agreements.”</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Trading at a Discount</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80"/>
          </w:cols>
          <w:pgMar w:left="240" w:top="459" w:right="47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2327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232791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Available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 This information is available at the SEC’s public reference room at 100 F Street, N.E., Washington, D.C. 20549 and on the SEC’s website at http://www.sec.gov. Information on the operation of the SEC’s public reference room may be obtained by calling the SEC at 1 (800) SEC-0330.</w:t>
      </w:r>
    </w:p>
    <w:p>
      <w:pPr>
        <w:spacing w:after="0" w:line="194"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line="255" w:lineRule="auto"/>
        <w:rPr>
          <w:sz w:val="20"/>
          <w:szCs w:val="20"/>
          <w:color w:val="auto"/>
        </w:rPr>
      </w:pPr>
      <w:r>
        <w:rPr>
          <w:rFonts w:ascii="Arial" w:cs="Arial" w:eastAsia="Arial" w:hAnsi="Arial"/>
          <w:sz w:val="18"/>
          <w:szCs w:val="18"/>
          <w:color w:val="auto"/>
        </w:rPr>
        <w:t>We maintain a website at http://www.tpgspecialtylending.com and make all of our periodic and current reports, proxy statements and other information available, free of charge, on or through our website. Information on our website is not incorporated into or part of this prospectus. You may also obtain such information free of charge by contacting us in writing at 888 7th Avenue, 35th Floor, New York, NY 10106, Attention: TSLX Investor Relations, or by emailing us at IRTSL@tpg.com.</w:t>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240" w:top="459" w:right="4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9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64960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so that we may not incur any additional leverage if doing so would cause our asset coverage ratio to fall below 200%,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25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Sales load</w:t>
            </w: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2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None</w:t>
            </w:r>
            <w:r>
              <w:rPr>
                <w:rFonts w:ascii="Arial" w:cs="Arial" w:eastAsia="Arial" w:hAnsi="Arial"/>
                <w:sz w:val="15"/>
                <w:szCs w:val="15"/>
                <w:color w:val="auto"/>
              </w:rPr>
              <w:t>(3)</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25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2.55%</w:t>
            </w:r>
            <w:r>
              <w:rPr>
                <w:rFonts w:ascii="Arial" w:cs="Arial" w:eastAsia="Arial" w:hAnsi="Arial"/>
                <w:sz w:val="15"/>
                <w:szCs w:val="15"/>
                <w:color w:val="auto"/>
              </w:rPr>
              <w:t>(5)</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2.39%</w:t>
            </w:r>
            <w:r>
              <w:rPr>
                <w:rFonts w:ascii="Arial" w:cs="Arial" w:eastAsia="Arial" w:hAnsi="Arial"/>
                <w:sz w:val="15"/>
                <w:szCs w:val="15"/>
                <w:color w:val="auto"/>
              </w:rPr>
              <w:t>(6)</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2.19%</w:t>
            </w:r>
            <w:r>
              <w:rPr>
                <w:rFonts w:ascii="Arial" w:cs="Arial" w:eastAsia="Arial" w:hAnsi="Arial"/>
                <w:sz w:val="15"/>
                <w:szCs w:val="15"/>
                <w:color w:val="auto"/>
              </w:rPr>
              <w:t>(7)</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1.62%</w:t>
            </w:r>
            <w:r>
              <w:rPr>
                <w:rFonts w:ascii="Arial" w:cs="Arial" w:eastAsia="Arial" w:hAnsi="Arial"/>
                <w:sz w:val="15"/>
                <w:szCs w:val="15"/>
                <w:color w:val="auto"/>
              </w:rPr>
              <w:t>(8)</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Total annual expenses</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8.74%</w:t>
            </w:r>
            <w:r>
              <w:rPr>
                <w:rFonts w:ascii="Arial" w:cs="Arial" w:eastAsia="Arial" w:hAnsi="Arial"/>
                <w:sz w:val="15"/>
                <w:szCs w:val="15"/>
                <w:color w:val="auto"/>
              </w:rPr>
              <w:t>(9)</w:t>
            </w:r>
          </w:p>
        </w:tc>
      </w:tr>
    </w:tbl>
    <w:p>
      <w:pPr>
        <w:spacing w:after="0" w:line="214" w:lineRule="exact"/>
        <w:rPr>
          <w:sz w:val="20"/>
          <w:szCs w:val="20"/>
          <w:color w:val="auto"/>
        </w:rPr>
      </w:pPr>
    </w:p>
    <w:p>
      <w:pPr>
        <w:ind w:left="620" w:right="360" w:hanging="42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75" w:lineRule="exact"/>
        <w:rPr>
          <w:rFonts w:ascii="Arial" w:cs="Arial" w:eastAsia="Arial" w:hAnsi="Arial"/>
          <w:sz w:val="18"/>
          <w:szCs w:val="18"/>
          <w:color w:val="auto"/>
        </w:rPr>
      </w:pPr>
    </w:p>
    <w:p>
      <w:pPr>
        <w:ind w:left="620" w:right="180" w:hanging="42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75" w:lineRule="exact"/>
        <w:rPr>
          <w:rFonts w:ascii="Arial" w:cs="Arial" w:eastAsia="Arial" w:hAnsi="Arial"/>
          <w:sz w:val="18"/>
          <w:szCs w:val="18"/>
          <w:color w:val="auto"/>
        </w:rPr>
      </w:pPr>
    </w:p>
    <w:p>
      <w:pPr>
        <w:ind w:left="620" w:right="340" w:hanging="42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spacing w:after="0" w:line="75" w:lineRule="exact"/>
        <w:rPr>
          <w:rFonts w:ascii="Arial" w:cs="Arial" w:eastAsia="Arial" w:hAnsi="Arial"/>
          <w:sz w:val="18"/>
          <w:szCs w:val="18"/>
          <w:color w:val="auto"/>
        </w:rPr>
      </w:pPr>
    </w:p>
    <w:p>
      <w:pPr>
        <w:ind w:left="620" w:right="980" w:hanging="42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$952.2 million as of December 31, 2016.</w:t>
      </w:r>
    </w:p>
    <w:p>
      <w:pPr>
        <w:spacing w:after="0" w:line="75" w:lineRule="exact"/>
        <w:rPr>
          <w:rFonts w:ascii="Arial" w:cs="Arial" w:eastAsia="Arial" w:hAnsi="Arial"/>
          <w:sz w:val="18"/>
          <w:szCs w:val="18"/>
          <w:color w:val="auto"/>
        </w:rPr>
      </w:pPr>
    </w:p>
    <w:p>
      <w:pPr>
        <w:ind w:left="620" w:right="20" w:hanging="423"/>
        <w:spacing w:after="0" w:line="276"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 —Investment Advisory Agreement; Administration Agreement; License Agreement.”</w:t>
      </w:r>
    </w:p>
    <w:p>
      <w:pPr>
        <w:spacing w:after="0" w:line="64" w:lineRule="exact"/>
        <w:rPr>
          <w:rFonts w:ascii="Arial" w:cs="Arial" w:eastAsia="Arial" w:hAnsi="Arial"/>
          <w:sz w:val="17"/>
          <w:szCs w:val="17"/>
          <w:color w:val="auto"/>
        </w:rPr>
      </w:pPr>
    </w:p>
    <w:p>
      <w:pPr>
        <w:ind w:left="640" w:right="140"/>
        <w:spacing w:after="0" w:line="277" w:lineRule="auto"/>
        <w:rPr>
          <w:rFonts w:ascii="Arial" w:cs="Arial" w:eastAsia="Arial" w:hAnsi="Arial"/>
          <w:sz w:val="17"/>
          <w:szCs w:val="17"/>
          <w:color w:val="auto"/>
        </w:rPr>
      </w:pPr>
      <w:r>
        <w:rPr>
          <w:rFonts w:ascii="Arial" w:cs="Arial" w:eastAsia="Arial" w:hAnsi="Arial"/>
          <w:sz w:val="18"/>
          <w:szCs w:val="18"/>
          <w:color w:val="auto"/>
        </w:rPr>
        <w:t>The Management Fee reflected in the table is calculated by determining the ratio that the Management Fee for the year ended December 31, 2016 bears to our net assets attributable to common stock (rather than our gross assets).</w:t>
      </w:r>
    </w:p>
    <w:p>
      <w:pPr>
        <w:spacing w:after="0" w:line="62" w:lineRule="exact"/>
        <w:rPr>
          <w:rFonts w:ascii="Arial" w:cs="Arial" w:eastAsia="Arial" w:hAnsi="Arial"/>
          <w:sz w:val="17"/>
          <w:szCs w:val="17"/>
          <w:color w:val="auto"/>
        </w:rPr>
      </w:pPr>
    </w:p>
    <w:p>
      <w:pPr>
        <w:ind w:left="640" w:right="100"/>
        <w:spacing w:after="0" w:line="259" w:lineRule="auto"/>
        <w:rPr>
          <w:rFonts w:ascii="Arial" w:cs="Arial" w:eastAsia="Arial" w:hAnsi="Arial"/>
          <w:sz w:val="17"/>
          <w:szCs w:val="17"/>
          <w:color w:val="auto"/>
        </w:rPr>
      </w:pPr>
      <w:r>
        <w:rPr>
          <w:rFonts w:ascii="Arial" w:cs="Arial" w:eastAsia="Arial" w:hAnsi="Arial"/>
          <w:sz w:val="18"/>
          <w:szCs w:val="18"/>
          <w:color w:val="auto"/>
        </w:rPr>
        <w:t>From time to time, our Adviser voluntarily has waived certain Management Fees. See “Management’s Discussion and Analysis of Financial Condition and Results of Operations—Results of Operations—Management Fees” elsewhere in this prospectus. The above estimates are based on our actual Management Fees for the year ended December 31, 2016 and reflect the Management Fees that were waived during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41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 w:hanging="423"/>
        <w:spacing w:after="0" w:line="259"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2016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640" w:right="20"/>
        <w:spacing w:after="0" w:line="259"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8" w:lineRule="exact"/>
        <w:rPr>
          <w:rFonts w:ascii="Arial" w:cs="Arial" w:eastAsia="Arial" w:hAnsi="Arial"/>
          <w:sz w:val="18"/>
          <w:szCs w:val="18"/>
          <w:color w:val="auto"/>
        </w:rPr>
      </w:pPr>
    </w:p>
    <w:p>
      <w:pPr>
        <w:ind w:left="640" w:right="80"/>
        <w:spacing w:after="0" w:line="255" w:lineRule="auto"/>
        <w:rPr>
          <w:rFonts w:ascii="Arial" w:cs="Arial" w:eastAsia="Arial" w:hAnsi="Arial"/>
          <w:sz w:val="18"/>
          <w:szCs w:val="18"/>
          <w:color w:val="auto"/>
        </w:rPr>
      </w:pPr>
      <w:r>
        <w:rPr>
          <w:rFonts w:ascii="Arial" w:cs="Arial" w:eastAsia="Arial" w:hAnsi="Arial"/>
          <w:sz w:val="18"/>
          <w:szCs w:val="18"/>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85" w:lineRule="exact"/>
        <w:rPr>
          <w:rFonts w:ascii="Arial" w:cs="Arial" w:eastAsia="Arial" w:hAnsi="Arial"/>
          <w:sz w:val="18"/>
          <w:szCs w:val="18"/>
          <w:color w:val="auto"/>
        </w:rPr>
      </w:pPr>
    </w:p>
    <w:p>
      <w:pPr>
        <w:ind w:left="640" w:right="220"/>
        <w:spacing w:after="0" w:line="277"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included in this prospectus and “Management and Other Agreements—Investment Advisory Agreement; Administration Agreement; License Agreement.”</w:t>
      </w:r>
    </w:p>
    <w:p>
      <w:pPr>
        <w:spacing w:after="0" w:line="62" w:lineRule="exact"/>
        <w:rPr>
          <w:rFonts w:ascii="Arial" w:cs="Arial" w:eastAsia="Arial" w:hAnsi="Arial"/>
          <w:sz w:val="18"/>
          <w:szCs w:val="18"/>
          <w:color w:val="auto"/>
        </w:rPr>
      </w:pPr>
    </w:p>
    <w:p>
      <w:pPr>
        <w:jc w:val="both"/>
        <w:ind w:left="64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our Adviser has voluntarily waived certain Incentive Fees. See “Management’s Discussion and Analysis of Financial Condition and Results of Operations—Results of Operations—Incentive Fees” elsewhere in this prospectus. The above estimates do not reflect or assume any such waivers.</w:t>
      </w:r>
    </w:p>
    <w:p>
      <w:pPr>
        <w:spacing w:after="0" w:line="86" w:lineRule="exact"/>
        <w:rPr>
          <w:rFonts w:ascii="Arial" w:cs="Arial" w:eastAsia="Arial" w:hAnsi="Arial"/>
          <w:sz w:val="18"/>
          <w:szCs w:val="18"/>
          <w:color w:val="auto"/>
        </w:rPr>
      </w:pPr>
    </w:p>
    <w:p>
      <w:pPr>
        <w:ind w:left="620" w:right="40" w:hanging="423"/>
        <w:spacing w:after="0" w:line="255"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2016 under our credit facilities excluding fees (such as fees on undrawn amounts and amortization of upfront fees) and including the swap-adjusted interest expense related to our 4.50% Convertible Senior Notes due 2019, or the 2019 Convertible Senior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98" w:lineRule="exact"/>
        <w:rPr>
          <w:rFonts w:ascii="Arial" w:cs="Arial" w:eastAsia="Arial" w:hAnsi="Arial"/>
          <w:sz w:val="18"/>
          <w:szCs w:val="18"/>
          <w:color w:val="auto"/>
        </w:rPr>
      </w:pPr>
    </w:p>
    <w:p>
      <w:pPr>
        <w:ind w:left="620" w:right="220" w:hanging="423"/>
        <w:spacing w:after="0" w:line="286"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and Other Agreements—Investment Advisory Agreement; Administration Agreement; License Agreement.” The expenses in this table are based on our actual other expenses and excise taxes for the year ended December 31, 2016.</w:t>
      </w:r>
    </w:p>
    <w:p>
      <w:pPr>
        <w:spacing w:after="0" w:line="70" w:lineRule="exact"/>
        <w:rPr>
          <w:rFonts w:ascii="Arial" w:cs="Arial" w:eastAsia="Arial" w:hAnsi="Arial"/>
          <w:sz w:val="17"/>
          <w:szCs w:val="17"/>
          <w:color w:val="auto"/>
        </w:rPr>
      </w:pPr>
    </w:p>
    <w:p>
      <w:pPr>
        <w:ind w:left="620" w:hanging="42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140" w:firstLine="443"/>
        <w:spacing w:after="0" w:line="279" w:lineRule="auto"/>
        <w:rPr>
          <w:sz w:val="20"/>
          <w:szCs w:val="20"/>
          <w:color w:val="auto"/>
        </w:rPr>
      </w:pPr>
      <w:r>
        <w:rPr>
          <w:rFonts w:ascii="Arial" w:cs="Arial" w:eastAsia="Arial" w:hAnsi="Arial"/>
          <w:sz w:val="17"/>
          <w:szCs w:val="17"/>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45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3245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In the event that shares to which this prospectus relates are sold to or through underwriters, a corresponding prospectus supplement will restate this example to reflect the applicable sales load and offering expenses.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8"/>
              </w:rPr>
              <w:t>1 year</w:t>
            </w:r>
          </w:p>
        </w:tc>
        <w:tc>
          <w:tcPr>
            <w:tcW w:w="5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3 years</w:t>
            </w:r>
          </w:p>
        </w:tc>
        <w:tc>
          <w:tcPr>
            <w:tcW w:w="5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5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6"/>
              </w:rPr>
              <w:t>10 years</w:t>
            </w:r>
          </w:p>
        </w:tc>
      </w:tr>
      <w:tr>
        <w:trPr>
          <w:trHeight w:val="182"/>
        </w:trPr>
        <w:tc>
          <w:tcPr>
            <w:tcW w:w="6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You would pay the following expenses on a $1,000 common stock investment,</w:t>
            </w:r>
          </w:p>
        </w:tc>
        <w:tc>
          <w:tcPr>
            <w:tcW w:w="5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assuming a 5% annual return from realized capital gains</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9"/>
              </w:rPr>
              <w:t>$  72</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$ 212</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$ 346</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  655</w:t>
            </w:r>
          </w:p>
        </w:tc>
        <w:tc>
          <w:tcPr>
            <w:tcW w:w="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79" w:lineRule="exact"/>
        <w:rPr>
          <w:sz w:val="20"/>
          <w:szCs w:val="20"/>
          <w:color w:val="auto"/>
        </w:rPr>
      </w:pPr>
    </w:p>
    <w:p>
      <w:pPr>
        <w:ind w:left="200" w:right="260" w:firstLine="443"/>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9589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69589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200" w:right="160" w:firstLine="443"/>
        <w:spacing w:after="0" w:line="279"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7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color w:val="auto"/>
        </w:rPr>
        <w:t>We derived the selected consolidated financial data for the years ended December 31, 2016, 2015 and 2014 from our audited consolidated financial statements and related notes, which are included elsewhere in this prospectus. We derived the selected consolidated financial data for the years ended December 31, 2013 and 2012 from our audited consolidated financial statements and related notes, which are not included in this prospectus.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140" w:type="dxa"/>
            <w:vAlign w:val="bottom"/>
          </w:tcPr>
          <w:p>
            <w:pPr>
              <w:spacing w:after="0"/>
              <w:rPr>
                <w:sz w:val="10"/>
                <w:szCs w:val="10"/>
                <w:color w:val="auto"/>
              </w:rPr>
            </w:pPr>
          </w:p>
        </w:tc>
        <w:tc>
          <w:tcPr>
            <w:tcW w:w="12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124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2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2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Borders>
              <w:bottom w:val="single" w:sz="8" w:color="CCEEFF"/>
            </w:tcBorders>
            <w:gridSpan w:val="3"/>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 Operations Data:</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Income</w:t>
            </w: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Investment Income</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192.4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173.4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163.3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92.6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4400" w:type="dxa"/>
            <w:vAlign w:val="bottom"/>
            <w:gridSpan w:val="3"/>
          </w:tcPr>
          <w:p>
            <w:pPr>
              <w:spacing w:after="0"/>
              <w:rPr>
                <w:sz w:val="20"/>
                <w:szCs w:val="20"/>
                <w:color w:val="auto"/>
              </w:rPr>
            </w:pPr>
            <w:r>
              <w:rPr>
                <w:rFonts w:ascii="Arial" w:cs="Arial" w:eastAsia="Arial" w:hAnsi="Arial"/>
                <w:sz w:val="18"/>
                <w:szCs w:val="18"/>
                <w:color w:val="auto"/>
              </w:rPr>
              <w:t>Net Investment Income Before Income Taxes</w:t>
            </w:r>
          </w:p>
        </w:tc>
        <w:tc>
          <w:tcPr>
            <w:tcW w:w="14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109.6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105.6</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Total Net Change in Unrealized Gain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Realized Gain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400" w:type="dxa"/>
            <w:vAlign w:val="bottom"/>
            <w:gridSpan w:val="3"/>
            <w:vMerge w:val="restart"/>
          </w:tcPr>
          <w:p>
            <w:pPr>
              <w:spacing w:after="0"/>
              <w:rPr>
                <w:sz w:val="20"/>
                <w:szCs w:val="20"/>
                <w:color w:val="auto"/>
              </w:rPr>
            </w:pPr>
            <w:r>
              <w:rPr>
                <w:rFonts w:ascii="Arial" w:cs="Arial" w:eastAsia="Arial" w:hAnsi="Arial"/>
                <w:sz w:val="18"/>
                <w:szCs w:val="18"/>
                <w:color w:val="auto"/>
              </w:rPr>
              <w:t>Increase in Net Assets Resulting from Operations</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392"/>
        </w:trPr>
        <w:tc>
          <w:tcPr>
            <w:tcW w:w="2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14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2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4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Borders>
              <w:bottom w:val="single" w:sz="8" w:color="CCEEFF"/>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Balance Sheet Data:</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4.9</w:t>
            </w: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2.4</w:t>
            </w: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2.4</w:t>
            </w: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3.5</w:t>
            </w: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161.8</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1,657.4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1,485.7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1,263.5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1,016.5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1,675.5</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1,506.5</w:t>
            </w:r>
          </w:p>
        </w:tc>
        <w:tc>
          <w:tcPr>
            <w:tcW w:w="4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1,288.9</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1,032.9</w:t>
            </w: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723.3</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685.8</w:t>
            </w:r>
          </w:p>
        </w:tc>
        <w:tc>
          <w:tcPr>
            <w:tcW w:w="4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453.5</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458.2</w:t>
            </w: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15.95</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15.15</w:t>
            </w:r>
          </w:p>
        </w:tc>
        <w:tc>
          <w:tcPr>
            <w:tcW w:w="4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15.52</w:t>
            </w: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Number of portfolio companies at period end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5"/>
                <w:szCs w:val="15"/>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4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securities at fair value</w:t>
            </w:r>
            <w:r>
              <w:rPr>
                <w:rFonts w:ascii="Arial" w:cs="Arial" w:eastAsia="Arial" w:hAnsi="Arial"/>
                <w:sz w:val="15"/>
                <w:szCs w:val="15"/>
                <w:color w:val="auto"/>
              </w:rPr>
              <w:t>(4)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2"/>
        </w:trPr>
        <w:tc>
          <w:tcPr>
            <w:tcW w:w="4400" w:type="dxa"/>
            <w:vAlign w:val="bottom"/>
            <w:gridSpan w:val="3"/>
          </w:tcPr>
          <w:p>
            <w:pPr>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securities at amortized cost</w:t>
            </w:r>
            <w:r>
              <w:rPr>
                <w:rFonts w:ascii="Arial" w:cs="Arial" w:eastAsia="Arial" w:hAnsi="Arial"/>
                <w:sz w:val="15"/>
                <w:szCs w:val="15"/>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4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Fair value of debt investments as a percentage of</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02"/>
        </w:trPr>
        <w:tc>
          <w:tcPr>
            <w:tcW w:w="4400" w:type="dxa"/>
            <w:vAlign w:val="bottom"/>
            <w:gridSpan w:val="3"/>
          </w:tcPr>
          <w:p>
            <w:pPr>
              <w:spacing w:after="0" w:line="201" w:lineRule="exact"/>
              <w:rPr>
                <w:sz w:val="20"/>
                <w:szCs w:val="20"/>
                <w:color w:val="auto"/>
              </w:rPr>
            </w:pPr>
            <w:r>
              <w:rPr>
                <w:rFonts w:ascii="Arial" w:cs="Arial" w:eastAsia="Arial" w:hAnsi="Arial"/>
                <w:sz w:val="18"/>
                <w:szCs w:val="18"/>
                <w:color w:val="auto"/>
              </w:rPr>
              <w:t>Weighted average fair value of debt investments as a</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percentage of call price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94.9%</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091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3091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hanging="423"/>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w:t>
      </w:r>
    </w:p>
    <w:p>
      <w:pPr>
        <w:spacing w:after="0" w:line="75" w:lineRule="exact"/>
        <w:rPr>
          <w:rFonts w:ascii="Arial" w:cs="Arial" w:eastAsia="Arial" w:hAnsi="Arial"/>
          <w:sz w:val="18"/>
          <w:szCs w:val="18"/>
          <w:color w:val="auto"/>
        </w:rPr>
      </w:pPr>
    </w:p>
    <w:p>
      <w:pPr>
        <w:ind w:left="620" w:hanging="42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130" w:lineRule="exact"/>
        <w:rPr>
          <w:rFonts w:ascii="Arial" w:cs="Arial" w:eastAsia="Arial" w:hAnsi="Arial"/>
          <w:sz w:val="18"/>
          <w:szCs w:val="18"/>
          <w:color w:val="auto"/>
        </w:rPr>
      </w:pPr>
    </w:p>
    <w:p>
      <w:pPr>
        <w:ind w:left="620" w:right="20" w:hanging="423"/>
        <w:spacing w:after="0" w:line="284"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U.S. Generally Accepted Accounting Principles, or U.S. GAAP requires that total return be calculated as the change in net asset value per share during the period plus declared dividends per share, divided by the beginning net asset value per share. Our total return set forth in the table above for the years ended December 31, 2016, 2015, 2014, 2013 and 2012 reflects the Adviser’s waivers of its right to receive a portion of the Management Fee and Incentive Fees prior to our IPO and separately with respect to our ownership of shares of common stock of TICC Capital Corp. See Note 3 to our audited consolidated financial statements for more information about the waivers. The Management Fee, excluding the effects of the waivers, would have been $24.3 million, $21.3 million, $18.3 million, $13.4 million, and $8.9 million for the years ended December 31, 2016, 2015, 2014, 2013 and 2012, respectively. The Incentive Fee, excluding the effects of the waiver, would have been</w:t>
      </w:r>
    </w:p>
    <w:p>
      <w:pPr>
        <w:spacing w:after="0" w:line="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$22.7 million and $20.2 million for the years ended December 31, 2016 and 2015, respectively.</w:t>
      </w:r>
    </w:p>
    <w:p>
      <w:pPr>
        <w:spacing w:after="0" w:line="116" w:lineRule="exact"/>
        <w:rPr>
          <w:rFonts w:ascii="Arial" w:cs="Arial" w:eastAsia="Arial" w:hAnsi="Arial"/>
          <w:sz w:val="16"/>
          <w:szCs w:val="16"/>
          <w:color w:val="auto"/>
        </w:rPr>
      </w:pPr>
    </w:p>
    <w:p>
      <w:pPr>
        <w:ind w:left="620" w:hanging="423"/>
        <w:spacing w:after="0" w:line="272"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31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4531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49,708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53,917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46,034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42,751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21,641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23,346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20,531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19,559</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30,571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23,192</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4,656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6,304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24,135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(5,421)</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36,875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49,638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17,771</w:t>
            </w: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r>
      <w:tr>
        <w:trPr>
          <w:trHeight w:val="350"/>
        </w:trPr>
        <w:tc>
          <w:tcPr>
            <w:tcW w:w="7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43,559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46,774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45,352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37,730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19,916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20,926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20,332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16,943</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20,787</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(27,985)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(16,512)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34,105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24,468</w:t>
            </w: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r>
        <w:trPr>
          <w:trHeight w:val="350"/>
        </w:trPr>
        <w:tc>
          <w:tcPr>
            <w:tcW w:w="7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45,778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38,404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45,657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33,481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15,094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15,288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16,224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12,239</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23,116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29,433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21,242</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(16,879)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(4,513)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(2,139)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18,603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27,294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25,348</w:t>
            </w: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bl>
    <w:p>
      <w:pPr>
        <w:spacing w:after="0" w:line="93" w:lineRule="exact"/>
        <w:rPr>
          <w:sz w:val="20"/>
          <w:szCs w:val="20"/>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including our consolidated financial statements and the related notes thereto,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7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have submitted to our stockholders, for their approval at a special meeting of stockholders to be held on May 18, 2017, a proposal seeking authority to sell or otherwise issue shares of our common stock at a price below our then-current net asset value per share, subject to the approval of our Board and certain other conditions.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 See “—Risks Related to Offerings Pursuant to This Prospectus—The net asset value per share of our common stock may be diluted if we sell or otherwise issue shares of our common stock at prices below the then-current net asset value per share of our common stock.”</w:t>
      </w:r>
    </w:p>
    <w:p>
      <w:pPr>
        <w:spacing w:after="0" w:line="16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“—Risks Related to Our Portfolio Company Investments—We may securitize certain of our investments, which may subject us to certain structured financing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“—Risks Related to Our Business and Structure—Even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December 31, 2016,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 See “—Risks Related to Our Portfolio Company Investments—We expose ourselves to risks when we engage in hedging transactions.”</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As of December 31, 2016, we had $693.7 million of outstanding indebtedness, which had an annualized interest cost of 2.70% under the terms of our debt, excluding fees (such as fees on undrawn amounts and amortization of upfront fees) and giving effect to the swap-adjusted interest rate on our 2019 Convertible Senior Notes. As of December 31, 2016, the interest rate on the 2019 Convertible Senior Notes, as adjusted to give effect to the interest rate swaps, was three-month London Interbank Offered Rate, or LIBOR, plus 286 basis points.</w:t>
      </w:r>
    </w:p>
    <w:p>
      <w:pPr>
        <w:spacing w:after="0" w:line="17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90"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(net of expenses)</w:t>
      </w:r>
    </w:p>
    <w:tbl>
      <w:tblPr>
        <w:tblLayout w:type="fixed"/>
        <w:tblInd w:w="0" w:type="dxa"/>
        <w:tblCellMar>
          <w:top w:w="0" w:type="dxa"/>
          <w:left w:w="0" w:type="dxa"/>
          <w:bottom w:w="0" w:type="dxa"/>
          <w:right w:w="0" w:type="dxa"/>
        </w:tblCellMar>
      </w:tblPr>
      <w:tr>
        <w:trPr>
          <w:trHeight w:val="156"/>
        </w:trPr>
        <w:tc>
          <w:tcPr>
            <w:tcW w:w="69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-10%</w:t>
            </w:r>
          </w:p>
        </w:tc>
        <w:tc>
          <w:tcPr>
            <w:tcW w:w="5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59"/>
              <w:spacing w:after="0" w:line="157" w:lineRule="exact"/>
              <w:rPr>
                <w:sz w:val="20"/>
                <w:szCs w:val="20"/>
                <w:color w:val="auto"/>
              </w:rPr>
            </w:pPr>
            <w:r>
              <w:rPr>
                <w:rFonts w:ascii="Arial" w:cs="Arial" w:eastAsia="Arial" w:hAnsi="Arial"/>
                <w:sz w:val="14"/>
                <w:szCs w:val="14"/>
                <w:color w:val="auto"/>
              </w:rPr>
              <w:t>-5%</w:t>
            </w:r>
          </w:p>
        </w:tc>
        <w:tc>
          <w:tcPr>
            <w:tcW w:w="5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9"/>
              <w:spacing w:after="0" w:line="157" w:lineRule="exact"/>
              <w:rPr>
                <w:sz w:val="20"/>
                <w:szCs w:val="20"/>
                <w:color w:val="auto"/>
              </w:rPr>
            </w:pPr>
            <w:r>
              <w:rPr>
                <w:rFonts w:ascii="Arial" w:cs="Arial" w:eastAsia="Arial" w:hAnsi="Arial"/>
                <w:sz w:val="14"/>
                <w:szCs w:val="14"/>
                <w:color w:val="auto"/>
              </w:rPr>
              <w:t>0%</w:t>
            </w:r>
          </w:p>
        </w:tc>
        <w:tc>
          <w:tcPr>
            <w:tcW w:w="5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5%</w:t>
            </w:r>
          </w:p>
        </w:tc>
        <w:tc>
          <w:tcPr>
            <w:tcW w:w="5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tcPr>
          <w:p>
            <w:pPr>
              <w:spacing w:after="0"/>
              <w:rPr>
                <w:sz w:val="13"/>
                <w:szCs w:val="13"/>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stockholder</w:t>
            </w:r>
            <w:r>
              <w:rPr>
                <w:rFonts w:ascii="Arial" w:cs="Arial" w:eastAsia="Arial" w:hAnsi="Arial"/>
                <w:sz w:val="15"/>
                <w:szCs w:val="15"/>
                <w:color w:val="auto"/>
              </w:rPr>
              <w:t>(1)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-19.56%</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-10.77%</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6.83%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15.63%</w:t>
            </w:r>
          </w:p>
        </w:tc>
      </w:tr>
    </w:tbl>
    <w:p>
      <w:pPr>
        <w:spacing w:after="0" w:line="229" w:lineRule="exact"/>
        <w:rPr>
          <w:sz w:val="20"/>
          <w:szCs w:val="20"/>
          <w:color w:val="auto"/>
        </w:rPr>
      </w:pPr>
    </w:p>
    <w:p>
      <w:pPr>
        <w:ind w:left="460" w:right="12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as of December 31, 2016, (i) $1.7 billion in total assets, (ii) $693.7 million in outstanding indebtedness, (iii) $952.2 million in net assets and (iv) annualized interest cost of 2.70%, under the terms of our debt.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may allow us to incur additional leverage.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the prior congressional session, if reintroduced and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6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30" w:lineRule="exact"/>
        <w:rPr>
          <w:rFonts w:ascii="Arial" w:cs="Arial" w:eastAsia="Arial" w:hAnsi="Arial"/>
          <w:sz w:val="18"/>
          <w:szCs w:val="18"/>
          <w:color w:val="auto"/>
        </w:rPr>
      </w:pPr>
    </w:p>
    <w:p>
      <w:pPr>
        <w:ind w:left="1480" w:right="700" w:hanging="446"/>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0" w:lineRule="exact"/>
        <w:rPr>
          <w:sz w:val="20"/>
          <w:szCs w:val="20"/>
          <w:color w:val="auto"/>
        </w:rPr>
      </w:pPr>
    </w:p>
    <w:p>
      <w:pPr>
        <w:ind w:left="900" w:right="3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As of December 31, 2016 and 2015, we elected to retain approximately $52 million and $38 million of taxable income and capital gains, respectively, in order to provide us with additional liquidity and we recorded a net expense of $2.2 million and $1.5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to the extent the exemptive order granted to us by the SEC permits us to do so or the investment is otherwise permitted under relevant SEC guidance. On December 16, 2014, we were granted an exemptive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any affiliates of TSSP and TPG must be the same as those applicable to us. We cannot assure you when or whether we will apply for any other exemptive relief in the future and whether such orders will be obtained. See “Related-Party Transactions and Certain Relationships.”</w:t>
      </w:r>
    </w:p>
    <w:p>
      <w:pPr>
        <w:spacing w:after="0" w:line="274"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 Any new investment advisory agreement would require stockholder approval.</w:t>
      </w:r>
    </w:p>
    <w:p>
      <w:pPr>
        <w:spacing w:after="0" w:line="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8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a publicly traded company, we incur legal, accounting, investor relations and other expenses, including costs associated with corporate governance requirements, such as those under the Sarbanes-Oxley Act of 2002, or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required to comply with the independent auditor attestation requirements of Section 404 of the Sarbanes-Oxley Act. Complying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404 requires a rigorous compliance program as well as adequate time and resources. We may not be able to complete our internal control evaluation,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testing and any required remediation in a timely fashion. Additionally, if we identify one or more material weaknesses in our internal control over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we will be unable to assert that our internal controls are effective. If we are unable to assert that our internal control over financial reporting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or if our auditors are unable to attest to management’s report on the effectiveness of our internal controls, we could lose investor confidence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accuracy and completeness of our financial reports, which would have a material adverse effect on the price of our securities.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73"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In addition, certain members of Congress have put forth proposals that could impact the U.S. federal income tax treatment of debt. The details of these proposals are not sufficiently clear to ascertain their potential impact on our business nor is the likelihood of any such proposals being enacted into law certain at this time. However, if any such proposals were enacted it is possible that they might impact us and our business. Any changes to the laws and regulations governing our operations or the U.S. federal income tax treatment of our assets may cause us to alter our investment strategy to avail ourselves of new or different opportunities. For more information on tax regulatory risks, see “Risks Related to our Portfolio Company Investments.”</w:t>
      </w:r>
    </w:p>
    <w:p>
      <w:pPr>
        <w:spacing w:after="0" w:line="180"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On July 21, 2010, the Wall Street Reform and Consumer Protection Act, or the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73"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U.S. capital markets experienced extreme volatility and disruption in recent years, leading to recessionary conditions and depressed levels of consumer and commercial spending. For instance, the referendum by British voters to exit the European Union (“Brexit”) in June 2016 and the United Kingdom’s subsequent invocation of Article 50 of the Treaty on the European Union in March 2017 have led to disruption and instability in the global markets.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66"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in late 2016 and early 2017 the Federal Reserve raised the target range for the federal funds rate. If key economic indicators, such as the unemployment rate or inflation, continue to show signs of improvement, the target range for the federal funds rate may further increase and cause interest rates and borrowing costs to rise, which may negatively impact our ability to access the debt markets on favorable terms.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investments in energy companies.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of December 31, 2016, our investments in portfolio companies that operate in the oil, gas and consumable fuels industry represent 2.7% of our total portfolio. The energy industry has been in a period of disruption and volatility that has been characterized by decreases in oil and gas prices and production levels. This disruption and volatility has led to, and future disruptions and volatility may lead to, decreases in the credit quality and performance of certain of our debt and equity investments in energy companies, which could, in turn, negatively impact the fair value of our investments in energy companies. Any prolonged decline in oil and gas prices or production levels could adversely impact the ability of our portfolio companies in the energy industry to satisfy financial or operating covenants that may be imposed by us and other lenders or to make payments to us as and when due, which could have a material adverse effect on our business, financial condition and results of operations. In addition, energy companies are subject to supply and demand fluctuations in the markets in which they operate, which are impacted by numerous factors, including weather, use of renewable fuel sources, natural disasters, governmental regulation and general economic conditions, in addition to the effects of increasing regulation and general operational risks, any of which could have a material adverse effect on the performance and value of our energy-related investments as well as our cash flows from such investments.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i w:val="1"/>
          <w:iCs w:val="1"/>
          <w:color w:val="auto"/>
        </w:rPr>
        <w:t>First-Lien Debt</w:t>
      </w:r>
      <w:r>
        <w:rPr>
          <w:rFonts w:ascii="Arial" w:cs="Arial" w:eastAsia="Arial" w:hAnsi="Arial"/>
          <w:sz w:val="17"/>
          <w:szCs w:val="17"/>
          <w:color w:val="auto"/>
        </w:rPr>
        <w:t>. When we make a first-lien loan, we generally take a security interest in the available assets of the portfolio company,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Equity and Other Investments</w:t>
      </w:r>
      <w:r>
        <w:rPr>
          <w:rFonts w:ascii="Arial" w:cs="Arial" w:eastAsia="Arial" w:hAnsi="Arial"/>
          <w:sz w:val="18"/>
          <w:szCs w:val="18"/>
          <w:color w:val="auto"/>
        </w:rPr>
        <w:t>. When we invest in first-lien debt, second-lien debt or mezzanine debt, we may acquire equity securities,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To the extent we invest in preferred securities, we may incur particular risks, including:</w:t>
      </w:r>
    </w:p>
    <w:p>
      <w:pPr>
        <w:spacing w:after="0" w:line="131" w:lineRule="exact"/>
        <w:rPr>
          <w:sz w:val="20"/>
          <w:szCs w:val="20"/>
          <w:color w:val="auto"/>
        </w:rPr>
      </w:pPr>
    </w:p>
    <w:p>
      <w:pPr>
        <w:ind w:left="900" w:right="8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31" w:lineRule="exact"/>
        <w:rPr>
          <w:sz w:val="20"/>
          <w:szCs w:val="20"/>
          <w:color w:val="auto"/>
        </w:rPr>
      </w:pPr>
    </w:p>
    <w:p>
      <w:pPr>
        <w:ind w:left="900" w:right="26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29"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6"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5"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75" w:lineRule="exact"/>
        <w:rPr>
          <w:rFonts w:ascii="Arial" w:cs="Arial" w:eastAsia="Arial" w:hAnsi="Arial"/>
          <w:sz w:val="18"/>
          <w:szCs w:val="18"/>
          <w:color w:val="auto"/>
        </w:rPr>
      </w:pPr>
    </w:p>
    <w:p>
      <w:pPr>
        <w:ind w:left="900" w:right="28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29" w:lineRule="exact"/>
        <w:rPr>
          <w:rFonts w:ascii="Arial" w:cs="Arial" w:eastAsia="Arial" w:hAnsi="Arial"/>
          <w:sz w:val="16"/>
          <w:szCs w:val="16"/>
          <w:color w:val="auto"/>
        </w:rPr>
      </w:pPr>
    </w:p>
    <w:p>
      <w:pPr>
        <w:ind w:left="900" w:right="1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9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CLO or other securitization vehicle, if created, also would likely be consolidated in our financial statements and consequently affect our asset coverage ratio, which may limit our ability to incur additional leverage. See “Regulation.”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“—Risks Related to Economic Conditions— Uncertainty about financial stability could have a significant adverse effect on our business, results of operations and financial condition.”</w:t>
      </w:r>
    </w:p>
    <w:p>
      <w:pPr>
        <w:spacing w:after="0" w:line="16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“—Risks Related to Our Portfolio Company Investments—We expose ourselves to risks when we engage in hedging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5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decision by TSSP, TPG or our Adviser to allocate an opportunity to another entity could cause us to forgo an investment opportunity that we otherwise would have made. We also generally will be unable to invest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any issuer in which TSSP, TPG and its other affiliates or a fund managed by TSSP,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 See “Related-Party Transactions and Certain Relationships—Exemptive Order” for more information on the terms of the exemptive order.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or strategic investments that we pursue are subject to risks and uncertainties.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6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investment strategy may include potential investments in foreign companies. Investing in foreign companies may expose us to additional risks not typically associated with investing in U.S. companies.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stockholders free from withholding taxes.</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2019 Convertible Senior Notes and 2022 Convertible Senior Notes, which bear interest at fixed rates,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“—Risks Related to Our Portfolio Company Investments—We are exposed to risks associated with changes in interest rates” and “Management’s Discussion and Analysis of Financial Condition and Results of Operations—Results of Operations—Hedging.”</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2019 Convertible Senior Notes and 2022 Convertible Senior Notes, require us to post collateral. Any failure by us to fulfill any collateral requirement (e.g., a so-called “margin call”) may result in a default and could have a material adverse impact on our business, financial condition and results of operations. U.S. regulators have adopted rules imposing margin requirements for derivatives executed with registered swap dealers that are not cleared. These new requirements could significantly increase the cost of using non-cleared swaps to hedge our interest rate and foreign exchange risk.</w:t>
      </w:r>
    </w:p>
    <w:p>
      <w:pPr>
        <w:spacing w:after="0" w:line="18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Finally, the SEC has issued a proposed rule, Rule 18f-4, that if adopted would potentially constrain our ability to use swaps and other derivatives. Among other requirements, the proposed rule could potentially force us to reduce our use of leverage if our aggregate exposure to swap or derivative positions, together with outstanding leverage and any financial commitments to our portfolio companies, exceeds 150 percent of our net asset value, absent an assessment that our use of derivatives reduces our actual portfolio risk. In addition, we may be required under the proposed rule to carry sufficient cash and cash equivalents to meet our actual, and in some cases, expected future, obligations under any swaps or derivatives we currently have in place, which could cause the returns on our overall portfolio to be lower as a result. We cannot assure you when or if the proposed rule will be adopted by the SEC, and if adopted, whether the final rule will similarly constrain our ability to utilize swaps and derivatives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5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we were unable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8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Stockholders—Potential Limitation with Respect to Certain U.S. Stockholders on Deductions for Certain Fees and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interest.</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1" w:lineRule="exact"/>
        <w:rPr>
          <w:sz w:val="20"/>
          <w:szCs w:val="20"/>
          <w:color w:val="auto"/>
        </w:rPr>
      </w:pPr>
    </w:p>
    <w:p>
      <w:pPr>
        <w:ind w:right="580" w:firstLine="456"/>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4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4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payment-in-kind interest.”</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future sales of our securities convertible into or exchangeable or exercisable for our common stock or the conversion of such securities;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EURIBOR, the Federal Funds Rate or the Prime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Senior Notes and our 2022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stockholders may experience dilution upon the conversion of the 2019 Convertible Senior Notes and the 2022 Convertible Senior Notes.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2019 Convertible Senior Notes and our 2022 Convertible Senior Notes are convertible into shares of our common stock beginning on June 15, 2019 and February 1, 2022, respectively, or earlier, under certain circumstances. Upon conversion of our 2019 Convertible Senior Notes and 2022 Convertible Senior Notes, we have the choice to pay or deliver, as the case may be, at our election, cash, shares of our common stock or a combination of cash and shares of our common stock. The initial conversion price of the 2019 Convertible Senior Notes is $25.83 per share and the initial conversion price of the 2022 Convertible Senior Notes is $21.34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2019 Convertible Senior Notes and the 2022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1"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We have entered into an agreement with Goldman, Sachs &amp; Co., which we refer to as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August 31, 2017.</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Because purchases under the Company 10b5-1 Plan are made beginning at any price below our most recently reported net asset value per share, if our net asset value per share as of the end of a quarter is lower than the net asset per share as of the end of the prior quarter, purchases under the Company 10b5-1 Plan during the period from the end of a quarter to the time of our earnings release announcing the new net asset value per share for that quarter may result in dilution to our net asset value per share. This dilution would occur because we would repurchase shares under the Company 10b5-1 Plan at a price above the net asset value per share as of the end of the most recent quarter end, which would cause a proportionately smaller increase in our stockholders’ interest in our 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submitted to our stockholders, for their approval at a special meeting of stockholders to be held on May 18, 2017, a proposal seeking authority to sell or otherwise issue shares of our common stock at a price below our then-current net asset value per share, subject to the approval of our Board and certain other conditions. If approved, the authorization would be effective for securities issued during a twelve-month period expiring on the anniversary of the date of the special meeting of stockholders.</w:t>
      </w:r>
    </w:p>
    <w:p>
      <w:pPr>
        <w:spacing w:after="0" w:line="79"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5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7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issuance of shares of preferred stock with dividend or conversion rights, liquidation preferences or other economic terms favorable to the holders of preferred stock could adversely affect the market price for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and elsewhere in this prospectus and in our filings with the SEC.</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 27A(b)(2)(B) of the Securities Act and Section 21E(b)(2)</w:t>
      </w:r>
    </w:p>
    <w:p>
      <w:pPr>
        <w:spacing w:after="0" w:line="3"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of the Exchange Act, the “safe harbor” provisions of the Private Securities Litigation Reform Act of 1995, which preclude civil liability for certain</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forward-looking statements, do not apply to the forward-looking statements made in connection with any offering of securities pursuant to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2017 and for the years ended December 31, 2016 and 2015. On April 6, 2017, the last reported closing sales price of our common stock on the NYSE was $20.55 per share, which represented a premium of approximately 28.8% to the net asset value per share reported by us as of December 31, 2016, the last date prior to the date of this prospectus for which we reported net asset value.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Price Range</w:t>
            </w:r>
          </w:p>
        </w:tc>
        <w:tc>
          <w:tcPr>
            <w:tcW w:w="42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High Sales</w:t>
            </w: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Low Sales</w:t>
            </w: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36"/>
        </w:trPr>
        <w:tc>
          <w:tcPr>
            <w:tcW w:w="3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Net Asset</w:t>
            </w:r>
          </w:p>
        </w:tc>
        <w:tc>
          <w:tcPr>
            <w:tcW w:w="1400" w:type="dxa"/>
            <w:vAlign w:val="bottom"/>
            <w:tcBorders>
              <w:bottom w:val="single" w:sz="8" w:color="auto"/>
            </w:tcBorders>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gridSpan w:val="2"/>
          </w:tcPr>
          <w:p>
            <w:pPr>
              <w:jc w:val="center"/>
              <w:ind w:right="560"/>
              <w:spacing w:after="0" w:line="125" w:lineRule="exact"/>
              <w:rPr>
                <w:sz w:val="20"/>
                <w:szCs w:val="20"/>
                <w:color w:val="auto"/>
              </w:rPr>
            </w:pPr>
            <w:r>
              <w:rPr>
                <w:rFonts w:ascii="Arial" w:cs="Arial" w:eastAsia="Arial" w:hAnsi="Arial"/>
                <w:sz w:val="14"/>
                <w:szCs w:val="14"/>
                <w:b w:val="1"/>
                <w:bCs w:val="1"/>
                <w:color w:val="auto"/>
                <w:w w:val="92"/>
              </w:rPr>
              <w:t>Price to Net</w:t>
            </w:r>
          </w:p>
        </w:tc>
        <w:tc>
          <w:tcPr>
            <w:tcW w:w="1400" w:type="dxa"/>
            <w:vAlign w:val="bottom"/>
            <w:gridSpan w:val="2"/>
          </w:tcPr>
          <w:p>
            <w:pPr>
              <w:jc w:val="center"/>
              <w:ind w:right="560"/>
              <w:spacing w:after="0" w:line="125" w:lineRule="exact"/>
              <w:rPr>
                <w:sz w:val="20"/>
                <w:szCs w:val="20"/>
                <w:color w:val="auto"/>
              </w:rPr>
            </w:pPr>
            <w:r>
              <w:rPr>
                <w:rFonts w:ascii="Arial" w:cs="Arial" w:eastAsia="Arial" w:hAnsi="Arial"/>
                <w:sz w:val="14"/>
                <w:szCs w:val="14"/>
                <w:b w:val="1"/>
                <w:bCs w:val="1"/>
                <w:color w:val="auto"/>
                <w:w w:val="92"/>
              </w:rPr>
              <w:t>Price to Net</w:t>
            </w:r>
          </w:p>
        </w:tc>
        <w:tc>
          <w:tcPr>
            <w:tcW w:w="88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Dividend Per</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High</w:t>
            </w: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Low</w:t>
            </w: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Asset Value</w:t>
            </w:r>
            <w:r>
              <w:rPr>
                <w:rFonts w:ascii="Arial" w:cs="Arial" w:eastAsia="Arial" w:hAnsi="Arial"/>
                <w:sz w:val="12"/>
                <w:szCs w:val="12"/>
                <w:b w:val="1"/>
                <w:bCs w:val="1"/>
                <w:color w:val="auto"/>
                <w:w w:val="89"/>
              </w:rPr>
              <w:t>(2)</w:t>
            </w: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Asset Value</w:t>
            </w:r>
            <w:r>
              <w:rPr>
                <w:rFonts w:ascii="Arial" w:cs="Arial" w:eastAsia="Arial" w:hAnsi="Arial"/>
                <w:sz w:val="12"/>
                <w:szCs w:val="12"/>
                <w:b w:val="1"/>
                <w:bCs w:val="1"/>
                <w:color w:val="auto"/>
                <w:w w:val="89"/>
              </w:rPr>
              <w:t>(2)</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2015</w:t>
            </w: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First Quarter</w:t>
            </w:r>
          </w:p>
        </w:tc>
        <w:tc>
          <w:tcPr>
            <w:tcW w:w="11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15.60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$18.54</w:t>
            </w:r>
          </w:p>
        </w:tc>
        <w:tc>
          <w:tcPr>
            <w:tcW w:w="4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$16.34</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18.8%</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1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15.84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$18.35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0"/>
              </w:rPr>
              <w:t>$17.00</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Third Quarter</w:t>
            </w:r>
          </w:p>
        </w:tc>
        <w:tc>
          <w:tcPr>
            <w:tcW w:w="11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15.62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$18.00</w:t>
            </w:r>
          </w:p>
        </w:tc>
        <w:tc>
          <w:tcPr>
            <w:tcW w:w="4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$16.22</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15.2%</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1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15.15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0"/>
              </w:rPr>
              <w:t>$15.97</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1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15.11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$16.86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0"/>
              </w:rPr>
              <w:t>$15.15</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Second Quarter</w:t>
            </w:r>
          </w:p>
        </w:tc>
        <w:tc>
          <w:tcPr>
            <w:tcW w:w="11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15.55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$16.74</w:t>
            </w:r>
          </w:p>
        </w:tc>
        <w:tc>
          <w:tcPr>
            <w:tcW w:w="4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$15.97</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15.78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$18.77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0"/>
              </w:rPr>
              <w:t>$16.61</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Fourth Quarter</w:t>
            </w:r>
          </w:p>
        </w:tc>
        <w:tc>
          <w:tcPr>
            <w:tcW w:w="11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15.95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$19.05</w:t>
            </w:r>
          </w:p>
        </w:tc>
        <w:tc>
          <w:tcPr>
            <w:tcW w:w="4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$17.43</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19.4%</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First Quarter</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$20.39</w:t>
            </w:r>
          </w:p>
        </w:tc>
        <w:tc>
          <w:tcPr>
            <w:tcW w:w="4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$18.27</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April 6, 2017)</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$20.73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0"/>
              </w:rPr>
              <w:t>$20.36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dividend declared in the relevant quarter.</w:t>
      </w:r>
    </w:p>
    <w:p>
      <w:pPr>
        <w:spacing w:after="0" w:line="131" w:lineRule="exact"/>
        <w:rPr>
          <w:sz w:val="20"/>
          <w:szCs w:val="20"/>
          <w:color w:val="auto"/>
        </w:rPr>
      </w:pPr>
    </w:p>
    <w:p>
      <w:pPr>
        <w:ind w:left="60" w:right="6920" w:hanging="7"/>
        <w:spacing w:after="0" w:line="500" w:lineRule="auto"/>
        <w:tabs>
          <w:tab w:leader="none" w:pos="461"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Net asset value has not yet been reported for this period. ** Dividend has not yet been declared for this period.</w:t>
      </w:r>
    </w:p>
    <w:p>
      <w:pPr>
        <w:spacing w:after="0" w:line="3"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22, 2017, our Board declared a dividend of $0.39 per share for the quarter ending March 31, 2017 to stockholders of record as of April 7,</w:t>
      </w:r>
    </w:p>
    <w:p>
      <w:pPr>
        <w:spacing w:after="0" w:line="4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2017. The dividend is expected to be paid on or about April 28, 2017. We anticipate that this dividend will be paid from income generated primarily by interest earned on our investment portfolio.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2016 and 2015:</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 Ended December 31, 2016</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gridSpan w:val="3"/>
            <w:vMerge w:val="continue"/>
          </w:tcPr>
          <w:p>
            <w:pPr>
              <w:spacing w:after="0"/>
              <w:rPr>
                <w:sz w:val="12"/>
                <w:szCs w:val="12"/>
                <w:color w:val="auto"/>
              </w:rPr>
            </w:pPr>
          </w:p>
        </w:tc>
        <w:tc>
          <w:tcPr>
            <w:tcW w:w="15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Record Date</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Payment Date</w:t>
            </w:r>
          </w:p>
        </w:tc>
        <w:tc>
          <w:tcPr>
            <w:tcW w:w="300" w:type="dxa"/>
            <w:vAlign w:val="bottom"/>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Dividend per Share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February 24,</w:t>
            </w:r>
          </w:p>
        </w:tc>
        <w:tc>
          <w:tcPr>
            <w:tcW w:w="3020" w:type="dxa"/>
            <w:vAlign w:val="bottom"/>
            <w:tcBorders>
              <w:top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2016</w:t>
            </w: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31, 2016</w:t>
            </w: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April 29, 2016</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left w:val="single" w:sz="8" w:color="CCEEFF"/>
            </w:tcBorders>
            <w:shd w:val="clear" w:color="auto" w:fill="CCEEFF"/>
          </w:tcPr>
          <w:p>
            <w:pPr>
              <w:jc w:val="right"/>
              <w:ind w:right="38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May 4, 2016</w:t>
            </w: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June 30, 2016</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July 29, 2016</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3, 2016</w:t>
            </w:r>
          </w:p>
        </w:tc>
        <w:tc>
          <w:tcPr>
            <w:tcW w:w="1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September 30, 2016</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89"/>
              </w:rPr>
              <w:t>October 31, 2016</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November 7, 2016</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2016</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January 31, 2017</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Year Ended December 31, 2015</w:t>
            </w: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00" w:type="dxa"/>
            <w:vAlign w:val="bottom"/>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4"/>
              </w:rPr>
              <w:t>Record Date</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4"/>
              </w:rPr>
              <w:t>Payment Date</w:t>
            </w:r>
          </w:p>
        </w:tc>
        <w:tc>
          <w:tcPr>
            <w:tcW w:w="300" w:type="dxa"/>
            <w:vAlign w:val="bottom"/>
          </w:tcPr>
          <w:p>
            <w:pPr>
              <w:spacing w:after="0"/>
              <w:rPr>
                <w:sz w:val="12"/>
                <w:szCs w:val="12"/>
                <w:color w:val="auto"/>
              </w:rPr>
            </w:pPr>
          </w:p>
        </w:tc>
        <w:tc>
          <w:tcPr>
            <w:tcW w:w="12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4"/>
              </w:rPr>
              <w:t>Dividend per Share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February 24,</w:t>
            </w:r>
          </w:p>
        </w:tc>
        <w:tc>
          <w:tcPr>
            <w:tcW w:w="3020" w:type="dxa"/>
            <w:vAlign w:val="bottom"/>
            <w:tcBorders>
              <w:top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2015</w:t>
            </w:r>
          </w:p>
        </w:tc>
        <w:tc>
          <w:tcPr>
            <w:tcW w:w="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31, 2015</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April 30, 2015</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May 7, 2015</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7"/>
              </w:rPr>
              <w:t>June 30, 2015</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July 31, 2015</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4, 2015</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September 30, 2015</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0"/>
              </w:rPr>
              <w:t>October 30, 2015</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3920" w:type="dxa"/>
            <w:vAlign w:val="bottom"/>
            <w:gridSpan w:val="3"/>
          </w:tcPr>
          <w:p>
            <w:pPr>
              <w:spacing w:after="0"/>
              <w:rPr>
                <w:sz w:val="20"/>
                <w:szCs w:val="20"/>
                <w:color w:val="auto"/>
              </w:rPr>
            </w:pPr>
            <w:r>
              <w:rPr>
                <w:rFonts w:ascii="Arial" w:cs="Arial" w:eastAsia="Arial" w:hAnsi="Arial"/>
                <w:sz w:val="18"/>
                <w:szCs w:val="18"/>
                <w:color w:val="auto"/>
              </w:rPr>
              <w:t>November 3, 2015</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2015</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January 29, 2016</w:t>
            </w:r>
          </w:p>
        </w:tc>
        <w:tc>
          <w:tcPr>
            <w:tcW w:w="300" w:type="dxa"/>
            <w:vAlign w:val="bottom"/>
          </w:tcPr>
          <w:p>
            <w:pPr>
              <w:spacing w:after="0"/>
              <w:rPr>
                <w:sz w:val="19"/>
                <w:szCs w:val="19"/>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2016 and 2015 were derived from net investment income and net realized capital gains, determined on a tax basis.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calendar years ended December 31, 2016 and 2015 for purposes of additional liquidity and we recorded a net expense of $2.2 million and $1.5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6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in this prospectus for a discussion of the uncertainties, risks and assumptions associated with these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August 4, 2015, our Board authorized us to enter into a new stock repurchase plan, the Company 10b5-1 Plan, to acquire up to $50 million in the aggregate of our common stock at prices just below our net asset value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over an initial six-month period, in accordance with the guidelines specified in Rule 10b-18 and Rule 10b5-1 of the Exchange Act, and has continued to authorize extensions of the plan termination date prior to its expiration since that time. On February 22, 2017, our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2016, we have originated more than $5.0 billion aggregate principal amount of investments and retained approximately $3.5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2016, our core portfolio companies, which excludes certain investments that fall outside of our typical borrower profile and represent 88.2% of our total investments based on fair value, had weighted average annual revenue of $144.1 million and weighted average annual EBITDA of $31.4 million.</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2016, the average investment size in each of our portfolio companies was approximately $31.9 million based on fair value.</w:t>
      </w:r>
    </w:p>
    <w:p>
      <w:pPr>
        <w:spacing w:after="0" w:line="23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December 31, 2016, the largest single investment based on fair value represented 4.5% of our total investment portfolio.</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no industry represented more than 22.6% of our total investment portfolio based on fair value.</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December 31, 2016,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97.7% of our portfolio was invested in secured debt, including 96.5%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2016, the weighted average term on new investment commitments in new portfolio companies was 4.3 years.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income. As of December 31, 2016, we had call protection on 79.9% of our debt investments based on fair value, with weighted average call prices of 106.7% for the first year, 103.5% for the second year and 101.6% for the third year, in each case from the date of the initial investment. As of December 31, 2016, 98.4% of our debt investments based on fair value bore interest at floating rates (when including investment specific hedges), with 94.8%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TSSP, with over $18 billion of assets under management as of December 31, 2016,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 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December 31, 2016, twenty nine (29) of these personnel are dedicated to our business, including twenty one (21) investment professionals.</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two to six years, and, as of December 31, 2016, 98.4% of these investments based on fair value bore interest at a floating rate (when including investment specific hedges), with 94.8% of these subject to interest rate floors. Interest on debt investments is generally payable quarterly or semiannually. Some of our investments provide for deferred interest payments or PIK interest. For the year ended December 31, 2016, 4.6% of our total investment income was comprised of PIK interest.</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2019 Convertible Senior Notes and 2022 Convertible Senior Notes, after taking into account the effect of the interest rate swaps we have entered into in connection with the 2019 Convertible Senior Notes and 2022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6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We record prepayment premiums on loans as interest income.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jc w:val="center"/>
        <w:ind w:left="5620" w:right="1300" w:hanging="5045"/>
        <w:spacing w:after="0" w:line="449" w:lineRule="auto"/>
        <w:tabs>
          <w:tab w:leader="none" w:pos="8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 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2016, our portfolio based on fair value consisted of 96.5% first-lien debt investments, 1.2% second-lien debt investments, 0.6% mezzanine and unsecured debt investments, and 1.7% equity and other investments. As of December 31, 2015, our portfolio based on fair value consisted of 88.2% first-lien debt investments, 8.1% second-lien debt investments, 1.9% mezzanine and unsecured debt investments and 1.8% equity and other investments.</w:t>
      </w:r>
    </w:p>
    <w:p>
      <w:pPr>
        <w:spacing w:after="0" w:line="18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As of December 31, 2016 and December 31, 2015, our weighted average total yield of debt and income-producing securities at fair value (which includes interest income and amortization of fees and discounts) was 10.4% and 10.3%, respectively, and our weighted average total yield of debt and income-producing securities at amortized cost (which includes interest income and amortization of fees and discounts) was 10.4% and 10.1%, respectively.</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December 31, 2016 and December 31, 2015, we had investments in 52 and 46 portfolio companies, respectively, with an aggregate fair value of $1,657.4 million and $1,485.7 million, respectively.</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For the year ended December 31, 2016, we made new investment commitments of $562.7 million, including $492.7 million in 14 new portfolio companies and $70.0 million in 9 existing portfolio companies. For this period, we had $416.5 million aggregate principal amount in exits and repayments, resulting in a net portfolio increase of $103.6 million aggregate principal amount.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the year ended December 31, 2015, we made new investment commitments of $718.7 million, including $631.6 million in 20 new portfolio companies and $87.1 million in 14 existing portfolio companies. For this period, we had $385.2 million aggregate principal amount in exits and repayments, resulting in a net portfolio increase of $278.8 million aggregate principal amount.</w:t>
      </w:r>
    </w:p>
    <w:p>
      <w:pPr>
        <w:spacing w:after="0" w:line="181"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For the year ended December 31, 2014, we made new investment commitments of $884.4 million, including $805.7 million in 20 new portfolio companies and $78.7 million in seven existing portfolio companies. For this period, we had $518.4 million aggregate principal amount in exits and repayments, resulting in a net portfolio increase of $296.5 million aggregate principal amount.</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investment activity for the years ended December 31, 2016, 2015 and 2014 is presented below (information presented herein is at par value unless otherwise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Gross originations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761.5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964.2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1,120.1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Syndications/sell downs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198.8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245.5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new investment commitments</w:t>
            </w:r>
          </w:p>
        </w:tc>
        <w:tc>
          <w:tcPr>
            <w:tcW w:w="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562.7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718.7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First-lien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518.0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581.3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681.3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Second-lien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Mezzanine and unsecured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520.1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664.0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First-lien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316.2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353.3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Second-lien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Mezzanine and unsecured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416.5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385.2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 new portfolio companies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Weighted average term for new investment commitments in new portfolio companies (in years)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floating rates</w:t>
            </w:r>
            <w:r>
              <w:rPr>
                <w:rFonts w:ascii="Arial" w:cs="Arial" w:eastAsia="Arial" w:hAnsi="Arial"/>
                <w:sz w:val="15"/>
                <w:szCs w:val="15"/>
                <w:color w:val="auto"/>
              </w:rPr>
              <w:t>(1)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spread over LIBOR of new floating rate investment commitments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right="56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one fixed rate investment for the year ended December 31, 2015 for which we entered into an interest rate swap agreement to swap to a floating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and 2015, our investments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78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December 31, 2016</w:t>
            </w:r>
          </w:p>
        </w:tc>
        <w:tc>
          <w:tcPr>
            <w:tcW w:w="22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6380" w:type="dxa"/>
            <w:vAlign w:val="bottom"/>
            <w:vMerge w:val="continue"/>
          </w:tcPr>
          <w:p>
            <w:pPr>
              <w:spacing w:after="0"/>
              <w:rPr>
                <w:sz w:val="12"/>
                <w:szCs w:val="12"/>
                <w:color w:val="auto"/>
              </w:rPr>
            </w:pPr>
          </w:p>
        </w:tc>
        <w:tc>
          <w:tcPr>
            <w:tcW w:w="9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580" w:type="dxa"/>
            <w:vAlign w:val="bottom"/>
          </w:tcPr>
          <w:p>
            <w:pPr>
              <w:spacing w:after="0"/>
              <w:rPr>
                <w:sz w:val="12"/>
                <w:szCs w:val="12"/>
                <w:color w:val="auto"/>
              </w:rPr>
            </w:pPr>
          </w:p>
        </w:tc>
        <w:tc>
          <w:tcPr>
            <w:tcW w:w="12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$1,599.6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$1,310.2</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24.0</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121.2</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66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40.2</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1,657.4</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1,485.7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1,529.7</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show the fair value and amortized cost of our performing and non-accrual investments as of December 31, 2016 and 2015: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Pr>
          <w:p>
            <w:pPr>
              <w:spacing w:after="0"/>
              <w:rPr>
                <w:sz w:val="14"/>
                <w:szCs w:val="14"/>
                <w:color w:val="auto"/>
              </w:rPr>
            </w:pPr>
          </w:p>
        </w:tc>
        <w:tc>
          <w:tcPr>
            <w:tcW w:w="222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4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Percentage</w:t>
            </w:r>
          </w:p>
        </w:tc>
        <w:tc>
          <w:tcPr>
            <w:tcW w:w="5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660" w:type="dxa"/>
            <w:vAlign w:val="bottom"/>
            <w:tcBorders>
              <w:top w:val="single" w:sz="8" w:color="auto"/>
              <w:bottom w:val="single" w:sz="8" w:color="CCEEFF"/>
            </w:tcBorders>
            <w:gridSpan w:val="2"/>
          </w:tcPr>
          <w:p>
            <w:pPr>
              <w:spacing w:after="0"/>
              <w:rPr>
                <w:sz w:val="12"/>
                <w:szCs w:val="12"/>
                <w:color w:val="auto"/>
              </w:rPr>
            </w:pPr>
          </w:p>
        </w:tc>
        <w:tc>
          <w:tcPr>
            <w:tcW w:w="7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Percentage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$1,657.4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1"/>
              </w:rPr>
              <w:t>$1,485.7</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1,657.4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1,485.7</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7"/>
          </w:tcPr>
          <w:p>
            <w:pPr>
              <w:jc w:val="right"/>
              <w:ind w:right="1320"/>
              <w:spacing w:after="0"/>
              <w:rPr>
                <w:sz w:val="20"/>
                <w:szCs w:val="20"/>
                <w:color w:val="auto"/>
              </w:rPr>
            </w:pPr>
            <w:r>
              <w:rPr>
                <w:rFonts w:ascii="Arial" w:cs="Arial" w:eastAsia="Arial" w:hAnsi="Arial"/>
                <w:sz w:val="14"/>
                <w:szCs w:val="14"/>
                <w:b w:val="1"/>
                <w:bCs w:val="1"/>
                <w:color w:val="auto"/>
                <w:w w:val="96"/>
              </w:rPr>
              <w:t>December 31, 2016</w:t>
            </w:r>
          </w:p>
        </w:tc>
        <w:tc>
          <w:tcPr>
            <w:tcW w:w="260" w:type="dxa"/>
            <w:vAlign w:val="bottom"/>
          </w:tcPr>
          <w:p>
            <w:pPr>
              <w:spacing w:after="0"/>
              <w:rPr>
                <w:sz w:val="24"/>
                <w:szCs w:val="24"/>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5900" w:type="dxa"/>
            <w:vAlign w:val="bottom"/>
            <w:vMerge w:val="continue"/>
          </w:tcPr>
          <w:p>
            <w:pPr>
              <w:spacing w:after="0"/>
              <w:rPr>
                <w:sz w:val="12"/>
                <w:szCs w:val="12"/>
                <w:color w:val="auto"/>
              </w:rPr>
            </w:pPr>
          </w:p>
        </w:tc>
        <w:tc>
          <w:tcPr>
            <w:tcW w:w="158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760" w:type="dxa"/>
            <w:vAlign w:val="bottom"/>
            <w:gridSpan w:val="2"/>
          </w:tcPr>
          <w:p>
            <w:pPr>
              <w:spacing w:after="0"/>
              <w:rPr>
                <w:sz w:val="12"/>
                <w:szCs w:val="12"/>
                <w:color w:val="auto"/>
              </w:rPr>
            </w:pPr>
          </w:p>
        </w:tc>
        <w:tc>
          <w:tcPr>
            <w:tcW w:w="15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7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Performing</w:t>
            </w:r>
          </w:p>
        </w:tc>
        <w:tc>
          <w:tcPr>
            <w:tcW w:w="2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1,667.7</w:t>
            </w:r>
          </w:p>
        </w:tc>
        <w:tc>
          <w:tcPr>
            <w:tcW w:w="1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136"/>
              <w:spacing w:after="0"/>
              <w:rPr>
                <w:sz w:val="20"/>
                <w:szCs w:val="20"/>
                <w:color w:val="auto"/>
              </w:rPr>
            </w:pPr>
            <w:r>
              <w:rPr>
                <w:rFonts w:ascii="Arial" w:cs="Arial" w:eastAsia="Arial" w:hAnsi="Arial"/>
                <w:sz w:val="18"/>
                <w:szCs w:val="18"/>
                <w:color w:val="auto"/>
                <w:w w:val="88"/>
              </w:rPr>
              <w:t>100.0%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1,529.7</w:t>
            </w:r>
          </w:p>
        </w:tc>
        <w:tc>
          <w:tcPr>
            <w:tcW w:w="62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5"/>
                <w:szCs w:val="15"/>
                <w:color w:val="auto"/>
              </w:rPr>
              <w:t>(2)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58"/>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1,667.7</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136"/>
              <w:spacing w:after="0"/>
              <w:rPr>
                <w:sz w:val="20"/>
                <w:szCs w:val="20"/>
                <w:color w:val="auto"/>
              </w:rPr>
            </w:pPr>
            <w:r>
              <w:rPr>
                <w:rFonts w:ascii="Arial" w:cs="Arial" w:eastAsia="Arial" w:hAnsi="Arial"/>
                <w:sz w:val="18"/>
                <w:szCs w:val="18"/>
                <w:color w:val="auto"/>
                <w:w w:val="88"/>
              </w:rPr>
              <w:t>100.0%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1,529.7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“—Critical Accounting Policies—Interest and Dividend Income Recognition.”</w:t>
      </w:r>
    </w:p>
    <w:p>
      <w:pPr>
        <w:spacing w:after="0" w:line="19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weighted average yields and interest rates of our performing debt investments at fair value as of December 31, 2016 and 2015 were as follows: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56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w w:val="90"/>
              </w:rPr>
              <w:t>December 31, 2016</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 average total yield of debt and income-producing securities</w:t>
            </w:r>
          </w:p>
        </w:tc>
        <w:tc>
          <w:tcPr>
            <w:tcW w:w="116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shd w:val="clear" w:color="auto" w:fill="CCEEFF"/>
          </w:tcPr>
          <w:p>
            <w:pPr>
              <w:spacing w:after="0"/>
              <w:rPr>
                <w:sz w:val="18"/>
                <w:szCs w:val="18"/>
                <w:color w:val="auto"/>
              </w:rPr>
            </w:pPr>
          </w:p>
        </w:tc>
        <w:tc>
          <w:tcPr>
            <w:tcW w:w="256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10.4%</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Weighted average interest rate of debt and income-producing securities</w:t>
            </w:r>
          </w:p>
        </w:tc>
        <w:tc>
          <w:tcPr>
            <w:tcW w:w="2560" w:type="dxa"/>
            <w:vAlign w:val="bottom"/>
            <w:gridSpan w:val="2"/>
          </w:tcPr>
          <w:p>
            <w:pPr>
              <w:jc w:val="right"/>
              <w:ind w:right="1240"/>
              <w:spacing w:after="0"/>
              <w:rPr>
                <w:sz w:val="20"/>
                <w:szCs w:val="20"/>
                <w:color w:val="auto"/>
              </w:rPr>
            </w:pPr>
            <w:r>
              <w:rPr>
                <w:rFonts w:ascii="Arial" w:cs="Arial" w:eastAsia="Arial" w:hAnsi="Arial"/>
                <w:sz w:val="18"/>
                <w:szCs w:val="18"/>
                <w:color w:val="auto"/>
              </w:rPr>
              <w:t>9.8%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 investments</w:t>
            </w:r>
          </w:p>
        </w:tc>
        <w:tc>
          <w:tcPr>
            <w:tcW w:w="256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8.9%</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5620" w:right="2480" w:hanging="5045"/>
        <w:spacing w:after="0" w:line="449" w:lineRule="auto"/>
        <w:tabs>
          <w:tab w:leader="none" w:pos="8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 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jc w:val="both"/>
        <w:ind w:left="900" w:right="34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6" w:lineRule="exact"/>
        <w:rPr>
          <w:rFonts w:ascii="Arial" w:cs="Arial" w:eastAsia="Arial" w:hAnsi="Arial"/>
          <w:sz w:val="18"/>
          <w:szCs w:val="18"/>
          <w:color w:val="auto"/>
        </w:rPr>
      </w:pPr>
    </w:p>
    <w:p>
      <w:pPr>
        <w:ind w:left="900" w:right="200" w:hanging="325"/>
        <w:spacing w:after="0" w:line="286"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0" w:lineRule="exact"/>
        <w:rPr>
          <w:rFonts w:ascii="Arial" w:cs="Arial" w:eastAsia="Arial" w:hAnsi="Arial"/>
          <w:sz w:val="17"/>
          <w:szCs w:val="17"/>
          <w:color w:val="auto"/>
        </w:rPr>
      </w:pPr>
    </w:p>
    <w:p>
      <w:pPr>
        <w:jc w:val="both"/>
        <w:ind w:left="900" w:right="38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6" w:lineRule="exact"/>
        <w:rPr>
          <w:rFonts w:ascii="Arial" w:cs="Arial" w:eastAsia="Arial" w:hAnsi="Arial"/>
          <w:sz w:val="18"/>
          <w:szCs w:val="18"/>
          <w:color w:val="auto"/>
        </w:rPr>
      </w:pPr>
    </w:p>
    <w:p>
      <w:pPr>
        <w:ind w:left="900" w:right="180" w:hanging="325"/>
        <w:spacing w:after="0" w:line="297"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3" w:lineRule="exact"/>
        <w:rPr>
          <w:rFonts w:ascii="Arial" w:cs="Arial" w:eastAsia="Arial" w:hAnsi="Arial"/>
          <w:sz w:val="16"/>
          <w:szCs w:val="16"/>
          <w:color w:val="auto"/>
        </w:rPr>
      </w:pPr>
    </w:p>
    <w:p>
      <w:pPr>
        <w:ind w:left="900" w:hanging="325"/>
        <w:spacing w:after="0" w:line="279"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2016 and 2015.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2800" w:type="dxa"/>
            <w:vAlign w:val="bottom"/>
            <w:gridSpan w:val="3"/>
            <w:vMerge w:val="restart"/>
          </w:tcPr>
          <w:p>
            <w:pPr>
              <w:jc w:val="center"/>
              <w:ind w:right="191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5"/>
              </w:rPr>
              <w:t>December 31, 2016</w:t>
            </w:r>
          </w:p>
        </w:tc>
        <w:tc>
          <w:tcPr>
            <w:tcW w:w="9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897"/>
              <w:spacing w:after="0"/>
              <w:rPr>
                <w:sz w:val="20"/>
                <w:szCs w:val="20"/>
                <w:color w:val="auto"/>
              </w:rPr>
            </w:pPr>
            <w:r>
              <w:rPr>
                <w:rFonts w:ascii="Arial" w:cs="Arial" w:eastAsia="Arial" w:hAnsi="Arial"/>
                <w:sz w:val="14"/>
                <w:szCs w:val="14"/>
                <w:b w:val="1"/>
                <w:bCs w:val="1"/>
                <w:color w:val="auto"/>
                <w:w w:val="95"/>
              </w:rPr>
              <w:t>December 31, 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40" w:type="dxa"/>
            <w:vAlign w:val="bottom"/>
          </w:tcPr>
          <w:p>
            <w:pPr>
              <w:spacing w:after="0"/>
              <w:rPr>
                <w:sz w:val="10"/>
                <w:szCs w:val="10"/>
                <w:color w:val="auto"/>
              </w:rPr>
            </w:pPr>
          </w:p>
        </w:tc>
        <w:tc>
          <w:tcPr>
            <w:tcW w:w="2800" w:type="dxa"/>
            <w:vAlign w:val="bottom"/>
            <w:gridSpan w:val="3"/>
            <w:vMerge w:val="continue"/>
          </w:tcPr>
          <w:p>
            <w:pPr>
              <w:spacing w:after="0"/>
              <w:rPr>
                <w:sz w:val="10"/>
                <w:szCs w:val="10"/>
                <w:color w:val="auto"/>
              </w:rPr>
            </w:pPr>
          </w:p>
        </w:tc>
        <w:tc>
          <w:tcPr>
            <w:tcW w:w="220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14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2"/>
              </w:rPr>
              <w:t>Percentage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7"/>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2800" w:type="dxa"/>
            <w:vAlign w:val="bottom"/>
            <w:gridSpan w:val="3"/>
          </w:tcPr>
          <w:p>
            <w:pPr>
              <w:jc w:val="center"/>
              <w:ind w:right="191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2"/>
                <w:szCs w:val="12"/>
                <w:color w:val="auto"/>
              </w:rPr>
            </w:pPr>
          </w:p>
        </w:tc>
        <w:tc>
          <w:tcPr>
            <w:tcW w:w="2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6"/>
          </w:tcPr>
          <w:p>
            <w:pPr>
              <w:jc w:val="center"/>
              <w:ind w:right="328"/>
              <w:spacing w:after="0" w:line="149"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0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 in millions)</w:t>
            </w:r>
          </w:p>
        </w:tc>
        <w:tc>
          <w:tcPr>
            <w:tcW w:w="13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Total Portfolio</w:t>
            </w: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 in millions)</w:t>
            </w:r>
          </w:p>
        </w:tc>
        <w:tc>
          <w:tcPr>
            <w:tcW w:w="300" w:type="dxa"/>
            <w:vAlign w:val="bottom"/>
            <w:tcBorders>
              <w:bottom w:val="single" w:sz="8" w:color="CCEEFF"/>
            </w:tcBorders>
            <w:gridSpan w:val="2"/>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Total 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83"/>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1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left="810"/>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right"/>
              <w:ind w:right="1228"/>
              <w:spacing w:after="0"/>
              <w:rPr>
                <w:sz w:val="20"/>
                <w:szCs w:val="20"/>
                <w:color w:val="auto"/>
              </w:rPr>
            </w:pPr>
            <w:r>
              <w:rPr>
                <w:rFonts w:ascii="Arial" w:cs="Arial" w:eastAsia="Arial" w:hAnsi="Arial"/>
                <w:sz w:val="18"/>
                <w:szCs w:val="18"/>
                <w:color w:val="auto"/>
              </w:rPr>
              <w:t>382.0</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266.1</w:t>
            </w:r>
          </w:p>
        </w:tc>
        <w:tc>
          <w:tcPr>
            <w:tcW w:w="280" w:type="dxa"/>
            <w:vAlign w:val="bottom"/>
          </w:tcPr>
          <w:p>
            <w:pPr>
              <w:spacing w:after="0"/>
              <w:rPr>
                <w:sz w:val="18"/>
                <w:szCs w:val="18"/>
                <w:color w:val="auto"/>
              </w:rPr>
            </w:pPr>
          </w:p>
        </w:tc>
        <w:tc>
          <w:tcPr>
            <w:tcW w:w="2120" w:type="dxa"/>
            <w:vAlign w:val="bottom"/>
            <w:gridSpan w:val="7"/>
          </w:tcPr>
          <w:p>
            <w:pPr>
              <w:jc w:val="right"/>
              <w:ind w:right="2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176.3</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114.5</w:t>
            </w:r>
          </w:p>
        </w:tc>
        <w:tc>
          <w:tcPr>
            <w:tcW w:w="280" w:type="dxa"/>
            <w:vAlign w:val="bottom"/>
            <w:shd w:val="clear" w:color="auto" w:fill="CCEEFF"/>
          </w:tcPr>
          <w:p>
            <w:pPr>
              <w:spacing w:after="0"/>
              <w:rPr>
                <w:sz w:val="18"/>
                <w:szCs w:val="18"/>
                <w:color w:val="auto"/>
              </w:rPr>
            </w:pPr>
          </w:p>
        </w:tc>
        <w:tc>
          <w:tcPr>
            <w:tcW w:w="212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left="810"/>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8"/>
                <w:szCs w:val="18"/>
                <w:color w:val="auto"/>
              </w:rPr>
            </w:pPr>
          </w:p>
        </w:tc>
        <w:tc>
          <w:tcPr>
            <w:tcW w:w="2120" w:type="dxa"/>
            <w:vAlign w:val="bottom"/>
            <w:gridSpan w:val="7"/>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2800" w:type="dxa"/>
            <w:vAlign w:val="bottom"/>
            <w:gridSpan w:val="3"/>
          </w:tcPr>
          <w:p>
            <w:pPr>
              <w:jc w:val="center"/>
              <w:ind w:right="191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1,657.</w:t>
            </w:r>
            <w:r>
              <w:rPr>
                <w:rFonts w:ascii="Arial" w:cs="Arial" w:eastAsia="Arial" w:hAnsi="Arial"/>
                <w:sz w:val="18"/>
                <w:szCs w:val="18"/>
                <w:u w:val="single" w:color="auto"/>
                <w:color w:val="auto"/>
              </w:rPr>
              <w:t>4</w:t>
            </w:r>
          </w:p>
        </w:tc>
        <w:tc>
          <w:tcPr>
            <w:tcW w:w="130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1,485.7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9"/>
          </w:tcPr>
          <w:p>
            <w:pPr>
              <w:ind w:left="460"/>
              <w:spacing w:after="0"/>
              <w:rPr>
                <w:sz w:val="20"/>
                <w:szCs w:val="20"/>
                <w:color w:val="auto"/>
              </w:rPr>
            </w:pPr>
            <w:r>
              <w:rPr>
                <w:rFonts w:ascii="Arial" w:cs="Arial" w:eastAsia="Arial" w:hAnsi="Arial"/>
                <w:sz w:val="18"/>
                <w:szCs w:val="18"/>
                <w:color w:val="auto"/>
                <w:w w:val="92"/>
              </w:rPr>
              <w:t>Operating results for the years ended December 31, 2016, 2015 and 2014 were as follows: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6"/>
          </w:tcPr>
          <w:p>
            <w:pPr>
              <w:jc w:val="center"/>
              <w:ind w:right="108"/>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2800" w:type="dxa"/>
            <w:vAlign w:val="bottom"/>
            <w:gridSpan w:val="3"/>
            <w:vMerge w:val="restart"/>
          </w:tcPr>
          <w:p>
            <w:pPr>
              <w:ind w:left="640"/>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center"/>
              <w:ind w:right="108"/>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2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left="117"/>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$192.4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$173.4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$163.3</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Less: Net expenses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Net investment income before income taxes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0" w:type="dxa"/>
            <w:vAlign w:val="bottom"/>
            <w:gridSpan w:val="4"/>
          </w:tcPr>
          <w:p>
            <w:pPr>
              <w:ind w:left="200"/>
              <w:spacing w:after="0"/>
              <w:rPr>
                <w:sz w:val="20"/>
                <w:szCs w:val="20"/>
                <w:color w:val="auto"/>
              </w:rPr>
            </w:pPr>
            <w:r>
              <w:rPr>
                <w:rFonts w:ascii="Arial" w:cs="Arial" w:eastAsia="Arial" w:hAnsi="Arial"/>
                <w:sz w:val="18"/>
                <w:szCs w:val="18"/>
                <w:color w:val="auto"/>
              </w:rPr>
              <w:t>Less: Income taxes, including excise taxes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investment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Net realized losses</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r>
              <w:rPr>
                <w:rFonts w:ascii="Arial" w:cs="Arial" w:eastAsia="Arial" w:hAnsi="Arial"/>
                <w:sz w:val="15"/>
                <w:szCs w:val="15"/>
                <w:color w:val="auto"/>
              </w:rPr>
              <w:t>(1)</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0" w:type="dxa"/>
            <w:vAlign w:val="bottom"/>
            <w:gridSpan w:val="4"/>
          </w:tcPr>
          <w:p>
            <w:pPr>
              <w:ind w:left="200"/>
              <w:spacing w:after="0"/>
              <w:rPr>
                <w:sz w:val="20"/>
                <w:szCs w:val="20"/>
                <w:color w:val="auto"/>
              </w:rPr>
            </w:pPr>
            <w:r>
              <w:rPr>
                <w:rFonts w:ascii="Arial" w:cs="Arial" w:eastAsia="Arial" w:hAnsi="Arial"/>
                <w:sz w:val="18"/>
                <w:szCs w:val="18"/>
                <w:b w:val="1"/>
                <w:bCs w:val="1"/>
                <w:color w:val="auto"/>
                <w:w w:val="89"/>
              </w:rPr>
              <w:t>Net increase in net assets resulting from operations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137.0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$ 63.6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$ 85.</w:t>
            </w:r>
            <w:r>
              <w:rPr>
                <w:rFonts w:ascii="Arial" w:cs="Arial" w:eastAsia="Arial" w:hAnsi="Arial"/>
                <w:sz w:val="18"/>
                <w:szCs w:val="18"/>
                <w:u w:val="single" w:color="auto"/>
                <w:color w:val="auto"/>
                <w:w w:val="95"/>
              </w:rPr>
              <w:t>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gridSpan w:val="5"/>
            <w:vMerge w:val="restart"/>
          </w:tcPr>
          <w:p>
            <w:pPr>
              <w:spacing w:after="0"/>
              <w:rPr>
                <w:sz w:val="20"/>
                <w:szCs w:val="20"/>
                <w:color w:val="auto"/>
              </w:rPr>
            </w:pPr>
            <w:r>
              <w:rPr>
                <w:rFonts w:ascii="Arial" w:cs="Arial" w:eastAsia="Arial" w:hAnsi="Arial"/>
                <w:sz w:val="18"/>
                <w:szCs w:val="18"/>
                <w:color w:val="auto"/>
                <w:w w:val="94"/>
              </w:rPr>
              <w:t>(1)   Includes foreign exchange hedging activity.</w:t>
            </w: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40" w:type="dxa"/>
            <w:vAlign w:val="bottom"/>
            <w:gridSpan w:val="5"/>
            <w:vMerge w:val="continue"/>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5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2800" w:type="dxa"/>
            <w:vAlign w:val="bottom"/>
            <w:gridSpan w:val="3"/>
            <w:vMerge w:val="restart"/>
          </w:tcPr>
          <w:p>
            <w:pPr>
              <w:ind w:left="640"/>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2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gridSpan w:val="3"/>
          </w:tcPr>
          <w:p>
            <w:pPr>
              <w:spacing w:after="0"/>
              <w:rPr>
                <w:sz w:val="12"/>
                <w:szCs w:val="12"/>
                <w:color w:val="auto"/>
              </w:rPr>
            </w:pPr>
          </w:p>
        </w:tc>
        <w:tc>
          <w:tcPr>
            <w:tcW w:w="5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left="317"/>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3"/>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$177.8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3"/>
              </w:rPr>
              <w:t>$164.6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$154.0</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b w:val="1"/>
                <w:bCs w:val="1"/>
                <w:color w:val="auto"/>
                <w:w w:val="89"/>
              </w:rPr>
              <w:t>Total investment income</w:t>
            </w:r>
          </w:p>
        </w:tc>
        <w:tc>
          <w:tcPr>
            <w:tcW w:w="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192.4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173.4</w:t>
            </w:r>
          </w:p>
        </w:tc>
        <w:tc>
          <w:tcPr>
            <w:tcW w:w="2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163.3</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from investments, which includes amortization of upfront fees and prepayment fees, increased from $164.6 million for the year ended December 31, 2015 to $177.8 million for the year ended December 31, 2016, primarily due to the increase in the size of our investment portfolio. The average size of our investment portfolio increased from $1.4 billion during the year ended December 31, 2015 to $1.6 billion during the year ended December 31, 2016. Accelerated amortization of upfront fees primarily from unscheduled paydowns decreased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from $6.9 million for the year ended December 31, 2015 to $5.4 million for the year ended December 31, 2016, and prepayment fees decreased from</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$15.4 million for the year ended December 31, 2015 to $2.6 million for the year ended December 31, 2016. The accelerated amortization and prepayment fees primarily resulted from a partial paydown on one portfolio investment and full paydowns on eleven portfolio investments during the year ended December 31, 2015 and a partial paydown on one portfolio investment and full paydowns on seven portfolio investments during the year ended December 31, 2016.</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Dividend income increased from $0.9 million for the year ended December 31, 2015 to $1.7 million for the year ended December 31, 2016 due to owning our dividend yielding investments for a full calendar year. Other income increased from $7.9 million for the year ended December 31, 2015 to $12.9 million for the year ended December 31, 2016, primarily due to higher syndication, amendment and agency fees earned during 2016.</w:t>
      </w:r>
    </w:p>
    <w:p>
      <w:pPr>
        <w:spacing w:after="0" w:line="17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$154.0 million for the year ended December 31, 2014 to $164.6 million for the year ended December 31, 2015, primarily due to the increase in the size of our investment portfolio. The average size of our investment portfolio increased from $1.2 billion during the year ended December 31, 2014 to $1.4 billion during the year ended December 31, 2015. Accelerated amortization of upfront fees primarily from unscheduled paydowns decreased from $12.5 million for the year ended December 31, 2014 to $6.9 million for the year ended December 31, 2015, and prepayment fees decreased from $21.0 million for the year ended December 31, 2014 to</w:t>
      </w:r>
    </w:p>
    <w:p>
      <w:pPr>
        <w:spacing w:after="0" w:line="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$15.4 million for the year ended December 31, 2015. The accelerated amortization and prepayment fees primarily resulted from partial paydowns on two portfolio investments, full paydowns on thirteen portfolio investments and the expiration of one unfunded commitment during the year ended December 31, 2014 and a partial paydown on one portfolio investment and full paydowns on eleven portfolio investments during the year ended December 31, 2015. Dividend income for the year ended December 31, 2015 was $0.9 million. We did not have dividend income for the year ended December 31, 2014. Other income decreased from $9.3 million for the year ended December 31, 2014 to $7.9 million for the year ended December 31, 2015, primarily due to higher syndication, amendment and agency fees earned during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years ended December 31, 2016, 2015 and 2014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24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$23.1</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$22.0</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Incentive fees related to pre-incentive fee net investment income (net of</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waivers)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 (losses)</w:t>
            </w:r>
          </w:p>
        </w:tc>
        <w:tc>
          <w:tcPr>
            <w:tcW w:w="2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Directors fees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82.9</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76.6</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Interest expense, including other debt financing expenses, increased from $22.0 million for the year ended December 31, 2015 to $23.1 million for the year ended December 31, 2016. This increase was primarily due to an increase in the weighted average debt outstanding from $540.8 million for the year ended December 31, 2015 to $725.9 million for the year ended December 31, 2016, as well an increase in the average 1-month LIBOR rate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for the year ended December 31, 2015 from 0.20% to 0.50% for the year ended December 31, 2016. The average interest rate on our debt outstanding increased from 2.6% for the year ended December 31, 2015 to 2.7% for the year ended December 31, 2016 due to the increase in LIBOR.</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expense, including other debt financing expenses, increased from $15.1 million for the year ended December 31, 2014 to $22.0 million for the year ended December 31, 2015. This increase was primarily due to an increase in the weighted average debt outstanding from $377 million for the year ended December 31, 2014 to $541 million for the year ended December 31, 2015. The average interest rate on our debt outstanding for both the year ended December 31, 2014 and the year ended December 31, 2015 was 2.6%.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Fees (net of waivers) increased from $21.2 million for the year ended December 31, 2015 to $24.1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Management Fees increased from $21.3 million for the year ended December 31, 2015 to $24.3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due to the increase in total assets, which increased from an average of $1.4 billion for the year ended December 31, 2015 to an average of $1.6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2016. Management Fees waived for both the year ended December 31, 2015 and the year ended December 31, 2016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Management Fees waived during the year ended December 31, 2015 and the year ended December 31, 2016 were solely attributable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ownership of TICC Shares.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Fees (net of waivers) increased from $15.8 million for the year ended December 31, 2014 to $21.2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Management Fees increased from $18.3 million for the year ended December 31, 2014 to $21.3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due to the increase in total assets, which increased from an average of $1.2 billion for the year ended December 31, 2014 to an average of $1.4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2015. Management Fees waived decreased from $2.5 million for the year ended December 31, 2014 to $0.1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2015. There were no Management Fees waived during the period April 1, 2014 through December 31, 2014, following our IPO.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 waived during the year ended December 31, 2015 were solely attributable to our ownership of TICC Shares.</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has voluntarily waived the Management Fee on our ownership of the TICC Shares for any period in which TICC Capital Corp. remains our portfolio company.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 There can be no assurance that the Adviser will continue to waive Management Fees related to the TICC Shares, as the Adviser can discontinue the voluntary waiver at any time. Accordingly, we may be required to pay the full amount of the Management Fee, including with respect to the TICC Shares, in future periods.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Incentive Fees (net of waivers) related to pre-Incentive Fee net investment income increased from $20.0 million for the year ended December 31, 2015 and $22.4 million for the year ended December 31, 2016. This increase resulted from the increase in the size of the portfolio and related increase in net investment income. Incentive Fees waived related to pre-Incentive Fee net investment income increased from $0.2 million for the year ended December 31, 2015 to $0.3 million for the year ended December 31, 2016, consisting solely of Incentive Fees attributable to our ownership of the TICC Shares. There were no Incentive Fees related to capital gains and losses for the year ended December 31, 2015 and the year ended December 31, 2016 due to unrealized losses on our investments and realized losses on our investments.</w:t>
      </w:r>
    </w:p>
    <w:p>
      <w:pPr>
        <w:spacing w:after="0" w:line="178"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Incentive Fees (net of waivers) related to pre-Incentive Fee net investment income remained relatively flat at $20.8 million for the year ended December 31, 2014 and $20.0 million for the year ended December 31,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year ended December 31, 2015, Incentive Fees related to pre-Incentive Fee net investment income of $0.2 million were waived, consisting solely of Incentive Fees attributable to our ownership of the TICC Shares. There were no Incentive Fees related to pre-Incentive Fee net investment income waived for the year ended December 31, 2014, as we did not hold any TICC Shares during the period. Incentive Fees related to capital gains and losses were ($2.9) million for the year ended December 31, 2014 due to unrealized losses on our investments and realized losses on foreign exchange transactions. There were no Incentive Fees related to capital gains and losses for the year ended December 31, 2015 due to unrealized losses on our investments and realized losses on our investments.</w:t>
      </w:r>
    </w:p>
    <w:p>
      <w:pPr>
        <w:spacing w:after="0" w:line="19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Incentive Fee related to capital gains and losses attributable to our ownership of the TICC Shares and, accordingly, any realized capital gains or losses and unrealized capital appreciation and depreciation with respect to the TICC Shares will be applied towards our cumulative realized capital gains on which the Incentive Fee related to capital gains and losses is calculated.</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Any waived Incentive Fees are not subject to recoupment by the Adviser. There can be no assurance that the Adviser will continue to waive any Incentive Fee related to the TICC Shares, as the Adviser can discontinue the voluntary waiver at any time. Accordingly, we may be required to pay the full amount of the Incentive Fee, including with respect to the TICC Shares, in future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Professional fees increased from $8.2 million for the year ended December 31, 2015 to $8.5 million for the year ended December 31, 2016 due to an increase in costs associated with servicing our investment portfolio, as well as additional professional fees incurred relating to our investment in the TICC shares and related activity. Other general and administrative fees decreased from $4.8 million for the year ended December 31, 2015 to $4.4 million for the year ended December 31, 2016.</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Professional fees increased from $4.7 million for the year ended December 31, 2014 to $8.2 million for the year ended December 31, 2015 and other general and administrative fees increased from $3.9 million for the year ended December 31, 2014 to $4.8 million for the year ended December 31, 2015, both due to an increase in costs associated with servicing a growing investment portfolio, as well as additional professional fees incurred relating to our investment in the TICC shares and related activity.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calendar years ended December 31, 2016, 2015 and 2014 we recorded a net expense of $2.2 million, $1.5 million and $1.1 million, respectively, for U.S. federal excise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2016, 2015 and 2014:</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4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losses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(43.3)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(34.3)</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4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(34.3)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8"/>
              </w:rPr>
              <w:t>Unrealized appreciation (depreciation) on foreign currency borrowings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rPr>
              <w:t>Unrealized appreciation (depreciation) on foreign currency cash and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forward contracts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 Currency</w:t>
            </w: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b w:val="1"/>
                <w:bCs w:val="1"/>
                <w:color w:val="auto"/>
              </w:rPr>
              <w:t>Transactions and Interest Rate Swaps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For the years ended December 31, 2016, 2015 and 2014, we had net realized losses on investments of $0.8 million and $5.0 million and net realized gains on investments of $0.1 million, respectively. For the year ended December 31, 2015, we had net realized gains on interest rate swaps of $1.8 million. We did not have realized gains or losses on interest rate swaps for the years ended December 31, 2016 or 2014. For the years ended December 31, 2016, and 2014, we had net realized losses on foreign currency transactions of $0.2 million and $0.4 million, respectively, and net realized gains on foreign currency transactions of less than $0.1 million for the year ended December 31, 2015, primarily as a result of translating foreign currency related to our non-USD denominated investments. For the years ended December 31, 2016 and 2015, we had net realized gains on foreign currency forward contracts of less than $0.1 million, and net realized losses on foreign currency forward contracts of $1.6 million for the year ended December 31, 2014, primarily as a result of settling our foreign currency forward contracts. For the years ended December 31, 2016 and December 31, 2015, we had net realized losses on foreign currency investments of $10.9 million and $0.4 million, respectively. We did not have realized gains or losses on foreign currency investments for the year ended December 31, 2014. For the years ended December 31, 2016, 2015, and 2014 we had net realized gains on foreign currency borrowings of $11.8 million, $0.4 million and $0.2 million, respectively.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2016 we had $56.7 million in unrealized appreciation on 48 portfolio company investments, which was offset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$23.0 million in unrealized depreciation on 10 portfolio company investments. Unrealized appreciation for the year ended December 31, 2016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increase in fair value, primarily due to positive valuation adjustments and tightening credit spreads. Unrealized depreciation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resulted from the reversal of prior period unrealized appreciation on realized investments and in some instances negative credit-related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2015 we had $9.0 million in unrealized appreciation on 15 portfolio company investments, which was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$43.3 million in unrealized depreciation on 40 portfolio company investments. Unrealized appreciation for the year ended December 31, 2015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increase in fair value, primarily due to positive valuation adjustments. Unrealized depreciation for the year ended December 31, 2015 resulted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widening in credit spreads, the reversal of prior period unrealized appreciation and in some instances negative credit-related adjustments.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2014 we had $5.4 million in unrealized appreciation on 10 portfolio company investments, which was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 million in unrealized depreciation on 35 portfolio company investments. Unrealized appreciation for the year ended December 31, 2014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fair value, primarily due to a tightening spread environment during the six months ended June 30, 2014 and positive credit-related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depreciation for the year ended December 31, 2014 resulted from the reversal of prior period unrealized appreciation, primarily due to a widening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spread environment during the six months ended December 31, 2014, and in some instances negative credit-related and energy-related adjustments.</w:t>
      </w:r>
    </w:p>
    <w:p>
      <w:pPr>
        <w:spacing w:after="0" w:line="22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For the year ended December 31, 2016 we had unrealized depreciation on foreign currency borrowings of $3.6 million primarily as a result of fluctuations in the GBP, SEK and EUR exchange rates. For the years ended December 31, 2015 and 2014, we had unrealized appreciation on foreign currency borrowings of $6.3 million and $8.9 million, respectively, primarily as a result of fluctuations in the GBP, SEK and EUR exchange rates. For the years ended December 31, 2016 and 2014, we had unrealized appreciation on foreign currency cash and forward contracts of less than $0.1 million and $1.3 million, respectively, primarily as a result of settling our foreign currency forward contracts. For the year ended December 31, 2015, we had unrealized depreciation on foreign currency cash and forward contracts of less than $0.1 million, primarily as a result of settling our foreign currency forward contracts. For the years ended December 31, 2016 and 2015, we had unrealized depreciation on interest rate swaps of $0.3 million and $0.5 million, respectively, due to fluctuations in interest rates. For the year ended December 31, 2014, we had unrealized appreciation on interest rate swaps of $1.0 million due to fluctuations in interest rates.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Since we began investing in 2011 through December 31, 2016, our exited investments have resulted in an aggregate cash flow realized gross internal rate of return to us of 15.3% (based on cash invested of $1.6 billion and total proceeds from these exited investments of $2.0 billion). Ninety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necessary local currency under our Revolving Credit Facility to fund these investments. For the years ended December 31, 2016, 2015 and 2014, we had $3.6 million of unrealized losses and $6.3 million and $8.9 million of unrealized gains, respectively, on the translation of our non-U.S. dollar denominated debt into U.S. dollars; such amounts approximate the corresponding unrealized gains and losses on the translation of our non-U.S. dollar denominated investments into U.S. dollars for the years ended December 31, 2016, 2015 and 2014. See Note 2 to our consolidated financial statements for additional disclosure regarding our accounting for foreign currency. See Note 7 to our consolidated financial statements for additional disclosure regarding the amounts of outstanding debt denominated in each foreign currency at December 31, 2016. See our consolidated schedule of investments for additional disclosure regarding the foreign currency amounts (in both par and fair value) of our non-U.S. dollar denominated investments.</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During the years ended December 31, 2016 and December 31, 2015, we entered into foreign currency forward contracts to facilitate settlement of purchases and sales of investments denominated in foreign currencies. We bear the costs incurred in connection with entering into, administering and settling derivative contracts. There can be no assurance any hedging strategy we employ will be successful.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capital commitments of our private phase investors terminated upon the completion of our IPO. We intend to continue to generate cash primarily from cash flows from operations, future borrowings and future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2016, 2015 and 2014, our asset coverage ratio was 237.7%, 225.7%, and 311.0%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6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Cash and cash equivalents as of December 31, 2016, taken together with cash available under our credit facilities, is expected to be sufficient for our investing activities and to conduct our operations in the near term. As of December 31, 2016, we had approximately $366.3 million of availability on our Revolving Credit Facility, subject to asset coverage limitations.</w:t>
      </w:r>
    </w:p>
    <w:p>
      <w:pPr>
        <w:spacing w:after="0" w:line="18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As of December 31, 2016, we had $4.9 million in cash and cash equivalents. During the year ended December 31, 2016, we used $37.9 million in cash for operating activities, primarily as a result of funding portfolio investments of $720.7 million and other operating activity of $49.8 million, which was partially offset by proceeds from investments of $71.4 million, repayments on investments of $524.2 million, and an increase in net assets resulting from operations of $137.0 million. Lastly, cash provided by financing activities was $40.3 million during the period, primarily due to borrowings of $580.4 million and proceeds from issuance of common stock (net of purchases of treasury stock and offering and underwriting costs) of $76.9 million, partially offset by repayments on debt of $533.8 million, debt issuance costs of $2.9 million and dividends paid of $80.3 million.</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of December 31, 2015, we had $2.4 million in cash and cash equivalents. During the year ended December 31, 2015, we used $183.5 million in cash for operating activities, primarily as a result of funding portfolio investments of $757.3 million and other operating activity of $3.4 million, which was partially offset by proceeds from investments of $39.1 million, repayments on investments of $474.5 million, and an increase in net assets resulting from operations of $63.6 million. Lastly, cash provided by financing activities was $183.5 million during the period, primarily due to borrowings of $847.5 million, partially offset by repayments on debt of $584.5 million, debt issuance costs of $1.4 million and dividends paid of $78.1 million.</w:t>
      </w:r>
    </w:p>
    <w:p>
      <w:pPr>
        <w:spacing w:after="0" w:line="173"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As of December 31, 2016, we had $1.1 million of restricted cash pledged as collateral under our interest rate swap agreements, compared to $0.9 million as of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March 3, 2016, we issued 5,000,000 shares of common stock at $16.42 per share. Net of underwriting fees and offering costs, we received total cash proceeds of $78.3 million.</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During the years ended December 31, 2016 and 2015, we also issued 638,326 and 368,602 shares of our common stock, respectively, to investors who have not opted out of our dividend reinvestment plan for proceeds of $10.3 million and $6.1 million, respectively. On February 1, 2017, we issued 122,836 shares of our common stock through our dividend reinvestment plan for proceeds of $2.1 million, which is not reflected in the number of shares issued for the year ended December 31, 2016 in this section or the consolidated financial statements for the year ended December 31, 2016.</w:t>
      </w:r>
    </w:p>
    <w:p>
      <w:pPr>
        <w:spacing w:after="0" w:line="15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10b5-1 Plan expired in accordance with its terms on June 30, 2015. On August 4, 2015, the Board authorized us to enter into a new stock repurchase plan, on substantially the same terms as the prior stock repurchase plan, over an initial six month period, and has continued to authorize extensions of the plan termination date prior to its expiration since that time. On February 22, 2017, the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15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During the year ended December 31, 2016, 86,081 shares were repurchased under the Company 10b5-1 Plan at a weighted average price per share of $15.44, inclusive of commissions, for a total cost of $1.3 million. During the year ended December 31, 2015, 2,000 shares were repurchased under the Company 10b5-1 Plan at a weighted average price per share of $14.44, inclusive of commissions, for a total cost of $28.9.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6"/>
              </w:rPr>
              <w:t>December 31, 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380" w:type="dxa"/>
            <w:vAlign w:val="bottom"/>
          </w:tcPr>
          <w:p>
            <w:pPr>
              <w:spacing w:after="0"/>
              <w:rPr>
                <w:sz w:val="10"/>
                <w:szCs w:val="10"/>
                <w:color w:val="auto"/>
              </w:rPr>
            </w:pPr>
          </w:p>
        </w:tc>
        <w:tc>
          <w:tcPr>
            <w:tcW w:w="1460" w:type="dxa"/>
            <w:vAlign w:val="bottom"/>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w w:val="96"/>
              </w:rPr>
              <w:t>Outstanding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0"/>
                <w:szCs w:val="10"/>
                <w:color w:val="auto"/>
              </w:rPr>
            </w:pPr>
          </w:p>
        </w:tc>
      </w:tr>
      <w:tr>
        <w:trPr>
          <w:trHeight w:val="171"/>
        </w:trPr>
        <w:tc>
          <w:tcPr>
            <w:tcW w:w="3540" w:type="dxa"/>
            <w:vAlign w:val="bottom"/>
          </w:tcPr>
          <w:p>
            <w:pPr>
              <w:spacing w:after="0"/>
              <w:rPr>
                <w:sz w:val="20"/>
                <w:szCs w:val="20"/>
                <w:color w:val="auto"/>
              </w:rPr>
            </w:pPr>
            <w:r>
              <w:rPr>
                <w:rFonts w:ascii="Arial" w:cs="Arial" w:eastAsia="Arial" w:hAnsi="Arial"/>
                <w:sz w:val="14"/>
                <w:szCs w:val="14"/>
                <w:color w:val="auto"/>
              </w:rPr>
              <w:t>($ in millions)</w:t>
            </w:r>
          </w:p>
        </w:tc>
        <w:tc>
          <w:tcPr>
            <w:tcW w:w="13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38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2"/>
                <w:szCs w:val="12"/>
                <w:b w:val="1"/>
                <w:bCs w:val="1"/>
                <w:color w:val="auto"/>
                <w:w w:val="99"/>
              </w:rPr>
              <w:t>(2)</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569.9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110.8</w:t>
            </w:r>
          </w:p>
        </w:tc>
      </w:tr>
      <w:tr>
        <w:trPr>
          <w:trHeight w:val="27"/>
        </w:trPr>
        <w:tc>
          <w:tcPr>
            <w:tcW w:w="3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693.7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680.7</w:t>
            </w:r>
          </w:p>
        </w:tc>
      </w:tr>
      <w:tr>
        <w:trPr>
          <w:trHeight w:val="20"/>
        </w:trPr>
        <w:tc>
          <w:tcPr>
            <w:tcW w:w="3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30"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Convertible Senior Notes are presented net of deferred financing costs of $8.7 million and $2.3 million, respectively.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8"/>
              </w:rPr>
              <w:t>December 31,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5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380" w:type="dxa"/>
            <w:vAlign w:val="bottom"/>
          </w:tcPr>
          <w:p>
            <w:pPr>
              <w:spacing w:after="0"/>
              <w:rPr>
                <w:sz w:val="10"/>
                <w:szCs w:val="10"/>
                <w:color w:val="auto"/>
              </w:rPr>
            </w:pPr>
          </w:p>
        </w:tc>
        <w:tc>
          <w:tcPr>
            <w:tcW w:w="1440" w:type="dxa"/>
            <w:vAlign w:val="bottom"/>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w w:val="96"/>
              </w:rPr>
              <w:t>Outstanding</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Amount</w:t>
            </w:r>
          </w:p>
        </w:tc>
        <w:tc>
          <w:tcPr>
            <w:tcW w:w="36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0"/>
                <w:szCs w:val="10"/>
                <w:color w:val="auto"/>
              </w:rPr>
            </w:pPr>
          </w:p>
        </w:tc>
      </w:tr>
      <w:tr>
        <w:trPr>
          <w:trHeight w:val="171"/>
        </w:trPr>
        <w:tc>
          <w:tcPr>
            <w:tcW w:w="358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tcPr>
          <w:p>
            <w:pPr>
              <w:spacing w:after="0"/>
              <w:rPr>
                <w:sz w:val="14"/>
                <w:szCs w:val="14"/>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Amount Committed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1"/>
              </w:rPr>
              <w:t>Principal</w:t>
            </w:r>
          </w:p>
        </w:tc>
        <w:tc>
          <w:tcPr>
            <w:tcW w:w="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36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2"/>
                <w:szCs w:val="12"/>
                <w:b w:val="1"/>
                <w:bCs w:val="1"/>
                <w:color w:val="auto"/>
                <w:w w:val="99"/>
              </w:rPr>
              <w:t>(2)</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109.4</w:t>
            </w:r>
          </w:p>
        </w:tc>
      </w:tr>
      <w:tr>
        <w:trPr>
          <w:trHeight w:val="27"/>
        </w:trPr>
        <w:tc>
          <w:tcPr>
            <w:tcW w:w="3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655.3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642.4</w:t>
            </w:r>
          </w:p>
        </w:tc>
      </w:tr>
      <w:tr>
        <w:trPr>
          <w:trHeight w:val="20"/>
        </w:trPr>
        <w:tc>
          <w:tcPr>
            <w:tcW w:w="3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30"/>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Convertible Senior Notes are presented net of deferred financing costs of $7.3 million and $3.1 million, respectively.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2016 and December 31, 2015,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31" w:lineRule="exact"/>
        <w:rPr>
          <w:sz w:val="20"/>
          <w:szCs w:val="20"/>
          <w:color w:val="auto"/>
        </w:rPr>
      </w:pPr>
    </w:p>
    <w:p>
      <w:pPr>
        <w:ind w:left="900" w:right="260" w:hanging="325"/>
        <w:spacing w:after="0" w:line="34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31" w:lineRule="exact"/>
        <w:rPr>
          <w:sz w:val="20"/>
          <w:szCs w:val="20"/>
          <w:color w:val="auto"/>
        </w:rPr>
      </w:pPr>
    </w:p>
    <w:p>
      <w:pPr>
        <w:ind w:left="900" w:right="24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22, 2016, we entered into a fifth amendment to the Revolving Credit Facility:</w:t>
      </w:r>
    </w:p>
    <w:p>
      <w:pPr>
        <w:spacing w:after="0" w:line="13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December 31, 2016, we had outstanding debt denominated in Euro (EUR) of 47.1 million and Pound Sterling (GBP) of 13.3 million on our Revolving Credit Facility, included in the Outstanding Principal amount in the table above.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5620" w:right="4680" w:hanging="5045"/>
        <w:spacing w:after="0" w:line="490" w:lineRule="auto"/>
        <w:tabs>
          <w:tab w:leader="none" w:pos="896"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asset coverage ratio of no less than 2 to 1 on the last day of any fiscal quarter; 75</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40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Net proceeds received from our IPO, the exercise of the underwriters’ over-allotment option from the IPO, the issuance of the 2019 Convertible Senior Notes and the issuance of common stock in March 2016 were used to pay down borrowings on the Revolving Credit Facility.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After giving effect to amendments to the credit and security agreement in January 2014 and March 2015, the facility had commitments of $175 million and the pricing ranged from cost of funds plus 225 basis points to LIBOR plus 235 basis points and the facility was scheduled to mature on January 21, 2021.</w:t>
      </w:r>
    </w:p>
    <w:p>
      <w:pPr>
        <w:spacing w:after="0" w:line="124"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our other debt obligations.</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On June 10, 2014, we issued in a private offering $115 million aggregate principal amount convertible senior notes due December 2019, or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our common stock or a combination of cash and shares of our common stock, at our election, at an initial conversion rate of 38.7162 shares of common stock per $1,000 principal amount of 2019 Convertible Senior Notes, which is equivalent to an initial conversion price of approximately $25.83 per share of our common stock, subject to customary anti-dilution adjustments. The sale of the 2019 Convertible Senior Notes generated net proceeds of approximately $110.8 million. We used the net proceeds of the offering to pay down debt under the Revolving Credit Facility. In connection with the offering of 2019 Convertible Senior Notes, we have entered into interest rate swaps to continue to align the interest rates of our liabilities with our investment portfolio, which consists of predominately floating rate loans. As a result of the swaps, our effective interest rate on the 2019 Convertible Senior Notes is three-month LIBOR plus 286 basis points.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may convert their 2019 Convertible Senior Notes at their option at any time prior to June 15, 2019 only under the following circumstances:</w:t>
      </w:r>
    </w:p>
    <w:p>
      <w:pPr>
        <w:spacing w:after="0" w:line="46" w:lineRule="exact"/>
        <w:rPr>
          <w:sz w:val="20"/>
          <w:szCs w:val="20"/>
          <w:color w:val="auto"/>
        </w:rPr>
      </w:pPr>
    </w:p>
    <w:p>
      <w:pPr>
        <w:ind w:firstLine="8"/>
        <w:spacing w:after="0" w:line="281"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80" w:firstLine="8"/>
        <w:spacing w:after="0" w:line="254"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or the measurement period, in which the trading price (as defined in the indenture governing the 2019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w:t>
      </w:r>
    </w:p>
    <w:p>
      <w:pPr>
        <w:spacing w:after="0" w:line="19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2016, the principal amount of the 2019 Convertible Senior Notes exceeded the value of the underlying shares multiplied by the per share closing price of our common stock.</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2019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2019 Convertible Senior Notes under certain circumstances. These covenants are subject to important limitations and exceptions that are described in the 2019 Convertible Senior Notes Indenture. As of December 31, 2016 and December 31, 2015, we were in compliance with the terms of the 2019 Convertible Senior Notes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2019 Convertible Senior Notes are accounted for in accordance with Accounting Standards Codification (“ASC”) 470-20. Upon conversion of any of the 2019 Convertible Senior Notes, we intend to pay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2019 Convertible Senior Notes Indenture. We have determined that the embedded conversion options in the 2019 Convertible Senior Notes are not required to be separately accounted for as a derivative under U.S. GAAP. In accounting for the 2019 Convertible Senior Notes, we estimated at the time of issuance separate debt and equity components of the 2019 Convertible Senior Notes. An original issue discount equal to the equity components of the 2019 Convertible Senior Notes was recorded in “additional paid-in capital” in the accompanying consolidated balance sheet. Additionally, the issuance costs associated with the 2019 Convertible Senior Notes were allocated to the debt and equity components in proportion to the allocation of the proceeds and accounted for as debt issuance costs and equity issuance costs,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 2017, we issued in a private offering $100 million aggregate principal amount of 4.50% Convertible Senior Notes due 2022 (the “2022 Convertible Senior Notes”). On February 3, 2017, we issued an additional $15 million aggregate principal amount of the 2022 Convertible Senior Notes pursuant to the exercise in full of the over-allotment option to purchase additional notes granted to the initial purchasers. The 2022 Convertible Senior Notes are unsecured, and bear interest at a rate of 4.50% per year, payable semiannually. The 2022 Convertible Senior Notes will mature on August 1, 2022. In certain circumstances, the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The sale of the 2022 Convertible Senior Notes generated net proceeds of approximately $110.6 million. We used the net proceeds of the 2022 Convertible Senior Notes issuances to pay down debt under the Revolving Credit Facility.</w:t>
      </w:r>
    </w:p>
    <w:p>
      <w:pPr>
        <w:spacing w:after="0" w:line="16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February 1, 2017, in connection with the issuance of the 2022 Convertible Senior Notes, we entered into an interest rate swap transaction with a notional amount of $115 million. We pay three-month LIBOR plus 237.2 basis points and receives fixed rate interest at 4.50%. The swap transaction matures on August 1, 2022.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2016 and 2015, we had the following commitments to fund investments in current portfolio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December 31, 2016</w:t>
            </w:r>
          </w:p>
        </w:tc>
        <w:tc>
          <w:tcPr>
            <w:tcW w:w="1300" w:type="dxa"/>
            <w:vAlign w:val="bottom"/>
          </w:tcPr>
          <w:p>
            <w:pPr>
              <w:spacing w:after="0"/>
              <w:rPr>
                <w:sz w:val="14"/>
                <w:szCs w:val="14"/>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December 31, 2015</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AppStar Financial, LLC—Revolver</w:t>
            </w:r>
          </w:p>
        </w:tc>
        <w:tc>
          <w:tcPr>
            <w:tcW w:w="54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AvidXchange, Inc.—Delayed Draw Term Loan</w:t>
            </w:r>
          </w:p>
        </w:tc>
        <w:tc>
          <w:tcPr>
            <w:tcW w:w="5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Clarabridge, Inc.—Revolver</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CrunchTime Information Systems, Inc.—Delayed Draw Term Loan</w:t>
            </w:r>
          </w:p>
        </w:tc>
        <w:tc>
          <w:tcPr>
            <w:tcW w:w="5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Inc.—Revolver</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Ecommerce Industries, Inc.—Delayed Draw Term Loan</w:t>
            </w:r>
          </w:p>
        </w:tc>
        <w:tc>
          <w:tcPr>
            <w:tcW w:w="5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Inc.—Revolver</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Heartland Automotive Holdings, LLC—Revolver</w:t>
            </w:r>
          </w:p>
        </w:tc>
        <w:tc>
          <w:tcPr>
            <w:tcW w:w="5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Helix Health, Ltd.—Revolver</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Highwinds Capital, Inc.—Revolver</w:t>
            </w:r>
          </w:p>
        </w:tc>
        <w:tc>
          <w:tcPr>
            <w:tcW w:w="5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IRGSE Holding Corp.—Revolver</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Leaf US Holdings, Inc.—Revolver</w:t>
            </w:r>
          </w:p>
        </w:tc>
        <w:tc>
          <w:tcPr>
            <w:tcW w:w="5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Marketo, Inc.—Revolver</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MyAlarm Center, LLC—Delayed Draw</w:t>
            </w:r>
          </w:p>
        </w:tc>
        <w:tc>
          <w:tcPr>
            <w:tcW w:w="5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Inc.—Revolver</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PayLease, LLC—Revolver</w:t>
            </w:r>
          </w:p>
        </w:tc>
        <w:tc>
          <w:tcPr>
            <w:tcW w:w="5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SailPoint Technologies, Inc.—Revolver</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ScentAir Technologies, Inc.—Multi Draw Term Loan</w:t>
            </w:r>
          </w:p>
        </w:tc>
        <w:tc>
          <w:tcPr>
            <w:tcW w:w="5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Inc.—Revolver</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Sears—ABL Revolver</w:t>
            </w:r>
          </w:p>
        </w:tc>
        <w:tc>
          <w:tcPr>
            <w:tcW w:w="5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Sovos Compliance, LLC—Revolver</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540" w:type="dxa"/>
            <w:vAlign w:val="bottom"/>
          </w:tcPr>
          <w:p>
            <w:pPr>
              <w:jc w:val="right"/>
              <w:ind w:right="38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184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r>
      <w:tr>
        <w:trPr>
          <w:trHeight w:val="20"/>
        </w:trPr>
        <w:tc>
          <w:tcPr>
            <w:tcW w:w="7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As of December 31, 2016, we had additional unfunded commitments of $50.0 million to fund investments to new borrowers that were not current portfolio companies as of December 31, 2016. As of December 31, 2015, we did not have any unfunded commitments to fund investments to new borrowers that were not current portfolio companies as of December 31, 2015.</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500" w:firstLine="456"/>
        <w:spacing w:after="0" w:line="279"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2016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Payments Due by Period</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0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Total</w:t>
            </w: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Less than</w:t>
            </w:r>
          </w:p>
        </w:tc>
        <w:tc>
          <w:tcPr>
            <w:tcW w:w="54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3-5 years</w:t>
            </w:r>
          </w:p>
        </w:tc>
        <w:tc>
          <w:tcPr>
            <w:tcW w:w="54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After 5 years</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20"/>
                <w:szCs w:val="20"/>
                <w:color w:val="auto"/>
              </w:rPr>
            </w:pPr>
            <w:r>
              <w:rPr>
                <w:rFonts w:ascii="Arial" w:cs="Arial" w:eastAsia="Arial" w:hAnsi="Arial"/>
                <w:sz w:val="14"/>
                <w:szCs w:val="14"/>
                <w:color w:val="auto"/>
              </w:rPr>
              <w:t>($ in millions)</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$578.7</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$ 578.7</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060" w:type="dxa"/>
            <w:vAlign w:val="bottom"/>
            <w:gridSpan w:val="2"/>
          </w:tcPr>
          <w:p>
            <w:pPr>
              <w:jc w:val="center"/>
              <w:ind w:right="5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115.0</w:t>
            </w:r>
          </w:p>
        </w:tc>
        <w:tc>
          <w:tcPr>
            <w:tcW w:w="10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115.0</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693.7</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115.0</w:t>
            </w:r>
          </w:p>
        </w:tc>
        <w:tc>
          <w:tcPr>
            <w:tcW w:w="54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$ 578.7</w:t>
            </w:r>
          </w:p>
        </w:tc>
        <w:tc>
          <w:tcPr>
            <w:tcW w:w="5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right="2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distributed to avoid entirely the imposition of this tax. In that event, we will be liable for this tax only on the amount by which we do not meet the foregoing distribution requirement.</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We also fund portions of our investments with borrowings. Our net investment income is affected by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difference between the rate at which we invest and the rate at which we borrow. Accordingly, we cannot assure you that a significant change in market interest rates will not have a material adverse effect on our net investment income.</w:t>
      </w:r>
    </w:p>
    <w:p>
      <w:pPr>
        <w:spacing w:after="0" w:line="17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2016, 98.4% of our debt investments based on fair value in our portfolio bore interest at floating rates (when including investment specific hedges), with 94.8% of these subject to interest rate floors. Our credit facilities also bear interest at floating rates, and in connection with our 2019 Convertible Senior Notes, which bear interest at a fixed rate; we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Assuming that our consolidated balance sheet as of December 31, 2016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64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Interest Income</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Interest Expense</w:t>
            </w:r>
          </w:p>
        </w:tc>
        <w:tc>
          <w:tcPr>
            <w:tcW w:w="4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Net 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3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48.6</w:t>
            </w: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w:t>
            </w: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02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13.8</w:t>
            </w:r>
          </w:p>
        </w:tc>
        <w:tc>
          <w:tcPr>
            <w:tcW w:w="7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15.8</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w:t>
            </w:r>
          </w:p>
        </w:tc>
        <w:tc>
          <w:tcPr>
            <w:tcW w:w="7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202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2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7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bl>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 in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6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to our consolidated financial statements included in this prospectus for more information on the fair value of our investments.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As of December 31, 2016, we did not have any uncertain tax positions that met the recognition or measurement criteria, nor did we have any unrecognized tax benefits. Conclusions regarding tax positions are subject to review and may be adjusted at a later date based on factors including on-going analyses of tax laws, regulations and interpretations thereof. Our 2015, 2014 and 2013 tax year returns remain subject to examination by the relevant federal and state tax authorities.</w:t>
      </w:r>
    </w:p>
    <w:p>
      <w:pPr>
        <w:spacing w:after="0" w:line="18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The report of our independent registered public accounting firm, KPMG LLP, on the senior securities table as of December 31, 2016 is attached as an exhibit to the registration statement of which this prospectus is a part.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8"/>
              </w:rPr>
              <w:t>Involuntary</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Treasury</w:t>
            </w:r>
          </w:p>
        </w:tc>
        <w:tc>
          <w:tcPr>
            <w:tcW w:w="400" w:type="dxa"/>
            <w:vAlign w:val="bottom"/>
          </w:tcPr>
          <w:p>
            <w:pPr>
              <w:spacing w:after="0"/>
              <w:rPr>
                <w:sz w:val="12"/>
                <w:szCs w:val="12"/>
                <w:color w:val="auto"/>
              </w:rPr>
            </w:pPr>
          </w:p>
        </w:tc>
        <w:tc>
          <w:tcPr>
            <w:tcW w:w="1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Coverage</w:t>
            </w: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5"/>
              </w:rPr>
              <w:t>Average Market</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26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Securities</w:t>
            </w:r>
            <w:r>
              <w:rPr>
                <w:rFonts w:ascii="Arial" w:cs="Arial" w:eastAsia="Arial" w:hAnsi="Arial"/>
                <w:sz w:val="12"/>
                <w:szCs w:val="12"/>
                <w:b w:val="1"/>
                <w:bCs w:val="1"/>
                <w:color w:val="auto"/>
                <w:w w:val="93"/>
              </w:rPr>
              <w:t>(1)</w:t>
            </w:r>
          </w:p>
        </w:tc>
        <w:tc>
          <w:tcPr>
            <w:tcW w:w="40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7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1"/>
              </w:rPr>
              <w:t>Preference Per</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9"/>
              </w:rPr>
              <w:t>Per Unit</w:t>
            </w:r>
            <w:r>
              <w:rPr>
                <w:rFonts w:ascii="Arial" w:cs="Arial" w:eastAsia="Arial" w:hAnsi="Arial"/>
                <w:sz w:val="12"/>
                <w:szCs w:val="12"/>
                <w:b w:val="1"/>
                <w:bCs w:val="1"/>
                <w:color w:val="auto"/>
                <w:w w:val="99"/>
              </w:rPr>
              <w:t>(2)</w:t>
            </w:r>
          </w:p>
        </w:tc>
        <w:tc>
          <w:tcPr>
            <w:tcW w:w="17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(3)</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Value Per Unit</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196"/>
        </w:trPr>
        <w:tc>
          <w:tcPr>
            <w:tcW w:w="1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25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380" w:type="dxa"/>
            <w:vAlign w:val="bottom"/>
            <w:gridSpan w:val="2"/>
          </w:tcPr>
          <w:p>
            <w:pPr>
              <w:ind w:left="12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578.7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2,376.6</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3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540.3</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2,257.3</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1380" w:type="dxa"/>
            <w:vAlign w:val="bottom"/>
            <w:gridSpan w:val="2"/>
          </w:tcPr>
          <w:p>
            <w:pPr>
              <w:ind w:left="12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283.9</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3,110.3</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3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432.3</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2,329.5</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1380" w:type="dxa"/>
            <w:vAlign w:val="bottom"/>
            <w:gridSpan w:val="2"/>
          </w:tcPr>
          <w:p>
            <w:pPr>
              <w:ind w:left="12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331.8</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2,445.9</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3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2,116.7</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3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2,376.6</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380" w:type="dxa"/>
            <w:vAlign w:val="bottom"/>
            <w:gridSpan w:val="2"/>
          </w:tcPr>
          <w:p>
            <w:pPr>
              <w:ind w:left="12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112.5</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2,257.3</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3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111.9</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3,110.3</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80" w:hanging="452"/>
        <w:spacing w:after="0" w:line="27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75"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86"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2016, we have originated more than $5.0 billion aggregate principal amount of investments and retained approximately $3.5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2016, our core portfolio companies, which exclude certain investments that fall outside of our typical borrower profile and represent 88.2% of our total investments based on fair value, had weighted average annual revenue of $144.1 million and weighted average annual EBITDA of $31.4 million.</w:t>
      </w:r>
    </w:p>
    <w:p>
      <w:pPr>
        <w:spacing w:after="0" w:line="182"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9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December 31, 2016, based on fair value our portfolio consisted of 96.5% first-lien debt investments, 1.2% second-lien debt investments, 0.6% mezzanine and unsecured debt investments, and 1.7% equity and other investments. Approximately 98.4% of our debt investments based on fair value as of December 31, 2016 bore interest at floating rates (when including investment specific hedges), with 94.8% of these subject to interest rate floors, which we believe helps act as a portfolio-wide hedge against inflation.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2016, we had investments in 52 portfolio companies with an aggregate fair value of $1,657.4 million. For the year ended December 31, 2016, we made new investment commitments of $562.7 million, including $492.7 million in 14 new portfolio companies and $70.0 million in nine existing portfolio companies. For this period, we had $416.5 million aggregate principal amount in exits and repayments, resulting in a net portfolio increase of $103.6 million aggregate principal amount.</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2015, we had investments in 46 portfolio companies with an aggregate fair value of $1,485.7 million. For the year ended December 31, 2015, we made new investment commitments of $718.7 million, including $631.6 million in 20 new portfolio companies and $87.1 million in 14 existing portfolio companies. For this period, we had $385.2 million aggregate principal amount in exits and repayments, resulting in a net portfolio increase of $278.8 million aggregate principal amount.</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December 31, 2016, our portfolio was invested across 19 different industries. The largest industries in our portfolio as of December 31, 2016 were business services and healthcare, which represented, as a percentage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our portfolio, 22.6% and 12.2%, respectively, based on fair value. As of December 31, 2016, our average investment size in each of our portfolio companies was approximately $31.9 million based on fair value. As of December 31, 2016, the largest single investment based on fair value represented 4.5% of our total investment portfolio.</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TSLX—Our Investment Adviser” below. Pursuant to our certificate of incorporation, the Board consists of five members divided into three classes with staggered three-year terms. As a BDC, a majority of our Board consists of Independent Directors.</w:t>
      </w:r>
    </w:p>
    <w:p>
      <w:pPr>
        <w:spacing w:after="0" w:line="18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TSLX</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TSSP, with over $18 billion of assets under management as of December 31, 2016, is TPG’s special situations and credit platform and encompasses TPG Specialty Lending, TPG Opportunities Partners and TSSP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December 31, 2016, twenty nine (29) of these personnel are dedicated to our business, including twenty one (21) investment professionals.</w:t>
      </w:r>
    </w:p>
    <w:p>
      <w:pPr>
        <w:spacing w:after="0" w:line="15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TPG is a leading global private investment firm founded in 1992 with approximately $72 billion of assets under management as of December 31, 2016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Under the terms of the Investment Advisory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Incentive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2016, we incurred expenses of $3.1 million for administrative services payable under the terms of the Administration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6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Strong demand for debt capital</w:t>
      </w:r>
      <w:r>
        <w:rPr>
          <w:rFonts w:ascii="Arial" w:cs="Arial" w:eastAsia="Arial" w:hAnsi="Arial"/>
          <w:sz w:val="16"/>
          <w:szCs w:val="16"/>
          <w:color w:val="auto"/>
        </w:rPr>
        <w:t>. We believe middle-market companies will continue to require access to debt capital to refinance existing debt,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finance acquisitions. In addition, we believe the large amount of uninvested capital held by funds of private equity firms, estimated by Preqin Ltd., an alternative assets industry data and research company, at $1.4 trillion as of December 2016, will continue to drive deal activity. We expect that private equity firms will continue to pursue acquisitions and to seek to leverage their equity investments with secured loans provided by companies such as ours.</w:t>
      </w:r>
    </w:p>
    <w:p>
      <w:pPr>
        <w:spacing w:after="0" w:line="154"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Attractive investment dynamics</w:t>
      </w:r>
      <w:r>
        <w:rPr>
          <w:rFonts w:ascii="Arial" w:cs="Arial" w:eastAsia="Arial" w:hAnsi="Arial"/>
          <w:sz w:val="17"/>
          <w:szCs w:val="17"/>
          <w:color w:val="auto"/>
        </w:rPr>
        <w:t>. An imbalance between the supply of, and demand for, middle-market debt capital creates attractive pricing dynamics.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Illustrative of the market opportunity for BDCs, the graph below demonstrates the decline in bank participation and increased prevalence of non-bank lenders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134620</wp:posOffset>
            </wp:positionV>
            <wp:extent cx="3035935" cy="19723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3593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380"/>
        <w:spacing w:after="0" w:line="230" w:lineRule="auto"/>
        <w:rPr>
          <w:sz w:val="20"/>
          <w:szCs w:val="20"/>
          <w:color w:val="auto"/>
        </w:rPr>
      </w:pPr>
      <w:r>
        <w:rPr>
          <w:rFonts w:ascii="Arial" w:cs="Arial" w:eastAsia="Arial" w:hAnsi="Arial"/>
          <w:sz w:val="14"/>
          <w:szCs w:val="14"/>
          <w:i w:val="1"/>
          <w:iCs w:val="1"/>
          <w:color w:val="auto"/>
        </w:rPr>
        <w:t>Notes: Excludes left and right agent commitments (including administrative, syndication and documentation agent as well as arranger); Excludes revolving credit-only asset backed loans</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4"/>
          <w:szCs w:val="14"/>
          <w:i w:val="1"/>
          <w:iCs w:val="1"/>
          <w:color w:val="auto"/>
        </w:rPr>
        <w:t>Source: S&amp;P Capital IQ , LCD 4Q16 Leverage Lending Review</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169545</wp:posOffset>
            </wp:positionV>
            <wp:extent cx="2615565" cy="2263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1556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840"/>
        <w:spacing w:after="0"/>
        <w:rPr>
          <w:sz w:val="20"/>
          <w:szCs w:val="20"/>
          <w:color w:val="auto"/>
        </w:rPr>
      </w:pPr>
      <w:r>
        <w:rPr>
          <w:rFonts w:ascii="Arial" w:cs="Arial" w:eastAsia="Arial" w:hAnsi="Arial"/>
          <w:sz w:val="14"/>
          <w:szCs w:val="14"/>
          <w:i w:val="1"/>
          <w:iCs w:val="1"/>
          <w:color w:val="auto"/>
        </w:rPr>
        <w:t>($ in trillions)</w:t>
      </w:r>
    </w:p>
    <w:p>
      <w:pPr>
        <w:ind w:left="2840"/>
        <w:spacing w:after="0"/>
        <w:rPr>
          <w:sz w:val="20"/>
          <w:szCs w:val="20"/>
          <w:color w:val="auto"/>
        </w:rPr>
      </w:pPr>
      <w:r>
        <w:rPr>
          <w:rFonts w:ascii="Arial" w:cs="Arial" w:eastAsia="Arial" w:hAnsi="Arial"/>
          <w:sz w:val="14"/>
          <w:szCs w:val="14"/>
          <w:i w:val="1"/>
          <w:iCs w:val="1"/>
          <w:color w:val="auto"/>
        </w:rPr>
        <w:t>Source: Preqin as of December 2016</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sources. Our Adviser has a dedicated team of 21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The senior members of our Investment Team have over 200 years of collective experience as commercial dealmakers.</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900" w:right="34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75" w:lineRule="exact"/>
        <w:rPr>
          <w:rFonts w:ascii="Arial" w:cs="Arial" w:eastAsia="Arial" w:hAnsi="Arial"/>
          <w:sz w:val="18"/>
          <w:szCs w:val="18"/>
          <w:color w:val="auto"/>
        </w:rPr>
      </w:pPr>
    </w:p>
    <w:p>
      <w:pPr>
        <w:ind w:left="1480" w:right="20" w:hanging="446"/>
        <w:spacing w:after="0" w:line="276" w:lineRule="auto"/>
        <w:tabs>
          <w:tab w:leader="none" w:pos="1480"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Business and sector selection</w:t>
      </w:r>
      <w:r>
        <w:rPr>
          <w:rFonts w:ascii="Arial" w:cs="Arial" w:eastAsia="Arial" w:hAnsi="Arial"/>
          <w:sz w:val="17"/>
          <w:szCs w:val="17"/>
          <w:color w:val="auto"/>
        </w:rPr>
        <w:t>. We focus on companies with enterprise value between $50 million and $1 billion. When reviewing</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77" w:lineRule="exact"/>
        <w:rPr>
          <w:rFonts w:ascii="Arial" w:cs="Arial" w:eastAsia="Arial" w:hAnsi="Arial"/>
          <w:sz w:val="17"/>
          <w:szCs w:val="17"/>
          <w:color w:val="auto"/>
        </w:rPr>
      </w:pPr>
    </w:p>
    <w:p>
      <w:pPr>
        <w:ind w:left="1480" w:right="40" w:hanging="446"/>
        <w:spacing w:after="0" w:line="255"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98"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We seek transactions that are too small for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77" w:lineRule="auto"/>
        <w:rPr>
          <w:sz w:val="20"/>
          <w:szCs w:val="20"/>
          <w:color w:val="auto"/>
        </w:rPr>
      </w:pPr>
      <w:r>
        <w:rPr>
          <w:rFonts w:ascii="Arial" w:cs="Arial" w:eastAsia="Arial" w:hAnsi="Arial"/>
          <w:sz w:val="18"/>
          <w:szCs w:val="18"/>
          <w:color w:val="auto"/>
        </w:rPr>
        <w:t>traditional high yield market. We look to invest in companies that value our commitment and ability to originate an investment that meets their goals and fits within their existing capital structure.</w:t>
      </w:r>
    </w:p>
    <w:p>
      <w:pPr>
        <w:spacing w:after="0" w:line="76" w:lineRule="exact"/>
        <w:rPr>
          <w:sz w:val="20"/>
          <w:szCs w:val="20"/>
          <w:color w:val="auto"/>
        </w:rPr>
      </w:pPr>
    </w:p>
    <w:p>
      <w:pPr>
        <w:ind w:left="1480" w:right="60" w:hanging="446"/>
        <w:spacing w:after="0" w:line="264"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86" w:lineRule="exact"/>
        <w:rPr>
          <w:rFonts w:ascii="Arial" w:cs="Arial" w:eastAsia="Arial" w:hAnsi="Arial"/>
          <w:sz w:val="18"/>
          <w:szCs w:val="18"/>
          <w:color w:val="auto"/>
        </w:rPr>
      </w:pPr>
    </w:p>
    <w:p>
      <w:pPr>
        <w:ind w:left="900" w:right="520" w:hanging="325"/>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approximately 5,600 investment opportunities our Investment Team reviewed since our inception through December 31, 2016.</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Carefully constructed, existing portfolio consisting of predominantly senior, floating rate loans across a broad range of industries and borrowers</w:t>
      </w:r>
      <w:r>
        <w:rPr>
          <w:rFonts w:ascii="Arial" w:cs="Arial" w:eastAsia="Arial" w:hAnsi="Arial"/>
          <w:sz w:val="17"/>
          <w:szCs w:val="17"/>
          <w:color w:val="auto"/>
        </w:rPr>
        <w:t>. Since</w:t>
      </w:r>
      <w:r>
        <w:rPr>
          <w:rFonts w:ascii="Arial" w:cs="Arial" w:eastAsia="Arial" w:hAnsi="Arial"/>
          <w:sz w:val="17"/>
          <w:szCs w:val="17"/>
          <w:i w:val="1"/>
          <w:iCs w:val="1"/>
          <w:color w:val="auto"/>
        </w:rPr>
        <w:t xml:space="preserve"> </w:t>
      </w:r>
      <w:r>
        <w:rPr>
          <w:rFonts w:ascii="Arial" w:cs="Arial" w:eastAsia="Arial" w:hAnsi="Arial"/>
          <w:sz w:val="17"/>
          <w:szCs w:val="17"/>
          <w:color w:val="auto"/>
        </w:rPr>
        <w:t>we began investing in 2011, we have invested approximately $3.5 billion. As of December 31, 2016, we had a portfolio of investments in 52 portfolio companies with an aggregate fair value of $1,657.4 million that we believe exhibits strong credit quality and broad industry composition. As of December 31, 2016, 98.4% of our debt investments based on fair value bore interest at floating rates (when including investment specific hedges), with 94.8% of these subject to interest rate floors, and 96.5% of the fair value of our portfolio was invested in first-lien debt investments. We believe this portfolio will allow us to generate meaningful investment income, and consequently dividend income, for our stockholders.</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Experienced management team</w:t>
      </w:r>
      <w:r>
        <w:rPr>
          <w:rFonts w:ascii="Arial" w:cs="Arial" w:eastAsia="Arial" w:hAnsi="Arial"/>
          <w:sz w:val="17"/>
          <w:szCs w:val="17"/>
          <w:color w:val="auto"/>
        </w:rPr>
        <w:t>. The Adviser has a highly experienced management team consisting of seven TSSP Partners and four TSSP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900" w:firstLine="456"/>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29"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92"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understanding the purpose of the capital requirement, the key personnel and variables, as well as the sources and uses of the proceeds;</w:t>
      </w:r>
    </w:p>
    <w:p>
      <w:pPr>
        <w:spacing w:after="0" w:line="142" w:lineRule="exact"/>
        <w:rPr>
          <w:rFonts w:ascii="Arial" w:cs="Arial" w:eastAsia="Arial" w:hAnsi="Arial"/>
          <w:sz w:val="17"/>
          <w:szCs w:val="17"/>
          <w:color w:val="auto"/>
        </w:rPr>
      </w:pPr>
    </w:p>
    <w:p>
      <w:pPr>
        <w:ind w:left="900" w:right="66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conducting a competitive analysis, and comparing the company to its main competitors on an operating, financial, market share and valuation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Approval of an investment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Adviser has a number of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jc w:val="both"/>
        <w:ind w:left="900" w:right="360" w:hanging="325"/>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6" w:lineRule="exact"/>
        <w:rPr>
          <w:rFonts w:ascii="Arial" w:cs="Arial" w:eastAsia="Arial" w:hAnsi="Arial"/>
          <w:sz w:val="18"/>
          <w:szCs w:val="18"/>
          <w:color w:val="auto"/>
        </w:rPr>
      </w:pPr>
    </w:p>
    <w:p>
      <w:pPr>
        <w:ind w:left="900" w:right="220" w:hanging="325"/>
        <w:spacing w:after="0" w:line="286"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44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6" w:lineRule="exact"/>
        <w:rPr>
          <w:rFonts w:ascii="Arial" w:cs="Arial" w:eastAsia="Arial" w:hAnsi="Arial"/>
          <w:sz w:val="18"/>
          <w:szCs w:val="18"/>
          <w:color w:val="auto"/>
        </w:rPr>
      </w:pPr>
    </w:p>
    <w:p>
      <w:pPr>
        <w:ind w:left="900" w:right="240" w:hanging="325"/>
        <w:spacing w:after="0" w:line="297"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3" w:lineRule="exact"/>
        <w:rPr>
          <w:rFonts w:ascii="Arial" w:cs="Arial" w:eastAsia="Arial" w:hAnsi="Arial"/>
          <w:sz w:val="16"/>
          <w:szCs w:val="16"/>
          <w:color w:val="auto"/>
        </w:rPr>
      </w:pPr>
    </w:p>
    <w:p>
      <w:pPr>
        <w:ind w:left="900" w:hanging="325"/>
        <w:spacing w:after="0" w:line="279"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or principal payments. For these investments, our Adviser reviews the investment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TSSP and TPG. See “Management” and “Related-Party Transactions and Certain Relationships.”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7" w:lineRule="exact"/>
        <w:rPr>
          <w:sz w:val="20"/>
          <w:szCs w:val="20"/>
          <w:color w:val="auto"/>
        </w:rPr>
      </w:pPr>
    </w:p>
    <w:p>
      <w:pPr>
        <w:ind w:left="900" w:hanging="325"/>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92"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Stand-alone first-lien loans</w:t>
      </w:r>
      <w:r>
        <w:rPr>
          <w:rFonts w:ascii="Arial" w:cs="Arial" w:eastAsia="Arial" w:hAnsi="Arial"/>
          <w:sz w:val="18"/>
          <w:szCs w:val="18"/>
          <w:color w:val="auto"/>
        </w:rPr>
        <w:t>. Stand-alone first-lien loans are traditional first-lien loans. All lenders in the facility have equal rights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that is subject to the first-priority security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line="271" w:lineRule="auto"/>
        <w:tabs>
          <w:tab w:leader="none" w:pos="14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Last out” first-lien loans</w:t>
      </w:r>
      <w:r>
        <w:rPr>
          <w:rFonts w:ascii="Arial" w:cs="Arial" w:eastAsia="Arial" w:hAnsi="Arial"/>
          <w:sz w:val="17"/>
          <w:szCs w:val="17"/>
          <w:color w:val="auto"/>
        </w:rPr>
        <w:t>. “Last out” first-lien loans have a secondary priority behind super-senior “first out” first-lien loans in the 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84" w:lineRule="exact"/>
        <w:rPr>
          <w:rFonts w:ascii="Arial" w:cs="Arial" w:eastAsia="Arial" w:hAnsi="Arial"/>
          <w:sz w:val="17"/>
          <w:szCs w:val="17"/>
          <w:color w:val="auto"/>
        </w:rPr>
      </w:pPr>
    </w:p>
    <w:p>
      <w:pPr>
        <w:ind w:left="1480" w:hanging="446"/>
        <w:spacing w:after="0" w:line="312" w:lineRule="auto"/>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“Unitranche” loans</w:t>
      </w:r>
      <w:r>
        <w:rPr>
          <w:rFonts w:ascii="Arial" w:cs="Arial" w:eastAsia="Arial" w:hAnsi="Arial"/>
          <w:sz w:val="16"/>
          <w:szCs w:val="16"/>
          <w:color w:val="auto"/>
        </w:rPr>
        <w:t>. Unitranche loans combine features of first-lien, second-lien and mezzanine debt, generally in a first-lien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2" w:lineRule="exact"/>
        <w:rPr>
          <w:rFonts w:ascii="Arial" w:cs="Arial" w:eastAsia="Arial" w:hAnsi="Arial"/>
          <w:sz w:val="16"/>
          <w:szCs w:val="16"/>
          <w:color w:val="auto"/>
        </w:rPr>
      </w:pPr>
    </w:p>
    <w:p>
      <w:pPr>
        <w:ind w:left="900" w:hanging="325"/>
        <w:spacing w:after="0" w:line="25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Second-lien debt</w:t>
      </w:r>
      <w:r>
        <w:rPr>
          <w:rFonts w:ascii="Arial" w:cs="Arial" w:eastAsia="Arial" w:hAnsi="Arial"/>
          <w:sz w:val="18"/>
          <w:szCs w:val="18"/>
          <w:color w:val="auto"/>
        </w:rPr>
        <w:t>. Our second-lien debt may include secured loans, and, to a lesser extent, secured corporate bonds, with a secondary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93" w:lineRule="exact"/>
        <w:rPr>
          <w:rFonts w:ascii="Arial" w:cs="Arial" w:eastAsia="Arial" w:hAnsi="Arial"/>
          <w:sz w:val="18"/>
          <w:szCs w:val="18"/>
          <w:color w:val="auto"/>
        </w:rPr>
      </w:pPr>
    </w:p>
    <w:p>
      <w:pPr>
        <w:ind w:left="900" w:right="40" w:hanging="325"/>
        <w:spacing w:after="0" w:line="270"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“Mezzanine” and “Unsecured” debt</w:t>
      </w:r>
      <w:r>
        <w:rPr>
          <w:rFonts w:ascii="Arial" w:cs="Arial" w:eastAsia="Arial" w:hAnsi="Arial"/>
          <w:sz w:val="17"/>
          <w:szCs w:val="17"/>
          <w:color w:val="auto"/>
        </w:rPr>
        <w:t>. Structurally, mezzanine debt usually ranks subordinate in priority of payment to first-lien and second-lien</w:t>
      </w:r>
      <w:r>
        <w:rPr>
          <w:rFonts w:ascii="Arial" w:cs="Arial" w:eastAsia="Arial" w:hAnsi="Arial"/>
          <w:sz w:val="17"/>
          <w:szCs w:val="17"/>
          <w:i w:val="1"/>
          <w:iCs w:val="1"/>
          <w:color w:val="auto"/>
        </w:rPr>
        <w:t xml:space="preserve"> </w:t>
      </w:r>
      <w:r>
        <w:rPr>
          <w:rFonts w:ascii="Arial" w:cs="Arial" w:eastAsia="Arial" w:hAnsi="Arial"/>
          <w:sz w:val="17"/>
          <w:szCs w:val="17"/>
          <w:color w:val="auto"/>
        </w:rPr>
        <w:t>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8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76"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42" w:lineRule="exact"/>
        <w:rPr>
          <w:rFonts w:ascii="Arial" w:cs="Arial" w:eastAsia="Arial" w:hAnsi="Arial"/>
          <w:sz w:val="17"/>
          <w:szCs w:val="17"/>
          <w:color w:val="auto"/>
        </w:rPr>
      </w:pPr>
    </w:p>
    <w:p>
      <w:pPr>
        <w:ind w:left="900" w:right="2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w:t>
      </w:r>
    </w:p>
    <w:p>
      <w:pPr>
        <w:spacing w:after="0" w:line="117"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2016 and 2015, we had made investments with an aggregate fair value of $1,657.4 million and $1,485.7 million, respectively, in 52 and 46 portfolio companies,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December 31, 2016 and 2015:</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380" w:type="dxa"/>
            <w:vAlign w:val="bottom"/>
          </w:tcPr>
          <w:p>
            <w:pPr>
              <w:spacing w:after="0"/>
              <w:rPr>
                <w:sz w:val="10"/>
                <w:szCs w:val="10"/>
                <w:color w:val="auto"/>
              </w:rPr>
            </w:pPr>
          </w:p>
        </w:tc>
        <w:tc>
          <w:tcPr>
            <w:tcW w:w="11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color w:val="auto"/>
              </w:rPr>
              <w:t>($ in millions)</w:t>
            </w:r>
          </w:p>
        </w:tc>
        <w:tc>
          <w:tcPr>
            <w:tcW w:w="14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(1)</w:t>
            </w:r>
          </w:p>
        </w:tc>
        <w:tc>
          <w:tcPr>
            <w:tcW w:w="3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(Loss)</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$ 1,592.8</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$1,599.6</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24.0</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40.2</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r>
      <w:tr>
        <w:trPr>
          <w:trHeight w:val="27"/>
        </w:trPr>
        <w:tc>
          <w:tcPr>
            <w:tcW w:w="4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$ 1,667.7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1,657.4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0"/>
        </w:trPr>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380" w:type="dxa"/>
            <w:vAlign w:val="bottom"/>
          </w:tcPr>
          <w:p>
            <w:pPr>
              <w:spacing w:after="0"/>
              <w:rPr>
                <w:sz w:val="10"/>
                <w:szCs w:val="10"/>
                <w:color w:val="auto"/>
              </w:rPr>
            </w:pPr>
          </w:p>
        </w:tc>
        <w:tc>
          <w:tcPr>
            <w:tcW w:w="11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5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(1)</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Gain (Loss)</w:t>
            </w:r>
          </w:p>
        </w:tc>
        <w:tc>
          <w:tcPr>
            <w:tcW w:w="10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$ 1,333.1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$1,310.2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126.0</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121.2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40.8</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7"/>
        </w:trPr>
        <w:tc>
          <w:tcPr>
            <w:tcW w:w="4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$ 1,529.7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1,485.7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r>
      <w:tr>
        <w:trPr>
          <w:trHeight w:val="20"/>
        </w:trPr>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20" w:hanging="452"/>
        <w:spacing w:after="0" w:line="277"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2016 and 2015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1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December 31, 2016</w:t>
            </w:r>
          </w:p>
        </w:tc>
        <w:tc>
          <w:tcPr>
            <w:tcW w:w="1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22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6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3.5%</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22.6%</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Chemicals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0.7%</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Electronics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4.2%</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10.8%</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Healthcare</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12.2%</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4.5%</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3.8%</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Internet services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3.1%</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Office products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2.2%</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0.5%</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4.5%</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Real Estate</w:t>
            </w:r>
          </w:p>
        </w:tc>
        <w:tc>
          <w:tcPr>
            <w:tcW w:w="1220" w:type="dxa"/>
            <w:vAlign w:val="bottom"/>
          </w:tcPr>
          <w:p>
            <w:pPr>
              <w:spacing w:after="0"/>
              <w:rPr>
                <w:sz w:val="18"/>
                <w:szCs w:val="18"/>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Retail and consumer products</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8.9%</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Transportation</w:t>
            </w:r>
          </w:p>
        </w:tc>
        <w:tc>
          <w:tcPr>
            <w:tcW w:w="1220" w:type="dxa"/>
            <w:vAlign w:val="bottom"/>
          </w:tcPr>
          <w:p>
            <w:pPr>
              <w:spacing w:after="0"/>
              <w:rPr>
                <w:sz w:val="18"/>
                <w:szCs w:val="18"/>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healthcare, and business services) and not by the product or services (such as software) directed to those end-markets.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2016 and 2015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40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2016</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360"/>
              <w:spacing w:after="0"/>
              <w:rPr>
                <w:sz w:val="20"/>
                <w:szCs w:val="20"/>
                <w:color w:val="auto"/>
              </w:rPr>
            </w:pPr>
            <w:r>
              <w:rPr>
                <w:rFonts w:ascii="Arial" w:cs="Arial" w:eastAsia="Arial" w:hAnsi="Arial"/>
                <w:sz w:val="18"/>
                <w:szCs w:val="18"/>
                <w:color w:val="auto"/>
              </w:rPr>
              <w:t>Midwest</w:t>
            </w:r>
          </w:p>
        </w:tc>
        <w:tc>
          <w:tcPr>
            <w:tcW w:w="4080" w:type="dxa"/>
            <w:vAlign w:val="bottom"/>
            <w:gridSpan w:val="3"/>
          </w:tcPr>
          <w:p>
            <w:pPr>
              <w:jc w:val="right"/>
              <w:ind w:right="560"/>
              <w:spacing w:after="0"/>
              <w:rPr>
                <w:sz w:val="20"/>
                <w:szCs w:val="20"/>
                <w:color w:val="auto"/>
              </w:rPr>
            </w:pPr>
            <w:r>
              <w:rPr>
                <w:rFonts w:ascii="Arial" w:cs="Arial" w:eastAsia="Arial" w:hAnsi="Arial"/>
                <w:sz w:val="18"/>
                <w:szCs w:val="18"/>
                <w:color w:val="auto"/>
              </w:rPr>
              <w:t>12.8%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40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660" w:type="dxa"/>
            <w:vAlign w:val="bottom"/>
          </w:tcPr>
          <w:p>
            <w:pPr>
              <w:ind w:left="360"/>
              <w:spacing w:after="0"/>
              <w:rPr>
                <w:sz w:val="20"/>
                <w:szCs w:val="20"/>
                <w:color w:val="auto"/>
              </w:rPr>
            </w:pPr>
            <w:r>
              <w:rPr>
                <w:rFonts w:ascii="Arial" w:cs="Arial" w:eastAsia="Arial" w:hAnsi="Arial"/>
                <w:sz w:val="18"/>
                <w:szCs w:val="18"/>
                <w:color w:val="auto"/>
              </w:rPr>
              <w:t>South</w:t>
            </w:r>
          </w:p>
        </w:tc>
        <w:tc>
          <w:tcPr>
            <w:tcW w:w="4080" w:type="dxa"/>
            <w:vAlign w:val="bottom"/>
            <w:gridSpan w:val="3"/>
          </w:tcPr>
          <w:p>
            <w:pPr>
              <w:jc w:val="right"/>
              <w:ind w:right="560"/>
              <w:spacing w:after="0"/>
              <w:rPr>
                <w:sz w:val="20"/>
                <w:szCs w:val="20"/>
                <w:color w:val="auto"/>
              </w:rPr>
            </w:pPr>
            <w:r>
              <w:rPr>
                <w:rFonts w:ascii="Arial" w:cs="Arial" w:eastAsia="Arial" w:hAnsi="Arial"/>
                <w:sz w:val="18"/>
                <w:szCs w:val="18"/>
                <w:color w:val="auto"/>
              </w:rPr>
              <w:t>24.5%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40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Canada</w:t>
            </w:r>
          </w:p>
        </w:tc>
        <w:tc>
          <w:tcPr>
            <w:tcW w:w="4080" w:type="dxa"/>
            <w:vAlign w:val="bottom"/>
            <w:gridSpan w:val="3"/>
          </w:tcPr>
          <w:p>
            <w:pPr>
              <w:jc w:val="right"/>
              <w:ind w:right="560"/>
              <w:spacing w:after="0"/>
              <w:rPr>
                <w:sz w:val="20"/>
                <w:szCs w:val="20"/>
                <w:color w:val="auto"/>
              </w:rPr>
            </w:pPr>
            <w:r>
              <w:rPr>
                <w:rFonts w:ascii="Arial" w:cs="Arial" w:eastAsia="Arial" w:hAnsi="Arial"/>
                <w:sz w:val="18"/>
                <w:szCs w:val="18"/>
                <w:color w:val="auto"/>
              </w:rPr>
              <w:t>1.6%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2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0" w:type="dxa"/>
            <w:vAlign w:val="bottom"/>
            <w:vMerge w:val="restart"/>
          </w:tcPr>
          <w:p>
            <w:pPr>
              <w:jc w:val="right"/>
              <w:ind w:right="353"/>
              <w:spacing w:after="0"/>
              <w:rPr>
                <w:sz w:val="20"/>
                <w:szCs w:val="20"/>
                <w:color w:val="auto"/>
              </w:rPr>
            </w:pPr>
            <w:r>
              <w:rPr>
                <w:rFonts w:ascii="Arial" w:cs="Arial" w:eastAsia="Arial" w:hAnsi="Arial"/>
                <w:sz w:val="18"/>
                <w:szCs w:val="18"/>
                <w:color w:val="auto"/>
              </w:rPr>
              <w:t>99</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and 2015, we had the following commitments to fund investments in current portfolio companies: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4"/>
          </w:tcPr>
          <w:p>
            <w:pPr>
              <w:spacing w:after="0"/>
              <w:rPr>
                <w:sz w:val="20"/>
                <w:szCs w:val="20"/>
                <w:color w:val="auto"/>
              </w:rPr>
            </w:pPr>
            <w:r>
              <w:rPr>
                <w:rFonts w:ascii="Arial" w:cs="Arial" w:eastAsia="Arial" w:hAnsi="Arial"/>
                <w:sz w:val="14"/>
                <w:szCs w:val="14"/>
                <w:b w:val="1"/>
                <w:bCs w:val="1"/>
                <w:color w:val="auto"/>
              </w:rPr>
              <w:t>December 31, 2016</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2015</w:t>
            </w: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AppStar Financial, LLC—Revolver</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AvidXchange, Inc.—Delayed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15,385</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Clarabridge, Inc.—Revolver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CrunchTime Information Systems, Inc.—Delayed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Ecommerce Industries, Inc.—Delayed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2,486</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Heartland Automotive Holdings, LLC—Revolver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4,139</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2,833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Helix Health, Ltd.—Revolver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3,903</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Highwinds Capital, Inc.—Revolver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IRGSE Holding Corp.—Revolver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Leaf US Holdings, Inc.—Revolver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Marketo, Inc.—Revolver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MyAlarm Center, LLC—Delayed Draw</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774</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2,164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PayLease, LLC—Revolver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SailPoint Technologies, Inc.—Revolver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ScentAir Technologies, Inc.—Multi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Sears—ABL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17,913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Sovos Compliance, LLC—Revolver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43,795</w:t>
            </w:r>
          </w:p>
        </w:tc>
        <w:tc>
          <w:tcPr>
            <w:tcW w:w="2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78,646</w:t>
            </w:r>
          </w:p>
        </w:tc>
        <w:tc>
          <w:tcPr>
            <w:tcW w:w="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As of December 31, 2016, we had additional unfunded commitments of $50.0 million to fund investments to new borrowers that were not current portfolio companies as of December 31, 2016. As of December 31, 2015, we did not have any unfunded commitments to fund investments to new borrowers that were not current portfolio companies as of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competitive risks we expect to face, see “Risk Factors—Risks Related to Our Business and Structure—We operate in a highly competitive market for investment opportunities.”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maintain our principal executive office at 301 Commerce Street, Suite 3300, Fort Worth, Texas 76102. We do not own any real estate.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nor, to our knowledge, is any material legal proceeding threatened against us.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table set forth below contains certain information as of December 31, 2016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loans or bonds. We either originated or purchased in the secondary market the loans and securities in our current portfolio.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0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(2)(8)</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360"/>
              <w:spacing w:after="0"/>
              <w:rPr>
                <w:sz w:val="20"/>
                <w:szCs w:val="20"/>
                <w:color w:val="auto"/>
              </w:rPr>
            </w:pPr>
            <w:r>
              <w:rPr>
                <w:rFonts w:ascii="Arial" w:cs="Arial" w:eastAsia="Arial" w:hAnsi="Arial"/>
                <w:sz w:val="18"/>
                <w:szCs w:val="18"/>
                <w:b w:val="1"/>
                <w:bCs w:val="1"/>
                <w:color w:val="auto"/>
              </w:rPr>
              <w:t>Automotive</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w:t>
            </w:r>
            <w:r>
              <w:rPr>
                <w:rFonts w:ascii="Arial" w:cs="Arial" w:eastAsia="Arial" w:hAnsi="Arial"/>
                <w:sz w:val="15"/>
                <w:szCs w:val="15"/>
                <w:color w:val="auto"/>
              </w:rPr>
              <w:t>(3)</w:t>
            </w: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($29,233</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6/2017)</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8/28/2012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$ 29,136</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$ 29,159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First-lien</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revolving loan</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($1,417 par, due 6/2017)</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10.75%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8/28/2012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1,401</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1,403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30,537</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30,562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3980" w:type="dxa"/>
            <w:vAlign w:val="bottom"/>
            <w:gridSpan w:val="2"/>
          </w:tcPr>
          <w:p>
            <w:pPr>
              <w:ind w:left="360"/>
              <w:spacing w:after="0"/>
              <w:rPr>
                <w:sz w:val="20"/>
                <w:szCs w:val="20"/>
                <w:color w:val="auto"/>
              </w:rPr>
            </w:pPr>
            <w:r>
              <w:rPr>
                <w:rFonts w:ascii="Arial" w:cs="Arial" w:eastAsia="Arial" w:hAnsi="Arial"/>
                <w:sz w:val="18"/>
                <w:szCs w:val="18"/>
                <w:b w:val="1"/>
                <w:bCs w:val="1"/>
                <w:color w:val="auto"/>
              </w:rPr>
              <w:t>Beverage, food and tobacco</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AFS Technologies, Inc.</w:t>
            </w:r>
            <w:r>
              <w:rPr>
                <w:rFonts w:ascii="Arial" w:cs="Arial" w:eastAsia="Arial" w:hAnsi="Arial"/>
                <w:sz w:val="15"/>
                <w:szCs w:val="15"/>
                <w:color w:val="auto"/>
              </w:rPr>
              <w:t>(3)(5)</w:t>
            </w: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($61,542</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3/2020)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3/3/2014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60,698</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57,850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980" w:type="dxa"/>
            <w:vAlign w:val="bottom"/>
            <w:gridSpan w:val="2"/>
          </w:tcPr>
          <w:p>
            <w:pPr>
              <w:ind w:left="360"/>
              <w:spacing w:after="0"/>
              <w:rPr>
                <w:sz w:val="20"/>
                <w:szCs w:val="20"/>
                <w:color w:val="auto"/>
              </w:rPr>
            </w:pPr>
            <w:r>
              <w:rPr>
                <w:rFonts w:ascii="Arial" w:cs="Arial" w:eastAsia="Arial" w:hAnsi="Arial"/>
                <w:sz w:val="18"/>
                <w:szCs w:val="18"/>
                <w:b w:val="1"/>
                <w:bCs w:val="1"/>
                <w:color w:val="auto"/>
              </w:rPr>
              <w:t>Business services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Actian Corporation</w:t>
            </w:r>
            <w:r>
              <w:rPr>
                <w:rFonts w:ascii="Arial" w:cs="Arial" w:eastAsia="Arial" w:hAnsi="Arial"/>
                <w:sz w:val="15"/>
                <w:szCs w:val="15"/>
                <w:color w:val="auto"/>
              </w:rPr>
              <w:t>(3)(5)</w:t>
            </w: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($54,982</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4/2018)</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4/11/2013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54,366</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56,219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Bullhorn, Inc.</w:t>
            </w:r>
            <w:r>
              <w:rPr>
                <w:rFonts w:ascii="Arial" w:cs="Arial" w:eastAsia="Arial" w:hAnsi="Arial"/>
                <w:sz w:val="15"/>
                <w:szCs w:val="15"/>
                <w:color w:val="auto"/>
              </w:rPr>
              <w:t>(3)(5)</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($45,000</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par, due 11/2020)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11/12/2015</w:t>
            </w:r>
          </w:p>
        </w:tc>
        <w:tc>
          <w:tcPr>
            <w:tcW w:w="2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44,095</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45,225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Clarabridge, Inc.</w:t>
            </w:r>
            <w:r>
              <w:rPr>
                <w:rFonts w:ascii="Arial" w:cs="Arial" w:eastAsia="Arial" w:hAnsi="Arial"/>
                <w:sz w:val="15"/>
                <w:szCs w:val="15"/>
                <w:color w:val="auto"/>
              </w:rPr>
              <w:t>(3)</w:t>
            </w: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($19,719</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4/2019)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5/20/2015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19,446</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19,774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Idera, Inc.</w:t>
            </w:r>
            <w:r>
              <w:rPr>
                <w:rFonts w:ascii="Arial" w:cs="Arial" w:eastAsia="Arial" w:hAnsi="Arial"/>
                <w:sz w:val="15"/>
                <w:szCs w:val="15"/>
                <w:color w:val="auto"/>
              </w:rPr>
              <w:t>(3)</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($61,875</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par, due 4/2021)</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6.50%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10/9/2015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56,817</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61,875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Leaf US Holdings, Inc.</w:t>
            </w:r>
            <w:r>
              <w:rPr>
                <w:rFonts w:ascii="Arial" w:cs="Arial" w:eastAsia="Arial" w:hAnsi="Arial"/>
                <w:sz w:val="15"/>
                <w:szCs w:val="15"/>
                <w:color w:val="auto"/>
              </w:rPr>
              <w:t>(3)(4)</w:t>
            </w: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($27,090</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6/2019)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6/30/2014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26,752</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27,163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Marketo, Inc.</w:t>
            </w:r>
            <w:r>
              <w:rPr>
                <w:rFonts w:ascii="Arial" w:cs="Arial" w:eastAsia="Arial" w:hAnsi="Arial"/>
                <w:sz w:val="15"/>
                <w:szCs w:val="15"/>
                <w:color w:val="auto"/>
              </w:rPr>
              <w:t>(3)</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($28,125</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par, due 8/2021)</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8/16/2016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27,278</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27,750</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Motus, LLC</w:t>
            </w:r>
            <w:r>
              <w:rPr>
                <w:rFonts w:ascii="Arial" w:cs="Arial" w:eastAsia="Arial" w:hAnsi="Arial"/>
                <w:sz w:val="15"/>
                <w:szCs w:val="15"/>
                <w:color w:val="auto"/>
              </w:rPr>
              <w:t>(3)</w:t>
            </w: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11.00%</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($20,157</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(incl. 3.00%</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7/2021)</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7/29/2016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19,690</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20,106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Qlik Technologies, Inc.</w:t>
            </w:r>
            <w:r>
              <w:rPr>
                <w:rFonts w:ascii="Arial" w:cs="Arial" w:eastAsia="Arial" w:hAnsi="Arial"/>
                <w:sz w:val="15"/>
                <w:szCs w:val="15"/>
                <w:color w:val="auto"/>
              </w:rPr>
              <w:t>(3)</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($40,399</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par, due 8/2022)</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9.25%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8/22/2016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39,691</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40,096</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40" w:type="dxa"/>
            <w:vAlign w:val="bottom"/>
            <w:gridSpan w:val="2"/>
          </w:tcPr>
          <w:p>
            <w:pPr>
              <w:ind w:left="1600"/>
              <w:spacing w:after="0"/>
              <w:rPr>
                <w:sz w:val="20"/>
                <w:szCs w:val="20"/>
                <w:color w:val="auto"/>
              </w:rPr>
            </w:pPr>
            <w:r>
              <w:rPr>
                <w:rFonts w:ascii="Arial" w:cs="Arial" w:eastAsia="Arial" w:hAnsi="Arial"/>
                <w:sz w:val="18"/>
                <w:szCs w:val="18"/>
                <w:color w:val="auto"/>
              </w:rPr>
              <w:t>102</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Initial</w:t>
            </w: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660" w:type="dxa"/>
            <w:vAlign w:val="bottom"/>
          </w:tcPr>
          <w:p>
            <w:pPr>
              <w:spacing w:after="0"/>
              <w:rPr>
                <w:sz w:val="12"/>
                <w:szCs w:val="12"/>
                <w:color w:val="auto"/>
              </w:rPr>
            </w:pPr>
          </w:p>
        </w:tc>
        <w:tc>
          <w:tcPr>
            <w:tcW w:w="19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12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Interest</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of Net Assets</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SailPoint</w:t>
            </w:r>
          </w:p>
        </w:tc>
        <w:tc>
          <w:tcPr>
            <w:tcW w:w="28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Technologies, Inc.</w:t>
            </w:r>
            <w:r>
              <w:rPr>
                <w:rFonts w:ascii="Arial" w:cs="Arial" w:eastAsia="Arial" w:hAnsi="Arial"/>
                <w:sz w:val="15"/>
                <w:szCs w:val="15"/>
                <w:color w:val="auto"/>
              </w:rPr>
              <w:t>(3)</w:t>
            </w:r>
          </w:p>
        </w:tc>
        <w:tc>
          <w:tcPr>
            <w:tcW w:w="66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First-lien loan ($27,500</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par, due 8/2021)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8/16/2016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26,973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27,285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ScentAir Technologies, Inc.</w:t>
            </w:r>
            <w:r>
              <w:rPr>
                <w:rFonts w:ascii="Arial" w:cs="Arial" w:eastAsia="Arial" w:hAnsi="Arial"/>
                <w:sz w:val="15"/>
                <w:szCs w:val="15"/>
                <w:color w:val="auto"/>
              </w:rPr>
              <w:t>(3)</w:t>
            </w:r>
          </w:p>
        </w:tc>
        <w:tc>
          <w:tcPr>
            <w:tcW w:w="2600" w:type="dxa"/>
            <w:vAlign w:val="bottom"/>
            <w:gridSpan w:val="3"/>
          </w:tcPr>
          <w:p>
            <w:pPr>
              <w:ind w:left="660"/>
              <w:spacing w:after="0" w:line="201" w:lineRule="exact"/>
              <w:rPr>
                <w:sz w:val="20"/>
                <w:szCs w:val="20"/>
                <w:color w:val="auto"/>
              </w:rPr>
            </w:pPr>
            <w:r>
              <w:rPr>
                <w:rFonts w:ascii="Arial" w:cs="Arial" w:eastAsia="Arial" w:hAnsi="Arial"/>
                <w:sz w:val="18"/>
                <w:szCs w:val="18"/>
                <w:color w:val="auto"/>
              </w:rPr>
              <w:t>First-lien loan ($19,986</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0" w:type="dxa"/>
            <w:vAlign w:val="bottom"/>
            <w:gridSpan w:val="3"/>
          </w:tcPr>
          <w:p>
            <w:pPr>
              <w:ind w:left="660"/>
              <w:spacing w:after="0"/>
              <w:rPr>
                <w:sz w:val="20"/>
                <w:szCs w:val="20"/>
                <w:color w:val="auto"/>
              </w:rPr>
            </w:pPr>
            <w:r>
              <w:rPr>
                <w:rFonts w:ascii="Arial" w:cs="Arial" w:eastAsia="Arial" w:hAnsi="Arial"/>
                <w:sz w:val="18"/>
                <w:szCs w:val="18"/>
                <w:color w:val="auto"/>
              </w:rPr>
              <w:t>par, due 12/2019)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12/30/2014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19,717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20,263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Sovos Compliance, LLC</w:t>
            </w:r>
            <w:r>
              <w:rPr>
                <w:rFonts w:ascii="Arial" w:cs="Arial" w:eastAsia="Arial" w:hAnsi="Arial"/>
                <w:sz w:val="15"/>
                <w:szCs w:val="15"/>
                <w:color w:val="auto"/>
              </w:rPr>
              <w:t>(3)</w:t>
            </w:r>
          </w:p>
        </w:tc>
        <w:tc>
          <w:tcPr>
            <w:tcW w:w="2600" w:type="dxa"/>
            <w:vAlign w:val="bottom"/>
            <w:gridSpan w:val="3"/>
            <w:shd w:val="clear" w:color="auto" w:fill="CCEEFF"/>
          </w:tcPr>
          <w:p>
            <w:pPr>
              <w:ind w:left="660"/>
              <w:spacing w:after="0" w:line="201" w:lineRule="exact"/>
              <w:rPr>
                <w:sz w:val="20"/>
                <w:szCs w:val="20"/>
                <w:color w:val="auto"/>
              </w:rPr>
            </w:pPr>
            <w:r>
              <w:rPr>
                <w:rFonts w:ascii="Arial" w:cs="Arial" w:eastAsia="Arial" w:hAnsi="Arial"/>
                <w:sz w:val="18"/>
                <w:szCs w:val="18"/>
                <w:color w:val="auto"/>
              </w:rPr>
              <w:t>First-lien loan ($29,177</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par, due 3/2022)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7/1/2016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28,621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29,027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Tibco Software</w:t>
            </w:r>
            <w:r>
              <w:rPr>
                <w:rFonts w:ascii="Arial" w:cs="Arial" w:eastAsia="Arial" w:hAnsi="Arial"/>
                <w:sz w:val="15"/>
                <w:szCs w:val="15"/>
                <w:color w:val="auto"/>
              </w:rPr>
              <w:t>(3)</w:t>
            </w:r>
          </w:p>
        </w:tc>
        <w:tc>
          <w:tcPr>
            <w:tcW w:w="2600" w:type="dxa"/>
            <w:vAlign w:val="bottom"/>
            <w:gridSpan w:val="3"/>
          </w:tcPr>
          <w:p>
            <w:pPr>
              <w:ind w:left="660"/>
              <w:spacing w:after="0" w:line="201" w:lineRule="exact"/>
              <w:rPr>
                <w:sz w:val="20"/>
                <w:szCs w:val="20"/>
                <w:color w:val="auto"/>
              </w:rPr>
            </w:pPr>
            <w:r>
              <w:rPr>
                <w:rFonts w:ascii="Arial" w:cs="Arial" w:eastAsia="Arial" w:hAnsi="Arial"/>
                <w:sz w:val="18"/>
                <w:szCs w:val="18"/>
                <w:color w:val="auto"/>
                <w:w w:val="98"/>
              </w:rPr>
              <w:t>First-lien loan ($247 par,</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0" w:type="dxa"/>
            <w:vAlign w:val="bottom"/>
            <w:gridSpan w:val="3"/>
          </w:tcPr>
          <w:p>
            <w:pPr>
              <w:ind w:left="660"/>
              <w:spacing w:after="0"/>
              <w:rPr>
                <w:sz w:val="20"/>
                <w:szCs w:val="20"/>
                <w:color w:val="auto"/>
              </w:rPr>
            </w:pPr>
            <w:r>
              <w:rPr>
                <w:rFonts w:ascii="Arial" w:cs="Arial" w:eastAsia="Arial" w:hAnsi="Arial"/>
                <w:sz w:val="18"/>
                <w:szCs w:val="18"/>
                <w:color w:val="auto"/>
              </w:rPr>
              <w:t>due 12/2020)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1/26/2016</w:t>
            </w:r>
          </w:p>
        </w:tc>
        <w:tc>
          <w:tcPr>
            <w:tcW w:w="74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363,664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375,031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3"/>
        </w:trPr>
        <w:tc>
          <w:tcPr>
            <w:tcW w:w="3560" w:type="dxa"/>
            <w:vAlign w:val="bottom"/>
            <w:gridSpan w:val="2"/>
          </w:tcPr>
          <w:p>
            <w:pPr>
              <w:ind w:left="360"/>
              <w:spacing w:after="0"/>
              <w:rPr>
                <w:sz w:val="20"/>
                <w:szCs w:val="20"/>
                <w:color w:val="auto"/>
              </w:rPr>
            </w:pPr>
            <w:r>
              <w:rPr>
                <w:rFonts w:ascii="Arial" w:cs="Arial" w:eastAsia="Arial" w:hAnsi="Arial"/>
                <w:sz w:val="18"/>
                <w:szCs w:val="18"/>
                <w:b w:val="1"/>
                <w:bCs w:val="1"/>
                <w:color w:val="auto"/>
              </w:rPr>
              <w:t>Chemicals</w:t>
            </w:r>
          </w:p>
        </w:tc>
        <w:tc>
          <w:tcPr>
            <w:tcW w:w="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Vertellus Specialties, Inc.</w:t>
            </w:r>
            <w:r>
              <w:rPr>
                <w:rFonts w:ascii="Arial" w:cs="Arial" w:eastAsia="Arial" w:hAnsi="Arial"/>
                <w:sz w:val="15"/>
                <w:szCs w:val="15"/>
                <w:color w:val="auto"/>
              </w:rPr>
              <w:t>(3)</w:t>
            </w:r>
          </w:p>
        </w:tc>
        <w:tc>
          <w:tcPr>
            <w:tcW w:w="2600" w:type="dxa"/>
            <w:vAlign w:val="bottom"/>
            <w:gridSpan w:val="3"/>
            <w:shd w:val="clear" w:color="auto" w:fill="CCEEFF"/>
          </w:tcPr>
          <w:p>
            <w:pPr>
              <w:ind w:left="660"/>
              <w:spacing w:after="0" w:line="201" w:lineRule="exact"/>
              <w:rPr>
                <w:sz w:val="20"/>
                <w:szCs w:val="20"/>
                <w:color w:val="auto"/>
              </w:rPr>
            </w:pPr>
            <w:r>
              <w:rPr>
                <w:rFonts w:ascii="Arial" w:cs="Arial" w:eastAsia="Arial" w:hAnsi="Arial"/>
                <w:sz w:val="18"/>
                <w:szCs w:val="18"/>
                <w:color w:val="auto"/>
              </w:rPr>
              <w:t>First-lien loan ($4,967</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par, due 4/2018)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10/31/2016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600" w:type="dxa"/>
            <w:vAlign w:val="bottom"/>
            <w:gridSpan w:val="3"/>
          </w:tcPr>
          <w:p>
            <w:pPr>
              <w:ind w:left="660"/>
              <w:spacing w:after="0" w:line="201" w:lineRule="exact"/>
              <w:rPr>
                <w:sz w:val="20"/>
                <w:szCs w:val="20"/>
                <w:color w:val="auto"/>
              </w:rPr>
            </w:pPr>
            <w:r>
              <w:rPr>
                <w:rFonts w:ascii="Arial" w:cs="Arial" w:eastAsia="Arial" w:hAnsi="Arial"/>
                <w:sz w:val="18"/>
                <w:szCs w:val="18"/>
                <w:color w:val="auto"/>
                <w:w w:val="95"/>
              </w:rPr>
              <w:t>Second-lien loan ($3,341</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0" w:type="dxa"/>
            <w:vAlign w:val="bottom"/>
            <w:gridSpan w:val="3"/>
          </w:tcPr>
          <w:p>
            <w:pPr>
              <w:ind w:left="660"/>
              <w:spacing w:after="0"/>
              <w:rPr>
                <w:sz w:val="20"/>
                <w:szCs w:val="20"/>
                <w:color w:val="auto"/>
              </w:rPr>
            </w:pPr>
            <w:r>
              <w:rPr>
                <w:rFonts w:ascii="Arial" w:cs="Arial" w:eastAsia="Arial" w:hAnsi="Arial"/>
                <w:sz w:val="18"/>
                <w:szCs w:val="18"/>
                <w:color w:val="auto"/>
              </w:rPr>
              <w:t>par, due 10/2021)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10/31/2016</w:t>
            </w:r>
          </w:p>
        </w:tc>
        <w:tc>
          <w:tcPr>
            <w:tcW w:w="740" w:type="dxa"/>
            <w:vAlign w:val="bottom"/>
          </w:tcPr>
          <w:p>
            <w:pPr>
              <w:jc w:val="right"/>
              <w:spacing w:after="0"/>
              <w:rPr>
                <w:sz w:val="20"/>
                <w:szCs w:val="20"/>
                <w:color w:val="auto"/>
              </w:rPr>
            </w:pPr>
            <w:r>
              <w:rPr>
                <w:rFonts w:ascii="Arial" w:cs="Arial" w:eastAsia="Arial" w:hAnsi="Arial"/>
                <w:sz w:val="18"/>
                <w:szCs w:val="18"/>
                <w:color w:val="auto"/>
              </w:rPr>
              <w:t>3,341</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3,350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3560" w:type="dxa"/>
            <w:vAlign w:val="bottom"/>
            <w:gridSpan w:val="2"/>
          </w:tcPr>
          <w:p>
            <w:pPr>
              <w:ind w:left="360"/>
              <w:spacing w:after="0"/>
              <w:rPr>
                <w:sz w:val="20"/>
                <w:szCs w:val="20"/>
                <w:color w:val="auto"/>
              </w:rPr>
            </w:pPr>
            <w:r>
              <w:rPr>
                <w:rFonts w:ascii="Arial" w:cs="Arial" w:eastAsia="Arial" w:hAnsi="Arial"/>
                <w:sz w:val="18"/>
                <w:szCs w:val="18"/>
                <w:b w:val="1"/>
                <w:bCs w:val="1"/>
                <w:color w:val="auto"/>
              </w:rPr>
              <w:t>Education</w:t>
            </w:r>
          </w:p>
        </w:tc>
        <w:tc>
          <w:tcPr>
            <w:tcW w:w="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Finalsite Holdings, Inc.</w:t>
            </w:r>
            <w:r>
              <w:rPr>
                <w:rFonts w:ascii="Arial" w:cs="Arial" w:eastAsia="Arial" w:hAnsi="Arial"/>
                <w:sz w:val="15"/>
                <w:szCs w:val="15"/>
                <w:color w:val="auto"/>
              </w:rPr>
              <w:t>(3)(5)</w:t>
            </w:r>
          </w:p>
        </w:tc>
        <w:tc>
          <w:tcPr>
            <w:tcW w:w="2600" w:type="dxa"/>
            <w:vAlign w:val="bottom"/>
            <w:gridSpan w:val="3"/>
            <w:shd w:val="clear" w:color="auto" w:fill="CCEEFF"/>
          </w:tcPr>
          <w:p>
            <w:pPr>
              <w:ind w:left="660"/>
              <w:spacing w:after="0" w:line="201" w:lineRule="exact"/>
              <w:rPr>
                <w:sz w:val="20"/>
                <w:szCs w:val="20"/>
                <w:color w:val="auto"/>
              </w:rPr>
            </w:pPr>
            <w:r>
              <w:rPr>
                <w:rFonts w:ascii="Arial" w:cs="Arial" w:eastAsia="Arial" w:hAnsi="Arial"/>
                <w:sz w:val="18"/>
                <w:szCs w:val="18"/>
                <w:color w:val="auto"/>
              </w:rPr>
              <w:t>First-lien loan ($45,000</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par, due 8/2022)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8/31/2016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44,325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Frontline Technologies Group LLC</w:t>
            </w:r>
            <w:r>
              <w:rPr>
                <w:rFonts w:ascii="Arial" w:cs="Arial" w:eastAsia="Arial" w:hAnsi="Arial"/>
                <w:sz w:val="15"/>
                <w:szCs w:val="15"/>
                <w:color w:val="auto"/>
              </w:rPr>
              <w:t>(3)(5)</w:t>
            </w:r>
          </w:p>
        </w:tc>
        <w:tc>
          <w:tcPr>
            <w:tcW w:w="2600" w:type="dxa"/>
            <w:vAlign w:val="bottom"/>
            <w:gridSpan w:val="3"/>
          </w:tcPr>
          <w:p>
            <w:pPr>
              <w:ind w:left="660"/>
              <w:spacing w:after="0" w:line="201" w:lineRule="exact"/>
              <w:rPr>
                <w:sz w:val="20"/>
                <w:szCs w:val="20"/>
                <w:color w:val="auto"/>
              </w:rPr>
            </w:pPr>
            <w:r>
              <w:rPr>
                <w:rFonts w:ascii="Arial" w:cs="Arial" w:eastAsia="Arial" w:hAnsi="Arial"/>
                <w:sz w:val="18"/>
                <w:szCs w:val="18"/>
                <w:color w:val="auto"/>
              </w:rPr>
              <w:t>First-lien loan ($54,725</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0" w:type="dxa"/>
            <w:vAlign w:val="bottom"/>
            <w:gridSpan w:val="3"/>
          </w:tcPr>
          <w:p>
            <w:pPr>
              <w:ind w:left="660"/>
              <w:spacing w:after="0"/>
              <w:rPr>
                <w:sz w:val="20"/>
                <w:szCs w:val="20"/>
                <w:color w:val="auto"/>
              </w:rPr>
            </w:pPr>
            <w:r>
              <w:rPr>
                <w:rFonts w:ascii="Arial" w:cs="Arial" w:eastAsia="Arial" w:hAnsi="Arial"/>
                <w:sz w:val="18"/>
                <w:szCs w:val="18"/>
                <w:color w:val="auto"/>
              </w:rPr>
              <w:t>par, due 4/2021)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4/1/2016</w:t>
            </w:r>
          </w:p>
        </w:tc>
        <w:tc>
          <w:tcPr>
            <w:tcW w:w="740" w:type="dxa"/>
            <w:vAlign w:val="bottom"/>
          </w:tcPr>
          <w:p>
            <w:pPr>
              <w:jc w:val="right"/>
              <w:spacing w:after="0"/>
              <w:rPr>
                <w:sz w:val="20"/>
                <w:szCs w:val="20"/>
                <w:color w:val="auto"/>
              </w:rPr>
            </w:pPr>
            <w:r>
              <w:rPr>
                <w:rFonts w:ascii="Arial" w:cs="Arial" w:eastAsia="Arial" w:hAnsi="Arial"/>
                <w:sz w:val="18"/>
                <w:szCs w:val="18"/>
                <w:color w:val="auto"/>
              </w:rPr>
              <w:t>53,447</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54,862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99,187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3560" w:type="dxa"/>
            <w:vAlign w:val="bottom"/>
            <w:gridSpan w:val="2"/>
          </w:tcPr>
          <w:p>
            <w:pPr>
              <w:ind w:left="360"/>
              <w:spacing w:after="0"/>
              <w:rPr>
                <w:sz w:val="20"/>
                <w:szCs w:val="20"/>
                <w:color w:val="auto"/>
              </w:rPr>
            </w:pPr>
            <w:r>
              <w:rPr>
                <w:rFonts w:ascii="Arial" w:cs="Arial" w:eastAsia="Arial" w:hAnsi="Arial"/>
                <w:sz w:val="18"/>
                <w:szCs w:val="18"/>
                <w:b w:val="1"/>
                <w:bCs w:val="1"/>
                <w:color w:val="auto"/>
              </w:rPr>
              <w:t>Electronics</w:t>
            </w:r>
          </w:p>
        </w:tc>
        <w:tc>
          <w:tcPr>
            <w:tcW w:w="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MyAlarm Center, LLC</w:t>
            </w:r>
            <w:r>
              <w:rPr>
                <w:rFonts w:ascii="Arial" w:cs="Arial" w:eastAsia="Arial" w:hAnsi="Arial"/>
                <w:sz w:val="15"/>
                <w:szCs w:val="15"/>
                <w:color w:val="auto"/>
              </w:rPr>
              <w:t>(3)</w:t>
            </w:r>
          </w:p>
        </w:tc>
        <w:tc>
          <w:tcPr>
            <w:tcW w:w="2600" w:type="dxa"/>
            <w:vAlign w:val="bottom"/>
            <w:gridSpan w:val="3"/>
            <w:shd w:val="clear" w:color="auto" w:fill="CCEEFF"/>
          </w:tcPr>
          <w:p>
            <w:pPr>
              <w:ind w:left="660"/>
              <w:spacing w:after="0" w:line="201" w:lineRule="exact"/>
              <w:rPr>
                <w:sz w:val="20"/>
                <w:szCs w:val="20"/>
                <w:color w:val="auto"/>
              </w:rPr>
            </w:pPr>
            <w:r>
              <w:rPr>
                <w:rFonts w:ascii="Arial" w:cs="Arial" w:eastAsia="Arial" w:hAnsi="Arial"/>
                <w:sz w:val="18"/>
                <w:szCs w:val="18"/>
                <w:color w:val="auto"/>
              </w:rPr>
              <w:t>First-lien loan ($63,761</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par, due 1/2019)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1/9/2014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63,342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64,568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APX Group Inc.</w:t>
            </w:r>
          </w:p>
        </w:tc>
        <w:tc>
          <w:tcPr>
            <w:tcW w:w="2600" w:type="dxa"/>
            <w:vAlign w:val="bottom"/>
            <w:gridSpan w:val="3"/>
          </w:tcPr>
          <w:p>
            <w:pPr>
              <w:ind w:left="660"/>
              <w:spacing w:after="0" w:line="201" w:lineRule="exact"/>
              <w:rPr>
                <w:sz w:val="20"/>
                <w:szCs w:val="20"/>
                <w:color w:val="auto"/>
              </w:rPr>
            </w:pPr>
            <w:r>
              <w:rPr>
                <w:rFonts w:ascii="Arial" w:cs="Arial" w:eastAsia="Arial" w:hAnsi="Arial"/>
                <w:sz w:val="18"/>
                <w:szCs w:val="18"/>
                <w:color w:val="auto"/>
              </w:rPr>
              <w:t>Senior notes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80" w:type="dxa"/>
            <w:vAlign w:val="bottom"/>
            <w:gridSpan w:val="2"/>
          </w:tcPr>
          <w:p>
            <w:pPr>
              <w:ind w:left="660"/>
              <w:spacing w:after="0"/>
              <w:rPr>
                <w:sz w:val="20"/>
                <w:szCs w:val="20"/>
                <w:color w:val="auto"/>
              </w:rPr>
            </w:pPr>
            <w:r>
              <w:rPr>
                <w:rFonts w:ascii="Arial" w:cs="Arial" w:eastAsia="Arial" w:hAnsi="Arial"/>
                <w:sz w:val="18"/>
                <w:szCs w:val="18"/>
                <w:color w:val="auto"/>
              </w:rPr>
              <w:t>8.75% ($5,470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0" w:type="dxa"/>
            <w:vAlign w:val="bottom"/>
            <w:gridSpan w:val="3"/>
          </w:tcPr>
          <w:p>
            <w:pPr>
              <w:ind w:left="660"/>
              <w:spacing w:after="0"/>
              <w:rPr>
                <w:sz w:val="20"/>
                <w:szCs w:val="20"/>
                <w:color w:val="auto"/>
              </w:rPr>
            </w:pPr>
            <w:r>
              <w:rPr>
                <w:rFonts w:ascii="Arial" w:cs="Arial" w:eastAsia="Arial" w:hAnsi="Arial"/>
                <w:sz w:val="18"/>
                <w:szCs w:val="18"/>
                <w:color w:val="auto"/>
              </w:rPr>
              <w:t>par, due 12/2020)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12/11/2014</w:t>
            </w:r>
          </w:p>
        </w:tc>
        <w:tc>
          <w:tcPr>
            <w:tcW w:w="740" w:type="dxa"/>
            <w:vAlign w:val="bottom"/>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5,511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70,079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3560" w:type="dxa"/>
            <w:vAlign w:val="bottom"/>
            <w:gridSpan w:val="2"/>
          </w:tcPr>
          <w:p>
            <w:pPr>
              <w:ind w:left="360"/>
              <w:spacing w:after="0"/>
              <w:rPr>
                <w:sz w:val="20"/>
                <w:szCs w:val="20"/>
                <w:color w:val="auto"/>
              </w:rPr>
            </w:pPr>
            <w:r>
              <w:rPr>
                <w:rFonts w:ascii="Arial" w:cs="Arial" w:eastAsia="Arial" w:hAnsi="Arial"/>
                <w:sz w:val="18"/>
                <w:szCs w:val="18"/>
                <w:b w:val="1"/>
                <w:bCs w:val="1"/>
                <w:color w:val="auto"/>
              </w:rPr>
              <w:t>Financial services</w:t>
            </w:r>
          </w:p>
        </w:tc>
        <w:tc>
          <w:tcPr>
            <w:tcW w:w="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AppStar Financial, LLC</w:t>
            </w:r>
            <w:r>
              <w:rPr>
                <w:rFonts w:ascii="Arial" w:cs="Arial" w:eastAsia="Arial" w:hAnsi="Arial"/>
                <w:sz w:val="15"/>
                <w:szCs w:val="15"/>
                <w:color w:val="auto"/>
              </w:rPr>
              <w:t>(3)</w:t>
            </w:r>
          </w:p>
        </w:tc>
        <w:tc>
          <w:tcPr>
            <w:tcW w:w="2600" w:type="dxa"/>
            <w:vAlign w:val="bottom"/>
            <w:gridSpan w:val="3"/>
            <w:shd w:val="clear" w:color="auto" w:fill="CCEEFF"/>
          </w:tcPr>
          <w:p>
            <w:pPr>
              <w:ind w:left="660"/>
              <w:spacing w:after="0" w:line="201" w:lineRule="exact"/>
              <w:rPr>
                <w:sz w:val="20"/>
                <w:szCs w:val="20"/>
                <w:color w:val="auto"/>
              </w:rPr>
            </w:pPr>
            <w:r>
              <w:rPr>
                <w:rFonts w:ascii="Arial" w:cs="Arial" w:eastAsia="Arial" w:hAnsi="Arial"/>
                <w:sz w:val="18"/>
                <w:szCs w:val="18"/>
                <w:color w:val="auto"/>
              </w:rPr>
              <w:t>First-lien loan ($22,200</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par, due 8/2020)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8/18/2015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21,781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22,261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AvidXchange, Inc.</w:t>
            </w:r>
            <w:r>
              <w:rPr>
                <w:rFonts w:ascii="Arial" w:cs="Arial" w:eastAsia="Arial" w:hAnsi="Arial"/>
                <w:sz w:val="15"/>
                <w:szCs w:val="15"/>
                <w:color w:val="auto"/>
              </w:rPr>
              <w:t>(3)</w:t>
            </w:r>
          </w:p>
        </w:tc>
        <w:tc>
          <w:tcPr>
            <w:tcW w:w="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10.50%</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00" w:type="dxa"/>
            <w:vAlign w:val="bottom"/>
            <w:gridSpan w:val="3"/>
          </w:tcPr>
          <w:p>
            <w:pPr>
              <w:ind w:left="660"/>
              <w:spacing w:after="0"/>
              <w:rPr>
                <w:sz w:val="20"/>
                <w:szCs w:val="20"/>
                <w:color w:val="auto"/>
              </w:rPr>
            </w:pPr>
            <w:r>
              <w:rPr>
                <w:rFonts w:ascii="Arial" w:cs="Arial" w:eastAsia="Arial" w:hAnsi="Arial"/>
                <w:sz w:val="18"/>
                <w:szCs w:val="18"/>
                <w:color w:val="auto"/>
              </w:rPr>
              <w:t>First-lien loan ($53,528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(incl. 2.38%</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0" w:type="dxa"/>
            <w:vAlign w:val="bottom"/>
            <w:gridSpan w:val="3"/>
          </w:tcPr>
          <w:p>
            <w:pPr>
              <w:ind w:left="660"/>
              <w:spacing w:after="0"/>
              <w:rPr>
                <w:sz w:val="20"/>
                <w:szCs w:val="20"/>
                <w:color w:val="auto"/>
              </w:rPr>
            </w:pPr>
            <w:r>
              <w:rPr>
                <w:rFonts w:ascii="Arial" w:cs="Arial" w:eastAsia="Arial" w:hAnsi="Arial"/>
                <w:sz w:val="18"/>
                <w:szCs w:val="18"/>
                <w:color w:val="auto"/>
              </w:rPr>
              <w:t>par, due 8/2020)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PIK)</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8/7/2015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52,779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53,394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w:t>
            </w:r>
            <w:r>
              <w:rPr>
                <w:rFonts w:ascii="Arial" w:cs="Arial" w:eastAsia="Arial" w:hAnsi="Arial"/>
                <w:sz w:val="15"/>
                <w:szCs w:val="15"/>
                <w:color w:val="auto"/>
              </w:rPr>
              <w:t>(3)</w:t>
            </w:r>
          </w:p>
        </w:tc>
        <w:tc>
          <w:tcPr>
            <w:tcW w:w="2600" w:type="dxa"/>
            <w:vAlign w:val="bottom"/>
            <w:gridSpan w:val="3"/>
            <w:shd w:val="clear" w:color="auto" w:fill="CCEEFF"/>
          </w:tcPr>
          <w:p>
            <w:pPr>
              <w:ind w:left="660"/>
              <w:spacing w:after="0" w:line="201" w:lineRule="exact"/>
              <w:rPr>
                <w:sz w:val="20"/>
                <w:szCs w:val="20"/>
                <w:color w:val="auto"/>
              </w:rPr>
            </w:pPr>
            <w:r>
              <w:rPr>
                <w:rFonts w:ascii="Arial" w:cs="Arial" w:eastAsia="Arial" w:hAnsi="Arial"/>
                <w:sz w:val="18"/>
                <w:szCs w:val="18"/>
                <w:color w:val="auto"/>
              </w:rPr>
              <w:t>First-lien loan ($25,782</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par, due 9/2018)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9/12/2013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25,585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25,981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80" w:type="dxa"/>
            <w:vAlign w:val="bottom"/>
            <w:gridSpan w:val="2"/>
          </w:tcPr>
          <w:p>
            <w:pPr>
              <w:jc w:val="right"/>
              <w:ind w:right="119"/>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Initial</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Amortized</w:t>
            </w: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Fair</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600" w:type="dxa"/>
            <w:vAlign w:val="bottom"/>
          </w:tcPr>
          <w:p>
            <w:pPr>
              <w:spacing w:after="0"/>
              <w:rPr>
                <w:sz w:val="12"/>
                <w:szCs w:val="12"/>
                <w:color w:val="auto"/>
              </w:rPr>
            </w:pPr>
          </w:p>
        </w:tc>
        <w:tc>
          <w:tcPr>
            <w:tcW w:w="19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8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Cost</w:t>
            </w:r>
            <w:r>
              <w:rPr>
                <w:rFonts w:ascii="Arial" w:cs="Arial" w:eastAsia="Arial" w:hAnsi="Arial"/>
                <w:sz w:val="12"/>
                <w:szCs w:val="12"/>
                <w:b w:val="1"/>
                <w:bCs w:val="1"/>
                <w:color w:val="auto"/>
                <w:w w:val="99"/>
              </w:rPr>
              <w:t>(2)(8)</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2"/>
              </w:rPr>
              <w:t>PayLease,</w:t>
            </w:r>
          </w:p>
        </w:tc>
        <w:tc>
          <w:tcPr>
            <w:tcW w:w="2900" w:type="dxa"/>
            <w:vAlign w:val="bottom"/>
            <w:tcBorders>
              <w:top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LLC</w:t>
            </w:r>
            <w:r>
              <w:rPr>
                <w:rFonts w:ascii="Arial" w:cs="Arial" w:eastAsia="Arial" w:hAnsi="Arial"/>
                <w:sz w:val="15"/>
                <w:szCs w:val="15"/>
                <w:color w:val="auto"/>
              </w:rPr>
              <w:t>(3)</w:t>
            </w:r>
          </w:p>
        </w:tc>
        <w:tc>
          <w:tcPr>
            <w:tcW w:w="60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First-lien loan ($34,502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(incl. 2.50%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par, due 3/2020)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3/6/2015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33,979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Smarsh, Inc.</w:t>
            </w:r>
            <w:r>
              <w:rPr>
                <w:rFonts w:ascii="Arial" w:cs="Arial" w:eastAsia="Arial" w:hAnsi="Arial"/>
                <w:sz w:val="15"/>
                <w:szCs w:val="15"/>
                <w:color w:val="auto"/>
              </w:rPr>
              <w:t>(3)(5)</w:t>
            </w:r>
          </w:p>
        </w:tc>
        <w:tc>
          <w:tcPr>
            <w:tcW w:w="2540" w:type="dxa"/>
            <w:vAlign w:val="bottom"/>
            <w:gridSpan w:val="3"/>
          </w:tcPr>
          <w:p>
            <w:pPr>
              <w:ind w:left="600"/>
              <w:spacing w:after="0" w:line="201" w:lineRule="exact"/>
              <w:rPr>
                <w:sz w:val="20"/>
                <w:szCs w:val="20"/>
                <w:color w:val="auto"/>
              </w:rPr>
            </w:pPr>
            <w:r>
              <w:rPr>
                <w:rFonts w:ascii="Arial" w:cs="Arial" w:eastAsia="Arial" w:hAnsi="Arial"/>
                <w:sz w:val="18"/>
                <w:szCs w:val="18"/>
                <w:color w:val="auto"/>
              </w:rPr>
              <w:t>First-lien loan ($30,000</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40" w:type="dxa"/>
            <w:vAlign w:val="bottom"/>
            <w:gridSpan w:val="3"/>
          </w:tcPr>
          <w:p>
            <w:pPr>
              <w:ind w:left="600"/>
              <w:spacing w:after="0"/>
              <w:rPr>
                <w:sz w:val="20"/>
                <w:szCs w:val="20"/>
                <w:color w:val="auto"/>
              </w:rPr>
            </w:pPr>
            <w:r>
              <w:rPr>
                <w:rFonts w:ascii="Arial" w:cs="Arial" w:eastAsia="Arial" w:hAnsi="Arial"/>
                <w:sz w:val="18"/>
                <w:szCs w:val="18"/>
                <w:color w:val="auto"/>
              </w:rPr>
              <w:t>par, due 1/2021)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1/7/2016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29,343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30,300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163,467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166,636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3620" w:type="dxa"/>
            <w:vAlign w:val="bottom"/>
            <w:gridSpan w:val="2"/>
          </w:tcPr>
          <w:p>
            <w:pPr>
              <w:ind w:left="360"/>
              <w:spacing w:after="0"/>
              <w:rPr>
                <w:sz w:val="20"/>
                <w:szCs w:val="20"/>
                <w:color w:val="auto"/>
              </w:rPr>
            </w:pPr>
            <w:r>
              <w:rPr>
                <w:rFonts w:ascii="Arial" w:cs="Arial" w:eastAsia="Arial" w:hAnsi="Arial"/>
                <w:sz w:val="18"/>
                <w:szCs w:val="18"/>
                <w:b w:val="1"/>
                <w:bCs w:val="1"/>
                <w:color w:val="auto"/>
              </w:rPr>
              <w:t>Healthcare</w:t>
            </w:r>
          </w:p>
        </w:tc>
        <w:tc>
          <w:tcPr>
            <w:tcW w:w="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(3)(4)</w:t>
            </w:r>
          </w:p>
        </w:tc>
        <w:tc>
          <w:tcPr>
            <w:tcW w:w="2540" w:type="dxa"/>
            <w:vAlign w:val="bottom"/>
            <w:gridSpan w:val="3"/>
            <w:shd w:val="clear" w:color="auto" w:fill="CCEEFF"/>
          </w:tcPr>
          <w:p>
            <w:pPr>
              <w:ind w:left="600"/>
              <w:spacing w:after="0" w:line="201" w:lineRule="exact"/>
              <w:rPr>
                <w:sz w:val="20"/>
                <w:szCs w:val="20"/>
                <w:color w:val="auto"/>
              </w:rPr>
            </w:pPr>
            <w:r>
              <w:rPr>
                <w:rFonts w:ascii="Arial" w:cs="Arial" w:eastAsia="Arial" w:hAnsi="Arial"/>
                <w:sz w:val="18"/>
                <w:szCs w:val="18"/>
                <w:color w:val="auto"/>
              </w:rPr>
              <w:t>First-lien loan (EUR</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44,934</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9"/>
              </w:rPr>
              <w:t>40,573 par, due 9/2019)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9/30/2014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47,830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(EUR 43,158)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540" w:type="dxa"/>
            <w:vAlign w:val="bottom"/>
            <w:gridSpan w:val="3"/>
          </w:tcPr>
          <w:p>
            <w:pPr>
              <w:ind w:left="600"/>
              <w:spacing w:after="0" w:line="201" w:lineRule="exact"/>
              <w:rPr>
                <w:sz w:val="20"/>
                <w:szCs w:val="20"/>
                <w:color w:val="auto"/>
              </w:rPr>
            </w:pPr>
            <w:r>
              <w:rPr>
                <w:rFonts w:ascii="Arial" w:cs="Arial" w:eastAsia="Arial" w:hAnsi="Arial"/>
                <w:sz w:val="18"/>
                <w:szCs w:val="18"/>
                <w:color w:val="auto"/>
              </w:rPr>
              <w:t>First-lien revolving loan</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40" w:type="dxa"/>
            <w:vAlign w:val="bottom"/>
            <w:gridSpan w:val="3"/>
          </w:tcPr>
          <w:p>
            <w:pPr>
              <w:ind w:left="600"/>
              <w:spacing w:after="0"/>
              <w:rPr>
                <w:sz w:val="20"/>
                <w:szCs w:val="20"/>
                <w:color w:val="auto"/>
              </w:rPr>
            </w:pPr>
            <w:r>
              <w:rPr>
                <w:rFonts w:ascii="Arial" w:cs="Arial" w:eastAsia="Arial" w:hAnsi="Arial"/>
                <w:sz w:val="18"/>
                <w:szCs w:val="18"/>
                <w:color w:val="auto"/>
              </w:rPr>
              <w:t>(EUR 300 par,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527</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540" w:type="dxa"/>
            <w:vAlign w:val="bottom"/>
            <w:gridSpan w:val="3"/>
          </w:tcPr>
          <w:p>
            <w:pPr>
              <w:ind w:left="600"/>
              <w:spacing w:after="0"/>
              <w:rPr>
                <w:sz w:val="20"/>
                <w:szCs w:val="20"/>
                <w:color w:val="auto"/>
              </w:rPr>
            </w:pPr>
            <w:r>
              <w:rPr>
                <w:rFonts w:ascii="Arial" w:cs="Arial" w:eastAsia="Arial" w:hAnsi="Arial"/>
                <w:sz w:val="18"/>
                <w:szCs w:val="18"/>
                <w:color w:val="auto"/>
              </w:rPr>
              <w:t>due 9/2019)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9/30/2014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(EUR 500)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MatrixCare, Inc.</w:t>
            </w:r>
            <w:r>
              <w:rPr>
                <w:rFonts w:ascii="Arial" w:cs="Arial" w:eastAsia="Arial" w:hAnsi="Arial"/>
                <w:sz w:val="15"/>
                <w:szCs w:val="15"/>
                <w:color w:val="auto"/>
              </w:rPr>
              <w:t>(3)(5)</w:t>
            </w:r>
          </w:p>
        </w:tc>
        <w:tc>
          <w:tcPr>
            <w:tcW w:w="2540" w:type="dxa"/>
            <w:vAlign w:val="bottom"/>
            <w:gridSpan w:val="3"/>
            <w:shd w:val="clear" w:color="auto" w:fill="CCEEFF"/>
          </w:tcPr>
          <w:p>
            <w:pPr>
              <w:ind w:left="600"/>
              <w:spacing w:after="0" w:line="201" w:lineRule="exact"/>
              <w:rPr>
                <w:sz w:val="20"/>
                <w:szCs w:val="20"/>
                <w:color w:val="auto"/>
              </w:rPr>
            </w:pPr>
            <w:r>
              <w:rPr>
                <w:rFonts w:ascii="Arial" w:cs="Arial" w:eastAsia="Arial" w:hAnsi="Arial"/>
                <w:sz w:val="18"/>
                <w:szCs w:val="18"/>
                <w:color w:val="auto"/>
              </w:rPr>
              <w:t>First-lien loan ($44,663</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par, due 12/2021)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12/17/2015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43,959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45,109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MedeAnalytics, Inc.</w:t>
            </w:r>
            <w:r>
              <w:rPr>
                <w:rFonts w:ascii="Arial" w:cs="Arial" w:eastAsia="Arial" w:hAnsi="Arial"/>
                <w:sz w:val="15"/>
                <w:szCs w:val="15"/>
                <w:color w:val="auto"/>
              </w:rPr>
              <w:t>(3)(5)</w:t>
            </w: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9.50%</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40" w:type="dxa"/>
            <w:vAlign w:val="bottom"/>
            <w:gridSpan w:val="3"/>
          </w:tcPr>
          <w:p>
            <w:pPr>
              <w:ind w:left="600"/>
              <w:spacing w:after="0"/>
              <w:rPr>
                <w:sz w:val="20"/>
                <w:szCs w:val="20"/>
                <w:color w:val="auto"/>
              </w:rPr>
            </w:pPr>
            <w:r>
              <w:rPr>
                <w:rFonts w:ascii="Arial" w:cs="Arial" w:eastAsia="Arial" w:hAnsi="Arial"/>
                <w:sz w:val="18"/>
                <w:szCs w:val="18"/>
                <w:color w:val="auto"/>
              </w:rPr>
              <w:t>First-lien loan ($47,066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(incl. 2.50%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40" w:type="dxa"/>
            <w:vAlign w:val="bottom"/>
            <w:gridSpan w:val="3"/>
          </w:tcPr>
          <w:p>
            <w:pPr>
              <w:ind w:left="600"/>
              <w:spacing w:after="0"/>
              <w:rPr>
                <w:sz w:val="20"/>
                <w:szCs w:val="20"/>
                <w:color w:val="auto"/>
              </w:rPr>
            </w:pPr>
            <w:r>
              <w:rPr>
                <w:rFonts w:ascii="Arial" w:cs="Arial" w:eastAsia="Arial" w:hAnsi="Arial"/>
                <w:sz w:val="18"/>
                <w:szCs w:val="18"/>
                <w:color w:val="auto"/>
              </w:rPr>
              <w:t>par, due 9/2020)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PIK)</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9/30/2015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45,920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47,184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Quantros, Inc.</w:t>
            </w:r>
            <w:r>
              <w:rPr>
                <w:rFonts w:ascii="Arial" w:cs="Arial" w:eastAsia="Arial" w:hAnsi="Arial"/>
                <w:sz w:val="15"/>
                <w:szCs w:val="15"/>
                <w:color w:val="auto"/>
              </w:rPr>
              <w:t>(3)(5)</w:t>
            </w:r>
          </w:p>
        </w:tc>
        <w:tc>
          <w:tcPr>
            <w:tcW w:w="2540" w:type="dxa"/>
            <w:vAlign w:val="bottom"/>
            <w:gridSpan w:val="3"/>
            <w:shd w:val="clear" w:color="auto" w:fill="CCEEFF"/>
          </w:tcPr>
          <w:p>
            <w:pPr>
              <w:ind w:left="600"/>
              <w:spacing w:after="0" w:line="201" w:lineRule="exact"/>
              <w:rPr>
                <w:sz w:val="20"/>
                <w:szCs w:val="20"/>
                <w:color w:val="auto"/>
              </w:rPr>
            </w:pPr>
            <w:r>
              <w:rPr>
                <w:rFonts w:ascii="Arial" w:cs="Arial" w:eastAsia="Arial" w:hAnsi="Arial"/>
                <w:sz w:val="18"/>
                <w:szCs w:val="18"/>
                <w:color w:val="auto"/>
              </w:rPr>
              <w:t>First-lien loan ($29,775</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par, due 2/2021)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2/29/2016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28,894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29,849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SRS Software, LLC</w:t>
            </w:r>
            <w:r>
              <w:rPr>
                <w:rFonts w:ascii="Arial" w:cs="Arial" w:eastAsia="Arial" w:hAnsi="Arial"/>
                <w:sz w:val="15"/>
                <w:szCs w:val="15"/>
                <w:color w:val="auto"/>
              </w:rPr>
              <w:t>(3)</w:t>
            </w:r>
          </w:p>
        </w:tc>
        <w:tc>
          <w:tcPr>
            <w:tcW w:w="2540" w:type="dxa"/>
            <w:vAlign w:val="bottom"/>
            <w:gridSpan w:val="3"/>
          </w:tcPr>
          <w:p>
            <w:pPr>
              <w:ind w:left="600"/>
              <w:spacing w:after="0" w:line="201" w:lineRule="exact"/>
              <w:rPr>
                <w:sz w:val="20"/>
                <w:szCs w:val="20"/>
                <w:color w:val="auto"/>
              </w:rPr>
            </w:pPr>
            <w:r>
              <w:rPr>
                <w:rFonts w:ascii="Arial" w:cs="Arial" w:eastAsia="Arial" w:hAnsi="Arial"/>
                <w:sz w:val="18"/>
                <w:szCs w:val="18"/>
                <w:color w:val="auto"/>
              </w:rPr>
              <w:t>First-lien loan ($30,000</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40" w:type="dxa"/>
            <w:vAlign w:val="bottom"/>
            <w:gridSpan w:val="3"/>
          </w:tcPr>
          <w:p>
            <w:pPr>
              <w:ind w:left="600"/>
              <w:spacing w:after="0"/>
              <w:rPr>
                <w:sz w:val="20"/>
                <w:szCs w:val="20"/>
                <w:color w:val="auto"/>
              </w:rPr>
            </w:pPr>
            <w:r>
              <w:rPr>
                <w:rFonts w:ascii="Arial" w:cs="Arial" w:eastAsia="Arial" w:hAnsi="Arial"/>
                <w:sz w:val="18"/>
                <w:szCs w:val="18"/>
                <w:color w:val="auto"/>
              </w:rPr>
              <w:t>par, due 12/2017)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12/28/2012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29,820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600"/>
              <w:spacing w:after="0" w:line="201" w:lineRule="exact"/>
              <w:rPr>
                <w:sz w:val="20"/>
                <w:szCs w:val="20"/>
                <w:color w:val="auto"/>
              </w:rPr>
            </w:pPr>
            <w:r>
              <w:rPr>
                <w:rFonts w:ascii="Arial" w:cs="Arial" w:eastAsia="Arial" w:hAnsi="Arial"/>
                <w:sz w:val="18"/>
                <w:szCs w:val="18"/>
                <w:color w:val="auto"/>
              </w:rPr>
              <w:t>First-lien revolving loan</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($2,000 par,</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due 12/2017)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198,667</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199,603</w:t>
            </w:r>
          </w:p>
        </w:tc>
        <w:tc>
          <w:tcPr>
            <w:tcW w:w="220" w:type="dxa"/>
            <w:vAlign w:val="bottom"/>
            <w:vMerge w:val="continue"/>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Hotel, gaming, and leisure</w:t>
            </w:r>
          </w:p>
        </w:tc>
        <w:tc>
          <w:tcPr>
            <w:tcW w:w="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CrunchTime Information Systems, Inc.</w:t>
            </w:r>
            <w:r>
              <w:rPr>
                <w:rFonts w:ascii="Arial" w:cs="Arial" w:eastAsia="Arial" w:hAnsi="Arial"/>
                <w:sz w:val="15"/>
                <w:szCs w:val="15"/>
                <w:color w:val="auto"/>
              </w:rPr>
              <w:t>(3)</w:t>
            </w: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9.27%</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40" w:type="dxa"/>
            <w:vAlign w:val="bottom"/>
            <w:gridSpan w:val="3"/>
          </w:tcPr>
          <w:p>
            <w:pPr>
              <w:ind w:left="600"/>
              <w:spacing w:after="0"/>
              <w:rPr>
                <w:sz w:val="20"/>
                <w:szCs w:val="20"/>
                <w:color w:val="auto"/>
              </w:rPr>
            </w:pPr>
            <w:r>
              <w:rPr>
                <w:rFonts w:ascii="Arial" w:cs="Arial" w:eastAsia="Arial" w:hAnsi="Arial"/>
                <w:sz w:val="18"/>
                <w:szCs w:val="18"/>
                <w:color w:val="auto"/>
              </w:rPr>
              <w:t>First-lien loan ($26,104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(incl. 2.50%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40" w:type="dxa"/>
            <w:vAlign w:val="bottom"/>
            <w:gridSpan w:val="3"/>
          </w:tcPr>
          <w:p>
            <w:pPr>
              <w:ind w:left="600"/>
              <w:spacing w:after="0"/>
              <w:rPr>
                <w:sz w:val="20"/>
                <w:szCs w:val="20"/>
                <w:color w:val="auto"/>
              </w:rPr>
            </w:pPr>
            <w:r>
              <w:rPr>
                <w:rFonts w:ascii="Arial" w:cs="Arial" w:eastAsia="Arial" w:hAnsi="Arial"/>
                <w:sz w:val="18"/>
                <w:szCs w:val="18"/>
                <w:color w:val="auto"/>
              </w:rPr>
              <w:t>par, due 4/2020)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PIK)</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4/16/2015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25,643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IRGSE Holding Corp.</w:t>
            </w:r>
            <w:r>
              <w:rPr>
                <w:rFonts w:ascii="Arial" w:cs="Arial" w:eastAsia="Arial" w:hAnsi="Arial"/>
                <w:sz w:val="15"/>
                <w:szCs w:val="15"/>
                <w:color w:val="auto"/>
              </w:rPr>
              <w:t>(3)(7)</w:t>
            </w:r>
          </w:p>
        </w:tc>
        <w:tc>
          <w:tcPr>
            <w:tcW w:w="6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10.50%</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First-lien loan ($21,311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(incl. 5.00%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par, due 9/2019)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18,807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540" w:type="dxa"/>
            <w:vAlign w:val="bottom"/>
            <w:gridSpan w:val="3"/>
          </w:tcPr>
          <w:p>
            <w:pPr>
              <w:ind w:left="600"/>
              <w:spacing w:after="0" w:line="201" w:lineRule="exact"/>
              <w:rPr>
                <w:sz w:val="20"/>
                <w:szCs w:val="20"/>
                <w:color w:val="auto"/>
              </w:rPr>
            </w:pPr>
            <w:r>
              <w:rPr>
                <w:rFonts w:ascii="Arial" w:cs="Arial" w:eastAsia="Arial" w:hAnsi="Arial"/>
                <w:sz w:val="18"/>
                <w:szCs w:val="18"/>
                <w:color w:val="auto"/>
              </w:rPr>
              <w:t>First-lien revolver loan</w:t>
            </w:r>
          </w:p>
        </w:tc>
        <w:tc>
          <w:tcPr>
            <w:tcW w:w="11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10.50%</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40" w:type="dxa"/>
            <w:vAlign w:val="bottom"/>
            <w:gridSpan w:val="3"/>
          </w:tcPr>
          <w:p>
            <w:pPr>
              <w:ind w:left="600"/>
              <w:spacing w:after="0"/>
              <w:rPr>
                <w:sz w:val="20"/>
                <w:szCs w:val="20"/>
                <w:color w:val="auto"/>
              </w:rPr>
            </w:pPr>
            <w:r>
              <w:rPr>
                <w:rFonts w:ascii="Arial" w:cs="Arial" w:eastAsia="Arial" w:hAnsi="Arial"/>
                <w:sz w:val="18"/>
                <w:szCs w:val="18"/>
                <w:color w:val="auto"/>
              </w:rPr>
              <w:t>($14,755 par, due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(incl. 5.00%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20" w:type="dxa"/>
            <w:vAlign w:val="bottom"/>
            <w:gridSpan w:val="2"/>
          </w:tcPr>
          <w:p>
            <w:pPr>
              <w:ind w:left="600"/>
              <w:spacing w:after="0"/>
              <w:rPr>
                <w:sz w:val="20"/>
                <w:szCs w:val="20"/>
                <w:color w:val="auto"/>
              </w:rPr>
            </w:pPr>
            <w:r>
              <w:rPr>
                <w:rFonts w:ascii="Arial" w:cs="Arial" w:eastAsia="Arial" w:hAnsi="Arial"/>
                <w:sz w:val="18"/>
                <w:szCs w:val="18"/>
                <w:color w:val="auto"/>
              </w:rPr>
              <w:t>9/2019)</w:t>
            </w: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PIK)</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9/29/2015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14,755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13,021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Soho House</w:t>
            </w:r>
            <w:r>
              <w:rPr>
                <w:rFonts w:ascii="Arial" w:cs="Arial" w:eastAsia="Arial" w:hAnsi="Arial"/>
                <w:sz w:val="15"/>
                <w:szCs w:val="15"/>
                <w:color w:val="auto"/>
              </w:rPr>
              <w:t>(4)</w:t>
            </w:r>
          </w:p>
        </w:tc>
        <w:tc>
          <w:tcPr>
            <w:tcW w:w="2540" w:type="dxa"/>
            <w:vAlign w:val="bottom"/>
            <w:gridSpan w:val="3"/>
            <w:shd w:val="clear" w:color="auto" w:fill="CCEEFF"/>
          </w:tcPr>
          <w:p>
            <w:pPr>
              <w:ind w:left="600"/>
              <w:spacing w:after="0" w:line="201" w:lineRule="exact"/>
              <w:rPr>
                <w:sz w:val="20"/>
                <w:szCs w:val="20"/>
                <w:color w:val="auto"/>
              </w:rPr>
            </w:pPr>
            <w:r>
              <w:rPr>
                <w:rFonts w:ascii="Arial" w:cs="Arial" w:eastAsia="Arial" w:hAnsi="Arial"/>
                <w:sz w:val="18"/>
                <w:szCs w:val="18"/>
                <w:color w:val="auto"/>
              </w:rPr>
              <w:t>Second-lien bond (GBP</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16,227</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4"/>
              </w:rPr>
              <w:t>12,875 par, due 10/2018)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9/20/2013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20,618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(GBP 13,133)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82,327</w:t>
            </w:r>
          </w:p>
        </w:tc>
        <w:tc>
          <w:tcPr>
            <w:tcW w:w="16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74,159</w:t>
            </w:r>
          </w:p>
        </w:tc>
        <w:tc>
          <w:tcPr>
            <w:tcW w:w="220" w:type="dxa"/>
            <w:vAlign w:val="bottom"/>
            <w:vMerge w:val="continue"/>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20" w:type="dxa"/>
            <w:vAlign w:val="bottom"/>
            <w:gridSpan w:val="2"/>
          </w:tcPr>
          <w:p>
            <w:pPr>
              <w:jc w:val="right"/>
              <w:ind w:right="128"/>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620" w:type="dxa"/>
            <w:vAlign w:val="bottom"/>
          </w:tcPr>
          <w:p>
            <w:pPr>
              <w:spacing w:after="0"/>
              <w:rPr>
                <w:sz w:val="12"/>
                <w:szCs w:val="12"/>
                <w:color w:val="auto"/>
              </w:rPr>
            </w:pPr>
          </w:p>
        </w:tc>
        <w:tc>
          <w:tcPr>
            <w:tcW w:w="19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Interest</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Human resource support services</w:t>
            </w:r>
          </w:p>
        </w:tc>
        <w:tc>
          <w:tcPr>
            <w:tcW w:w="6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Saba Software, Inc.</w:t>
            </w:r>
            <w:r>
              <w:rPr>
                <w:rFonts w:ascii="Arial" w:cs="Arial" w:eastAsia="Arial" w:hAnsi="Arial"/>
                <w:sz w:val="15"/>
                <w:szCs w:val="15"/>
                <w:color w:val="auto"/>
              </w:rPr>
              <w:t>(3)(5)</w:t>
            </w:r>
          </w:p>
        </w:tc>
        <w:tc>
          <w:tcPr>
            <w:tcW w:w="256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First-lien loan ($54,175</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60" w:type="dxa"/>
            <w:vAlign w:val="bottom"/>
            <w:gridSpan w:val="3"/>
          </w:tcPr>
          <w:p>
            <w:pPr>
              <w:ind w:left="620"/>
              <w:spacing w:after="0"/>
              <w:rPr>
                <w:sz w:val="20"/>
                <w:szCs w:val="20"/>
                <w:color w:val="auto"/>
              </w:rPr>
            </w:pPr>
            <w:r>
              <w:rPr>
                <w:rFonts w:ascii="Arial" w:cs="Arial" w:eastAsia="Arial" w:hAnsi="Arial"/>
                <w:sz w:val="18"/>
                <w:szCs w:val="18"/>
                <w:color w:val="auto"/>
              </w:rPr>
              <w:t>par, due 3/2021)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9.75%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3/30/2015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53,680</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54,310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Skillsoft</w:t>
            </w:r>
            <w:r>
              <w:rPr>
                <w:rFonts w:ascii="Arial" w:cs="Arial" w:eastAsia="Arial" w:hAnsi="Arial"/>
                <w:sz w:val="15"/>
                <w:szCs w:val="15"/>
                <w:color w:val="auto"/>
              </w:rPr>
              <w:t>(3)</w:t>
            </w:r>
          </w:p>
        </w:tc>
        <w:tc>
          <w:tcPr>
            <w:tcW w:w="2560" w:type="dxa"/>
            <w:vAlign w:val="bottom"/>
            <w:gridSpan w:val="3"/>
            <w:shd w:val="clear" w:color="auto" w:fill="CCEEFF"/>
          </w:tcPr>
          <w:p>
            <w:pPr>
              <w:ind w:left="620"/>
              <w:spacing w:after="0" w:line="201" w:lineRule="exact"/>
              <w:rPr>
                <w:sz w:val="20"/>
                <w:szCs w:val="20"/>
                <w:color w:val="auto"/>
              </w:rPr>
            </w:pPr>
            <w:r>
              <w:rPr>
                <w:rFonts w:ascii="Arial" w:cs="Arial" w:eastAsia="Arial" w:hAnsi="Arial"/>
                <w:sz w:val="18"/>
                <w:szCs w:val="18"/>
                <w:color w:val="auto"/>
              </w:rPr>
              <w:t>First-lien loan ($9,571</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5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par, due 4/2021)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11/5/2015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8,709</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61,309</w:t>
            </w:r>
          </w:p>
        </w:tc>
        <w:tc>
          <w:tcPr>
            <w:tcW w:w="160" w:type="dxa"/>
            <w:vAlign w:val="bottom"/>
            <w:vMerge w:val="continue"/>
          </w:tcPr>
          <w:p>
            <w:pPr>
              <w:spacing w:after="0"/>
              <w:rPr>
                <w:sz w:val="20"/>
                <w:szCs w:val="20"/>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83"/>
              </w:rPr>
              <w:t>63,019</w:t>
            </w:r>
          </w:p>
        </w:tc>
        <w:tc>
          <w:tcPr>
            <w:tcW w:w="180" w:type="dxa"/>
            <w:vAlign w:val="bottom"/>
            <w:vMerge w:val="continue"/>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Insurance</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Insurity, Inc.</w:t>
            </w:r>
            <w:r>
              <w:rPr>
                <w:rFonts w:ascii="Arial" w:cs="Arial" w:eastAsia="Arial" w:hAnsi="Arial"/>
                <w:sz w:val="15"/>
                <w:szCs w:val="15"/>
                <w:color w:val="auto"/>
              </w:rPr>
              <w:t>(3)(5)</w:t>
            </w:r>
          </w:p>
        </w:tc>
        <w:tc>
          <w:tcPr>
            <w:tcW w:w="256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First-lien loan ($64,978</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60" w:type="dxa"/>
            <w:vAlign w:val="bottom"/>
            <w:gridSpan w:val="3"/>
          </w:tcPr>
          <w:p>
            <w:pPr>
              <w:ind w:left="620"/>
              <w:spacing w:after="0"/>
              <w:rPr>
                <w:sz w:val="20"/>
                <w:szCs w:val="20"/>
                <w:color w:val="auto"/>
              </w:rPr>
            </w:pPr>
            <w:r>
              <w:rPr>
                <w:rFonts w:ascii="Arial" w:cs="Arial" w:eastAsia="Arial" w:hAnsi="Arial"/>
                <w:sz w:val="18"/>
                <w:szCs w:val="18"/>
                <w:color w:val="auto"/>
              </w:rPr>
              <w:t>par, due 10/2020)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10/31/2014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64,423</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65,952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Internet services</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Highwinds Capital, Inc.</w:t>
            </w:r>
            <w:r>
              <w:rPr>
                <w:rFonts w:ascii="Arial" w:cs="Arial" w:eastAsia="Arial" w:hAnsi="Arial"/>
                <w:sz w:val="15"/>
                <w:szCs w:val="15"/>
                <w:color w:val="auto"/>
              </w:rPr>
              <w:t>(3)</w:t>
            </w:r>
          </w:p>
        </w:tc>
        <w:tc>
          <w:tcPr>
            <w:tcW w:w="256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First-lien loan ($47,988</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60" w:type="dxa"/>
            <w:vAlign w:val="bottom"/>
            <w:gridSpan w:val="3"/>
          </w:tcPr>
          <w:p>
            <w:pPr>
              <w:ind w:left="620"/>
              <w:spacing w:after="0"/>
              <w:rPr>
                <w:sz w:val="20"/>
                <w:szCs w:val="20"/>
                <w:color w:val="auto"/>
              </w:rPr>
            </w:pPr>
            <w:r>
              <w:rPr>
                <w:rFonts w:ascii="Arial" w:cs="Arial" w:eastAsia="Arial" w:hAnsi="Arial"/>
                <w:sz w:val="18"/>
                <w:szCs w:val="18"/>
                <w:color w:val="auto"/>
              </w:rPr>
              <w:t>par, due 7/2018)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3/7/2014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47,679</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48,588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560" w:type="dxa"/>
            <w:vAlign w:val="bottom"/>
            <w:gridSpan w:val="3"/>
            <w:shd w:val="clear" w:color="auto" w:fill="CCEEFF"/>
          </w:tcPr>
          <w:p>
            <w:pPr>
              <w:ind w:left="620"/>
              <w:spacing w:after="0" w:line="201" w:lineRule="exact"/>
              <w:rPr>
                <w:sz w:val="20"/>
                <w:szCs w:val="20"/>
                <w:color w:val="auto"/>
              </w:rPr>
            </w:pPr>
            <w:r>
              <w:rPr>
                <w:rFonts w:ascii="Arial" w:cs="Arial" w:eastAsia="Arial" w:hAnsi="Arial"/>
                <w:sz w:val="18"/>
                <w:szCs w:val="18"/>
                <w:color w:val="auto"/>
              </w:rPr>
              <w:t>First-lien revolving loan</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5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6"/>
              </w:rPr>
              <w:t>($3,000 par, due 7/2018)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3,038</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50,664</w:t>
            </w:r>
          </w:p>
        </w:tc>
        <w:tc>
          <w:tcPr>
            <w:tcW w:w="160" w:type="dxa"/>
            <w:vAlign w:val="bottom"/>
            <w:vMerge w:val="continue"/>
          </w:tcPr>
          <w:p>
            <w:pPr>
              <w:spacing w:after="0"/>
              <w:rPr>
                <w:sz w:val="20"/>
                <w:szCs w:val="20"/>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83"/>
              </w:rPr>
              <w:t>51,626</w:t>
            </w:r>
          </w:p>
        </w:tc>
        <w:tc>
          <w:tcPr>
            <w:tcW w:w="180" w:type="dxa"/>
            <w:vAlign w:val="bottom"/>
            <w:vMerge w:val="continue"/>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Manufacturing</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Power Solutions International, Inc.</w:t>
            </w:r>
            <w:r>
              <w:rPr>
                <w:rFonts w:ascii="Arial" w:cs="Arial" w:eastAsia="Arial" w:hAnsi="Arial"/>
                <w:sz w:val="15"/>
                <w:szCs w:val="15"/>
                <w:color w:val="auto"/>
              </w:rPr>
              <w:t>(3)</w:t>
            </w:r>
          </w:p>
        </w:tc>
        <w:tc>
          <w:tcPr>
            <w:tcW w:w="256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ABL FILO term loan</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60" w:type="dxa"/>
            <w:vAlign w:val="bottom"/>
            <w:gridSpan w:val="3"/>
          </w:tcPr>
          <w:p>
            <w:pPr>
              <w:ind w:left="620"/>
              <w:spacing w:after="0"/>
              <w:rPr>
                <w:sz w:val="20"/>
                <w:szCs w:val="20"/>
                <w:color w:val="auto"/>
              </w:rPr>
            </w:pPr>
            <w:r>
              <w:rPr>
                <w:rFonts w:ascii="Arial" w:cs="Arial" w:eastAsia="Arial" w:hAnsi="Arial"/>
                <w:sz w:val="18"/>
                <w:szCs w:val="18"/>
                <w:color w:val="auto"/>
              </w:rPr>
              <w:t>($53,550 par,</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60" w:type="dxa"/>
            <w:vAlign w:val="bottom"/>
            <w:gridSpan w:val="3"/>
          </w:tcPr>
          <w:p>
            <w:pPr>
              <w:ind w:left="620"/>
              <w:spacing w:after="0"/>
              <w:rPr>
                <w:sz w:val="20"/>
                <w:szCs w:val="20"/>
                <w:color w:val="auto"/>
              </w:rPr>
            </w:pPr>
            <w:r>
              <w:rPr>
                <w:rFonts w:ascii="Arial" w:cs="Arial" w:eastAsia="Arial" w:hAnsi="Arial"/>
                <w:sz w:val="18"/>
                <w:szCs w:val="18"/>
                <w:color w:val="auto"/>
              </w:rPr>
              <w:t>due 6/2021)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10.75%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6/28/2016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47,285</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52,613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Office products</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Ecommerce Industries, Inc.</w:t>
            </w:r>
            <w:r>
              <w:rPr>
                <w:rFonts w:ascii="Arial" w:cs="Arial" w:eastAsia="Arial" w:hAnsi="Arial"/>
                <w:sz w:val="15"/>
                <w:szCs w:val="15"/>
                <w:color w:val="auto"/>
              </w:rPr>
              <w:t>(3)</w:t>
            </w:r>
          </w:p>
        </w:tc>
        <w:tc>
          <w:tcPr>
            <w:tcW w:w="256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First-lien loan ($36,529</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60" w:type="dxa"/>
            <w:vAlign w:val="bottom"/>
            <w:gridSpan w:val="3"/>
          </w:tcPr>
          <w:p>
            <w:pPr>
              <w:ind w:left="620"/>
              <w:spacing w:after="0"/>
              <w:rPr>
                <w:sz w:val="20"/>
                <w:szCs w:val="20"/>
                <w:color w:val="auto"/>
              </w:rPr>
            </w:pPr>
            <w:r>
              <w:rPr>
                <w:rFonts w:ascii="Arial" w:cs="Arial" w:eastAsia="Arial" w:hAnsi="Arial"/>
                <w:sz w:val="18"/>
                <w:szCs w:val="18"/>
                <w:color w:val="auto"/>
              </w:rPr>
              <w:t>par, due 3/2019)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3/11/2014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36,366</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36,627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Oil, gas and consumable fuels</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Key Energy Services</w:t>
            </w:r>
            <w:r>
              <w:rPr>
                <w:rFonts w:ascii="Arial" w:cs="Arial" w:eastAsia="Arial" w:hAnsi="Arial"/>
                <w:sz w:val="15"/>
                <w:szCs w:val="15"/>
                <w:color w:val="auto"/>
              </w:rPr>
              <w:t>(3)</w:t>
            </w:r>
          </w:p>
        </w:tc>
        <w:tc>
          <w:tcPr>
            <w:tcW w:w="256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First-lien loan ($10,771</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60" w:type="dxa"/>
            <w:vAlign w:val="bottom"/>
            <w:gridSpan w:val="3"/>
          </w:tcPr>
          <w:p>
            <w:pPr>
              <w:ind w:left="620"/>
              <w:spacing w:after="0"/>
              <w:rPr>
                <w:sz w:val="20"/>
                <w:szCs w:val="20"/>
                <w:color w:val="auto"/>
              </w:rPr>
            </w:pPr>
            <w:r>
              <w:rPr>
                <w:rFonts w:ascii="Arial" w:cs="Arial" w:eastAsia="Arial" w:hAnsi="Arial"/>
                <w:sz w:val="18"/>
                <w:szCs w:val="18"/>
                <w:color w:val="auto"/>
              </w:rPr>
              <w:t>par, due 12/2021)</w:t>
            </w:r>
          </w:p>
        </w:tc>
        <w:tc>
          <w:tcPr>
            <w:tcW w:w="1060" w:type="dxa"/>
            <w:vAlign w:val="bottom"/>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5/27/2015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10,454</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10,717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(3)(7)</w:t>
            </w:r>
          </w:p>
        </w:tc>
        <w:tc>
          <w:tcPr>
            <w:tcW w:w="6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13.00%</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 ($51,537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(incl. 1.50%</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5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par, due 6/2018)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51,078</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33,885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61,532</w:t>
            </w:r>
          </w:p>
        </w:tc>
        <w:tc>
          <w:tcPr>
            <w:tcW w:w="160" w:type="dxa"/>
            <w:vAlign w:val="bottom"/>
            <w:vMerge w:val="continue"/>
          </w:tcPr>
          <w:p>
            <w:pPr>
              <w:spacing w:after="0"/>
              <w:rPr>
                <w:sz w:val="20"/>
                <w:szCs w:val="20"/>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83"/>
              </w:rPr>
              <w:t>44,602</w:t>
            </w:r>
          </w:p>
        </w:tc>
        <w:tc>
          <w:tcPr>
            <w:tcW w:w="180" w:type="dxa"/>
            <w:vAlign w:val="bottom"/>
            <w:vMerge w:val="continue"/>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Pharmaceuticals</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Nektar Therapeutics</w:t>
            </w:r>
            <w:r>
              <w:rPr>
                <w:rFonts w:ascii="Arial" w:cs="Arial" w:eastAsia="Arial" w:hAnsi="Arial"/>
                <w:sz w:val="15"/>
                <w:szCs w:val="15"/>
                <w:color w:val="auto"/>
              </w:rPr>
              <w:t>(4)(5)(9)</w:t>
            </w:r>
          </w:p>
        </w:tc>
        <w:tc>
          <w:tcPr>
            <w:tcW w:w="256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Secured note ($74,950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60" w:type="dxa"/>
            <w:vAlign w:val="bottom"/>
            <w:gridSpan w:val="3"/>
          </w:tcPr>
          <w:p>
            <w:pPr>
              <w:ind w:left="620"/>
              <w:spacing w:after="0"/>
              <w:rPr>
                <w:sz w:val="20"/>
                <w:szCs w:val="20"/>
                <w:color w:val="auto"/>
              </w:rPr>
            </w:pPr>
            <w:r>
              <w:rPr>
                <w:rFonts w:ascii="Arial" w:cs="Arial" w:eastAsia="Arial" w:hAnsi="Arial"/>
                <w:sz w:val="18"/>
                <w:szCs w:val="18"/>
                <w:color w:val="auto"/>
              </w:rPr>
              <w:t>par, due 10/2020)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10/5/2015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74,184</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74,575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Retail and consumer products</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American Achievement Corporation</w:t>
            </w:r>
            <w:r>
              <w:rPr>
                <w:rFonts w:ascii="Arial" w:cs="Arial" w:eastAsia="Arial" w:hAnsi="Arial"/>
                <w:sz w:val="15"/>
                <w:szCs w:val="15"/>
                <w:color w:val="auto"/>
              </w:rPr>
              <w:t>(3)(5)</w:t>
            </w:r>
          </w:p>
        </w:tc>
        <w:tc>
          <w:tcPr>
            <w:tcW w:w="256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First-lien loan ($23,918</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60" w:type="dxa"/>
            <w:vAlign w:val="bottom"/>
            <w:gridSpan w:val="3"/>
          </w:tcPr>
          <w:p>
            <w:pPr>
              <w:ind w:left="620"/>
              <w:spacing w:after="0"/>
              <w:rPr>
                <w:sz w:val="20"/>
                <w:szCs w:val="20"/>
                <w:color w:val="auto"/>
              </w:rPr>
            </w:pPr>
            <w:r>
              <w:rPr>
                <w:rFonts w:ascii="Arial" w:cs="Arial" w:eastAsia="Arial" w:hAnsi="Arial"/>
                <w:sz w:val="18"/>
                <w:szCs w:val="18"/>
                <w:color w:val="auto"/>
              </w:rPr>
              <w:t>par, due 9/2020)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8.25%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9/30/2015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23,652</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23,858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40" w:type="dxa"/>
            <w:vAlign w:val="bottom"/>
            <w:gridSpan w:val="2"/>
          </w:tcPr>
          <w:p>
            <w:pPr>
              <w:jc w:val="right"/>
              <w:ind w:right="128"/>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Initial</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Amortized</w:t>
            </w: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680" w:type="dxa"/>
            <w:vAlign w:val="bottom"/>
          </w:tcPr>
          <w:p>
            <w:pPr>
              <w:spacing w:after="0"/>
              <w:rPr>
                <w:sz w:val="12"/>
                <w:szCs w:val="12"/>
                <w:color w:val="auto"/>
              </w:rPr>
            </w:pPr>
          </w:p>
        </w:tc>
        <w:tc>
          <w:tcPr>
            <w:tcW w:w="19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Interest</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0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(2)(8)</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Value</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of Net Assets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75"/>
              </w:rPr>
              <w:t>Destination</w:t>
            </w:r>
          </w:p>
        </w:tc>
        <w:tc>
          <w:tcPr>
            <w:tcW w:w="2820" w:type="dxa"/>
            <w:vAlign w:val="bottom"/>
            <w:tcBorders>
              <w:top w:val="single" w:sz="8" w:color="CCEEFF"/>
            </w:tcBorders>
            <w:shd w:val="clear" w:color="auto" w:fill="CCEEFF"/>
          </w:tcPr>
          <w:p>
            <w:pPr>
              <w:ind w:left="160"/>
              <w:spacing w:after="0" w:line="195" w:lineRule="exact"/>
              <w:rPr>
                <w:sz w:val="20"/>
                <w:szCs w:val="20"/>
                <w:color w:val="auto"/>
              </w:rPr>
            </w:pPr>
            <w:r>
              <w:rPr>
                <w:rFonts w:ascii="Arial" w:cs="Arial" w:eastAsia="Arial" w:hAnsi="Arial"/>
                <w:sz w:val="18"/>
                <w:szCs w:val="18"/>
                <w:color w:val="auto"/>
              </w:rPr>
              <w:t>Maternity Corporation</w:t>
            </w:r>
            <w:r>
              <w:rPr>
                <w:rFonts w:ascii="Arial" w:cs="Arial" w:eastAsia="Arial" w:hAnsi="Arial"/>
                <w:sz w:val="15"/>
                <w:szCs w:val="15"/>
                <w:color w:val="auto"/>
              </w:rPr>
              <w:t>(3)(5)</w:t>
            </w:r>
          </w:p>
        </w:tc>
        <w:tc>
          <w:tcPr>
            <w:tcW w:w="68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ABL FILO term loan</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($17,371 par, due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3/2021)</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3/25/2016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17,013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Payless Inc.</w:t>
            </w:r>
            <w:r>
              <w:rPr>
                <w:rFonts w:ascii="Arial" w:cs="Arial" w:eastAsia="Arial" w:hAnsi="Arial"/>
                <w:sz w:val="15"/>
                <w:szCs w:val="15"/>
                <w:color w:val="auto"/>
              </w:rPr>
              <w:t>(3)</w:t>
            </w:r>
          </w:p>
        </w:tc>
        <w:tc>
          <w:tcPr>
            <w:tcW w:w="2620" w:type="dxa"/>
            <w:vAlign w:val="bottom"/>
            <w:gridSpan w:val="3"/>
          </w:tcPr>
          <w:p>
            <w:pPr>
              <w:ind w:left="680"/>
              <w:spacing w:after="0" w:line="201" w:lineRule="exact"/>
              <w:rPr>
                <w:sz w:val="20"/>
                <w:szCs w:val="20"/>
                <w:color w:val="auto"/>
              </w:rPr>
            </w:pPr>
            <w:r>
              <w:rPr>
                <w:rFonts w:ascii="Arial" w:cs="Arial" w:eastAsia="Arial" w:hAnsi="Arial"/>
                <w:sz w:val="18"/>
                <w:szCs w:val="18"/>
                <w:color w:val="auto"/>
              </w:rPr>
              <w:t>ABL FILO term loan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gridSpan w:val="3"/>
          </w:tcPr>
          <w:p>
            <w:pPr>
              <w:ind w:left="680"/>
              <w:spacing w:after="0"/>
              <w:rPr>
                <w:sz w:val="20"/>
                <w:szCs w:val="20"/>
                <w:color w:val="auto"/>
              </w:rPr>
            </w:pPr>
            <w:r>
              <w:rPr>
                <w:rFonts w:ascii="Arial" w:cs="Arial" w:eastAsia="Arial" w:hAnsi="Arial"/>
                <w:sz w:val="18"/>
                <w:szCs w:val="18"/>
                <w:color w:val="auto"/>
              </w:rPr>
              <w:t>($50,000 par,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20" w:type="dxa"/>
            <w:vAlign w:val="bottom"/>
            <w:gridSpan w:val="3"/>
          </w:tcPr>
          <w:p>
            <w:pPr>
              <w:ind w:left="680"/>
              <w:spacing w:after="0"/>
              <w:rPr>
                <w:sz w:val="20"/>
                <w:szCs w:val="20"/>
                <w:color w:val="auto"/>
              </w:rPr>
            </w:pPr>
            <w:r>
              <w:rPr>
                <w:rFonts w:ascii="Arial" w:cs="Arial" w:eastAsia="Arial" w:hAnsi="Arial"/>
                <w:sz w:val="18"/>
                <w:szCs w:val="18"/>
                <w:color w:val="auto"/>
              </w:rPr>
              <w:t>due 3/2019)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10/3/2016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48,736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49,125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Quiksilver - Boardriders SA</w:t>
            </w:r>
          </w:p>
        </w:tc>
        <w:tc>
          <w:tcPr>
            <w:tcW w:w="2620" w:type="dxa"/>
            <w:vAlign w:val="bottom"/>
            <w:gridSpan w:val="3"/>
            <w:shd w:val="clear" w:color="auto" w:fill="CCEEFF"/>
          </w:tcPr>
          <w:p>
            <w:pPr>
              <w:ind w:left="680"/>
              <w:spacing w:after="0" w:line="201" w:lineRule="exact"/>
              <w:rPr>
                <w:sz w:val="20"/>
                <w:szCs w:val="20"/>
                <w:color w:val="auto"/>
              </w:rPr>
            </w:pPr>
            <w:r>
              <w:rPr>
                <w:rFonts w:ascii="Arial" w:cs="Arial" w:eastAsia="Arial" w:hAnsi="Arial"/>
                <w:sz w:val="18"/>
                <w:szCs w:val="18"/>
                <w:color w:val="auto"/>
              </w:rPr>
              <w:t>Bond (EUR 5,699 par,</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5,170</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26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due 12/2020)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5/26/2015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(EUR 4,901)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Sears</w:t>
            </w:r>
            <w:r>
              <w:rPr>
                <w:rFonts w:ascii="Arial" w:cs="Arial" w:eastAsia="Arial" w:hAnsi="Arial"/>
                <w:sz w:val="15"/>
                <w:szCs w:val="15"/>
                <w:color w:val="auto"/>
              </w:rPr>
              <w:t>(3)(4)(6)</w:t>
            </w:r>
          </w:p>
        </w:tc>
        <w:tc>
          <w:tcPr>
            <w:tcW w:w="2620" w:type="dxa"/>
            <w:vAlign w:val="bottom"/>
            <w:gridSpan w:val="3"/>
          </w:tcPr>
          <w:p>
            <w:pPr>
              <w:ind w:left="680"/>
              <w:spacing w:after="0" w:line="201" w:lineRule="exact"/>
              <w:rPr>
                <w:sz w:val="20"/>
                <w:szCs w:val="20"/>
                <w:color w:val="auto"/>
              </w:rPr>
            </w:pPr>
            <w:r>
              <w:rPr>
                <w:rFonts w:ascii="Arial" w:cs="Arial" w:eastAsia="Arial" w:hAnsi="Arial"/>
                <w:sz w:val="18"/>
                <w:szCs w:val="18"/>
                <w:color w:val="auto"/>
              </w:rPr>
              <w:t>First-lien loan ($3,642</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20" w:type="dxa"/>
            <w:vAlign w:val="bottom"/>
            <w:gridSpan w:val="3"/>
          </w:tcPr>
          <w:p>
            <w:pPr>
              <w:ind w:left="680"/>
              <w:spacing w:after="0"/>
              <w:rPr>
                <w:sz w:val="20"/>
                <w:szCs w:val="20"/>
                <w:color w:val="auto"/>
              </w:rPr>
            </w:pPr>
            <w:r>
              <w:rPr>
                <w:rFonts w:ascii="Arial" w:cs="Arial" w:eastAsia="Arial" w:hAnsi="Arial"/>
                <w:sz w:val="18"/>
                <w:szCs w:val="18"/>
                <w:color w:val="auto"/>
              </w:rPr>
              <w:t>par, due 6/2018)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1/28/2016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3,457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3,487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620" w:type="dxa"/>
            <w:vAlign w:val="bottom"/>
            <w:gridSpan w:val="3"/>
            <w:shd w:val="clear" w:color="auto" w:fill="CCEEFF"/>
          </w:tcPr>
          <w:p>
            <w:pPr>
              <w:ind w:left="680"/>
              <w:spacing w:after="0" w:line="201" w:lineRule="exact"/>
              <w:rPr>
                <w:sz w:val="20"/>
                <w:szCs w:val="20"/>
                <w:color w:val="auto"/>
              </w:rPr>
            </w:pPr>
            <w:r>
              <w:rPr>
                <w:rFonts w:ascii="Arial" w:cs="Arial" w:eastAsia="Arial" w:hAnsi="Arial"/>
                <w:sz w:val="18"/>
                <w:szCs w:val="18"/>
                <w:color w:val="auto"/>
              </w:rPr>
              <w:t>First-lien ABL loan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($22,727 par,</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due 7/2020)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3/18/2016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22,727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Toys ‘R’ Us-Delaware, Inc.</w:t>
            </w:r>
            <w:r>
              <w:rPr>
                <w:rFonts w:ascii="Arial" w:cs="Arial" w:eastAsia="Arial" w:hAnsi="Arial"/>
                <w:sz w:val="15"/>
                <w:szCs w:val="15"/>
                <w:color w:val="auto"/>
              </w:rPr>
              <w:t>(3)</w:t>
            </w:r>
          </w:p>
        </w:tc>
        <w:tc>
          <w:tcPr>
            <w:tcW w:w="2620" w:type="dxa"/>
            <w:vAlign w:val="bottom"/>
            <w:gridSpan w:val="3"/>
          </w:tcPr>
          <w:p>
            <w:pPr>
              <w:ind w:left="680"/>
              <w:spacing w:after="0" w:line="201" w:lineRule="exact"/>
              <w:rPr>
                <w:sz w:val="20"/>
                <w:szCs w:val="20"/>
                <w:color w:val="auto"/>
              </w:rPr>
            </w:pPr>
            <w:r>
              <w:rPr>
                <w:rFonts w:ascii="Arial" w:cs="Arial" w:eastAsia="Arial" w:hAnsi="Arial"/>
                <w:sz w:val="18"/>
                <w:szCs w:val="18"/>
                <w:color w:val="auto"/>
              </w:rPr>
              <w:t>ABL FILO term loan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gridSpan w:val="3"/>
          </w:tcPr>
          <w:p>
            <w:pPr>
              <w:ind w:left="680"/>
              <w:spacing w:after="0"/>
              <w:rPr>
                <w:sz w:val="20"/>
                <w:szCs w:val="20"/>
                <w:color w:val="auto"/>
              </w:rPr>
            </w:pPr>
            <w:r>
              <w:rPr>
                <w:rFonts w:ascii="Arial" w:cs="Arial" w:eastAsia="Arial" w:hAnsi="Arial"/>
                <w:sz w:val="18"/>
                <w:szCs w:val="18"/>
                <w:color w:val="auto"/>
              </w:rPr>
              <w:t>($25,500 par,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20" w:type="dxa"/>
            <w:vAlign w:val="bottom"/>
            <w:gridSpan w:val="3"/>
          </w:tcPr>
          <w:p>
            <w:pPr>
              <w:ind w:left="680"/>
              <w:spacing w:after="0"/>
              <w:rPr>
                <w:sz w:val="20"/>
                <w:szCs w:val="20"/>
                <w:color w:val="auto"/>
              </w:rPr>
            </w:pPr>
            <w:r>
              <w:rPr>
                <w:rFonts w:ascii="Arial" w:cs="Arial" w:eastAsia="Arial" w:hAnsi="Arial"/>
                <w:sz w:val="18"/>
                <w:szCs w:val="18"/>
                <w:color w:val="auto"/>
              </w:rPr>
              <w:t>due 10/2019)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8.25%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10/9/2014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25,349</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25,118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146,386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146,813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b w:val="1"/>
                <w:bCs w:val="1"/>
                <w:color w:val="auto"/>
              </w:rPr>
              <w:t>Transportation</w:t>
            </w:r>
          </w:p>
        </w:tc>
        <w:tc>
          <w:tcPr>
            <w:tcW w:w="6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Carrix, Inc.</w:t>
            </w:r>
            <w:r>
              <w:rPr>
                <w:rFonts w:ascii="Arial" w:cs="Arial" w:eastAsia="Arial" w:hAnsi="Arial"/>
                <w:sz w:val="15"/>
                <w:szCs w:val="15"/>
                <w:color w:val="auto"/>
              </w:rPr>
              <w:t>(3)</w:t>
            </w:r>
          </w:p>
        </w:tc>
        <w:tc>
          <w:tcPr>
            <w:tcW w:w="2620" w:type="dxa"/>
            <w:vAlign w:val="bottom"/>
            <w:gridSpan w:val="3"/>
            <w:shd w:val="clear" w:color="auto" w:fill="CCEEFF"/>
          </w:tcPr>
          <w:p>
            <w:pPr>
              <w:ind w:left="680"/>
              <w:spacing w:after="0" w:line="201" w:lineRule="exact"/>
              <w:rPr>
                <w:sz w:val="20"/>
                <w:szCs w:val="20"/>
                <w:color w:val="auto"/>
              </w:rPr>
            </w:pPr>
            <w:r>
              <w:rPr>
                <w:rFonts w:ascii="Arial" w:cs="Arial" w:eastAsia="Arial" w:hAnsi="Arial"/>
                <w:sz w:val="18"/>
                <w:szCs w:val="18"/>
                <w:color w:val="auto"/>
              </w:rPr>
              <w:t>First-lien loan ($12,878</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1/2019)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3/17/2015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12,342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Total Debt Investments</w:t>
            </w: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1,627,465</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1,629,836</w:t>
            </w:r>
          </w:p>
        </w:tc>
        <w:tc>
          <w:tcPr>
            <w:tcW w:w="220" w:type="dxa"/>
            <w:vAlign w:val="bottom"/>
            <w:vMerge w:val="continue"/>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and Other Investments</w:t>
            </w:r>
          </w:p>
        </w:tc>
        <w:tc>
          <w:tcPr>
            <w:tcW w:w="6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b w:val="1"/>
                <w:bCs w:val="1"/>
                <w:color w:val="auto"/>
              </w:rPr>
              <w:t>Chemicals</w:t>
            </w: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Vertellus Specialties, Inc.</w:t>
            </w:r>
          </w:p>
        </w:tc>
        <w:tc>
          <w:tcPr>
            <w:tcW w:w="2620" w:type="dxa"/>
            <w:vAlign w:val="bottom"/>
            <w:gridSpan w:val="3"/>
            <w:shd w:val="clear" w:color="auto" w:fill="CCEEFF"/>
          </w:tcPr>
          <w:p>
            <w:pPr>
              <w:ind w:left="680"/>
              <w:spacing w:after="0" w:line="201" w:lineRule="exact"/>
              <w:rPr>
                <w:sz w:val="20"/>
                <w:szCs w:val="20"/>
                <w:color w:val="auto"/>
              </w:rPr>
            </w:pPr>
            <w:r>
              <w:rPr>
                <w:rFonts w:ascii="Arial" w:cs="Arial" w:eastAsia="Arial" w:hAnsi="Arial"/>
                <w:sz w:val="18"/>
                <w:szCs w:val="18"/>
                <w:color w:val="auto"/>
              </w:rPr>
              <w:t>Common Units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(2,672,990 units)</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10/31/2016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b w:val="1"/>
                <w:bCs w:val="1"/>
                <w:color w:val="auto"/>
              </w:rPr>
              <w:t>Financial services</w:t>
            </w: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AvidXchange, Inc.</w:t>
            </w:r>
          </w:p>
        </w:tc>
        <w:tc>
          <w:tcPr>
            <w:tcW w:w="2620" w:type="dxa"/>
            <w:vAlign w:val="bottom"/>
            <w:gridSpan w:val="3"/>
            <w:shd w:val="clear" w:color="auto" w:fill="CCEEFF"/>
          </w:tcPr>
          <w:p>
            <w:pPr>
              <w:ind w:left="680"/>
              <w:spacing w:after="0" w:line="201" w:lineRule="exact"/>
              <w:rPr>
                <w:sz w:val="20"/>
                <w:szCs w:val="20"/>
                <w:color w:val="auto"/>
              </w:rPr>
            </w:pPr>
            <w:r>
              <w:rPr>
                <w:rFonts w:ascii="Arial" w:cs="Arial" w:eastAsia="Arial" w:hAnsi="Arial"/>
                <w:sz w:val="18"/>
                <w:szCs w:val="18"/>
                <w:color w:val="auto"/>
              </w:rPr>
              <w:t>Series E Preferred</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Equity (214,132 shares)</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8/7/2015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2620" w:type="dxa"/>
            <w:vAlign w:val="bottom"/>
            <w:gridSpan w:val="3"/>
          </w:tcPr>
          <w:p>
            <w:pPr>
              <w:ind w:left="680"/>
              <w:spacing w:after="0" w:line="201" w:lineRule="exact"/>
              <w:rPr>
                <w:sz w:val="20"/>
                <w:szCs w:val="20"/>
                <w:color w:val="auto"/>
              </w:rPr>
            </w:pPr>
            <w:r>
              <w:rPr>
                <w:rFonts w:ascii="Arial" w:cs="Arial" w:eastAsia="Arial" w:hAnsi="Arial"/>
                <w:sz w:val="18"/>
                <w:szCs w:val="18"/>
                <w:color w:val="auto"/>
              </w:rPr>
              <w:t>Non-Voting Preferred</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20" w:type="dxa"/>
            <w:vAlign w:val="bottom"/>
            <w:gridSpan w:val="3"/>
          </w:tcPr>
          <w:p>
            <w:pPr>
              <w:ind w:left="680"/>
              <w:spacing w:after="0"/>
              <w:rPr>
                <w:sz w:val="20"/>
                <w:szCs w:val="20"/>
                <w:color w:val="auto"/>
              </w:rPr>
            </w:pPr>
            <w:r>
              <w:rPr>
                <w:rFonts w:ascii="Arial" w:cs="Arial" w:eastAsia="Arial" w:hAnsi="Arial"/>
                <w:sz w:val="18"/>
                <w:szCs w:val="18"/>
                <w:color w:val="auto"/>
              </w:rPr>
              <w:t>Units (774,099 units)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9/12/2013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780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1,550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TICC Capital Corp.</w:t>
            </w:r>
            <w:r>
              <w:rPr>
                <w:rFonts w:ascii="Arial" w:cs="Arial" w:eastAsia="Arial" w:hAnsi="Arial"/>
                <w:sz w:val="15"/>
                <w:szCs w:val="15"/>
                <w:color w:val="auto"/>
              </w:rPr>
              <w:t>(4)</w:t>
            </w:r>
          </w:p>
        </w:tc>
        <w:tc>
          <w:tcPr>
            <w:tcW w:w="2620" w:type="dxa"/>
            <w:vAlign w:val="bottom"/>
            <w:gridSpan w:val="3"/>
            <w:shd w:val="clear" w:color="auto" w:fill="CCEEFF"/>
          </w:tcPr>
          <w:p>
            <w:pPr>
              <w:ind w:left="680"/>
              <w:spacing w:after="0" w:line="201" w:lineRule="exact"/>
              <w:rPr>
                <w:sz w:val="20"/>
                <w:szCs w:val="20"/>
                <w:color w:val="auto"/>
              </w:rPr>
            </w:pPr>
            <w:r>
              <w:rPr>
                <w:rFonts w:ascii="Arial" w:cs="Arial" w:eastAsia="Arial" w:hAnsi="Arial"/>
                <w:sz w:val="18"/>
                <w:szCs w:val="18"/>
                <w:color w:val="auto"/>
              </w:rPr>
              <w:t>Common Shares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(995,419 shares)</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8/5/2015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11,299</w:t>
            </w:r>
          </w:p>
        </w:tc>
        <w:tc>
          <w:tcPr>
            <w:tcW w:w="16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12,678</w:t>
            </w:r>
          </w:p>
        </w:tc>
        <w:tc>
          <w:tcPr>
            <w:tcW w:w="220" w:type="dxa"/>
            <w:vAlign w:val="bottom"/>
            <w:vMerge w:val="continue"/>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Healthcare</w:t>
            </w:r>
          </w:p>
        </w:tc>
        <w:tc>
          <w:tcPr>
            <w:tcW w:w="6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w:t>
            </w:r>
          </w:p>
        </w:tc>
        <w:tc>
          <w:tcPr>
            <w:tcW w:w="2620" w:type="dxa"/>
            <w:vAlign w:val="bottom"/>
            <w:gridSpan w:val="3"/>
          </w:tcPr>
          <w:p>
            <w:pPr>
              <w:ind w:left="680"/>
              <w:spacing w:after="0" w:line="201" w:lineRule="exact"/>
              <w:rPr>
                <w:sz w:val="20"/>
                <w:szCs w:val="20"/>
                <w:color w:val="auto"/>
              </w:rPr>
            </w:pPr>
            <w:r>
              <w:rPr>
                <w:rFonts w:ascii="Arial" w:cs="Arial" w:eastAsia="Arial" w:hAnsi="Arial"/>
                <w:sz w:val="18"/>
                <w:szCs w:val="18"/>
                <w:color w:val="auto"/>
                <w:w w:val="95"/>
              </w:rPr>
              <w:t>Common Shares Class 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20" w:type="dxa"/>
            <w:vAlign w:val="bottom"/>
            <w:gridSpan w:val="3"/>
          </w:tcPr>
          <w:p>
            <w:pPr>
              <w:ind w:left="680"/>
              <w:spacing w:after="0"/>
              <w:rPr>
                <w:sz w:val="20"/>
                <w:szCs w:val="20"/>
                <w:color w:val="auto"/>
              </w:rPr>
            </w:pPr>
            <w:r>
              <w:rPr>
                <w:rFonts w:ascii="Arial" w:cs="Arial" w:eastAsia="Arial" w:hAnsi="Arial"/>
                <w:sz w:val="18"/>
                <w:szCs w:val="18"/>
                <w:color w:val="auto"/>
              </w:rPr>
              <w:t>(358 shares)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3/11/2014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620" w:type="dxa"/>
            <w:vAlign w:val="bottom"/>
            <w:gridSpan w:val="3"/>
            <w:shd w:val="clear" w:color="auto" w:fill="CCEEFF"/>
          </w:tcPr>
          <w:p>
            <w:pPr>
              <w:ind w:left="680"/>
              <w:spacing w:after="0" w:line="201" w:lineRule="exact"/>
              <w:rPr>
                <w:sz w:val="20"/>
                <w:szCs w:val="20"/>
                <w:color w:val="auto"/>
              </w:rPr>
            </w:pPr>
            <w:r>
              <w:rPr>
                <w:rFonts w:ascii="Arial" w:cs="Arial" w:eastAsia="Arial" w:hAnsi="Arial"/>
                <w:sz w:val="18"/>
                <w:szCs w:val="18"/>
                <w:color w:val="auto"/>
                <w:w w:val="95"/>
              </w:rPr>
              <w:t>Common Shares Class B</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(196 shares)</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3/11/2014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(4)</w:t>
            </w:r>
          </w:p>
        </w:tc>
        <w:tc>
          <w:tcPr>
            <w:tcW w:w="2620" w:type="dxa"/>
            <w:vAlign w:val="bottom"/>
            <w:gridSpan w:val="3"/>
          </w:tcPr>
          <w:p>
            <w:pPr>
              <w:ind w:left="680"/>
              <w:spacing w:after="0" w:line="201" w:lineRule="exact"/>
              <w:rPr>
                <w:sz w:val="20"/>
                <w:szCs w:val="20"/>
                <w:color w:val="auto"/>
              </w:rPr>
            </w:pPr>
            <w:r>
              <w:rPr>
                <w:rFonts w:ascii="Arial" w:cs="Arial" w:eastAsia="Arial" w:hAnsi="Arial"/>
                <w:sz w:val="18"/>
                <w:szCs w:val="18"/>
                <w:color w:val="auto"/>
              </w:rPr>
              <w:t>Warrants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685</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9/30/2014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(EUR 648)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00" w:type="dxa"/>
            <w:vAlign w:val="bottom"/>
            <w:gridSpan w:val="2"/>
          </w:tcPr>
          <w:p>
            <w:pPr>
              <w:jc w:val="right"/>
              <w:ind w:right="119"/>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Initial</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Investment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Interest</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gridSpan w:val="3"/>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of Net Assets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71"/>
              </w:rPr>
              <w:t>SRS Parent</w:t>
            </w:r>
          </w:p>
        </w:tc>
        <w:tc>
          <w:tcPr>
            <w:tcW w:w="3600" w:type="dxa"/>
            <w:vAlign w:val="bottom"/>
            <w:tcBorders>
              <w:top w:val="single" w:sz="8" w:color="CCEEFF"/>
            </w:tcBorders>
            <w:shd w:val="clear" w:color="auto" w:fill="CCEEFF"/>
          </w:tcPr>
          <w:p>
            <w:pPr>
              <w:ind w:left="160"/>
              <w:spacing w:after="0" w:line="195" w:lineRule="exact"/>
              <w:rPr>
                <w:sz w:val="20"/>
                <w:szCs w:val="20"/>
                <w:color w:val="auto"/>
              </w:rPr>
            </w:pPr>
            <w:r>
              <w:rPr>
                <w:rFonts w:ascii="Arial" w:cs="Arial" w:eastAsia="Arial" w:hAnsi="Arial"/>
                <w:sz w:val="18"/>
                <w:szCs w:val="18"/>
                <w:color w:val="auto"/>
              </w:rPr>
              <w:t>Corp.</w:t>
            </w:r>
          </w:p>
        </w:tc>
        <w:tc>
          <w:tcPr>
            <w:tcW w:w="1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Common Shares Class A</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(1,980 shares)</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12/28/2012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Shares Class B</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(2,953,020 shares)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12/28/2012</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b w:val="1"/>
                <w:bCs w:val="1"/>
                <w:color w:val="auto"/>
              </w:rPr>
              <w:t>Hotel, gaming, and leisure</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IRGSE Holding Corp.</w:t>
            </w:r>
            <w:r>
              <w:rPr>
                <w:rFonts w:ascii="Arial" w:cs="Arial" w:eastAsia="Arial" w:hAnsi="Arial"/>
                <w:sz w:val="15"/>
                <w:szCs w:val="15"/>
                <w:color w:val="auto"/>
              </w:rPr>
              <w:t>(7)</w:t>
            </w:r>
          </w:p>
        </w:tc>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Class A Units (5,000,000</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9/29/2015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Class C-1 Units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(8,800,000 units)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9/29/2015</w:t>
            </w:r>
          </w:p>
        </w:tc>
        <w:tc>
          <w:tcPr>
            <w:tcW w:w="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b w:val="1"/>
                <w:bCs w:val="1"/>
                <w:color w:val="auto"/>
              </w:rPr>
              <w:t>Oil, gas and consumable fuels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(7)</w:t>
            </w:r>
          </w:p>
        </w:tc>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A Member Units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(933 units)</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6/4/2014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b w:val="1"/>
                <w:bCs w:val="1"/>
                <w:color w:val="auto"/>
              </w:rPr>
              <w:t>Other</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Hill Credit Partners</w:t>
            </w:r>
            <w:r>
              <w:rPr>
                <w:rFonts w:ascii="Arial" w:cs="Arial" w:eastAsia="Arial" w:hAnsi="Arial"/>
                <w:sz w:val="15"/>
                <w:szCs w:val="15"/>
                <w:color w:val="auto"/>
              </w:rPr>
              <w:t>(4)(6)</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Product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8/21/2015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Symphony</w:t>
            </w:r>
            <w:r>
              <w:rPr>
                <w:rFonts w:ascii="Arial" w:cs="Arial" w:eastAsia="Arial" w:hAnsi="Arial"/>
                <w:sz w:val="15"/>
                <w:szCs w:val="15"/>
                <w:color w:val="auto"/>
              </w:rPr>
              <w:t>(4)(6)</w:t>
            </w:r>
          </w:p>
        </w:tc>
        <w:tc>
          <w:tcPr>
            <w:tcW w:w="1940" w:type="dxa"/>
            <w:vAlign w:val="bottom"/>
            <w:gridSpan w:val="2"/>
          </w:tcPr>
          <w:p>
            <w:pPr>
              <w:spacing w:after="0"/>
              <w:rPr>
                <w:sz w:val="20"/>
                <w:szCs w:val="20"/>
                <w:color w:val="auto"/>
              </w:rPr>
            </w:pPr>
            <w:r>
              <w:rPr>
                <w:rFonts w:ascii="Arial" w:cs="Arial" w:eastAsia="Arial" w:hAnsi="Arial"/>
                <w:sz w:val="18"/>
                <w:szCs w:val="18"/>
                <w:color w:val="auto"/>
              </w:rPr>
              <w:t>Structured Product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6.63%</w:t>
            </w:r>
          </w:p>
        </w:tc>
        <w:tc>
          <w:tcPr>
            <w:tcW w:w="940" w:type="dxa"/>
            <w:vAlign w:val="bottom"/>
          </w:tcPr>
          <w:p>
            <w:pPr>
              <w:jc w:val="right"/>
              <w:spacing w:after="0"/>
              <w:rPr>
                <w:sz w:val="20"/>
                <w:szCs w:val="20"/>
                <w:color w:val="auto"/>
              </w:rPr>
            </w:pPr>
            <w:r>
              <w:rPr>
                <w:rFonts w:ascii="Arial" w:cs="Arial" w:eastAsia="Arial" w:hAnsi="Arial"/>
                <w:sz w:val="18"/>
                <w:szCs w:val="18"/>
                <w:color w:val="auto"/>
              </w:rPr>
              <w:t>11/17/2014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5,360</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Total Equity and Other Investments</w:t>
            </w: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40,222</w:t>
            </w:r>
          </w:p>
        </w:tc>
        <w:tc>
          <w:tcPr>
            <w:tcW w:w="18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27,567</w:t>
            </w:r>
          </w:p>
        </w:tc>
        <w:tc>
          <w:tcPr>
            <w:tcW w:w="160" w:type="dxa"/>
            <w:vAlign w:val="bottom"/>
            <w:vMerge w:val="continue"/>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$ 1,667,687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$1,657,403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75"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92"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1940 Act. Under the 1940 Act, we may not acquire any non-qualifying asset unless, at the time such acquisition is made, qualifying assets represent at least 70% of total assets.</w:t>
      </w:r>
    </w:p>
    <w:p>
      <w:pPr>
        <w:spacing w:after="0" w:line="75"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we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hanging="452"/>
        <w:spacing w:after="0" w:line="279"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Under the 1940 Act, we are deemed to be both an “Affiliated Person” of and “Control,” as such terms are defined in the 1940 Act, this portfolio company, as we own more than 25% of the portfolio company’s outstanding voting securities or has the power to exercise control over management or policies of such portfolio company (including through a management agreement). Transactions during the year ended December 31, 2016 in which the issuer was an Affiliated Person of and was deemed to Control a portfolio company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720" w:type="dxa"/>
            <w:vAlign w:val="bottom"/>
            <w:gridSpan w:val="16"/>
          </w:tcPr>
          <w:p>
            <w:pPr>
              <w:ind w:left="40"/>
              <w:spacing w:after="0"/>
              <w:rPr>
                <w:sz w:val="20"/>
                <w:szCs w:val="20"/>
                <w:color w:val="auto"/>
              </w:rPr>
            </w:pPr>
            <w:r>
              <w:rPr>
                <w:rFonts w:ascii="Arial" w:cs="Arial" w:eastAsia="Arial" w:hAnsi="Arial"/>
                <w:sz w:val="14"/>
                <w:szCs w:val="14"/>
                <w:b w:val="1"/>
                <w:bCs w:val="1"/>
                <w:color w:val="auto"/>
                <w:w w:val="92"/>
              </w:rPr>
              <w:t>Controlled, Affiliated Investments during the year ended December 31, 2016</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24"/>
                <w:szCs w:val="2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Realized</w:t>
            </w:r>
          </w:p>
        </w:tc>
        <w:tc>
          <w:tcPr>
            <w:tcW w:w="3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24"/>
                <w:szCs w:val="24"/>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Gain/</w:t>
            </w:r>
          </w:p>
        </w:tc>
        <w:tc>
          <w:tcPr>
            <w:tcW w:w="340" w:type="dxa"/>
            <w:vAlign w:val="bottom"/>
          </w:tcPr>
          <w:p>
            <w:pPr>
              <w:spacing w:after="0"/>
              <w:rPr>
                <w:sz w:val="12"/>
                <w:szCs w:val="12"/>
                <w:color w:val="auto"/>
              </w:rPr>
            </w:pPr>
          </w:p>
        </w:tc>
        <w:tc>
          <w:tcPr>
            <w:tcW w:w="120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December 30,</w:t>
            </w:r>
          </w:p>
        </w:tc>
        <w:tc>
          <w:tcPr>
            <w:tcW w:w="6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Additions</w:t>
            </w:r>
            <w:r>
              <w:rPr>
                <w:rFonts w:ascii="Arial" w:cs="Arial" w:eastAsia="Arial" w:hAnsi="Arial"/>
                <w:sz w:val="12"/>
                <w:szCs w:val="12"/>
                <w:b w:val="1"/>
                <w:bCs w:val="1"/>
                <w:color w:val="auto"/>
              </w:rPr>
              <w:t>(a)</w:t>
            </w:r>
          </w:p>
        </w:tc>
        <w:tc>
          <w:tcPr>
            <w:tcW w:w="1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r>
              <w:rPr>
                <w:rFonts w:ascii="Arial" w:cs="Arial" w:eastAsia="Arial" w:hAnsi="Arial"/>
                <w:sz w:val="12"/>
                <w:szCs w:val="12"/>
                <w:b w:val="1"/>
                <w:bCs w:val="1"/>
                <w:color w:val="auto"/>
              </w:rPr>
              <w:t>(b)</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16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w w:val="86"/>
              </w:rPr>
              <w:t>(Losses)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 Resources, LLC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36,682</w:t>
            </w:r>
          </w:p>
        </w:tc>
        <w:tc>
          <w:tcPr>
            <w:tcW w:w="1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1"/>
              </w:rPr>
              <w:t>(494)</w:t>
            </w:r>
          </w:p>
        </w:tc>
        <w:tc>
          <w:tcPr>
            <w:tcW w:w="4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2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33,885</w:t>
            </w:r>
          </w:p>
        </w:tc>
        <w:tc>
          <w:tcPr>
            <w:tcW w:w="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w:t>
            </w:r>
          </w:p>
        </w:tc>
        <w:tc>
          <w:tcPr>
            <w:tcW w:w="1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$6,746</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18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26,816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8,358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31,974</w:t>
            </w: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63,498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13,849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(494)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5"/>
              </w:rPr>
              <w:t>(10,994)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65,859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204</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400" w:hanging="446"/>
        <w:spacing w:after="0" w:line="277"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of December 31, 2016, the tax cost of our investments approximates their amortized cost.</w:t>
      </w:r>
    </w:p>
    <w:p>
      <w:pPr>
        <w:spacing w:after="0" w:line="130"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Notes contain a fixed rate structure. We entered into an interest rate swap agreement to swap to a floating rate. Refer to Note 5 to our consolidated financial statements for further information related to our interest rate swaps.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Pursuant to our certificate of incorporation and bylaws, our Board consists of five members. The Board is divided into three classes, with the members of each class each serving staggered, three-year terms. The terms of our Class I directors will expire at the 2018 annual meeting of stockholders, the term of our Class II director will expire at the 2019 annual meeting of stockholders and the terms of our Class III directors will expire at the 2017 annual meeting of stockholders.</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Messrs. Higginbotham and Tanemura serve as Class I directors (with a term expiring in 2018). Mr. Ross serves as a Class II director (with a term expiring in 2019). Messrs. Easterly and Fishman serve as Class III directors (with a term expiring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Set forth below are brief biographies of the members of the Board.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80" w:type="dxa"/>
            <w:vAlign w:val="bottom"/>
            <w:vMerge w:val="restart"/>
          </w:tcPr>
          <w:p>
            <w:pPr>
              <w:spacing w:after="0"/>
              <w:rPr>
                <w:sz w:val="14"/>
                <w:szCs w:val="14"/>
                <w:color w:val="auto"/>
              </w:rPr>
            </w:pPr>
          </w:p>
        </w:tc>
        <w:tc>
          <w:tcPr>
            <w:tcW w:w="5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340" w:type="dxa"/>
            <w:vAlign w:val="bottom"/>
            <w:vMerge w:val="restart"/>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Expiration</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0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54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 Term</w:t>
            </w: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Since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57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2018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57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Director</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57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2019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57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Chairman, Director and Co-Chief Executive Officer</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2017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57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Director and Co-Chief Executive Officer</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3"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 xml:space="preserve">Richard Higginbotham </w:t>
      </w:r>
      <w:r>
        <w:rPr>
          <w:rFonts w:ascii="Arial" w:cs="Arial" w:eastAsia="Arial" w:hAnsi="Arial"/>
          <w:sz w:val="17"/>
          <w:szCs w:val="17"/>
          <w:color w:val="auto"/>
        </w:rPr>
        <w:t>was elected a director of TSLX in March 2011. From 2010 to 2013, he was a director of Healthcare Finance Group LLC.</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Ronald Tanemura </w:t>
      </w:r>
      <w:r>
        <w:rPr>
          <w:rFonts w:ascii="Arial" w:cs="Arial" w:eastAsia="Arial" w:hAnsi="Arial"/>
          <w:sz w:val="17"/>
          <w:szCs w:val="17"/>
          <w:color w:val="auto"/>
        </w:rPr>
        <w:t>was elected a director of TSLX in March 2011. Since 2012, Mr. Tanemura has served as a director of post-reorganization Lehman</w:t>
      </w:r>
      <w:r>
        <w:rPr>
          <w:rFonts w:ascii="Arial" w:cs="Arial" w:eastAsia="Arial" w:hAnsi="Arial"/>
          <w:sz w:val="17"/>
          <w:szCs w:val="17"/>
          <w:b w:val="1"/>
          <w:bCs w:val="1"/>
          <w:color w:val="auto"/>
        </w:rPr>
        <w:t xml:space="preserve"> </w:t>
      </w:r>
      <w:r>
        <w:rPr>
          <w:rFonts w:ascii="Arial" w:cs="Arial" w:eastAsia="Arial" w:hAnsi="Arial"/>
          <w:sz w:val="17"/>
          <w:szCs w:val="17"/>
          <w:color w:val="auto"/>
        </w:rPr>
        <w:t>Brothers Holdings Inc. in New York. Also, since November 2012, he has served as a non-executive director of ICE Clear Credit in Chicago and, since 2009, he has served as a non-executive director of ICE Clear Europe in London, both wholly owned subsidiaries of IntercontinentalExchange,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TSLX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 xml:space="preserve">Joshua Easterly </w:t>
      </w:r>
      <w:r>
        <w:rPr>
          <w:rFonts w:ascii="Arial" w:cs="Arial" w:eastAsia="Arial" w:hAnsi="Arial"/>
          <w:sz w:val="17"/>
          <w:szCs w:val="17"/>
          <w:color w:val="auto"/>
        </w:rPr>
        <w:t>was appointed Co-Chief Executive Officer in December 2013 and elected a director and Chairman of TSLX in March 2011.</w:t>
      </w:r>
      <w:r>
        <w:rPr>
          <w:rFonts w:ascii="Arial" w:cs="Arial" w:eastAsia="Arial" w:hAnsi="Arial"/>
          <w:sz w:val="17"/>
          <w:szCs w:val="17"/>
          <w:b w:val="1"/>
          <w:bCs w:val="1"/>
          <w:color w:val="auto"/>
        </w:rPr>
        <w:t xml:space="preserve"> </w:t>
      </w:r>
      <w:r>
        <w:rPr>
          <w:rFonts w:ascii="Arial" w:cs="Arial" w:eastAsia="Arial" w:hAnsi="Arial"/>
          <w:sz w:val="17"/>
          <w:szCs w:val="17"/>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holds a Bachelor of Science in Business Administration, magna cum laude, from California State University, Fresno. Mr. Easterly’s depth of experience investing in a variety of distressed and special situations transactions, as well as his extensive knowledge of the business and operations of TSSP, provides the Board with valuable insight and expertise.</w:t>
      </w:r>
    </w:p>
    <w:p>
      <w:pPr>
        <w:spacing w:after="0" w:line="17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Michael Fishman </w:t>
      </w:r>
      <w:r>
        <w:rPr>
          <w:rFonts w:ascii="Arial" w:cs="Arial" w:eastAsia="Arial" w:hAnsi="Arial"/>
          <w:sz w:val="18"/>
          <w:szCs w:val="18"/>
          <w:color w:val="auto"/>
        </w:rPr>
        <w:t>was appointed director and Chief Executive Officer of TSLX in April 2011 and became Co-Chief Executive Officer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2013. Mr. Fishman is a TPG and TSSP Partner. He has been an executive in corporate lending for more than 20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40" w:type="dxa"/>
            <w:vAlign w:val="bottom"/>
            <w:vMerge w:val="restart"/>
          </w:tcPr>
          <w:p>
            <w:pPr>
              <w:spacing w:after="0"/>
              <w:rPr>
                <w:sz w:val="14"/>
                <w:szCs w:val="14"/>
                <w:color w:val="auto"/>
              </w:rPr>
            </w:pP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3"/>
              </w:rPr>
              <w:t>Age</w:t>
            </w:r>
          </w:p>
        </w:tc>
        <w:tc>
          <w:tcPr>
            <w:tcW w:w="6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Position</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Officer</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680" w:type="dxa"/>
            <w:vAlign w:val="bottom"/>
            <w:gridSpan w:val="2"/>
            <w:vMerge w:val="continue"/>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vMerge w:val="continue"/>
            <w:shd w:val="clear" w:color="auto" w:fill="CCEEFF"/>
          </w:tcPr>
          <w:p>
            <w:pPr>
              <w:spacing w:after="0"/>
              <w:rPr>
                <w:sz w:val="18"/>
                <w:szCs w:val="18"/>
                <w:color w:val="auto"/>
              </w:rPr>
            </w:pPr>
          </w:p>
        </w:tc>
        <w:tc>
          <w:tcPr>
            <w:tcW w:w="6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Chief Compliance Officer, Vice President and Secretary</w:t>
            </w:r>
          </w:p>
        </w:tc>
        <w:tc>
          <w:tcPr>
            <w:tcW w:w="220" w:type="dxa"/>
            <w:vAlign w:val="bottom"/>
            <w:vMerge w:val="continue"/>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4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66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Vice President and Principal Accounting Officer</w:t>
            </w:r>
          </w:p>
        </w:tc>
        <w:tc>
          <w:tcPr>
            <w:tcW w:w="50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Hamrah</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Vice President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66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Vice President</w:t>
            </w:r>
          </w:p>
        </w:tc>
        <w:tc>
          <w:tcPr>
            <w:tcW w:w="500" w:type="dxa"/>
            <w:vAlign w:val="bottom"/>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Simmonds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66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President</w:t>
            </w:r>
          </w:p>
        </w:tc>
        <w:tc>
          <w:tcPr>
            <w:tcW w:w="50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Steiglehner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Vice President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66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Vice President</w:t>
            </w:r>
          </w:p>
        </w:tc>
        <w:tc>
          <w:tcPr>
            <w:tcW w:w="50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Vice President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Chief Compliance Officer, Vice President and Secretary of TSLX. Ms. Gordon is a Partner and the Chief Compliance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Deputy Chief Operating Officer of TSSP. Prior to joining TSSP, from 2004 to 2014, she held various positions at Goldman, Sachs &amp; Co., including most recently as Co-Head of Americas Securities Division Compliance. Ms. Gordon holds a J.D. from Fordham University School of Law and B.A. from the University of Michigan.</w:t>
      </w:r>
    </w:p>
    <w:p>
      <w:pPr>
        <w:spacing w:after="0" w:line="18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color w:val="auto"/>
        </w:rPr>
        <w:t xml:space="preserve">Michael Graf </w:t>
      </w:r>
      <w:r>
        <w:rPr>
          <w:rFonts w:ascii="Arial" w:cs="Arial" w:eastAsia="Arial" w:hAnsi="Arial"/>
          <w:sz w:val="16"/>
          <w:szCs w:val="16"/>
          <w:color w:val="auto"/>
        </w:rPr>
        <w:t>is a Vice President and Principal Accounting Officer of TSLX. Mr. Graf has been TSLX’s Controller since 2013. From 2010 to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Graf was a Vice President in Alternative Investments at U.S. Bancorp Fund Services, LLC. From 2006 to 2010, Mr. Graf was an Accounting Manager at GSC Group, Inc., a private investment firm. Prior to working at GSC Group Inc., Mr. Graf worked in public accounting at KPMG from 2004 to 2006.</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Graf holds a B.S. in Finance and Accounting from the Leonard N. Stern School of Business at New York University. He is a Certified Public Accountant.</w:t>
      </w:r>
    </w:p>
    <w:p>
      <w:pPr>
        <w:spacing w:after="0" w:line="351"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 xml:space="preserve">Craig Hamrah </w:t>
      </w:r>
      <w:r>
        <w:rPr>
          <w:rFonts w:ascii="Arial" w:cs="Arial" w:eastAsia="Arial" w:hAnsi="Arial"/>
          <w:sz w:val="16"/>
          <w:szCs w:val="16"/>
          <w:color w:val="auto"/>
        </w:rPr>
        <w:t>is a Vice President, Senior Credit Underwriter of the Adviser and Managing Director of TSSP. Mr. Hamrah was previously with Silver</w:t>
      </w:r>
      <w:r>
        <w:rPr>
          <w:rFonts w:ascii="Arial" w:cs="Arial" w:eastAsia="Arial" w:hAnsi="Arial"/>
          <w:sz w:val="16"/>
          <w:szCs w:val="16"/>
          <w:b w:val="1"/>
          <w:bCs w:val="1"/>
          <w:color w:val="auto"/>
        </w:rPr>
        <w:t xml:space="preserve"> </w:t>
      </w:r>
      <w:r>
        <w:rPr>
          <w:rFonts w:ascii="Arial" w:cs="Arial" w:eastAsia="Arial" w:hAnsi="Arial"/>
          <w:sz w:val="16"/>
          <w:szCs w:val="16"/>
          <w:color w:val="auto"/>
        </w:rPr>
        <w:t>Point Capital, where he was a senior deal underwriter in the private finance group. From 2004 to 2005, Mr. Hamrah was a Senior Vice President at the Royal Bank of Scotland. From 1997 to 2004, Mr. Hamrah was an Executive Vice President at Emigrant Savings Bank. Mr. Hamrah started his career at The CIT Group in 1990 working in the commercial finance and equipment finance divisions. He holds a B.A. in Business Economics from Brown University.</w:t>
      </w:r>
    </w:p>
    <w:p>
      <w:pPr>
        <w:spacing w:after="0" w:line="15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TPG and TSSP Partner and has been the Chief Risk Officer of TSSP since 2013,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from 2013 to 2016.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84"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Ian Simmonds </w:t>
      </w:r>
      <w:r>
        <w:rPr>
          <w:rFonts w:ascii="Arial" w:cs="Arial" w:eastAsia="Arial" w:hAnsi="Arial"/>
          <w:sz w:val="18"/>
          <w:szCs w:val="18"/>
          <w:color w:val="auto"/>
        </w:rPr>
        <w:t>is the Chief Financial Officer of TSLX and a Managing Director of TSSP. From 2005 to 2015, Mr. Simmonds was a member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66" w:lineRule="exact"/>
        <w:rPr>
          <w:sz w:val="20"/>
          <w:szCs w:val="20"/>
          <w:color w:val="auto"/>
        </w:rPr>
      </w:pPr>
    </w:p>
    <w:p>
      <w:pPr>
        <w:ind w:right="120" w:firstLine="456"/>
        <w:spacing w:after="0" w:line="303" w:lineRule="auto"/>
        <w:rPr>
          <w:sz w:val="20"/>
          <w:szCs w:val="20"/>
          <w:color w:val="auto"/>
        </w:rPr>
      </w:pPr>
      <w:r>
        <w:rPr>
          <w:rFonts w:ascii="Arial" w:cs="Arial" w:eastAsia="Arial" w:hAnsi="Arial"/>
          <w:sz w:val="16"/>
          <w:szCs w:val="16"/>
          <w:b w:val="1"/>
          <w:bCs w:val="1"/>
          <w:color w:val="auto"/>
        </w:rPr>
        <w:t xml:space="preserve">Robert (“Bo”) Stanley </w:t>
      </w:r>
      <w:r>
        <w:rPr>
          <w:rFonts w:ascii="Arial" w:cs="Arial" w:eastAsia="Arial" w:hAnsi="Arial"/>
          <w:sz w:val="16"/>
          <w:szCs w:val="16"/>
          <w:color w:val="auto"/>
        </w:rPr>
        <w:t>is President of TSLX and a Partner of TSSP. Mr. Stanley was previously with Wells Fargo Capital Finance, a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Thomas Steiglehner </w:t>
      </w:r>
      <w:r>
        <w:rPr>
          <w:rFonts w:ascii="Arial" w:cs="Arial" w:eastAsia="Arial" w:hAnsi="Arial"/>
          <w:sz w:val="18"/>
          <w:szCs w:val="18"/>
          <w:color w:val="auto"/>
        </w:rPr>
        <w:t>is a Vice President of TSLX and a Managing Director of TSSP. From 2003 to 2010 Mr. Steiglehner worked at Silver Point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where he co-founded the firm’s principal investing effort, Silver Point Finance. From 2002 to 2003, Mr. Steiglehner was a Senior Vice President at Wells Fargo Foothill, where he originated, structured, syndicated and executed financings for special situations, leveraged buyouts and acquisitions. From 1996 to 2002, he was a director at Gleacher and Co., a merchant bank, engaged in leveraged finance (including high yield, mezzanine and senior debt), principal investments, and strategic and financial advisory services. Mr. Steiglehner began his career at the Chase Manhattan Bank. He also was a Federal District Court law clerk in the Southern District of New York and the Eastern District of Louisiana. He holds an A.B in History from Princeton University and a J.D. from Tulane University.</w:t>
      </w:r>
    </w:p>
    <w:p>
      <w:pPr>
        <w:spacing w:after="0" w:line="189"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is also a TPG and TSSP Partner and has served as TSSP’s Chief Operating Officer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Mr. Stiepleman was lead counsel to the Americas Special Situations Group and the Mortgages Department at Goldman, Sachs &amp; Co. Mr. Stiepleman holds a B.A. in French and Political Science from Amherst College and a J.D. from Columbia University.</w:t>
      </w:r>
    </w:p>
    <w:p>
      <w:pPr>
        <w:spacing w:after="0" w:line="18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also a TPG and TSSP Partner and a member of TPG’s Executive Committee. He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Partner and Chief Investment Officer of TSSP and Co-Chief Investment Officer of the Adviser since inception. Prior to joining TPG in 2009, Mr. Waxman was a Partner at Goldman, Sachs &amp; Co. During his career at Goldman, Sachs &amp; Co., he co-headed the Americas Special Situations Group, which invested that firm’s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and Nominating and Corporate Governance Committee is an independent director under the applicable NYSE listing standards.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“—Biographical Information—Interested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has met one time in 2017, met four times in 2016 and acted on various occasions by written consent. Our Board also holds informal periodic telephonic update meetings.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Mr. Easterly attended the 2016 annual meeting of stockholders in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non-management directors as a group by mail addressed to the applicable directors or director group, in the care of the Chief Compliance Officer, Jennifer Gordon,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Such communications should specify the intended recipient or recipients. All such communications, other than unsolicited commercial solicitations, will be forwarded to the appropriate director, or directors, for review.</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Independent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30" w:lineRule="exact"/>
        <w:rPr>
          <w:rFonts w:ascii="Arial" w:cs="Arial" w:eastAsia="Arial" w:hAnsi="Arial"/>
          <w:sz w:val="18"/>
          <w:szCs w:val="18"/>
          <w:color w:val="auto"/>
        </w:rPr>
      </w:pPr>
    </w:p>
    <w:p>
      <w:pPr>
        <w:ind w:left="900" w:right="90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held two meetings in 2017, held eight meetings in 2016 and acted on various occasions by 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5580" w:right="4860" w:hanging="5005"/>
        <w:spacing w:after="0" w:line="449" w:lineRule="auto"/>
        <w:tabs>
          <w:tab w:leader="none" w:pos="8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 115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has held one meeting in 2017 and held one meeting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6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terms of the Investment Advisory Agreement and Administration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held one meeting in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to 888 7th Avenue, 35th Floor, New York, NY 10106, Attention: TSLX Investor Relations, or by emailing us at IRTSL@tpg.com:</w:t>
      </w:r>
    </w:p>
    <w:p>
      <w:pPr>
        <w:spacing w:after="0" w:line="60"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our SOX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Gordon, TPG Specialty Lending, Inc., 301 Commerce Street, Suite 3300, Fort Worth, TX 76102. Please refer to the text of our bylaws (including Article II, paragraph (K)), which are on file with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$100,000 annual retainer;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additional fee of $10,000 per year for the chairman of the Audit Committee.</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the year ended December 31, 2016,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Fees Earned</w:t>
            </w:r>
          </w:p>
        </w:tc>
        <w:tc>
          <w:tcPr>
            <w:tcW w:w="74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3260" w:type="dxa"/>
            <w:vAlign w:val="bottom"/>
            <w:gridSpan w:val="3"/>
          </w:tcPr>
          <w:p>
            <w:pPr>
              <w:ind w:left="2300"/>
              <w:spacing w:after="0"/>
              <w:rPr>
                <w:sz w:val="20"/>
                <w:szCs w:val="20"/>
                <w:color w:val="auto"/>
              </w:rPr>
            </w:pPr>
            <w:r>
              <w:rPr>
                <w:rFonts w:ascii="Arial" w:cs="Arial" w:eastAsia="Arial" w:hAnsi="Arial"/>
                <w:sz w:val="14"/>
                <w:szCs w:val="14"/>
                <w:b w:val="1"/>
                <w:bCs w:val="1"/>
                <w:color w:val="auto"/>
                <w:w w:val="92"/>
              </w:rPr>
              <w:t>or Paid in Cash</w:t>
            </w:r>
          </w:p>
        </w:tc>
        <w:tc>
          <w:tcPr>
            <w:tcW w:w="7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7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John Ross</w:t>
            </w:r>
          </w:p>
        </w:tc>
        <w:tc>
          <w:tcPr>
            <w:tcW w:w="2400" w:type="dxa"/>
            <w:vAlign w:val="bottom"/>
            <w:gridSpan w:val="2"/>
          </w:tcPr>
          <w:p>
            <w:pPr>
              <w:ind w:left="23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4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TSL Advisers, LLC is our external manager. 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the Investment Review Committee, which includes senior personnel of our Adviser and TSSP. The members of the Investment Review Committee are Joshua Easterly, Michael Fishman, Alan Waxman and David Stiepleman.</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See “The Company—About TSLX—Our Investment Adviser” for a further description of TSSP and TPG.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(the “Management Fee”) and may also pay certain incentive fees (the “Incentive Fees”).</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2016, Management Fees were $24.3 million.</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Adviser has voluntarily waived the Management Fee on our ownership of shares of common stock in TICC Capital Corp. (the “TICC Shares”) for any period in which TICC Capital Corp. remains our portfolio company. For the year ended December 31, 2016, Management Fees of $0.1 million were waived, consisting solely of Management Fees attributable to our ownership of the TICC Shares. Any waived Management Fees are not subject to recoupment by the Adviser.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9"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70" w:lineRule="exact"/>
        <w:rPr>
          <w:sz w:val="20"/>
          <w:szCs w:val="20"/>
          <w:color w:val="auto"/>
        </w:rPr>
      </w:pPr>
    </w:p>
    <w:p>
      <w:pPr>
        <w:ind w:left="900" w:hanging="446"/>
        <w:spacing w:after="0" w:line="270"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2016, Incentive Fees were $22.7 million, comprised of fees related to pre-incentive fee net investment income. For the year ended December 31, 2016, no incentive fees were accrued related to capital gains.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Capital Gains Fee attributable to our ownership of the TICC Shares and, accordingly, any realized capital gains or losses and unrealized capital depreciation with respect to the TICC Shares will be applied against our cumulative realized capital gains on which the Capital Gains Fee is calculated.</w:t>
      </w:r>
    </w:p>
    <w:p>
      <w:pPr>
        <w:spacing w:after="0" w:line="15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the year ended December 31, 2016, Incentive Fees of $0.3 million were waived, consisting solely of Incentive Fees attributable to our ownership of the TICC Shares. Any waived Incentive Fees are not subject to recoupment by the Adviser.</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Since our IPO, with the exception of its waiver of Management Fees and certain Incentive Fees attributable to our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TICC Shares, as the Adviser can discontinue the voluntary waiver at any time. Accordingly, we may be required to continue to pay the full amount of the Management Fee and Incentive Fee, including with respect to the TICC Shares, in future periods.</w:t>
      </w:r>
    </w:p>
    <w:p>
      <w:pPr>
        <w:spacing w:after="0" w:line="18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On November 7,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on 60 days’ written notice to the other party. See “Risk Factors—Risks Related to Our Business and Structure—We are dependent upon management personnel of the Adviser for our future success.”</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was subsequently amended on February 22, 2017 to make certain clarifications to the agreement to provide greater detail regarding the scope of the costs and expenses of the Administrator’s services.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2016, we incurred expenses of $3.1 million for administrative services payable under the terms of the Administration Agreement.</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February 2017, the Board approved an amendment to the Administration Agreement. Unless earlier terminated as described below, the Administration Agreement will remain in effect until February 2018, and may be extended subject to required approvals. The Administration Agreement may be terminated by either party without penalty on 60 days’ written notice to the other party. See “Risk Factors—Risks Related to Our Business and Structure— We are dependent upon management personnel of the Adviser for our future success.”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840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281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0.513%</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52"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1.5% annualized management fee. For the purposes of these examples the management fee is assumed to be based on net assets, rather than gross assets.</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40"/>
          </w:cols>
          <w:pgMar w:left="240" w:top="459" w:right="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9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w:t>
      </w:r>
    </w:p>
    <w:p>
      <w:pPr>
        <w:ind w:left="460" w:right="160"/>
        <w:spacing w:after="0" w:line="290" w:lineRule="auto"/>
        <w:rPr>
          <w:rFonts w:ascii="Arial" w:cs="Arial" w:eastAsia="Arial" w:hAnsi="Arial"/>
          <w:sz w:val="16"/>
          <w:szCs w:val="16"/>
          <w:color w:val="auto"/>
        </w:rPr>
      </w:pPr>
      <w:r>
        <w:rPr>
          <w:rFonts w:ascii="Arial" w:cs="Arial" w:eastAsia="Arial" w:hAnsi="Arial"/>
          <w:sz w:val="17"/>
          <w:szCs w:val="17"/>
          <w:color w:val="auto"/>
        </w:rPr>
        <w:t>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89"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w:t>
      </w:r>
    </w:p>
    <w:p>
      <w:pPr>
        <w:spacing w:after="0" w:line="23" w:lineRule="exact"/>
        <w:rPr>
          <w:rFonts w:ascii="Arial" w:cs="Arial" w:eastAsia="Arial" w:hAnsi="Arial"/>
          <w:sz w:val="18"/>
          <w:szCs w:val="18"/>
          <w:color w:val="auto"/>
        </w:rPr>
      </w:pPr>
    </w:p>
    <w:p>
      <w:pPr>
        <w:ind w:left="900" w:right="240"/>
        <w:spacing w:after="0" w:line="261" w:lineRule="auto"/>
        <w:rPr>
          <w:rFonts w:ascii="Arial" w:cs="Arial" w:eastAsia="Arial" w:hAnsi="Arial"/>
          <w:sz w:val="18"/>
          <w:szCs w:val="18"/>
          <w:color w:val="auto"/>
        </w:rPr>
      </w:pPr>
      <w:r>
        <w:rPr>
          <w:rFonts w:ascii="Arial" w:cs="Arial" w:eastAsia="Arial" w:hAnsi="Arial"/>
          <w:sz w:val="18"/>
          <w:szCs w:val="18"/>
          <w:color w:val="auto"/>
        </w:rPr>
        <w:t>$10 million investment made in Company C (“Investment C”), $10 million investment made in Company D (“Investment D”) and $10 million investment made in Company E (“Investment E”).</w:t>
      </w:r>
    </w:p>
    <w:p>
      <w:pPr>
        <w:spacing w:after="0" w:line="89"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color w:val="auto"/>
        </w:rPr>
      </w:pPr>
    </w:p>
    <w:p>
      <w:pPr>
        <w:ind w:left="900" w:right="480" w:hanging="325"/>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1" w:lineRule="exact"/>
        <w:rPr>
          <w:rFonts w:ascii="Arial" w:cs="Arial" w:eastAsia="Arial" w:hAnsi="Arial"/>
          <w:sz w:val="17"/>
          <w:szCs w:val="17"/>
          <w:color w:val="auto"/>
        </w:rPr>
      </w:pPr>
    </w:p>
    <w:p>
      <w:pPr>
        <w:ind w:left="900" w:right="20" w:hanging="325"/>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color w:val="auto"/>
        </w:rPr>
      </w:pPr>
    </w:p>
    <w:p>
      <w:pPr>
        <w:ind w:left="900" w:right="7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Capital</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A</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C</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Depreciation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15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r>
      <w:tr>
        <w:trPr>
          <w:trHeight w:val="167"/>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basis)</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2</w:t>
            </w:r>
          </w:p>
        </w:tc>
        <w:tc>
          <w:tcPr>
            <w:tcW w:w="1880" w:type="dxa"/>
            <w:vAlign w:val="bottom"/>
            <w:gridSpan w:val="3"/>
          </w:tcPr>
          <w:p>
            <w:pPr>
              <w:ind w:left="840"/>
              <w:spacing w:after="0" w:line="130" w:lineRule="exact"/>
              <w:rPr>
                <w:sz w:val="20"/>
                <w:szCs w:val="20"/>
                <w:color w:val="auto"/>
              </w:rPr>
            </w:pPr>
            <w:r>
              <w:rPr>
                <w:rFonts w:ascii="Arial" w:cs="Arial" w:eastAsia="Arial" w:hAnsi="Arial"/>
                <w:sz w:val="14"/>
                <w:szCs w:val="14"/>
                <w:color w:val="auto"/>
              </w:rPr>
              <w:t>$20 million</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$12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00" w:type="dxa"/>
            <w:vAlign w:val="bottom"/>
          </w:tcPr>
          <w:p>
            <w:pPr>
              <w:spacing w:after="0"/>
              <w:rPr>
                <w:sz w:val="11"/>
                <w:szCs w:val="11"/>
                <w:color w:val="auto"/>
              </w:rPr>
            </w:pPr>
          </w:p>
        </w:tc>
        <w:tc>
          <w:tcPr>
            <w:tcW w:w="10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color w:val="auto"/>
              </w:rPr>
              <w:t>(sale price)</w:t>
            </w: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$14 million</w:t>
            </w:r>
          </w:p>
        </w:tc>
        <w:tc>
          <w:tcPr>
            <w:tcW w:w="1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FMV at IPO</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4</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$16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$14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$10 million</w:t>
            </w:r>
          </w:p>
        </w:tc>
        <w:tc>
          <w:tcPr>
            <w:tcW w:w="1020" w:type="dxa"/>
            <w:vAlign w:val="bottom"/>
            <w:gridSpan w:val="2"/>
          </w:tcPr>
          <w:p>
            <w:pPr>
              <w:ind w:left="6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$12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$20 million</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$12 million</w:t>
            </w:r>
          </w:p>
        </w:tc>
        <w:tc>
          <w:tcPr>
            <w:tcW w:w="102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24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24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B</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C</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242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6</w:t>
            </w:r>
          </w:p>
        </w:tc>
        <w:tc>
          <w:tcPr>
            <w:tcW w:w="92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$16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$8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$15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$2 million</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$28 million</w:t>
            </w:r>
          </w:p>
        </w:tc>
      </w:tr>
      <w:tr>
        <w:trPr>
          <w:trHeight w:val="167"/>
        </w:trPr>
        <w:tc>
          <w:tcPr>
            <w:tcW w:w="2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Year 7</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w w:val="94"/>
              </w:rPr>
              <w:t>$8 million (sale</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$17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price)</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8</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$18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$36 million</w:t>
            </w:r>
          </w:p>
        </w:tc>
      </w:tr>
      <w:tr>
        <w:trPr>
          <w:trHeight w:val="167"/>
        </w:trPr>
        <w:tc>
          <w:tcPr>
            <w:tcW w:w="2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(sale price)</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1840" w:right="2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6"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1840" w:right="220"/>
        <w:spacing w:after="0" w:line="34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16" w:lineRule="exact"/>
        <w:rPr>
          <w:sz w:val="20"/>
          <w:szCs w:val="20"/>
          <w:color w:val="auto"/>
        </w:rPr>
      </w:pPr>
    </w:p>
    <w:p>
      <w:pPr>
        <w:ind w:left="1840" w:right="22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1840" w:right="80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1840" w:right="28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1840" w:right="80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7"/>
          <w:szCs w:val="17"/>
          <w:b w:val="1"/>
          <w:bCs w:val="1"/>
          <w:color w:val="auto"/>
        </w:rPr>
        <w:t>15.68%</w:t>
      </w:r>
    </w:p>
    <w:p>
      <w:pPr>
        <w:spacing w:after="0" w:line="52"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1840" w:right="220"/>
        <w:spacing w:after="0" w:line="264" w:lineRule="auto"/>
        <w:rPr>
          <w:sz w:val="20"/>
          <w:szCs w:val="20"/>
          <w:color w:val="auto"/>
        </w:rPr>
      </w:pPr>
      <w:r>
        <w:rPr>
          <w:rFonts w:ascii="Arial" w:cs="Arial" w:eastAsia="Arial" w:hAnsi="Arial"/>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8"/>
          <w:szCs w:val="18"/>
          <w:b w:val="1"/>
          <w:bCs w:val="1"/>
          <w:color w:val="auto"/>
        </w:rPr>
        <w:t>$0.73 million</w:t>
      </w:r>
    </w:p>
    <w:p>
      <w:pPr>
        <w:spacing w:after="0" w:line="73"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7"/>
          <w:szCs w:val="17"/>
          <w:b w:val="1"/>
          <w:bCs w:val="1"/>
          <w:color w:val="auto"/>
        </w:rPr>
        <w:t>16.07%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1840" w:right="14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16"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7"/>
          <w:szCs w:val="17"/>
          <w:b w:val="1"/>
          <w:bCs w:val="1"/>
          <w:color w:val="auto"/>
        </w:rPr>
        <w:t>16.07%</w:t>
      </w:r>
    </w:p>
    <w:p>
      <w:pPr>
        <w:spacing w:after="0" w:line="52"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1840" w:right="220"/>
        <w:spacing w:after="0" w:line="264" w:lineRule="auto"/>
        <w:rPr>
          <w:sz w:val="20"/>
          <w:szCs w:val="20"/>
          <w:color w:val="auto"/>
        </w:rPr>
      </w:pPr>
      <w:r>
        <w:rPr>
          <w:rFonts w:ascii="Arial" w:cs="Arial" w:eastAsia="Arial" w:hAnsi="Arial"/>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8"/>
          <w:szCs w:val="18"/>
          <w:b w:val="1"/>
          <w:bCs w:val="1"/>
          <w:color w:val="auto"/>
        </w:rPr>
        <w:t>$1.39 million</w:t>
      </w:r>
    </w:p>
    <w:p>
      <w:pPr>
        <w:spacing w:after="0" w:line="73"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7"/>
          <w:szCs w:val="17"/>
          <w:b w:val="1"/>
          <w:bCs w:val="1"/>
          <w:color w:val="auto"/>
        </w:rPr>
        <w:t>16.39%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120"/>
        <w:spacing w:after="0" w:line="264" w:lineRule="auto"/>
        <w:rPr>
          <w:sz w:val="20"/>
          <w:szCs w:val="20"/>
          <w:color w:val="auto"/>
        </w:rPr>
      </w:pPr>
      <w:r>
        <w:rPr>
          <w:rFonts w:ascii="Arial" w:cs="Arial" w:eastAsia="Arial" w:hAnsi="Arial"/>
          <w:sz w:val="18"/>
          <w:szCs w:val="18"/>
          <w:color w:val="auto"/>
        </w:rPr>
        <w:t>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87" w:lineRule="exact"/>
        <w:rPr>
          <w:sz w:val="20"/>
          <w:szCs w:val="20"/>
          <w:color w:val="auto"/>
        </w:rPr>
      </w:pPr>
    </w:p>
    <w:p>
      <w:pPr>
        <w:ind w:left="900" w:right="80" w:hanging="325"/>
        <w:spacing w:after="0" w:line="342"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earlier terminated as described below, the Investment Advisory Agreement will remain in effect until November 2017 and the Administration Agreement will remain in effect until February 2018,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“Risk Factors—Risks Related to Our Business and Structure—We are dependent upon management personnel of the Adviser, TSSP, TPG and their affiliates for our future success.”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Advisory Agreement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2016. A discussion regarding the basis for our Board’s approval and renewal of our Investment Advisory Agreement is available in our Annual Report on Form 10-K for the fiscal year ended December 31, 2016.</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11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2,732,307 shares, or 4.6%, of our common stock as of April 6, 2017.</w:t>
      </w:r>
    </w:p>
    <w:p>
      <w:pPr>
        <w:spacing w:after="0" w:line="15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Order</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4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TPG and the Adviser were to determine that an investment that is not a middle-market loan origination for a company domiciled in the United States is appropriate both for us and for one or more other TSSP or TPG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vehicles, we would only be able to make the investment in conjunction with another such vehicle if we receive an order from the SEC permitting us to do so or the investment is otherwise permitted under relevant SEC guidance.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current directors and officers are directors or officers of the Adviser or its affiliates. See “Management—Biographical Information.”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April 6, 2017,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w:t>
      </w:r>
    </w:p>
    <w:p>
      <w:pPr>
        <w:spacing w:after="0" w:line="178"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The percentage ownership is based on 59,839,041 shares of common stock outstanding as of April 6, 2017.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Shares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8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7720" w:type="dxa"/>
            <w:vAlign w:val="bottom"/>
            <w:gridSpan w:val="2"/>
            <w:vMerge w:val="continue"/>
          </w:tcPr>
          <w:p>
            <w:pPr>
              <w:spacing w:after="0"/>
              <w:rPr>
                <w:sz w:val="14"/>
                <w:szCs w:val="14"/>
                <w:color w:val="auto"/>
              </w:rPr>
            </w:pPr>
          </w:p>
        </w:tc>
        <w:tc>
          <w:tcPr>
            <w:tcW w:w="18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Directors and Executive Officers:</w:t>
            </w:r>
          </w:p>
        </w:tc>
        <w:tc>
          <w:tcPr>
            <w:tcW w:w="5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w:t>
            </w:r>
            <w:r>
              <w:rPr>
                <w:rFonts w:ascii="Arial" w:cs="Arial" w:eastAsia="Arial" w:hAnsi="Arial"/>
                <w:sz w:val="15"/>
                <w:szCs w:val="15"/>
                <w:color w:val="auto"/>
              </w:rPr>
              <w:t>(2)</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33,088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20" w:type="dxa"/>
            <w:vAlign w:val="bottom"/>
            <w:gridSpan w:val="2"/>
          </w:tcPr>
          <w:p>
            <w:pPr>
              <w:ind w:left="360"/>
              <w:spacing w:after="0"/>
              <w:rPr>
                <w:sz w:val="20"/>
                <w:szCs w:val="20"/>
                <w:color w:val="auto"/>
              </w:rPr>
            </w:pPr>
            <w:r>
              <w:rPr>
                <w:rFonts w:ascii="Arial" w:cs="Arial" w:eastAsia="Arial" w:hAnsi="Arial"/>
                <w:sz w:val="18"/>
                <w:szCs w:val="18"/>
                <w:color w:val="auto"/>
              </w:rPr>
              <w:t>Michael Fishman</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36,366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10,000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17,701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56,516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2,150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Robert (Bo) Stanley</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2,788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(14 persons)</w:t>
            </w:r>
            <w:r>
              <w:rPr>
                <w:rFonts w:ascii="Arial" w:cs="Arial" w:eastAsia="Arial" w:hAnsi="Arial"/>
                <w:sz w:val="15"/>
                <w:szCs w:val="15"/>
                <w:color w:val="auto"/>
              </w:rPr>
              <w:t>(3)(4)</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2,862,245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Division of Investment, Department of Treasury, State of New Jersey</w:t>
            </w:r>
            <w:r>
              <w:rPr>
                <w:rFonts w:ascii="Arial" w:cs="Arial" w:eastAsia="Arial" w:hAnsi="Arial"/>
                <w:sz w:val="15"/>
                <w:szCs w:val="15"/>
                <w:color w:val="auto"/>
              </w:rPr>
              <w:t>(5)</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5,800,000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Teachers Retirement Board of Ohio</w:t>
            </w:r>
            <w:r>
              <w:rPr>
                <w:rFonts w:ascii="Arial" w:cs="Arial" w:eastAsia="Arial" w:hAnsi="Arial"/>
                <w:sz w:val="15"/>
                <w:szCs w:val="15"/>
                <w:color w:val="auto"/>
              </w:rPr>
              <w:t>(6)</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4,357,090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5"/>
                <w:szCs w:val="15"/>
                <w:color w:val="auto"/>
              </w:rPr>
              <w:t>(7)</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3,488,476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&amp; Company</w:t>
            </w:r>
            <w:r>
              <w:rPr>
                <w:rFonts w:ascii="Arial" w:cs="Arial" w:eastAsia="Arial" w:hAnsi="Arial"/>
                <w:sz w:val="15"/>
                <w:szCs w:val="15"/>
                <w:color w:val="auto"/>
              </w:rPr>
              <w:t>(8)</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3,487,095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(9)</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3,344,041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31" w:lineRule="exact"/>
        <w:rPr>
          <w:sz w:val="20"/>
          <w:szCs w:val="20"/>
          <w:color w:val="auto"/>
        </w:rPr>
      </w:pPr>
    </w:p>
    <w:p>
      <w:pPr>
        <w:ind w:left="460" w:hanging="452"/>
        <w:spacing w:after="0" w:line="271"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77"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8,625 shares of common stock beneficially owned by Mr. Easterly have been pledged as security in connection with a line of credit with a third party financial institution unaffiliated with the Company.</w:t>
      </w:r>
    </w:p>
    <w:p>
      <w:pPr>
        <w:spacing w:after="0" w:line="75"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14,169 shares of common stock beneficially owned by certain officers have been pledged as security in connection with lines of credit with a third party financial institution unaffiliated with the Company.</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TSL Advisers holds 2,732,307 shares of common stock, or the TSL Advisers Shares.</w:t>
      </w:r>
    </w:p>
    <w:p>
      <w:pPr>
        <w:spacing w:after="0" w:line="130"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92" w:lineRule="exact"/>
        <w:rPr>
          <w:rFonts w:ascii="Arial" w:cs="Arial" w:eastAsia="Arial" w:hAnsi="Arial"/>
          <w:sz w:val="18"/>
          <w:szCs w:val="18"/>
          <w:color w:val="auto"/>
        </w:rPr>
      </w:pPr>
    </w:p>
    <w:p>
      <w:pPr>
        <w:ind w:left="460" w:right="160"/>
        <w:spacing w:after="0" w:line="264" w:lineRule="auto"/>
        <w:rPr>
          <w:rFonts w:ascii="Arial" w:cs="Arial" w:eastAsia="Arial" w:hAnsi="Arial"/>
          <w:sz w:val="18"/>
          <w:szCs w:val="18"/>
          <w:color w:val="auto"/>
        </w:rPr>
      </w:pPr>
      <w:r>
        <w:rPr>
          <w:rFonts w:ascii="Arial" w:cs="Arial" w:eastAsia="Arial" w:hAnsi="Arial"/>
          <w:sz w:val="18"/>
          <w:szCs w:val="18"/>
          <w:color w:val="auto"/>
        </w:rPr>
        <w:t>Mr. Waxman is a Vice President of TSLX.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8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130" w:lineRule="exact"/>
        <w:rPr>
          <w:rFonts w:ascii="Arial" w:cs="Arial" w:eastAsia="Arial" w:hAnsi="Arial"/>
          <w:sz w:val="18"/>
          <w:szCs w:val="18"/>
          <w:color w:val="auto"/>
        </w:rPr>
      </w:pPr>
    </w:p>
    <w:p>
      <w:pPr>
        <w:ind w:left="460" w:right="80" w:hanging="452"/>
        <w:spacing w:after="0" w:line="276"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77"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upon a Schedule 13G filed with the SEC on January 27, 2017 by Wells Fargo &amp; Company on its own behalf and on behalf of certain subsidiaries. The address of Wells Fargo &amp; Company is 420 Montgomery Street, San Francisco, CA 94163.</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14, 2017 by FMR LLC and Abigail P. Johnson. As of February 14, 2017, FMR LLC had</w:t>
      </w:r>
    </w:p>
    <w:p>
      <w:pPr>
        <w:spacing w:after="0" w:line="46" w:lineRule="exact"/>
        <w:rPr>
          <w:rFonts w:ascii="Arial" w:cs="Arial" w:eastAsia="Arial" w:hAnsi="Arial"/>
          <w:sz w:val="16"/>
          <w:szCs w:val="16"/>
          <w:color w:val="auto"/>
        </w:rPr>
      </w:pPr>
    </w:p>
    <w:p>
      <w:pPr>
        <w:ind w:left="460" w:right="20"/>
        <w:spacing w:after="0" w:line="286" w:lineRule="auto"/>
        <w:rPr>
          <w:rFonts w:ascii="Arial" w:cs="Arial" w:eastAsia="Arial" w:hAnsi="Arial"/>
          <w:sz w:val="16"/>
          <w:szCs w:val="16"/>
          <w:color w:val="auto"/>
        </w:rPr>
      </w:pPr>
      <w:r>
        <w:rPr>
          <w:rFonts w:ascii="Arial" w:cs="Arial" w:eastAsia="Arial" w:hAnsi="Arial"/>
          <w:sz w:val="16"/>
          <w:szCs w:val="16"/>
          <w:color w:val="auto"/>
        </w:rPr>
        <w:t>(i) sole power to vote 123,864 shares and (ii) sole power to dispose of 3,344,041 shares. Abigail P. Johnson had sole power to dispose of 3,344,041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as of April 6, 2017. We are not part of a “family of investment companies,” as that term is defined in the 1940 Act.</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our</w:t>
            </w:r>
          </w:p>
        </w:tc>
      </w:tr>
      <w:tr>
        <w:trPr>
          <w:trHeight w:val="149"/>
        </w:trPr>
        <w:tc>
          <w:tcPr>
            <w:tcW w:w="536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Common Stock Beneficially</w:t>
            </w:r>
          </w:p>
        </w:tc>
      </w:tr>
      <w:tr>
        <w:trPr>
          <w:trHeight w:val="185"/>
        </w:trPr>
        <w:tc>
          <w:tcPr>
            <w:tcW w:w="536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(1)(2)</w:t>
            </w: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400" w:type="dxa"/>
            <w:vAlign w:val="bottom"/>
            <w:shd w:val="clear" w:color="auto" w:fill="CCEEFF"/>
          </w:tcPr>
          <w:p>
            <w:pPr>
              <w:spacing w:after="0"/>
              <w:rPr>
                <w:sz w:val="17"/>
                <w:szCs w:val="17"/>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Joshua Easterly</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Fishman</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4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John Ross</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Ronald Tanemura</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bl>
    <w:p>
      <w:pPr>
        <w:spacing w:after="0" w:line="22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April 6, 2017, multiplied by the closing sale price of our common stock as reported on the NYSE as of April 6, 2017.</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60"/>
          </w:cols>
          <w:pgMar w:left="24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submitted to our stockholders, for their approval at a special meeting of stockholders to be held on May 18, 2017, a proposal seeking authority to sell or otherwise issue shares of our common stock at a price below our then-current net asset value per share, subject to the approval of our Board and certain other conditions. If approved, the authorization would be effective for securities issued during a twelve-month period expiring on the anniversary of the date of the special meeting of stockholders.</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Except for such authorizations as otherwise may be required with respect to a particular issuance under applicable law, New York Stock Exchange rules or our certificate of incorporation, if the proposal is approved, no further authorization from stockholders would be solicited or required prior to a sale or other issuance of shares of common stock at a price below net asset value per share in accordance with the terms of the proposal. However, we would only issue shares of our common stock at a price below net asset value per share if the following conditions are met:</w:t>
      </w:r>
    </w:p>
    <w:p>
      <w:pPr>
        <w:spacing w:after="0" w:line="77"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“required majority” of our directors have determined that any such sale would be in the best interests of us and our stockholders;</w:t>
      </w:r>
    </w:p>
    <w:p>
      <w:pPr>
        <w:spacing w:after="0" w:line="130" w:lineRule="exact"/>
        <w:rPr>
          <w:rFonts w:ascii="Arial" w:cs="Arial" w:eastAsia="Arial" w:hAnsi="Arial"/>
          <w:sz w:val="18"/>
          <w:szCs w:val="18"/>
          <w:color w:val="auto"/>
        </w:rPr>
      </w:pPr>
    </w:p>
    <w:p>
      <w:pPr>
        <w:ind w:left="900" w:right="100" w:hanging="325"/>
        <w:spacing w:after="0" w:line="302"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“required majority” of our directors, in consultation with any underwriter or underwriters of the offering,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number of shares to be issued does not exceed 25% of our then-outstanding common stock immediately prior to each such offering.</w:t>
      </w:r>
    </w:p>
    <w:p>
      <w:pPr>
        <w:spacing w:after="0" w:line="23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There would be no limit on the percentage below net asset value per share at which shares may be sold by us or the number of offerings, each for up to 25% of our then-outstanding common stock, that we may conduct under the proposal for the one-year period that authorization is granted.</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proposal is in our and our stockholders’ best interests, our Board will consider a variety of factors including:</w:t>
      </w:r>
    </w:p>
    <w:p>
      <w:pPr>
        <w:spacing w:after="0" w:line="76" w:lineRule="exact"/>
        <w:rPr>
          <w:sz w:val="20"/>
          <w:szCs w:val="20"/>
          <w:color w:val="auto"/>
        </w:rPr>
      </w:pPr>
    </w:p>
    <w:p>
      <w:pPr>
        <w:ind w:left="900" w:right="34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225"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If we receive such approval, we would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would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11.07 million shares of common stock at net proceeds to us of $8.50 per share, which would produce dilution of 6.67%, before we would reach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 limit.</w:t>
      </w:r>
    </w:p>
    <w:p>
      <w:pPr>
        <w:spacing w:after="0" w:line="21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an offering of our common stock at a price less than net asset value per share on three different types of investors:</w:t>
      </w:r>
    </w:p>
    <w:p>
      <w:pPr>
        <w:spacing w:after="0" w:line="76"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 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181"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The examples assume that we have 59.7 million shares outstanding, $1.7 billion in total assets and $0.7 billion in total liabilities (all figures correspond to our actual data as at December 31, 2016). The current net asset value and net asset value per share are thus $1.0 billion and $15.95 per share. The examples assume Stockholder A holds 59,716 shares, or 0.10% of shares outstanding, prior to the offering. The chart illustrates the dilutive effect on Stockholder A of</w:t>
      </w:r>
    </w:p>
    <w:p>
      <w:pPr>
        <w:jc w:val="both"/>
        <w:ind w:right="440" w:firstLine="8"/>
        <w:spacing w:after="0" w:line="281" w:lineRule="auto"/>
        <w:tabs>
          <w:tab w:leader="none" w:pos="24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 offering of 3.0 million shares of common stock (5% of the outstanding shares) at $15.15 per share after offering expenses and commissions (a 5% discount from net asset value per share), (b) an offering of 6.0 million shares of common stock (10% of the outstanding shares) at $14.36 per share after offering expenses and commissions (a 10% discount from net asset value per share), (c) an offering of 11.9 million shares of common stock (20% of the outstanding shares) at $12.76 per share after offering expenses and commissions (a 20% discount from net asset value per share), and (d) an offering of</w:t>
      </w:r>
    </w:p>
    <w:p>
      <w:pPr>
        <w:spacing w:after="0" w:line="2" w:lineRule="exact"/>
        <w:rPr>
          <w:rFonts w:ascii="Arial" w:cs="Arial" w:eastAsia="Arial" w:hAnsi="Arial"/>
          <w:sz w:val="16"/>
          <w:szCs w:val="16"/>
          <w:color w:val="auto"/>
        </w:rPr>
      </w:pPr>
    </w:p>
    <w:p>
      <w:pPr>
        <w:ind w:right="140"/>
        <w:spacing w:after="0" w:line="277" w:lineRule="auto"/>
        <w:rPr>
          <w:rFonts w:ascii="Arial" w:cs="Arial" w:eastAsia="Arial" w:hAnsi="Arial"/>
          <w:sz w:val="16"/>
          <w:szCs w:val="16"/>
          <w:color w:val="auto"/>
        </w:rPr>
      </w:pPr>
      <w:r>
        <w:rPr>
          <w:rFonts w:ascii="Arial" w:cs="Arial" w:eastAsia="Arial" w:hAnsi="Arial"/>
          <w:sz w:val="17"/>
          <w:szCs w:val="17"/>
          <w:color w:val="auto"/>
        </w:rPr>
        <w:t>14.9 million shares of common stock (25% of the outstanding shares) at $11.96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Example 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Example 4</w:t>
            </w:r>
          </w:p>
        </w:tc>
      </w:tr>
      <w:tr>
        <w:trPr>
          <w:trHeight w:val="119"/>
        </w:trPr>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9"/>
              <w:spacing w:after="0" w:line="119" w:lineRule="exact"/>
              <w:rPr>
                <w:sz w:val="20"/>
                <w:szCs w:val="20"/>
                <w:color w:val="auto"/>
              </w:rPr>
            </w:pPr>
            <w:r>
              <w:rPr>
                <w:rFonts w:ascii="Arial" w:cs="Arial" w:eastAsia="Arial" w:hAnsi="Arial"/>
                <w:sz w:val="13"/>
                <w:szCs w:val="13"/>
                <w:b w:val="1"/>
                <w:bCs w:val="1"/>
                <w:color w:val="auto"/>
              </w:rPr>
              <w:t>5% Offering at 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10%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20% Offering at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r>
      <w:tr>
        <w:trPr>
          <w:trHeight w:val="171"/>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Prior to</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10%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25% Discount</w:t>
            </w:r>
          </w:p>
        </w:tc>
      </w:tr>
      <w:tr>
        <w:trPr>
          <w:trHeight w:val="119"/>
        </w:trPr>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Sale Below</w:t>
            </w:r>
          </w:p>
        </w:tc>
        <w:tc>
          <w:tcPr>
            <w:tcW w:w="12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r>
      <w:tr>
        <w:trPr>
          <w:trHeight w:val="171"/>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NAV</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r>
      <w:tr>
        <w:trPr>
          <w:trHeight w:val="129"/>
        </w:trPr>
        <w:tc>
          <w:tcPr>
            <w:tcW w:w="3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15.95</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15.11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13.43</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12.59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15.15</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14.36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12.76</w:t>
            </w: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11.96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59,716,205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62,702,015</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65,687,826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71,659,446</w:t>
            </w: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1"/>
              </w:rPr>
              <w:t>74,645,256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15.95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(0.26)%</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15.80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(0.93)%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15.41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15.15</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59,716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59,716</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59,716</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59,716</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59,716</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0.09%</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0.08%</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Stockholder A</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952,212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949,953</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943,574</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(0.91)%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920,503</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904,637</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w:t>
            </w: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Total Investment by Stockholder A (Assumed to be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3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$15.95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952,212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952,212</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952,212</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952,212</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952,212</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Total Dilution to Stockholder A (Total Net Asset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3120" w:type="dxa"/>
            <w:vAlign w:val="bottom"/>
          </w:tcPr>
          <w:p>
            <w:pPr>
              <w:ind w:left="160"/>
              <w:spacing w:after="0"/>
              <w:rPr>
                <w:sz w:val="20"/>
                <w:szCs w:val="20"/>
                <w:color w:val="auto"/>
              </w:rPr>
            </w:pPr>
            <w:r>
              <w:rPr>
                <w:rFonts w:ascii="Arial" w:cs="Arial" w:eastAsia="Arial" w:hAnsi="Arial"/>
                <w:sz w:val="14"/>
                <w:szCs w:val="14"/>
                <w:color w:val="auto"/>
              </w:rPr>
              <w:t>Value Less Total Investment)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(2,259)</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(8,638)</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(31,709)</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(47,574)</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Investment per Share Held by Stockholder A</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9"/>
        </w:trPr>
        <w:tc>
          <w:tcPr>
            <w:tcW w:w="31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(Assumed to be $15.95 per Share on Shares Held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7"/>
        </w:trPr>
        <w:tc>
          <w:tcPr>
            <w:tcW w:w="3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Prior to Sale)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15.95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15.95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15.95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15.95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Asset Value per Share Held by Stockholder 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15.80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15.41</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15.15</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Dilution per Share Held by Stockholder A (Net Asset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3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Value per Share Less Investment per Share)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(0.15)</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(0.54)</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(0.80)</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Percentage Dilution to Stockholder A (Dilution per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82"/>
        </w:trPr>
        <w:tc>
          <w:tcPr>
            <w:tcW w:w="3120" w:type="dxa"/>
            <w:vAlign w:val="bottom"/>
          </w:tcPr>
          <w:p>
            <w:pPr>
              <w:ind w:left="160"/>
              <w:spacing w:after="0"/>
              <w:rPr>
                <w:sz w:val="20"/>
                <w:szCs w:val="20"/>
                <w:color w:val="auto"/>
              </w:rPr>
            </w:pPr>
            <w:r>
              <w:rPr>
                <w:rFonts w:ascii="Arial" w:cs="Arial" w:eastAsia="Arial" w:hAnsi="Arial"/>
                <w:sz w:val="14"/>
                <w:szCs w:val="14"/>
                <w:color w:val="auto"/>
              </w:rPr>
              <w:t>Share Divided by Investment per Share)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(5.02)%</w:t>
            </w: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 in shares of our common stock immediately prior to the offering. The level of net asset value dilution will decrease as the number of shares such stockholders purchase increases. Existing stockholders who buy more than such percentage will experience net asset value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75"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11.9 million shares) rather than its</w:t>
      </w:r>
    </w:p>
    <w:p>
      <w:pPr>
        <w:ind w:right="60"/>
        <w:spacing w:after="0" w:line="254" w:lineRule="auto"/>
        <w:rPr>
          <w:sz w:val="20"/>
          <w:szCs w:val="20"/>
          <w:color w:val="auto"/>
        </w:rPr>
      </w:pPr>
      <w:r>
        <w:rPr>
          <w:rFonts w:ascii="Arial" w:cs="Arial" w:eastAsia="Arial" w:hAnsi="Arial"/>
          <w:sz w:val="18"/>
          <w:szCs w:val="18"/>
          <w:color w:val="auto"/>
        </w:rPr>
        <w:t>0.10% proportionate share and (b) 150% of such percentage (i.e., 0.15% of an offering of 11.9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6"/>
              </w:rPr>
              <w:t>Prior to</w:t>
            </w:r>
          </w:p>
        </w:tc>
        <w:tc>
          <w:tcPr>
            <w:tcW w:w="60" w:type="dxa"/>
            <w:vAlign w:val="bottom"/>
          </w:tcPr>
          <w:p>
            <w:pPr>
              <w:spacing w:after="0"/>
              <w:rPr>
                <w:sz w:val="14"/>
                <w:szCs w:val="14"/>
                <w:color w:val="auto"/>
              </w:rPr>
            </w:pPr>
          </w:p>
        </w:tc>
        <w:tc>
          <w:tcPr>
            <w:tcW w:w="21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0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150% Participation</w:t>
            </w:r>
          </w:p>
        </w:tc>
      </w:tr>
      <w:tr>
        <w:trPr>
          <w:trHeight w:val="119"/>
        </w:trPr>
        <w:tc>
          <w:tcPr>
            <w:tcW w:w="5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6"/>
              </w:rPr>
              <w:t>Sale Below</w:t>
            </w: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9"/>
              <w:spacing w:after="0" w:line="119" w:lineRule="exact"/>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0"/>
                <w:szCs w:val="10"/>
                <w:color w:val="auto"/>
              </w:rPr>
            </w:pPr>
          </w:p>
        </w:tc>
        <w:tc>
          <w:tcPr>
            <w:tcW w:w="1460" w:type="dxa"/>
            <w:vAlign w:val="bottom"/>
            <w:tcBorders>
              <w:top w:val="single" w:sz="8" w:color="auto"/>
            </w:tcBorders>
            <w:gridSpan w:val="3"/>
          </w:tcPr>
          <w:p>
            <w:pPr>
              <w:jc w:val="right"/>
              <w:ind w:right="78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r>
      <w:tr>
        <w:trPr>
          <w:trHeight w:val="17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NAV</w:t>
            </w:r>
          </w:p>
        </w:tc>
        <w:tc>
          <w:tcPr>
            <w:tcW w:w="6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r>
      <w:tr>
        <w:trPr>
          <w:trHeight w:val="129"/>
        </w:trPr>
        <w:tc>
          <w:tcPr>
            <w:tcW w:w="5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13.43</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13.43</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12.76</w:t>
            </w: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12.76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88"/>
              </w:rPr>
              <w:t>59,716,205</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71,659,446</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71,659,446</w:t>
            </w:r>
          </w:p>
        </w:tc>
        <w:tc>
          <w:tcPr>
            <w:tcW w:w="7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15.95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15.41</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15.41</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(3.36)%</w:t>
            </w: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Dilution/Accretion to Participating Stockholder</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59,716</w:t>
            </w:r>
          </w:p>
        </w:tc>
        <w:tc>
          <w:tcPr>
            <w:tcW w:w="6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65,688</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77,631</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0.10%</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0.09%</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(8.33)%</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0.11%</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8.33%</w:t>
            </w: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Stockholder A</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952,212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1,012,554</w:t>
            </w:r>
          </w:p>
        </w:tc>
        <w:tc>
          <w:tcPr>
            <w:tcW w:w="46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6.34%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1,196,655</w:t>
            </w:r>
          </w:p>
        </w:tc>
        <w:tc>
          <w:tcPr>
            <w:tcW w:w="7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25.67%</w:t>
            </w:r>
          </w:p>
        </w:tc>
      </w:tr>
      <w:tr>
        <w:trPr>
          <w:trHeight w:val="130"/>
        </w:trPr>
        <w:tc>
          <w:tcPr>
            <w:tcW w:w="5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Total Investment by Stockholder A (Assumed to be $15.95 per Share on Shares Held Prior to</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5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952,212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1,032,420</w:t>
            </w: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1,192,837</w:t>
            </w:r>
          </w:p>
        </w:tc>
        <w:tc>
          <w:tcPr>
            <w:tcW w:w="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Total Dilution/Accretion to Stockholder A (Total Net Asset Value Less Total Investment)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(19,866)</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3,818</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5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Investment per Share Held by Stockholder A (Assumed to be $15.95 per Share on Shares</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5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Held Prior to Sale)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15.95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15.72</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15.37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(3.66)%</w:t>
            </w: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Net Asset Value per Share Held by Stockholder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15.41</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15.41</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5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Dilution/Accretion per Share Held by Stockholder A (Net Asset Value per Share Less</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5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per Share)</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(0.30)</w:t>
            </w: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0.05</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5520" w:type="dxa"/>
            <w:vAlign w:val="bottom"/>
          </w:tcPr>
          <w:p>
            <w:pPr>
              <w:spacing w:after="0" w:line="130" w:lineRule="exact"/>
              <w:rPr>
                <w:sz w:val="20"/>
                <w:szCs w:val="20"/>
                <w:color w:val="auto"/>
              </w:rPr>
            </w:pPr>
            <w:r>
              <w:rPr>
                <w:rFonts w:ascii="Arial" w:cs="Arial" w:eastAsia="Arial" w:hAnsi="Arial"/>
                <w:sz w:val="14"/>
                <w:szCs w:val="14"/>
                <w:color w:val="auto"/>
                <w:w w:val="99"/>
              </w:rPr>
              <w:t>Percentage Dilution/Accretion to Stockholder A (Dilution per Share Divided by Investment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82"/>
        </w:trPr>
        <w:tc>
          <w:tcPr>
            <w:tcW w:w="5520" w:type="dxa"/>
            <w:vAlign w:val="bottom"/>
          </w:tcPr>
          <w:p>
            <w:pPr>
              <w:ind w:left="160"/>
              <w:spacing w:after="0"/>
              <w:rPr>
                <w:sz w:val="20"/>
                <w:szCs w:val="20"/>
                <w:color w:val="auto"/>
              </w:rPr>
            </w:pPr>
            <w:r>
              <w:rPr>
                <w:rFonts w:ascii="Arial" w:cs="Arial" w:eastAsia="Arial" w:hAnsi="Arial"/>
                <w:sz w:val="14"/>
                <w:szCs w:val="14"/>
                <w:color w:val="auto"/>
              </w:rPr>
              <w:t>per Share)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0.32%</w:t>
            </w: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New Investors</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Example 3</w:t>
            </w:r>
          </w:p>
        </w:tc>
        <w:tc>
          <w:tcPr>
            <w:tcW w:w="8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r>
      <w:tr>
        <w:trPr>
          <w:trHeight w:val="119"/>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9"/>
              <w:spacing w:after="0" w:line="119" w:lineRule="exact"/>
              <w:rPr>
                <w:sz w:val="20"/>
                <w:szCs w:val="20"/>
                <w:color w:val="auto"/>
              </w:rPr>
            </w:pPr>
            <w:r>
              <w:rPr>
                <w:rFonts w:ascii="Arial" w:cs="Arial" w:eastAsia="Arial" w:hAnsi="Arial"/>
                <w:sz w:val="13"/>
                <w:szCs w:val="13"/>
                <w:b w:val="1"/>
                <w:bCs w:val="1"/>
                <w:color w:val="auto"/>
              </w:rPr>
              <w:t>5% Offering at 5%</w:t>
            </w: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9"/>
              <w:spacing w:after="0" w:line="119" w:lineRule="exact"/>
              <w:rPr>
                <w:sz w:val="20"/>
                <w:szCs w:val="20"/>
                <w:color w:val="auto"/>
              </w:rPr>
            </w:pPr>
            <w:r>
              <w:rPr>
                <w:rFonts w:ascii="Arial" w:cs="Arial" w:eastAsia="Arial" w:hAnsi="Arial"/>
                <w:sz w:val="13"/>
                <w:szCs w:val="13"/>
                <w:b w:val="1"/>
                <w:bCs w:val="1"/>
                <w:color w:val="auto"/>
              </w:rPr>
              <w:t>10% Offering at</w:t>
            </w: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9"/>
              <w:spacing w:after="0" w:line="119" w:lineRule="exact"/>
              <w:rPr>
                <w:sz w:val="20"/>
                <w:szCs w:val="20"/>
                <w:color w:val="auto"/>
              </w:rPr>
            </w:pPr>
            <w:r>
              <w:rPr>
                <w:rFonts w:ascii="Arial" w:cs="Arial" w:eastAsia="Arial" w:hAnsi="Arial"/>
                <w:sz w:val="13"/>
                <w:szCs w:val="13"/>
                <w:b w:val="1"/>
                <w:bCs w:val="1"/>
                <w:color w:val="auto"/>
              </w:rPr>
              <w:t>20% Offering at</w:t>
            </w: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r>
      <w:tr>
        <w:trPr>
          <w:trHeight w:val="17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Prior to</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Discount</w:t>
            </w:r>
          </w:p>
        </w:tc>
        <w:tc>
          <w:tcPr>
            <w:tcW w:w="8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20% Discount</w:t>
            </w:r>
          </w:p>
        </w:tc>
        <w:tc>
          <w:tcPr>
            <w:tcW w:w="8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r>
      <w:tr>
        <w:trPr>
          <w:trHeight w:val="119"/>
        </w:trPr>
        <w:tc>
          <w:tcPr>
            <w:tcW w:w="2840" w:type="dxa"/>
            <w:vAlign w:val="bottom"/>
          </w:tcPr>
          <w:p>
            <w:pPr>
              <w:spacing w:after="0"/>
              <w:rPr>
                <w:sz w:val="10"/>
                <w:szCs w:val="10"/>
                <w:color w:val="auto"/>
              </w:rPr>
            </w:pPr>
          </w:p>
        </w:tc>
        <w:tc>
          <w:tcPr>
            <w:tcW w:w="10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Sale Below</w:t>
            </w:r>
          </w:p>
        </w:tc>
        <w:tc>
          <w:tcPr>
            <w:tcW w:w="16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9"/>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r>
      <w:tr>
        <w:trPr>
          <w:trHeight w:val="17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NAV</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r>
      <w:tr>
        <w:trPr>
          <w:trHeight w:val="129"/>
        </w:trPr>
        <w:tc>
          <w:tcPr>
            <w:tcW w:w="28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15.95</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15.11</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13.43</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12.59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15.15</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14.36</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12.76</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59,716,205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62,702,015</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65,687,826</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71,659,446</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74,645,256</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15.95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(0.26)%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15.80</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(0.93)%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15.41</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15.15</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Dilution/Accretion to New Investor A</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Shares Held by Investor A</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2,986</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5,972</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11,943</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14,929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0.01%</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0.02%</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47,498</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94,358</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184,101</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226,160</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Investment by Investor A (At Price to</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Public)</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47,624</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90,234</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160,417</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187,988</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Total Dilution/Accretion to Investor A (Total</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2840" w:type="dxa"/>
            <w:vAlign w:val="bottom"/>
          </w:tcPr>
          <w:p>
            <w:pPr>
              <w:ind w:left="160"/>
              <w:spacing w:after="0"/>
              <w:rPr>
                <w:sz w:val="20"/>
                <w:szCs w:val="20"/>
                <w:color w:val="auto"/>
              </w:rPr>
            </w:pPr>
            <w:r>
              <w:rPr>
                <w:rFonts w:ascii="Arial" w:cs="Arial" w:eastAsia="Arial" w:hAnsi="Arial"/>
                <w:sz w:val="14"/>
                <w:szCs w:val="14"/>
                <w:color w:val="auto"/>
              </w:rPr>
              <w:t>Net Asset Value Less Total Investment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(126)</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4,123</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23,685</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38,172</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per Share Held by Investor A</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15.95</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15.11</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13.43</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12.59</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w w:val="99"/>
              </w:rPr>
              <w:t>Net Asset Value per Share Held by Investor A</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15.80</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15.41</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15.15</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Dilution/Accretion per Share Held by Investor</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9"/>
        </w:trPr>
        <w:tc>
          <w:tcPr>
            <w:tcW w:w="28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 (Net Asset Value per Share Less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7"/>
        </w:trPr>
        <w:tc>
          <w:tcPr>
            <w:tcW w:w="2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per 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(0.04)</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0.69</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1.98</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2.56</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Percentage Dilution/Accretion to Investor A</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2840" w:type="dxa"/>
            <w:vAlign w:val="bottom"/>
          </w:tcPr>
          <w:p>
            <w:pPr>
              <w:ind w:left="160"/>
              <w:spacing w:after="0" w:line="149" w:lineRule="exact"/>
              <w:rPr>
                <w:sz w:val="20"/>
                <w:szCs w:val="20"/>
                <w:color w:val="auto"/>
              </w:rPr>
            </w:pPr>
            <w:r>
              <w:rPr>
                <w:rFonts w:ascii="Arial" w:cs="Arial" w:eastAsia="Arial" w:hAnsi="Arial"/>
                <w:sz w:val="14"/>
                <w:szCs w:val="14"/>
                <w:color w:val="auto"/>
              </w:rPr>
              <w:t>(Dilution per Share Divided by Investment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2"/>
        </w:trPr>
        <w:tc>
          <w:tcPr>
            <w:tcW w:w="2840" w:type="dxa"/>
            <w:vAlign w:val="bottom"/>
          </w:tcPr>
          <w:p>
            <w:pPr>
              <w:ind w:left="160"/>
              <w:spacing w:after="0"/>
              <w:rPr>
                <w:sz w:val="20"/>
                <w:szCs w:val="20"/>
                <w:color w:val="auto"/>
              </w:rPr>
            </w:pPr>
            <w:r>
              <w:rPr>
                <w:rFonts w:ascii="Arial" w:cs="Arial" w:eastAsia="Arial" w:hAnsi="Arial"/>
                <w:sz w:val="14"/>
                <w:szCs w:val="14"/>
                <w:color w:val="auto"/>
              </w:rPr>
              <w:t>per Share)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(0.26)%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4.57%</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14.76%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20.31%</w:t>
            </w: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1480" w:hanging="446"/>
        <w:spacing w:after="0" w:line="312" w:lineRule="auto"/>
        <w:tabs>
          <w:tab w:leader="none" w:pos="14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2" w:lineRule="exact"/>
        <w:rPr>
          <w:rFonts w:ascii="Arial" w:cs="Arial" w:eastAsia="Arial" w:hAnsi="Arial"/>
          <w:sz w:val="16"/>
          <w:szCs w:val="16"/>
          <w:color w:val="auto"/>
        </w:rPr>
      </w:pPr>
    </w:p>
    <w:p>
      <w:pPr>
        <w:ind w:left="1480" w:right="60" w:hanging="446"/>
        <w:spacing w:after="0" w:line="286" w:lineRule="auto"/>
        <w:tabs>
          <w:tab w:leader="none" w:pos="148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900" w:right="120" w:hanging="325"/>
        <w:spacing w:after="0" w:line="31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92" w:lineRule="exact"/>
        <w:rPr>
          <w:sz w:val="20"/>
          <w:szCs w:val="20"/>
          <w:color w:val="auto"/>
        </w:rPr>
      </w:pPr>
    </w:p>
    <w:p>
      <w:pPr>
        <w:ind w:left="900" w:right="20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the case of distributions made by the Company, and in the case of gross proceeds from the sale or other of shares of our common stock or preferred stock paid on or after January 1, 2019,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w:t>
      </w:r>
    </w:p>
    <w:p>
      <w:pPr>
        <w:spacing w:after="0" w:line="2" w:lineRule="exact"/>
        <w:rPr>
          <w:sz w:val="20"/>
          <w:szCs w:val="20"/>
          <w:color w:val="auto"/>
        </w:rPr>
      </w:pPr>
    </w:p>
    <w:p>
      <w:pPr>
        <w:ind w:left="220" w:hanging="212"/>
        <w:spacing w:after="0"/>
        <w:tabs>
          <w:tab w:leader="none" w:pos="2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is a United States person, (ii) derives 50% or more of its gross income for certain periods from the conduct of a trade or business in the United States,</w:t>
      </w:r>
    </w:p>
    <w:p>
      <w:pPr>
        <w:spacing w:after="0" w:line="32" w:lineRule="exact"/>
        <w:rPr>
          <w:rFonts w:ascii="Arial" w:cs="Arial" w:eastAsia="Arial" w:hAnsi="Arial"/>
          <w:sz w:val="16"/>
          <w:szCs w:val="16"/>
          <w:color w:val="auto"/>
        </w:rPr>
      </w:pPr>
    </w:p>
    <w:p>
      <w:pPr>
        <w:ind w:right="60" w:firstLine="8"/>
        <w:spacing w:after="0" w:line="323" w:lineRule="auto"/>
        <w:tabs>
          <w:tab w:leader="none" w:pos="31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00"/>
          </w:cols>
          <w:pgMar w:left="24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59,839,041 shares are outstanding as of April 6, 2017, and 100,000,000 shares of preferred stock, par value $0.01 per share, of which no shares are outstanding as of April 6, 2017.</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April 6,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Held by Us or for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Outstanding</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Exclusive of Amount Held by</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Our Account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5"/>
              </w:rPr>
              <w:t>Us or for Our Account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2060" w:type="dxa"/>
            <w:vAlign w:val="bottom"/>
          </w:tcPr>
          <w:p>
            <w:pPr>
              <w:spacing w:after="0"/>
              <w:rPr>
                <w:sz w:val="20"/>
                <w:szCs w:val="20"/>
                <w:color w:val="auto"/>
              </w:rPr>
            </w:pPr>
            <w:r>
              <w:rPr>
                <w:rFonts w:ascii="Arial" w:cs="Arial" w:eastAsia="Arial" w:hAnsi="Arial"/>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89,080</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59,839,041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pre-IPO investors, which included a</w:t>
      </w:r>
    </w:p>
    <w:p>
      <w:pPr>
        <w:ind w:right="180"/>
        <w:spacing w:after="0" w:line="261" w:lineRule="auto"/>
        <w:rPr>
          <w:sz w:val="20"/>
          <w:szCs w:val="20"/>
          <w:color w:val="auto"/>
        </w:rPr>
      </w:pPr>
      <w:r>
        <w:rPr>
          <w:rFonts w:ascii="Arial" w:cs="Arial" w:eastAsia="Arial" w:hAnsi="Arial"/>
          <w:sz w:val="18"/>
          <w:szCs w:val="18"/>
          <w:color w:val="auto"/>
        </w:rPr>
        <w:t>$100 million capital commitment by our Adviser. Our pre-IPO investors’ obligations to purchase additional shares from the undrawn portion of their capital commitments terminated upon the completion of the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the Investment Advisory Agreement, we have, to the extent permitted by applicable law, indemnified the Adviser and certain of its affiliates, as described under “Management and Other Agreements—Indemnification.”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any person who, whether directly or indirectly and whether alone or together with its affiliates and associates, beneficially owns 10% or more of the outstanding shares of our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300" w:hanging="325"/>
        <w:spacing w:after="0" w:line="286"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60"/>
          </w:cols>
          <w:pgMar w:left="240" w:top="460" w:right="2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on its due date, and do not cure this default within five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or Consolidation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24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establishment of the form or terms of new securities of any series as permitted by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 —Full Defeasance.”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180" w:hanging="325"/>
        <w:spacing w:after="0" w:line="28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We must deliver to the trustee a legal opinion and officers’ certificate stating that all conditions precedent to defeasance have been complied with.</w:t>
      </w:r>
    </w:p>
    <w:p>
      <w:pPr>
        <w:spacing w:after="0" w:line="24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20" w:hanging="325"/>
        <w:spacing w:after="0" w:line="259"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66"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and 2015, our asset coverage was 237.7% and 225.7%, respectively.</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7" w:lineRule="exact"/>
        <w:rPr>
          <w:sz w:val="20"/>
          <w:szCs w:val="20"/>
          <w:color w:val="auto"/>
        </w:rPr>
      </w:pPr>
    </w:p>
    <w:p>
      <w:pPr>
        <w:ind w:left="900" w:right="4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65"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have submitted to our stockholders, for their approval at a special meeting of stockholders to be held on May 18, 2017, a proposal seeking authority to sell or otherwise issue shares of our common stock at a price below our then-current net asset value per share, subject to the approval of our Board and certain other conditions.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Affiliates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 See “Related-Party Transactions and Certain Relationships—Exemptive Order” for more information on the terms of the exemptive order.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7" w:lineRule="exact"/>
        <w:rPr>
          <w:sz w:val="20"/>
          <w:szCs w:val="20"/>
          <w:color w:val="auto"/>
        </w:rPr>
      </w:pPr>
    </w:p>
    <w:p>
      <w:pPr>
        <w:ind w:left="900" w:right="220" w:hanging="325"/>
        <w:spacing w:after="0" w:line="259"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1480" w:hanging="446"/>
        <w:spacing w:after="0"/>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920" w:right="140" w:hanging="318"/>
        <w:spacing w:after="0" w:line="277" w:lineRule="auto"/>
        <w:tabs>
          <w:tab w:leader="none" w:pos="19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75" w:lineRule="exact"/>
        <w:rPr>
          <w:rFonts w:ascii="Arial" w:cs="Arial" w:eastAsia="Arial" w:hAnsi="Arial"/>
          <w:sz w:val="18"/>
          <w:szCs w:val="18"/>
          <w:color w:val="auto"/>
        </w:rPr>
      </w:pPr>
    </w:p>
    <w:p>
      <w:pPr>
        <w:ind w:left="1920" w:right="400" w:hanging="318"/>
        <w:spacing w:after="0" w:line="264" w:lineRule="auto"/>
        <w:tabs>
          <w:tab w:leader="none" w:pos="19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6" w:lineRule="exact"/>
        <w:rPr>
          <w:rFonts w:ascii="Arial" w:cs="Arial" w:eastAsia="Arial" w:hAnsi="Arial"/>
          <w:sz w:val="18"/>
          <w:szCs w:val="18"/>
          <w:color w:val="auto"/>
        </w:rPr>
      </w:pPr>
    </w:p>
    <w:p>
      <w:pPr>
        <w:ind w:left="1920" w:hanging="318"/>
        <w:spacing w:after="0"/>
        <w:tabs>
          <w:tab w:leader="none" w:pos="192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 million and capital and surplus of not less than $2 million.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Co-Chief Executive Officers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You may read and copy the codes of ethics at the SEC’s Public Reference Room in Washington, D.C. You may obtain information on the operation of the Public Reference Room by calling the SEC at 1-800-SEC-0330. In addition, the codes of ethics are attached as exhibits to the registration statement of which this prospectus is a part, and are available on the SEC’s internet site at http://www.sec.gov. You may also obtain copies of the codes of ethics, after paying a duplicating fee, by electronic request at the following e-mail address: publicinfo@sec.gov, or by writing the SEC’s Public Reference Section at 100 F Street, N.E., Room 1580, Washington, D.C. 20549. We also hereby undertake to provide a copy of these codes to any person, without charge, upon request. Requests for a copy of the codes may be made in writing addressed to our Secretary, Jennifer Gordon, 888 7th Avenue, 35th Floor, New York, NY 10106, Attention: TSLX Investor Relations, or by emailing us at IRTSL@tpg.com.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76" w:lineRule="exact"/>
        <w:rPr>
          <w:sz w:val="20"/>
          <w:szCs w:val="20"/>
          <w:color w:val="auto"/>
        </w:rPr>
      </w:pPr>
    </w:p>
    <w:p>
      <w:pPr>
        <w:ind w:left="900" w:right="12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86"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40"/>
          </w:cols>
          <w:pgMar w:left="240" w:top="459" w:right="3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888 7th Avenue, 35th Floor, New York, NY 10106, Attention: TSLX Investor Relations, or by emailing us at IRTSL@tpg.com.</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60"/>
          </w:cols>
          <w:pgMar w:left="240" w:top="459" w:right="3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amount of brokerage commissions paid by us during the three most recent fiscal years is $45,439.</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2016 and 2015, and for each of the years in the three-year period ended December 31, 2016 and the Senior Securities schedule under the heading “Senior Securities” have been included herein and in the registration statement in reliance upon the reports of KPMG LLP, 345 Park Avenue, New York, New York 10154, independent registered public accounting firm, appearing elsewhere herein, and upon the authority of said firm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9540" w:type="dxa"/>
            <w:vAlign w:val="bottom"/>
            <w:gridSpan w:val="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8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80" w:type="dxa"/>
            <w:vAlign w:val="bottom"/>
            <w:gridSpan w:val="7"/>
          </w:tcPr>
          <w:p>
            <w:pPr>
              <w:jc w:val="center"/>
              <w:ind w:right="1260"/>
              <w:spacing w:after="0"/>
              <w:rPr>
                <w:sz w:val="20"/>
                <w:szCs w:val="20"/>
                <w:color w:val="auto"/>
              </w:rPr>
            </w:pPr>
            <w:r>
              <w:rPr>
                <w:rFonts w:ascii="Arial" w:cs="Arial" w:eastAsia="Arial" w:hAnsi="Arial"/>
                <w:sz w:val="18"/>
                <w:szCs w:val="18"/>
                <w:b w:val="1"/>
                <w:bCs w:val="1"/>
                <w:color w:val="auto"/>
              </w:rPr>
              <w:t>INDEX TO CONSOLIDATED FINANCIAL STATEMENTS</w:t>
            </w:r>
          </w:p>
        </w:tc>
        <w:tc>
          <w:tcPr>
            <w:tcW w:w="1820" w:type="dxa"/>
            <w:vAlign w:val="bottom"/>
          </w:tcPr>
          <w:p>
            <w:pPr>
              <w:spacing w:after="0"/>
              <w:rPr>
                <w:sz w:val="24"/>
                <w:szCs w:val="24"/>
                <w:color w:val="auto"/>
              </w:rPr>
            </w:pPr>
          </w:p>
        </w:tc>
      </w:tr>
      <w:tr>
        <w:trPr>
          <w:trHeight w:val="445"/>
        </w:trPr>
        <w:tc>
          <w:tcPr>
            <w:tcW w:w="9540" w:type="dxa"/>
            <w:vAlign w:val="bottom"/>
            <w:gridSpan w:val="9"/>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820" w:type="dxa"/>
            <w:vAlign w:val="bottom"/>
          </w:tcPr>
          <w:p>
            <w:pPr>
              <w:spacing w:after="0"/>
              <w:rPr>
                <w:sz w:val="24"/>
                <w:szCs w:val="24"/>
                <w:color w:val="auto"/>
              </w:rPr>
            </w:pPr>
          </w:p>
        </w:tc>
      </w:tr>
      <w:tr>
        <w:trPr>
          <w:trHeight w:val="190"/>
        </w:trPr>
        <w:tc>
          <w:tcPr>
            <w:tcW w:w="9540" w:type="dxa"/>
            <w:vAlign w:val="bottom"/>
            <w:gridSpan w:val="9"/>
          </w:tcPr>
          <w:p>
            <w:pPr>
              <w:spacing w:after="0" w:line="190" w:lineRule="exact"/>
              <w:rPr>
                <w:rFonts w:ascii="Arial" w:cs="Arial" w:eastAsia="Arial" w:hAnsi="Arial"/>
                <w:sz w:val="18"/>
                <w:szCs w:val="18"/>
                <w:color w:val="0000EE"/>
              </w:rPr>
            </w:pPr>
            <w:hyperlink w:anchor="page192">
              <w:r>
                <w:rPr>
                  <w:rFonts w:ascii="Arial" w:cs="Arial" w:eastAsia="Arial" w:hAnsi="Arial"/>
                  <w:sz w:val="18"/>
                  <w:szCs w:val="18"/>
                  <w:color w:val="0000EE"/>
                </w:rPr>
                <w:t>Report of Independent Registered Public Accounting Firm</w:t>
              </w:r>
            </w:hyperlink>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93">
              <w:r>
                <w:rPr>
                  <w:rFonts w:ascii="Arial" w:cs="Arial" w:eastAsia="Arial" w:hAnsi="Arial"/>
                  <w:sz w:val="18"/>
                  <w:szCs w:val="18"/>
                  <w:color w:val="0000EE"/>
                  <w:w w:val="88"/>
                </w:rPr>
                <w:t>Consolidated Balance Sheets as of December 31, 2016 and 2015</w:t>
              </w:r>
            </w:hyperlink>
          </w:p>
        </w:tc>
        <w:tc>
          <w:tcPr>
            <w:tcW w:w="488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Consolidated Statements of Operations for the Years Ended December 31, 2016, 2015 and 2014</w:t>
              </w:r>
            </w:hyperlink>
          </w:p>
        </w:tc>
        <w:tc>
          <w:tcPr>
            <w:tcW w:w="262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540" w:type="dxa"/>
            <w:vAlign w:val="bottom"/>
            <w:gridSpan w:val="9"/>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Consolidated Schedules of Investments as of December 31, 2016 and 2015</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540" w:type="dxa"/>
            <w:vAlign w:val="bottom"/>
            <w:gridSpan w:val="9"/>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Consolidated Statements of Changes in Net Assets for the Years Ended December 31, 2016, 2015 and 2014</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774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204">
              <w:r>
                <w:rPr>
                  <w:rFonts w:ascii="Arial" w:cs="Arial" w:eastAsia="Arial" w:hAnsi="Arial"/>
                  <w:sz w:val="18"/>
                  <w:szCs w:val="18"/>
                  <w:color w:val="0000EE"/>
                  <w:w w:val="99"/>
                </w:rPr>
                <w:t>Consolidated Statements of Cash Flows for the Years Ended December 31, 2016, 2015 and 2014</w:t>
              </w:r>
            </w:hyperlink>
          </w:p>
        </w:tc>
        <w:tc>
          <w:tcPr>
            <w:tcW w:w="180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9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Notes to Consolidated Financial Statements</w:t>
              </w:r>
            </w:hyperlink>
          </w:p>
        </w:tc>
        <w:tc>
          <w:tcPr>
            <w:tcW w:w="258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00" w:type="dxa"/>
            <w:vAlign w:val="bottom"/>
            <w:gridSpan w:val="4"/>
          </w:tcPr>
          <w:p>
            <w:pPr>
              <w:jc w:val="center"/>
              <w:ind w:right="3560"/>
              <w:spacing w:after="0"/>
              <w:rPr>
                <w:sz w:val="20"/>
                <w:szCs w:val="20"/>
                <w:color w:val="auto"/>
              </w:rPr>
            </w:pPr>
            <w:r>
              <w:rPr>
                <w:rFonts w:ascii="Arial" w:cs="Arial" w:eastAsia="Arial" w:hAnsi="Arial"/>
                <w:sz w:val="18"/>
                <w:szCs w:val="18"/>
                <w:color w:val="auto"/>
                <w:w w:val="96"/>
              </w:rPr>
              <w:t>F-1</w:t>
            </w:r>
          </w:p>
        </w:tc>
        <w:tc>
          <w:tcPr>
            <w:tcW w:w="1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sheets of TPG Specialty Lending, Inc. (and subsidiaries) (the Company), including the consolidated schedules of investments, as of December 31, 2016 and 2015, and the related consolidated statements of operations, changes in net assets, and cash flows for each of the years in the three-year period ended December 31, 2016. We also have audited TPG Specialty Lending, Inc.’s internal control over financial reporting as of December 31, 2016,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procedures included confirmation of securities owned as of December 31, 2016 and 2015, by correspondence with custodians, or by other appropriate auditing procedures.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balance sheets of TPG Specialty Lending, Inc. (and subsidiaries), including the consolidated schedules of investments, as of December 31, 2016 and 2015, and the related consolidated statements of operations, changes in net assets, and cash flows for each of the years in the three-year period ended December 31, 2016, in conformity with U.S. generally accepted accounting principles. Also in our opinion, TPG Specialty Lending, Inc.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9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$1,567,673 and $1,443,017,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1,591,544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$100,014 and $86,659, respectively)</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65,859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$1,667,687 and $1,529,676,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1,657,403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1,675,532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1,506,568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Debt (net of deferred financing costs of $11,019 and $10,365, respectively)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680,709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23,289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723,320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685,827</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59,805,285 and 54,166,959 shares issued, respectively;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59,716,205 and 54,163,960 shares outstanding,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898,868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50,142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952,212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1,675,532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1,506,568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Income</w:t>
            </w: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Investment income from non-controlled, non-affiliated investments: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167,819</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157,964</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Dividend income</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1,727</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948</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income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7,628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from cash and cash equivalents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non-controlled, non-affiliated investments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182,231</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166,537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Investment income from controlled, affiliated investments: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9,975</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6,638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240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controlled, affiliated investments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10,179</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6,878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Total Investment Income</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192,410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173,415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4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Interest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23,108</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22,010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24,253</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21,276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Incentive fees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22,703</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20,180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8,166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Directors’ fees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390</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381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Other general and administrative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4,830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640"/>
              <w:spacing w:after="0"/>
              <w:rPr>
                <w:sz w:val="20"/>
                <w:szCs w:val="20"/>
                <w:color w:val="auto"/>
              </w:rPr>
            </w:pPr>
            <w:r>
              <w:rPr>
                <w:rFonts w:ascii="Arial" w:cs="Arial" w:eastAsia="Arial" w:hAnsi="Arial"/>
                <w:sz w:val="16"/>
                <w:szCs w:val="16"/>
                <w:color w:val="auto"/>
              </w:rPr>
              <w:t>Total expenses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83,282</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76,843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Management and incentive fees waived (Note 3)</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(430)</w:t>
            </w: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(226)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Net Expenses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82,852</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76,617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57,701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 Before Income Taxes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109,558</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96,798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Income taxes, including excise taxes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2,225</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1,500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107,333</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95,298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Unrealized and Realized Gains (Losses)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Net change in unrealized gains (losses):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44,676</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(17,008)</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(22,950)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Controlled, affiliated investments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(10,994)</w:t>
            </w: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(17,217)</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rate swaps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(333)</w:t>
            </w: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(618)</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Translation of assets and liabilities in foreign currencies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(3,547)</w:t>
            </w: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6,275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Foreign currency forward contracts</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net change in unrealized gains (losses)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29,802</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(28,568)</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(17,722)</w:t>
            </w: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Arial" w:cs="Arial" w:eastAsia="Arial" w:hAnsi="Arial"/>
                <w:sz w:val="16"/>
                <w:szCs w:val="16"/>
                <w:color w:val="auto"/>
              </w:rPr>
              <w:t>Realized gains (losses):</w:t>
            </w:r>
          </w:p>
        </w:tc>
        <w:tc>
          <w:tcPr>
            <w:tcW w:w="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(772)</w:t>
            </w: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(5,042)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rate swaps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1,851</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transactions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960"/>
              <w:spacing w:after="0"/>
              <w:rPr>
                <w:sz w:val="20"/>
                <w:szCs w:val="20"/>
                <w:color w:val="auto"/>
              </w:rPr>
            </w:pPr>
            <w:r>
              <w:rPr>
                <w:rFonts w:ascii="Arial" w:cs="Arial" w:eastAsia="Arial" w:hAnsi="Arial"/>
                <w:sz w:val="16"/>
                <w:szCs w:val="16"/>
                <w:color w:val="auto"/>
              </w:rPr>
              <w:t>Total realized losses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(3,162)</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(1,703)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280"/>
              <w:spacing w:after="0"/>
              <w:rPr>
                <w:sz w:val="20"/>
                <w:szCs w:val="20"/>
                <w:color w:val="auto"/>
              </w:rPr>
            </w:pPr>
            <w:r>
              <w:rPr>
                <w:rFonts w:ascii="Arial" w:cs="Arial" w:eastAsia="Arial" w:hAnsi="Arial"/>
                <w:sz w:val="16"/>
                <w:szCs w:val="16"/>
                <w:b w:val="1"/>
                <w:bCs w:val="1"/>
                <w:color w:val="auto"/>
              </w:rPr>
              <w:t>Total Unrealized and Realized Gains (Losses)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(31,730)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Increase in Net Assets Resulting from Operations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137,007</w:t>
            </w:r>
          </w:p>
        </w:tc>
        <w:tc>
          <w:tcPr>
            <w:tcW w:w="8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63,568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 share—basic and diluted</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1.18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shares of common stock outstanding—basic and diluted</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58,591,380</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54,006,322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50,509,692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jc w:val="right"/>
        <w:ind w:right="3220"/>
        <w:spacing w:after="0"/>
        <w:rPr>
          <w:sz w:val="20"/>
          <w:szCs w:val="20"/>
          <w:color w:val="auto"/>
        </w:rPr>
      </w:pPr>
      <w:r>
        <w:rPr>
          <w:rFonts w:ascii="Arial" w:cs="Arial" w:eastAsia="Arial" w:hAnsi="Arial"/>
          <w:sz w:val="18"/>
          <w:szCs w:val="18"/>
          <w:b w:val="1"/>
          <w:bCs w:val="1"/>
          <w:color w:val="auto"/>
        </w:rPr>
        <w:t>Consolidated Schedule of Investments as of December 31, 2016</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amounts)</w:t>
      </w:r>
    </w:p>
    <w:p>
      <w:pPr>
        <w:sectPr>
          <w:pgSz w:w="11900" w:h="16838" w:orient="portrait"/>
          <w:cols w:equalWidth="0" w:num="1">
            <w:col w:w="11340"/>
          </w:cols>
          <w:pgMar w:left="240" w:top="460" w:right="319" w:bottom="1440" w:gutter="0" w:footer="0" w:header="0"/>
        </w:sect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00" w:type="dxa"/>
            <w:vAlign w:val="bottom"/>
            <w:gridSpan w:val="2"/>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280" w:type="dxa"/>
            <w:vAlign w:val="bottom"/>
          </w:tcPr>
          <w:p>
            <w:pPr>
              <w:ind w:left="840"/>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1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Debt Investments</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100" w:type="dxa"/>
            <w:vAlign w:val="bottom"/>
            <w:gridSpan w:val="2"/>
          </w:tcPr>
          <w:p>
            <w:pPr>
              <w:ind w:left="160"/>
              <w:spacing w:after="0"/>
              <w:rPr>
                <w:sz w:val="20"/>
                <w:szCs w:val="20"/>
                <w:color w:val="auto"/>
              </w:rPr>
            </w:pPr>
            <w:r>
              <w:rPr>
                <w:rFonts w:ascii="Arial" w:cs="Arial" w:eastAsia="Arial" w:hAnsi="Arial"/>
                <w:sz w:val="15"/>
                <w:szCs w:val="15"/>
                <w:b w:val="1"/>
                <w:bCs w:val="1"/>
                <w:color w:val="auto"/>
              </w:rPr>
              <w:t>Automotive</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($29,233</w:t>
            </w:r>
          </w:p>
        </w:tc>
        <w:tc>
          <w:tcPr>
            <w:tcW w:w="0" w:type="dxa"/>
            <w:vAlign w:val="bottom"/>
          </w:tcPr>
          <w:p>
            <w:pPr>
              <w:spacing w:after="0"/>
              <w:rPr>
                <w:sz w:val="1"/>
                <w:szCs w:val="1"/>
                <w:color w:val="auto"/>
              </w:rPr>
            </w:pPr>
          </w:p>
        </w:tc>
      </w:tr>
      <w:tr>
        <w:trPr>
          <w:trHeight w:val="130"/>
        </w:trPr>
        <w:tc>
          <w:tcPr>
            <w:tcW w:w="6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00" w:type="dxa"/>
            <w:vAlign w:val="bottom"/>
            <w:gridSpan w:val="2"/>
          </w:tcPr>
          <w:p>
            <w:pPr>
              <w:spacing w:after="0"/>
              <w:rPr>
                <w:sz w:val="20"/>
                <w:szCs w:val="20"/>
                <w:color w:val="auto"/>
              </w:rPr>
            </w:pPr>
            <w:r>
              <w:rPr>
                <w:rFonts w:ascii="Arial" w:cs="Arial" w:eastAsia="Arial" w:hAnsi="Arial"/>
                <w:sz w:val="15"/>
                <w:szCs w:val="15"/>
                <w:color w:val="auto"/>
              </w:rPr>
              <w:t>Heartland Automotive Holdings, LLC</w:t>
            </w:r>
            <w:r>
              <w:rPr>
                <w:rFonts w:ascii="Arial" w:cs="Arial" w:eastAsia="Arial" w:hAnsi="Arial"/>
                <w:sz w:val="13"/>
                <w:szCs w:val="13"/>
                <w:color w:val="auto"/>
              </w:rPr>
              <w:t>(3)</w:t>
            </w:r>
          </w:p>
        </w:tc>
        <w:tc>
          <w:tcPr>
            <w:tcW w:w="2280" w:type="dxa"/>
            <w:vAlign w:val="bottom"/>
          </w:tcPr>
          <w:p>
            <w:pPr>
              <w:spacing w:after="0"/>
              <w:rPr>
                <w:sz w:val="20"/>
                <w:szCs w:val="20"/>
                <w:color w:val="auto"/>
              </w:rPr>
            </w:pPr>
            <w:r>
              <w:rPr>
                <w:rFonts w:ascii="Arial" w:cs="Arial" w:eastAsia="Arial" w:hAnsi="Arial"/>
                <w:sz w:val="15"/>
                <w:szCs w:val="15"/>
                <w:color w:val="auto"/>
              </w:rPr>
              <w:t>par, due 6/2017)</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revolving loan</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($1,417 par, due 6/2017)</w:t>
            </w:r>
          </w:p>
        </w:tc>
        <w:tc>
          <w:tcPr>
            <w:tcW w:w="0" w:type="dxa"/>
            <w:vAlign w:val="bottom"/>
          </w:tcPr>
          <w:p>
            <w:pPr>
              <w:spacing w:after="0"/>
              <w:rPr>
                <w:sz w:val="1"/>
                <w:szCs w:val="1"/>
                <w:color w:val="auto"/>
              </w:rPr>
            </w:pPr>
          </w:p>
        </w:tc>
      </w:tr>
      <w:tr>
        <w:trPr>
          <w:trHeight w:val="359"/>
        </w:trPr>
        <w:tc>
          <w:tcPr>
            <w:tcW w:w="4100" w:type="dxa"/>
            <w:vAlign w:val="bottom"/>
            <w:gridSpan w:val="2"/>
          </w:tcPr>
          <w:p>
            <w:pPr>
              <w:ind w:left="320"/>
              <w:spacing w:after="0"/>
              <w:rPr>
                <w:sz w:val="20"/>
                <w:szCs w:val="20"/>
                <w:color w:val="auto"/>
              </w:rPr>
            </w:pPr>
            <w:r>
              <w:rPr>
                <w:rFonts w:ascii="Arial" w:cs="Arial" w:eastAsia="Arial" w:hAnsi="Arial"/>
                <w:sz w:val="15"/>
                <w:szCs w:val="15"/>
                <w:b w:val="1"/>
                <w:bCs w:val="1"/>
                <w:color w:val="auto"/>
              </w:rPr>
              <w:t>Beverage, food and tobacco</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($61,542</w:t>
            </w:r>
          </w:p>
        </w:tc>
        <w:tc>
          <w:tcPr>
            <w:tcW w:w="0" w:type="dxa"/>
            <w:vAlign w:val="bottom"/>
          </w:tcPr>
          <w:p>
            <w:pPr>
              <w:spacing w:after="0"/>
              <w:rPr>
                <w:sz w:val="1"/>
                <w:szCs w:val="1"/>
                <w:color w:val="auto"/>
              </w:rPr>
            </w:pPr>
          </w:p>
        </w:tc>
      </w:tr>
      <w:tr>
        <w:trPr>
          <w:trHeight w:val="19"/>
        </w:trPr>
        <w:tc>
          <w:tcPr>
            <w:tcW w:w="4100" w:type="dxa"/>
            <w:vAlign w:val="bottom"/>
            <w:gridSpan w:val="2"/>
          </w:tcPr>
          <w:p>
            <w:pPr>
              <w:spacing w:after="0" w:line="19" w:lineRule="exact"/>
              <w:rPr>
                <w:sz w:val="20"/>
                <w:szCs w:val="20"/>
                <w:color w:val="auto"/>
              </w:rPr>
            </w:pPr>
            <w:r>
              <w:rPr>
                <w:rFonts w:ascii="Arial" w:cs="Arial" w:eastAsia="Arial" w:hAnsi="Arial"/>
                <w:sz w:val="2"/>
                <w:szCs w:val="2"/>
                <w:color w:val="auto"/>
              </w:rPr>
              <w:t>AFS Technologies, Inc.</w:t>
            </w: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jc w:val="right"/>
              <w:ind w:right="234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3/2020)</w:t>
            </w:r>
          </w:p>
        </w:tc>
        <w:tc>
          <w:tcPr>
            <w:tcW w:w="0" w:type="dxa"/>
            <w:vAlign w:val="bottom"/>
          </w:tcPr>
          <w:p>
            <w:pPr>
              <w:spacing w:after="0"/>
              <w:rPr>
                <w:sz w:val="1"/>
                <w:szCs w:val="1"/>
                <w:color w:val="auto"/>
              </w:rPr>
            </w:pPr>
          </w:p>
        </w:tc>
      </w:tr>
      <w:tr>
        <w:trPr>
          <w:trHeight w:val="174"/>
        </w:trPr>
        <w:tc>
          <w:tcPr>
            <w:tcW w:w="41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Business services</w:t>
            </w: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10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Actian Corporation</w:t>
            </w:r>
            <w:r>
              <w:rPr>
                <w:rFonts w:ascii="Arial" w:cs="Arial" w:eastAsia="Arial" w:hAnsi="Arial"/>
                <w:sz w:val="13"/>
                <w:szCs w:val="13"/>
                <w:color w:val="auto"/>
              </w:rPr>
              <w:t>(3)(5)</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($54,982</w:t>
            </w:r>
          </w:p>
        </w:tc>
        <w:tc>
          <w:tcPr>
            <w:tcW w:w="0" w:type="dxa"/>
            <w:vAlign w:val="bottom"/>
          </w:tcPr>
          <w:p>
            <w:pPr>
              <w:spacing w:after="0"/>
              <w:rPr>
                <w:sz w:val="1"/>
                <w:szCs w:val="1"/>
                <w:color w:val="auto"/>
              </w:rPr>
            </w:pPr>
          </w:p>
        </w:tc>
      </w:tr>
      <w:tr>
        <w:trPr>
          <w:trHeight w:val="176"/>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Bullhorn, Inc.</w:t>
            </w:r>
          </w:p>
        </w:tc>
        <w:tc>
          <w:tcPr>
            <w:tcW w:w="2280" w:type="dxa"/>
            <w:vAlign w:val="bottom"/>
          </w:tcPr>
          <w:p>
            <w:pPr>
              <w:spacing w:after="0"/>
              <w:rPr>
                <w:sz w:val="20"/>
                <w:szCs w:val="20"/>
                <w:color w:val="auto"/>
              </w:rPr>
            </w:pPr>
            <w:r>
              <w:rPr>
                <w:rFonts w:ascii="Arial" w:cs="Arial" w:eastAsia="Arial" w:hAnsi="Arial"/>
                <w:sz w:val="15"/>
                <w:szCs w:val="15"/>
                <w:color w:val="auto"/>
              </w:rPr>
              <w:t>par, due 4/2018)</w:t>
            </w:r>
          </w:p>
        </w:tc>
        <w:tc>
          <w:tcPr>
            <w:tcW w:w="0" w:type="dxa"/>
            <w:vAlign w:val="bottom"/>
          </w:tcPr>
          <w:p>
            <w:pPr>
              <w:spacing w:after="0"/>
              <w:rPr>
                <w:sz w:val="1"/>
                <w:szCs w:val="1"/>
                <w:color w:val="auto"/>
              </w:rPr>
            </w:pPr>
          </w:p>
        </w:tc>
      </w:tr>
      <w:tr>
        <w:trPr>
          <w:trHeight w:val="19"/>
        </w:trPr>
        <w:tc>
          <w:tcPr>
            <w:tcW w:w="4100" w:type="dxa"/>
            <w:vAlign w:val="bottom"/>
            <w:gridSpan w:val="2"/>
            <w:vMerge w:val="continue"/>
          </w:tcPr>
          <w:p>
            <w:pPr>
              <w:spacing w:after="0" w:line="20" w:lineRule="exact"/>
              <w:rPr>
                <w:sz w:val="1"/>
                <w:szCs w:val="1"/>
                <w:color w:val="auto"/>
              </w:rPr>
            </w:pPr>
          </w:p>
        </w:tc>
        <w:tc>
          <w:tcPr>
            <w:tcW w:w="2280" w:type="dxa"/>
            <w:vAlign w:val="bottom"/>
          </w:tcPr>
          <w:p>
            <w:pPr>
              <w:spacing w:after="0" w:line="19" w:lineRule="exact"/>
              <w:rPr>
                <w:sz w:val="20"/>
                <w:szCs w:val="20"/>
                <w:color w:val="auto"/>
              </w:rPr>
            </w:pPr>
            <w:r>
              <w:rPr>
                <w:rFonts w:ascii="Arial" w:cs="Arial" w:eastAsia="Arial" w:hAnsi="Arial"/>
                <w:sz w:val="2"/>
                <w:szCs w:val="2"/>
                <w:color w:val="auto"/>
              </w:rPr>
              <w:t>First-lien loan ($45,000</w:t>
            </w: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86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11/2020)</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Clarabridge, Inc.</w:t>
            </w:r>
            <w:r>
              <w:rPr>
                <w:rFonts w:ascii="Arial" w:cs="Arial" w:eastAsia="Arial" w:hAnsi="Arial"/>
                <w:sz w:val="13"/>
                <w:szCs w:val="13"/>
                <w:color w:val="auto"/>
              </w:rPr>
              <w:t>(3)</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($19,719</w:t>
            </w:r>
          </w:p>
        </w:tc>
        <w:tc>
          <w:tcPr>
            <w:tcW w:w="0" w:type="dxa"/>
            <w:vAlign w:val="bottom"/>
          </w:tcPr>
          <w:p>
            <w:pPr>
              <w:spacing w:after="0"/>
              <w:rPr>
                <w:sz w:val="1"/>
                <w:szCs w:val="1"/>
                <w:color w:val="auto"/>
              </w:rPr>
            </w:pPr>
          </w:p>
        </w:tc>
      </w:tr>
      <w:tr>
        <w:trPr>
          <w:trHeight w:val="176"/>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Idera, Inc.</w:t>
            </w:r>
          </w:p>
        </w:tc>
        <w:tc>
          <w:tcPr>
            <w:tcW w:w="2280" w:type="dxa"/>
            <w:vAlign w:val="bottom"/>
          </w:tcPr>
          <w:p>
            <w:pPr>
              <w:spacing w:after="0"/>
              <w:rPr>
                <w:sz w:val="20"/>
                <w:szCs w:val="20"/>
                <w:color w:val="auto"/>
              </w:rPr>
            </w:pPr>
            <w:r>
              <w:rPr>
                <w:rFonts w:ascii="Arial" w:cs="Arial" w:eastAsia="Arial" w:hAnsi="Arial"/>
                <w:sz w:val="15"/>
                <w:szCs w:val="15"/>
                <w:color w:val="auto"/>
              </w:rPr>
              <w:t>par, due 4/2019)</w:t>
            </w:r>
          </w:p>
        </w:tc>
        <w:tc>
          <w:tcPr>
            <w:tcW w:w="0" w:type="dxa"/>
            <w:vAlign w:val="bottom"/>
          </w:tcPr>
          <w:p>
            <w:pPr>
              <w:spacing w:after="0"/>
              <w:rPr>
                <w:sz w:val="1"/>
                <w:szCs w:val="1"/>
                <w:color w:val="auto"/>
              </w:rPr>
            </w:pPr>
          </w:p>
        </w:tc>
      </w:tr>
      <w:tr>
        <w:trPr>
          <w:trHeight w:val="19"/>
        </w:trPr>
        <w:tc>
          <w:tcPr>
            <w:tcW w:w="4100" w:type="dxa"/>
            <w:vAlign w:val="bottom"/>
            <w:gridSpan w:val="2"/>
            <w:vMerge w:val="continue"/>
          </w:tcPr>
          <w:p>
            <w:pPr>
              <w:spacing w:after="0" w:line="20" w:lineRule="exact"/>
              <w:rPr>
                <w:sz w:val="1"/>
                <w:szCs w:val="1"/>
                <w:color w:val="auto"/>
              </w:rPr>
            </w:pPr>
          </w:p>
        </w:tc>
        <w:tc>
          <w:tcPr>
            <w:tcW w:w="2280" w:type="dxa"/>
            <w:vAlign w:val="bottom"/>
          </w:tcPr>
          <w:p>
            <w:pPr>
              <w:spacing w:after="0" w:line="19" w:lineRule="exact"/>
              <w:rPr>
                <w:sz w:val="20"/>
                <w:szCs w:val="20"/>
                <w:color w:val="auto"/>
              </w:rPr>
            </w:pPr>
            <w:r>
              <w:rPr>
                <w:rFonts w:ascii="Arial" w:cs="Arial" w:eastAsia="Arial" w:hAnsi="Arial"/>
                <w:sz w:val="2"/>
                <w:szCs w:val="2"/>
                <w:color w:val="auto"/>
              </w:rPr>
              <w:t>First-lien loan ($61,875</w:t>
            </w: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64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4/2021)</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Leaf US Holdings, Inc.</w:t>
            </w:r>
            <w:r>
              <w:rPr>
                <w:rFonts w:ascii="Arial" w:cs="Arial" w:eastAsia="Arial" w:hAnsi="Arial"/>
                <w:sz w:val="13"/>
                <w:szCs w:val="13"/>
                <w:color w:val="auto"/>
              </w:rPr>
              <w:t>(3)(4)</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($27,090</w:t>
            </w:r>
          </w:p>
        </w:tc>
        <w:tc>
          <w:tcPr>
            <w:tcW w:w="0" w:type="dxa"/>
            <w:vAlign w:val="bottom"/>
          </w:tcPr>
          <w:p>
            <w:pPr>
              <w:spacing w:after="0"/>
              <w:rPr>
                <w:sz w:val="1"/>
                <w:szCs w:val="1"/>
                <w:color w:val="auto"/>
              </w:rPr>
            </w:pPr>
          </w:p>
        </w:tc>
      </w:tr>
      <w:tr>
        <w:trPr>
          <w:trHeight w:val="176"/>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Marketo, Inc.</w:t>
            </w:r>
          </w:p>
        </w:tc>
        <w:tc>
          <w:tcPr>
            <w:tcW w:w="2280" w:type="dxa"/>
            <w:vAlign w:val="bottom"/>
          </w:tcPr>
          <w:p>
            <w:pPr>
              <w:spacing w:after="0"/>
              <w:rPr>
                <w:sz w:val="20"/>
                <w:szCs w:val="20"/>
                <w:color w:val="auto"/>
              </w:rPr>
            </w:pPr>
            <w:r>
              <w:rPr>
                <w:rFonts w:ascii="Arial" w:cs="Arial" w:eastAsia="Arial" w:hAnsi="Arial"/>
                <w:sz w:val="15"/>
                <w:szCs w:val="15"/>
                <w:color w:val="auto"/>
              </w:rPr>
              <w:t>par, due 6/2019)</w:t>
            </w:r>
          </w:p>
        </w:tc>
        <w:tc>
          <w:tcPr>
            <w:tcW w:w="0" w:type="dxa"/>
            <w:vAlign w:val="bottom"/>
          </w:tcPr>
          <w:p>
            <w:pPr>
              <w:spacing w:after="0"/>
              <w:rPr>
                <w:sz w:val="1"/>
                <w:szCs w:val="1"/>
                <w:color w:val="auto"/>
              </w:rPr>
            </w:pPr>
          </w:p>
        </w:tc>
      </w:tr>
      <w:tr>
        <w:trPr>
          <w:trHeight w:val="19"/>
        </w:trPr>
        <w:tc>
          <w:tcPr>
            <w:tcW w:w="4100" w:type="dxa"/>
            <w:vAlign w:val="bottom"/>
            <w:gridSpan w:val="2"/>
            <w:vMerge w:val="continue"/>
          </w:tcPr>
          <w:p>
            <w:pPr>
              <w:spacing w:after="0" w:line="20" w:lineRule="exact"/>
              <w:rPr>
                <w:sz w:val="1"/>
                <w:szCs w:val="1"/>
                <w:color w:val="auto"/>
              </w:rPr>
            </w:pPr>
          </w:p>
        </w:tc>
        <w:tc>
          <w:tcPr>
            <w:tcW w:w="2280" w:type="dxa"/>
            <w:vAlign w:val="bottom"/>
          </w:tcPr>
          <w:p>
            <w:pPr>
              <w:spacing w:after="0" w:line="19" w:lineRule="exact"/>
              <w:rPr>
                <w:sz w:val="20"/>
                <w:szCs w:val="20"/>
                <w:color w:val="auto"/>
              </w:rPr>
            </w:pPr>
            <w:r>
              <w:rPr>
                <w:rFonts w:ascii="Arial" w:cs="Arial" w:eastAsia="Arial" w:hAnsi="Arial"/>
                <w:sz w:val="2"/>
                <w:szCs w:val="2"/>
                <w:color w:val="auto"/>
              </w:rPr>
              <w:t>First-lien loan ($28,125</w:t>
            </w: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84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8/2021)</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Motus, LLC</w:t>
            </w:r>
            <w:r>
              <w:rPr>
                <w:rFonts w:ascii="Arial" w:cs="Arial" w:eastAsia="Arial" w:hAnsi="Arial"/>
                <w:sz w:val="13"/>
                <w:szCs w:val="13"/>
                <w:color w:val="auto"/>
              </w:rPr>
              <w:t>(3)</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($20,157</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par, due 7/2021)</w:t>
            </w:r>
          </w:p>
        </w:tc>
        <w:tc>
          <w:tcPr>
            <w:tcW w:w="0" w:type="dxa"/>
            <w:vAlign w:val="bottom"/>
          </w:tcPr>
          <w:p>
            <w:pPr>
              <w:spacing w:after="0"/>
              <w:rPr>
                <w:sz w:val="1"/>
                <w:szCs w:val="1"/>
                <w:color w:val="auto"/>
              </w:rPr>
            </w:pPr>
          </w:p>
        </w:tc>
      </w:tr>
      <w:tr>
        <w:trPr>
          <w:trHeight w:val="305"/>
        </w:trPr>
        <w:tc>
          <w:tcPr>
            <w:tcW w:w="4100" w:type="dxa"/>
            <w:vAlign w:val="bottom"/>
            <w:gridSpan w:val="2"/>
          </w:tcPr>
          <w:p>
            <w:pPr>
              <w:spacing w:after="0"/>
              <w:rPr>
                <w:sz w:val="20"/>
                <w:szCs w:val="20"/>
                <w:color w:val="auto"/>
              </w:rPr>
            </w:pPr>
            <w:r>
              <w:rPr>
                <w:rFonts w:ascii="Arial" w:cs="Arial" w:eastAsia="Arial" w:hAnsi="Arial"/>
                <w:sz w:val="15"/>
                <w:szCs w:val="15"/>
                <w:color w:val="auto"/>
              </w:rPr>
              <w:t>Qlik Technologies, Inc.</w:t>
            </w:r>
            <w:r>
              <w:rPr>
                <w:rFonts w:ascii="Arial" w:cs="Arial" w:eastAsia="Arial" w:hAnsi="Arial"/>
                <w:sz w:val="13"/>
                <w:szCs w:val="13"/>
                <w:color w:val="auto"/>
              </w:rPr>
              <w:t>(3)</w:t>
            </w:r>
          </w:p>
        </w:tc>
        <w:tc>
          <w:tcPr>
            <w:tcW w:w="2280" w:type="dxa"/>
            <w:vAlign w:val="bottom"/>
          </w:tcPr>
          <w:p>
            <w:pPr>
              <w:spacing w:after="0"/>
              <w:rPr>
                <w:sz w:val="20"/>
                <w:szCs w:val="20"/>
                <w:color w:val="auto"/>
              </w:rPr>
            </w:pPr>
            <w:r>
              <w:rPr>
                <w:rFonts w:ascii="Arial" w:cs="Arial" w:eastAsia="Arial" w:hAnsi="Arial"/>
                <w:sz w:val="15"/>
                <w:szCs w:val="15"/>
                <w:color w:val="auto"/>
              </w:rPr>
              <w:t>First-lien loan ($40,399</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par, due 8/2022)</w:t>
            </w: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SailPoint Technologies,</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($27,500</w:t>
            </w:r>
          </w:p>
        </w:tc>
        <w:tc>
          <w:tcPr>
            <w:tcW w:w="0" w:type="dxa"/>
            <w:vAlign w:val="bottom"/>
          </w:tcPr>
          <w:p>
            <w:pPr>
              <w:spacing w:after="0"/>
              <w:rPr>
                <w:sz w:val="1"/>
                <w:szCs w:val="1"/>
                <w:color w:val="auto"/>
              </w:rPr>
            </w:pPr>
          </w:p>
        </w:tc>
      </w:tr>
      <w:tr>
        <w:trPr>
          <w:trHeight w:val="19"/>
        </w:trPr>
        <w:tc>
          <w:tcPr>
            <w:tcW w:w="4100" w:type="dxa"/>
            <w:vAlign w:val="bottom"/>
            <w:gridSpan w:val="2"/>
          </w:tcPr>
          <w:p>
            <w:pPr>
              <w:ind w:left="160"/>
              <w:spacing w:after="0" w:line="19" w:lineRule="exact"/>
              <w:rPr>
                <w:sz w:val="20"/>
                <w:szCs w:val="20"/>
                <w:color w:val="auto"/>
              </w:rPr>
            </w:pPr>
            <w:r>
              <w:rPr>
                <w:rFonts w:ascii="Arial" w:cs="Arial" w:eastAsia="Arial" w:hAnsi="Arial"/>
                <w:sz w:val="2"/>
                <w:szCs w:val="2"/>
                <w:color w:val="auto"/>
              </w:rPr>
              <w:t>Inc.</w:t>
            </w:r>
          </w:p>
        </w:tc>
        <w:tc>
          <w:tcPr>
            <w:tcW w:w="2280" w:type="dxa"/>
            <w:vAlign w:val="bottom"/>
          </w:tcPr>
          <w:p>
            <w:pPr>
              <w:spacing w:after="0" w:line="19" w:lineRule="exact"/>
              <w:rPr>
                <w:sz w:val="20"/>
                <w:szCs w:val="20"/>
                <w:color w:val="auto"/>
              </w:rPr>
            </w:pPr>
            <w:r>
              <w:rPr>
                <w:rFonts w:ascii="Arial" w:cs="Arial" w:eastAsia="Arial" w:hAnsi="Arial"/>
                <w:sz w:val="2"/>
                <w:szCs w:val="2"/>
                <w:color w:val="auto"/>
              </w:rPr>
              <w:t>par, due 8/2021)</w:t>
            </w:r>
          </w:p>
        </w:tc>
        <w:tc>
          <w:tcPr>
            <w:tcW w:w="0" w:type="dxa"/>
            <w:vAlign w:val="bottom"/>
          </w:tcPr>
          <w:p>
            <w:pPr>
              <w:spacing w:after="0" w:line="20" w:lineRule="exact"/>
              <w:rPr>
                <w:sz w:val="1"/>
                <w:szCs w:val="1"/>
                <w:color w:val="auto"/>
              </w:rPr>
            </w:pPr>
          </w:p>
        </w:tc>
      </w:tr>
      <w:tr>
        <w:trPr>
          <w:trHeight w:val="157"/>
        </w:trPr>
        <w:tc>
          <w:tcPr>
            <w:tcW w:w="620" w:type="dxa"/>
            <w:vAlign w:val="bottom"/>
          </w:tcPr>
          <w:p>
            <w:pPr>
              <w:ind w:left="400"/>
              <w:spacing w:after="0"/>
              <w:rPr>
                <w:sz w:val="20"/>
                <w:szCs w:val="20"/>
                <w:color w:val="auto"/>
              </w:rPr>
            </w:pPr>
            <w:r>
              <w:rPr>
                <w:rFonts w:ascii="Arial" w:cs="Arial" w:eastAsia="Arial" w:hAnsi="Arial"/>
                <w:sz w:val="13"/>
                <w:szCs w:val="13"/>
                <w:color w:val="auto"/>
              </w:rPr>
              <w:t>(3)</w:t>
            </w:r>
          </w:p>
        </w:tc>
        <w:tc>
          <w:tcPr>
            <w:tcW w:w="34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ScentAir Technologies,</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($19,986</w:t>
            </w:r>
          </w:p>
        </w:tc>
        <w:tc>
          <w:tcPr>
            <w:tcW w:w="0" w:type="dxa"/>
            <w:vAlign w:val="bottom"/>
          </w:tcPr>
          <w:p>
            <w:pPr>
              <w:spacing w:after="0"/>
              <w:rPr>
                <w:sz w:val="1"/>
                <w:szCs w:val="1"/>
                <w:color w:val="auto"/>
              </w:rPr>
            </w:pPr>
          </w:p>
        </w:tc>
      </w:tr>
      <w:tr>
        <w:trPr>
          <w:trHeight w:val="19"/>
        </w:trPr>
        <w:tc>
          <w:tcPr>
            <w:tcW w:w="4100" w:type="dxa"/>
            <w:vAlign w:val="bottom"/>
            <w:gridSpan w:val="2"/>
          </w:tcPr>
          <w:p>
            <w:pPr>
              <w:ind w:left="160"/>
              <w:spacing w:after="0" w:line="19" w:lineRule="exact"/>
              <w:rPr>
                <w:sz w:val="20"/>
                <w:szCs w:val="20"/>
                <w:color w:val="auto"/>
              </w:rPr>
            </w:pPr>
            <w:r>
              <w:rPr>
                <w:rFonts w:ascii="Arial" w:cs="Arial" w:eastAsia="Arial" w:hAnsi="Arial"/>
                <w:sz w:val="2"/>
                <w:szCs w:val="2"/>
                <w:color w:val="auto"/>
              </w:rPr>
              <w:t>Inc.</w:t>
            </w:r>
          </w:p>
        </w:tc>
        <w:tc>
          <w:tcPr>
            <w:tcW w:w="2280" w:type="dxa"/>
            <w:vAlign w:val="bottom"/>
          </w:tcPr>
          <w:p>
            <w:pPr>
              <w:spacing w:after="0" w:line="19" w:lineRule="exact"/>
              <w:rPr>
                <w:sz w:val="20"/>
                <w:szCs w:val="20"/>
                <w:color w:val="auto"/>
              </w:rPr>
            </w:pPr>
            <w:r>
              <w:rPr>
                <w:rFonts w:ascii="Arial" w:cs="Arial" w:eastAsia="Arial" w:hAnsi="Arial"/>
                <w:sz w:val="2"/>
                <w:szCs w:val="2"/>
                <w:color w:val="auto"/>
              </w:rPr>
              <w:t>par, due 12/2019)</w:t>
            </w:r>
          </w:p>
        </w:tc>
        <w:tc>
          <w:tcPr>
            <w:tcW w:w="0" w:type="dxa"/>
            <w:vAlign w:val="bottom"/>
          </w:tcPr>
          <w:p>
            <w:pPr>
              <w:spacing w:after="0" w:line="20" w:lineRule="exact"/>
              <w:rPr>
                <w:sz w:val="1"/>
                <w:szCs w:val="1"/>
                <w:color w:val="auto"/>
              </w:rPr>
            </w:pPr>
          </w:p>
        </w:tc>
      </w:tr>
      <w:tr>
        <w:trPr>
          <w:trHeight w:val="157"/>
        </w:trPr>
        <w:tc>
          <w:tcPr>
            <w:tcW w:w="620" w:type="dxa"/>
            <w:vAlign w:val="bottom"/>
          </w:tcPr>
          <w:p>
            <w:pPr>
              <w:ind w:left="400"/>
              <w:spacing w:after="0"/>
              <w:rPr>
                <w:sz w:val="20"/>
                <w:szCs w:val="20"/>
                <w:color w:val="auto"/>
              </w:rPr>
            </w:pPr>
            <w:r>
              <w:rPr>
                <w:rFonts w:ascii="Arial" w:cs="Arial" w:eastAsia="Arial" w:hAnsi="Arial"/>
                <w:sz w:val="13"/>
                <w:szCs w:val="13"/>
                <w:color w:val="auto"/>
              </w:rPr>
              <w:t>(3)</w:t>
            </w:r>
          </w:p>
        </w:tc>
        <w:tc>
          <w:tcPr>
            <w:tcW w:w="3480" w:type="dxa"/>
            <w:vAlign w:val="bottom"/>
          </w:tcPr>
          <w:p>
            <w:pPr>
              <w:spacing w:after="0"/>
              <w:rPr>
                <w:sz w:val="13"/>
                <w:szCs w:val="13"/>
                <w:color w:val="auto"/>
              </w:rPr>
            </w:pP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($29,177</w:t>
            </w:r>
          </w:p>
        </w:tc>
        <w:tc>
          <w:tcPr>
            <w:tcW w:w="0" w:type="dxa"/>
            <w:vAlign w:val="bottom"/>
          </w:tcPr>
          <w:p>
            <w:pPr>
              <w:spacing w:after="0"/>
              <w:rPr>
                <w:sz w:val="1"/>
                <w:szCs w:val="1"/>
                <w:color w:val="auto"/>
              </w:rPr>
            </w:pPr>
          </w:p>
        </w:tc>
      </w:tr>
      <w:tr>
        <w:trPr>
          <w:trHeight w:val="19"/>
        </w:trPr>
        <w:tc>
          <w:tcPr>
            <w:tcW w:w="4100" w:type="dxa"/>
            <w:vAlign w:val="bottom"/>
            <w:gridSpan w:val="2"/>
          </w:tcPr>
          <w:p>
            <w:pPr>
              <w:spacing w:after="0" w:line="19" w:lineRule="exact"/>
              <w:rPr>
                <w:sz w:val="20"/>
                <w:szCs w:val="20"/>
                <w:color w:val="auto"/>
              </w:rPr>
            </w:pPr>
            <w:r>
              <w:rPr>
                <w:rFonts w:ascii="Arial" w:cs="Arial" w:eastAsia="Arial" w:hAnsi="Arial"/>
                <w:sz w:val="2"/>
                <w:szCs w:val="2"/>
                <w:color w:val="auto"/>
              </w:rPr>
              <w:t>Sovos Compliance, LLC</w:t>
            </w: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jc w:val="right"/>
              <w:ind w:right="242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3/2022)</w:t>
            </w:r>
          </w:p>
        </w:tc>
        <w:tc>
          <w:tcPr>
            <w:tcW w:w="0" w:type="dxa"/>
            <w:vAlign w:val="bottom"/>
          </w:tcPr>
          <w:p>
            <w:pPr>
              <w:spacing w:after="0"/>
              <w:rPr>
                <w:sz w:val="1"/>
                <w:szCs w:val="1"/>
                <w:color w:val="auto"/>
              </w:rPr>
            </w:pPr>
          </w:p>
        </w:tc>
      </w:tr>
      <w:tr>
        <w:trPr>
          <w:trHeight w:val="155"/>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Tibco Software</w:t>
            </w: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
        </w:trPr>
        <w:tc>
          <w:tcPr>
            <w:tcW w:w="4100" w:type="dxa"/>
            <w:vAlign w:val="bottom"/>
            <w:gridSpan w:val="2"/>
            <w:vMerge w:val="continue"/>
          </w:tcPr>
          <w:p>
            <w:pPr>
              <w:spacing w:after="0" w:line="20" w:lineRule="exact"/>
              <w:rPr>
                <w:sz w:val="1"/>
                <w:szCs w:val="1"/>
                <w:color w:val="auto"/>
              </w:rPr>
            </w:pPr>
          </w:p>
        </w:tc>
        <w:tc>
          <w:tcPr>
            <w:tcW w:w="2280" w:type="dxa"/>
            <w:vAlign w:val="bottom"/>
          </w:tcPr>
          <w:p>
            <w:pPr>
              <w:spacing w:after="0" w:line="19" w:lineRule="exact"/>
              <w:rPr>
                <w:sz w:val="20"/>
                <w:szCs w:val="20"/>
                <w:color w:val="auto"/>
              </w:rPr>
            </w:pPr>
            <w:r>
              <w:rPr>
                <w:rFonts w:ascii="Arial" w:cs="Arial" w:eastAsia="Arial" w:hAnsi="Arial"/>
                <w:sz w:val="2"/>
                <w:szCs w:val="2"/>
                <w:color w:val="auto"/>
              </w:rPr>
              <w:t>First-lien loan ($247</w:t>
            </w: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94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12/2020)</w:t>
            </w:r>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4100" w:type="dxa"/>
            <w:vAlign w:val="bottom"/>
            <w:gridSpan w:val="2"/>
          </w:tcPr>
          <w:p>
            <w:pPr>
              <w:ind w:left="320"/>
              <w:spacing w:after="0"/>
              <w:rPr>
                <w:sz w:val="20"/>
                <w:szCs w:val="20"/>
                <w:color w:val="auto"/>
              </w:rPr>
            </w:pPr>
            <w:r>
              <w:rPr>
                <w:rFonts w:ascii="Arial" w:cs="Arial" w:eastAsia="Arial" w:hAnsi="Arial"/>
                <w:sz w:val="15"/>
                <w:szCs w:val="15"/>
                <w:b w:val="1"/>
                <w:bCs w:val="1"/>
                <w:color w:val="auto"/>
              </w:rPr>
              <w:t>Chemicals</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($4,967 par,</w:t>
            </w:r>
          </w:p>
        </w:tc>
        <w:tc>
          <w:tcPr>
            <w:tcW w:w="0" w:type="dxa"/>
            <w:vAlign w:val="bottom"/>
          </w:tcPr>
          <w:p>
            <w:pPr>
              <w:spacing w:after="0"/>
              <w:rPr>
                <w:sz w:val="1"/>
                <w:szCs w:val="1"/>
                <w:color w:val="auto"/>
              </w:rPr>
            </w:pPr>
          </w:p>
        </w:tc>
      </w:tr>
      <w:tr>
        <w:trPr>
          <w:trHeight w:val="126"/>
        </w:trPr>
        <w:tc>
          <w:tcPr>
            <w:tcW w:w="4100" w:type="dxa"/>
            <w:vAlign w:val="bottom"/>
            <w:gridSpan w:val="2"/>
          </w:tcPr>
          <w:p>
            <w:pPr>
              <w:ind w:left="1560"/>
              <w:spacing w:after="0" w:line="126" w:lineRule="exact"/>
              <w:rPr>
                <w:sz w:val="20"/>
                <w:szCs w:val="20"/>
                <w:color w:val="auto"/>
              </w:rPr>
            </w:pPr>
            <w:r>
              <w:rPr>
                <w:rFonts w:ascii="Arial" w:cs="Arial" w:eastAsia="Arial" w:hAnsi="Arial"/>
                <w:sz w:val="13"/>
                <w:szCs w:val="13"/>
                <w:color w:val="auto"/>
              </w:rPr>
              <w:t>(3)</w:t>
            </w: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100" w:type="dxa"/>
            <w:vAlign w:val="bottom"/>
            <w:gridSpan w:val="2"/>
          </w:tcPr>
          <w:p>
            <w:pPr>
              <w:spacing w:after="0" w:line="28" w:lineRule="exact"/>
              <w:rPr>
                <w:sz w:val="20"/>
                <w:szCs w:val="20"/>
                <w:color w:val="auto"/>
              </w:rPr>
            </w:pPr>
            <w:r>
              <w:rPr>
                <w:rFonts w:ascii="Arial" w:cs="Arial" w:eastAsia="Arial" w:hAnsi="Arial"/>
                <w:sz w:val="3"/>
                <w:szCs w:val="3"/>
                <w:color w:val="auto"/>
              </w:rPr>
              <w:t>Vertellus Specialties, Inc.</w:t>
            </w: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due 4/2018)</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Second-lien loan ($3,341 par,</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due 10/2021)</w:t>
            </w:r>
          </w:p>
        </w:tc>
        <w:tc>
          <w:tcPr>
            <w:tcW w:w="0" w:type="dxa"/>
            <w:vAlign w:val="bottom"/>
          </w:tcPr>
          <w:p>
            <w:pPr>
              <w:spacing w:after="0"/>
              <w:rPr>
                <w:sz w:val="1"/>
                <w:szCs w:val="1"/>
                <w:color w:val="auto"/>
              </w:rPr>
            </w:pPr>
          </w:p>
        </w:tc>
      </w:tr>
      <w:tr>
        <w:trPr>
          <w:trHeight w:val="346"/>
        </w:trPr>
        <w:tc>
          <w:tcPr>
            <w:tcW w:w="4100" w:type="dxa"/>
            <w:vAlign w:val="bottom"/>
            <w:gridSpan w:val="2"/>
          </w:tcPr>
          <w:p>
            <w:pPr>
              <w:ind w:left="320"/>
              <w:spacing w:after="0"/>
              <w:rPr>
                <w:sz w:val="20"/>
                <w:szCs w:val="20"/>
                <w:color w:val="auto"/>
              </w:rPr>
            </w:pPr>
            <w:r>
              <w:rPr>
                <w:rFonts w:ascii="Arial" w:cs="Arial" w:eastAsia="Arial" w:hAnsi="Arial"/>
                <w:sz w:val="15"/>
                <w:szCs w:val="15"/>
                <w:b w:val="1"/>
                <w:bCs w:val="1"/>
                <w:color w:val="auto"/>
              </w:rPr>
              <w:t>Education</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($45,000 par,</w:t>
            </w:r>
          </w:p>
        </w:tc>
        <w:tc>
          <w:tcPr>
            <w:tcW w:w="0" w:type="dxa"/>
            <w:vAlign w:val="bottom"/>
          </w:tcPr>
          <w:p>
            <w:pPr>
              <w:spacing w:after="0"/>
              <w:rPr>
                <w:sz w:val="1"/>
                <w:szCs w:val="1"/>
                <w:color w:val="auto"/>
              </w:rPr>
            </w:pPr>
          </w:p>
        </w:tc>
      </w:tr>
      <w:tr>
        <w:trPr>
          <w:trHeight w:val="19"/>
        </w:trPr>
        <w:tc>
          <w:tcPr>
            <w:tcW w:w="4100" w:type="dxa"/>
            <w:vAlign w:val="bottom"/>
            <w:gridSpan w:val="2"/>
          </w:tcPr>
          <w:p>
            <w:pPr>
              <w:spacing w:after="0" w:line="19" w:lineRule="exact"/>
              <w:rPr>
                <w:sz w:val="20"/>
                <w:szCs w:val="20"/>
                <w:color w:val="auto"/>
              </w:rPr>
            </w:pPr>
            <w:r>
              <w:rPr>
                <w:rFonts w:ascii="Arial" w:cs="Arial" w:eastAsia="Arial" w:hAnsi="Arial"/>
                <w:sz w:val="2"/>
                <w:szCs w:val="2"/>
                <w:color w:val="auto"/>
              </w:rPr>
              <w:t>Finalsite Holdings, Inc.</w:t>
            </w: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jc w:val="right"/>
              <w:ind w:right="236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due 8/2022)</w:t>
            </w:r>
          </w:p>
        </w:tc>
        <w:tc>
          <w:tcPr>
            <w:tcW w:w="0" w:type="dxa"/>
            <w:vAlign w:val="bottom"/>
          </w:tcPr>
          <w:p>
            <w:pPr>
              <w:spacing w:after="0"/>
              <w:rPr>
                <w:sz w:val="1"/>
                <w:szCs w:val="1"/>
                <w:color w:val="auto"/>
              </w:rPr>
            </w:pPr>
          </w:p>
        </w:tc>
      </w:tr>
      <w:tr>
        <w:trPr>
          <w:trHeight w:val="141"/>
        </w:trPr>
        <w:tc>
          <w:tcPr>
            <w:tcW w:w="4100" w:type="dxa"/>
            <w:vAlign w:val="bottom"/>
            <w:gridSpan w:val="2"/>
            <w:vMerge w:val="restart"/>
          </w:tcPr>
          <w:p>
            <w:pPr>
              <w:spacing w:after="0" w:line="160" w:lineRule="exact"/>
              <w:rPr>
                <w:sz w:val="20"/>
                <w:szCs w:val="20"/>
                <w:color w:val="auto"/>
              </w:rPr>
            </w:pPr>
            <w:r>
              <w:rPr>
                <w:rFonts w:ascii="Arial" w:cs="Arial" w:eastAsia="Arial" w:hAnsi="Arial"/>
                <w:sz w:val="15"/>
                <w:szCs w:val="15"/>
                <w:color w:val="auto"/>
              </w:rPr>
              <w:t>Frontline Technologies Group LLC</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
        </w:trPr>
        <w:tc>
          <w:tcPr>
            <w:tcW w:w="4100" w:type="dxa"/>
            <w:vAlign w:val="bottom"/>
            <w:gridSpan w:val="2"/>
            <w:vMerge w:val="continue"/>
          </w:tcPr>
          <w:p>
            <w:pPr>
              <w:spacing w:after="0" w:line="20" w:lineRule="exact"/>
              <w:rPr>
                <w:sz w:val="1"/>
                <w:szCs w:val="1"/>
                <w:color w:val="auto"/>
              </w:rPr>
            </w:pPr>
          </w:p>
        </w:tc>
        <w:tc>
          <w:tcPr>
            <w:tcW w:w="2280" w:type="dxa"/>
            <w:vAlign w:val="bottom"/>
          </w:tcPr>
          <w:p>
            <w:pPr>
              <w:spacing w:after="0" w:line="19" w:lineRule="exact"/>
              <w:rPr>
                <w:sz w:val="20"/>
                <w:szCs w:val="20"/>
                <w:color w:val="auto"/>
              </w:rPr>
            </w:pPr>
            <w:r>
              <w:rPr>
                <w:rFonts w:ascii="Arial" w:cs="Arial" w:eastAsia="Arial" w:hAnsi="Arial"/>
                <w:sz w:val="2"/>
                <w:szCs w:val="2"/>
                <w:color w:val="auto"/>
              </w:rPr>
              <w:t>First-lien loan ($54,725 par,</w:t>
            </w: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218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due 4/2021)</w:t>
            </w:r>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100" w:type="dxa"/>
            <w:vAlign w:val="bottom"/>
            <w:gridSpan w:val="2"/>
          </w:tcPr>
          <w:p>
            <w:pPr>
              <w:ind w:left="320"/>
              <w:spacing w:after="0"/>
              <w:rPr>
                <w:sz w:val="20"/>
                <w:szCs w:val="20"/>
                <w:color w:val="auto"/>
              </w:rPr>
            </w:pPr>
            <w:r>
              <w:rPr>
                <w:rFonts w:ascii="Arial" w:cs="Arial" w:eastAsia="Arial" w:hAnsi="Arial"/>
                <w:sz w:val="15"/>
                <w:szCs w:val="15"/>
                <w:b w:val="1"/>
                <w:bCs w:val="1"/>
                <w:color w:val="auto"/>
              </w:rPr>
              <w:t>Electronics</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($63,761 par,</w:t>
            </w:r>
          </w:p>
        </w:tc>
        <w:tc>
          <w:tcPr>
            <w:tcW w:w="0" w:type="dxa"/>
            <w:vAlign w:val="bottom"/>
          </w:tcPr>
          <w:p>
            <w:pPr>
              <w:spacing w:after="0"/>
              <w:rPr>
                <w:sz w:val="1"/>
                <w:szCs w:val="1"/>
                <w:color w:val="auto"/>
              </w:rPr>
            </w:pPr>
          </w:p>
        </w:tc>
      </w:tr>
      <w:tr>
        <w:trPr>
          <w:trHeight w:val="19"/>
        </w:trPr>
        <w:tc>
          <w:tcPr>
            <w:tcW w:w="4100" w:type="dxa"/>
            <w:vAlign w:val="bottom"/>
            <w:gridSpan w:val="2"/>
          </w:tcPr>
          <w:p>
            <w:pPr>
              <w:spacing w:after="0" w:line="19" w:lineRule="exact"/>
              <w:rPr>
                <w:sz w:val="20"/>
                <w:szCs w:val="20"/>
                <w:color w:val="auto"/>
              </w:rPr>
            </w:pPr>
            <w:r>
              <w:rPr>
                <w:rFonts w:ascii="Arial" w:cs="Arial" w:eastAsia="Arial" w:hAnsi="Arial"/>
                <w:sz w:val="2"/>
                <w:szCs w:val="2"/>
                <w:color w:val="auto"/>
              </w:rPr>
              <w:t>MyAlarm Center, LLC</w:t>
            </w: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142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due 1/2019)</w:t>
            </w:r>
          </w:p>
        </w:tc>
        <w:tc>
          <w:tcPr>
            <w:tcW w:w="0" w:type="dxa"/>
            <w:vAlign w:val="bottom"/>
          </w:tcPr>
          <w:p>
            <w:pPr>
              <w:spacing w:after="0"/>
              <w:rPr>
                <w:sz w:val="1"/>
                <w:szCs w:val="1"/>
                <w:color w:val="auto"/>
              </w:rPr>
            </w:pPr>
          </w:p>
        </w:tc>
      </w:tr>
      <w:tr>
        <w:trPr>
          <w:trHeight w:val="141"/>
        </w:trPr>
        <w:tc>
          <w:tcPr>
            <w:tcW w:w="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APX Group Inc.</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Senior notes 8.75% ($5,470 par,</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due 12/2020)</w:t>
            </w:r>
          </w:p>
        </w:tc>
        <w:tc>
          <w:tcPr>
            <w:tcW w:w="0" w:type="dxa"/>
            <w:vAlign w:val="bottom"/>
          </w:tcPr>
          <w:p>
            <w:pPr>
              <w:spacing w:after="0"/>
              <w:rPr>
                <w:sz w:val="1"/>
                <w:szCs w:val="1"/>
                <w:color w:val="auto"/>
              </w:rPr>
            </w:pPr>
          </w:p>
        </w:tc>
      </w:tr>
      <w:tr>
        <w:trPr>
          <w:trHeight w:val="562"/>
        </w:trPr>
        <w:tc>
          <w:tcPr>
            <w:tcW w:w="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80" w:type="dxa"/>
            <w:vAlign w:val="bottom"/>
          </w:tcPr>
          <w:p>
            <w:pPr>
              <w:ind w:left="148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-6191250</wp:posOffset>
            </wp:positionV>
            <wp:extent cx="7246620" cy="2057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-5770880</wp:posOffset>
            </wp:positionV>
            <wp:extent cx="7246620" cy="2146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-5419090</wp:posOffset>
            </wp:positionV>
            <wp:extent cx="7246620"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-5102225</wp:posOffset>
            </wp:positionV>
            <wp:extent cx="7246620" cy="1028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-4784725</wp:posOffset>
            </wp:positionV>
            <wp:extent cx="7246620"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-4356100</wp:posOffset>
            </wp:positionV>
            <wp:extent cx="7246620" cy="2146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-3926840</wp:posOffset>
            </wp:positionV>
            <wp:extent cx="7246620" cy="2146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-3395345</wp:posOffset>
            </wp:positionV>
            <wp:extent cx="7246620" cy="214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-2966720</wp:posOffset>
            </wp:positionV>
            <wp:extent cx="7246620" cy="2146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-2538095</wp:posOffset>
            </wp:positionV>
            <wp:extent cx="7246620" cy="2146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-2186305</wp:posOffset>
            </wp:positionV>
            <wp:extent cx="7246620" cy="1028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2057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246620" cy="1028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1028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246620"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Initial</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5"/>
        </w:trPr>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Fair</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Percentage</w:t>
            </w:r>
          </w:p>
        </w:tc>
      </w:tr>
      <w:tr>
        <w:trPr>
          <w:trHeight w:val="153"/>
        </w:trPr>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Interest</w:t>
            </w:r>
          </w:p>
        </w:tc>
        <w:tc>
          <w:tcPr>
            <w:tcW w:w="4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26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2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26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of Net Assets</w:t>
            </w:r>
          </w:p>
        </w:tc>
      </w:tr>
    </w:tbl>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94"/>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9.75%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8/28/2012</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29,136</w:t>
            </w:r>
          </w:p>
        </w:tc>
        <w:tc>
          <w:tcPr>
            <w:tcW w:w="2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  29,159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3.1%</w:t>
            </w:r>
          </w:p>
        </w:tc>
      </w:tr>
      <w:tr>
        <w:trPr>
          <w:trHeight w:val="319"/>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10.75%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8/28/2012</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1,401</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1,403</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0.1%</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30,537</w:t>
            </w:r>
          </w:p>
        </w:tc>
        <w:tc>
          <w:tcPr>
            <w:tcW w:w="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30,562</w:t>
            </w:r>
          </w:p>
        </w:tc>
        <w:tc>
          <w:tcPr>
            <w:tcW w:w="26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3.2%</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6"/>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8.75%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3/3/2014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60,698</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57,850</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6.1%</w:t>
            </w:r>
          </w:p>
        </w:tc>
      </w:tr>
      <w:tr>
        <w:trPr>
          <w:trHeight w:val="500"/>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7.50%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4/11/2013</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54,366</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56,219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5.9%</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8.50%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11/12/2015</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44,095</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45,225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4.7%</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9.00%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5/20/2015</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19,446</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19,774</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2.1%</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6.50%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10/9/2015</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56,817</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61,875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6.5%</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7.50%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6/30/2014</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26,752</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27,163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305"/>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10.50%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8/16/2016</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27,278</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27,750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162"/>
        </w:trPr>
        <w:tc>
          <w:tcPr>
            <w:tcW w:w="9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11.00%</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92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91"/>
              </w:rPr>
              <w:t>(incl. 3.00%</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8"/>
        </w:trPr>
        <w:tc>
          <w:tcPr>
            <w:tcW w:w="920" w:type="dxa"/>
            <w:vAlign w:val="bottom"/>
          </w:tcPr>
          <w:p>
            <w:pPr>
              <w:jc w:val="right"/>
              <w:ind w:right="223"/>
              <w:spacing w:after="0"/>
              <w:rPr>
                <w:sz w:val="20"/>
                <w:szCs w:val="20"/>
                <w:color w:val="auto"/>
              </w:rPr>
            </w:pPr>
            <w:r>
              <w:rPr>
                <w:rFonts w:ascii="Arial" w:cs="Arial" w:eastAsia="Arial" w:hAnsi="Arial"/>
                <w:sz w:val="15"/>
                <w:szCs w:val="15"/>
                <w:color w:val="auto"/>
              </w:rPr>
              <w:t>PIK)</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7/29/2016</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19,690</w:t>
            </w:r>
          </w:p>
        </w:tc>
        <w:tc>
          <w:tcPr>
            <w:tcW w:w="2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20,106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2.1%</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9.25%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8/22/2016</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39,691</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40,096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4.2%</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9.00%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8/16/2016</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26,973</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27,285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7.50%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12/30/2014</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19,717</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20,263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2.1%</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8.25%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7/1/2016</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28,621</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29,027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319"/>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6.50%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1/26/2016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218</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248</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0.0%</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363,664</w:t>
            </w:r>
          </w:p>
        </w:tc>
        <w:tc>
          <w:tcPr>
            <w:tcW w:w="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375,031</w:t>
            </w:r>
          </w:p>
        </w:tc>
        <w:tc>
          <w:tcPr>
            <w:tcW w:w="26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39.3%</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2"/>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10.00%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10/31/2016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4,937</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4,942</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0.5%</w:t>
            </w:r>
          </w:p>
        </w:tc>
      </w:tr>
      <w:tr>
        <w:trPr>
          <w:trHeight w:val="305"/>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13.00%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10/31/2016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3,341</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3,350</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0.4%</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8,278</w:t>
            </w:r>
          </w:p>
        </w:tc>
        <w:tc>
          <w:tcPr>
            <w:tcW w:w="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8,292</w:t>
            </w:r>
          </w:p>
        </w:tc>
        <w:tc>
          <w:tcPr>
            <w:tcW w:w="26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0.9%</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2"/>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8.00%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8/31/2016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43,830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44,325</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4.7%</w:t>
            </w:r>
          </w:p>
        </w:tc>
      </w:tr>
      <w:tr>
        <w:trPr>
          <w:trHeight w:val="305"/>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7.75%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4/1/2016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53,447</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54,862</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5.8%</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97,277</w:t>
            </w:r>
          </w:p>
        </w:tc>
        <w:tc>
          <w:tcPr>
            <w:tcW w:w="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99,187</w:t>
            </w:r>
          </w:p>
        </w:tc>
        <w:tc>
          <w:tcPr>
            <w:tcW w:w="26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10.5%</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2"/>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9.00%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1/9/2014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63,342</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64,568</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6.8%</w:t>
            </w:r>
          </w:p>
        </w:tc>
      </w:tr>
      <w:tr>
        <w:trPr>
          <w:trHeight w:val="305"/>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8.75%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12/11/2014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4,717</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5,511</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0.6%</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68,059</w:t>
            </w:r>
          </w:p>
        </w:tc>
        <w:tc>
          <w:tcPr>
            <w:tcW w:w="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70,079</w:t>
            </w:r>
          </w:p>
        </w:tc>
        <w:tc>
          <w:tcPr>
            <w:tcW w:w="26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7.4%</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2">
            <w:col w:w="6380" w:space="220"/>
            <w:col w:w="4740"/>
          </w:cols>
          <w:pgMar w:left="240" w:top="460" w:right="31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Initial</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5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Amortized</w:t>
            </w:r>
          </w:p>
        </w:tc>
        <w:tc>
          <w:tcPr>
            <w:tcW w:w="1180" w:type="dxa"/>
            <w:vAlign w:val="bottom"/>
            <w:gridSpan w:val="2"/>
          </w:tcPr>
          <w:p>
            <w:pPr>
              <w:jc w:val="right"/>
              <w:ind w:right="64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980" w:type="dxa"/>
            <w:vAlign w:val="bottom"/>
            <w:gridSpan w:val="2"/>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1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8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5"/>
                <w:szCs w:val="15"/>
                <w:b w:val="1"/>
                <w:bCs w:val="1"/>
                <w:color w:val="auto"/>
              </w:rPr>
              <w:t>Financial services</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AppStar Financial, LLC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($22,200 par, due</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ind w:left="150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8/2020)</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9.00%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8/18/2015</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21,781</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22,261</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AvidXchange, Inc.</w:t>
            </w:r>
            <w:r>
              <w:rPr>
                <w:rFonts w:ascii="Arial" w:cs="Arial" w:eastAsia="Arial" w:hAnsi="Arial"/>
                <w:sz w:val="13"/>
                <w:szCs w:val="13"/>
                <w:color w:val="auto"/>
              </w:rPr>
              <w:t>(3)</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($53,528 par, due</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auto"/>
              </w:rPr>
              <w:t>10.50%</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8/2020)</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9"/>
              </w:rPr>
              <w:t>(incl. 2.38%</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8/7/2015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52,779</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53,394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Network Merchants,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($25,782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ind w:left="1540"/>
              <w:spacing w:after="0"/>
              <w:rPr>
                <w:sz w:val="20"/>
                <w:szCs w:val="20"/>
                <w:color w:val="auto"/>
              </w:rPr>
            </w:pPr>
            <w:r>
              <w:rPr>
                <w:rFonts w:ascii="Arial" w:cs="Arial" w:eastAsia="Arial" w:hAnsi="Arial"/>
                <w:sz w:val="13"/>
                <w:szCs w:val="13"/>
                <w:color w:val="auto"/>
              </w:rPr>
              <w:t>(3)</w:t>
            </w:r>
          </w:p>
        </w:tc>
        <w:tc>
          <w:tcPr>
            <w:tcW w:w="2500" w:type="dxa"/>
            <w:vAlign w:val="bottom"/>
            <w:gridSpan w:val="2"/>
            <w:vMerge w:val="restart"/>
          </w:tcPr>
          <w:p>
            <w:pPr>
              <w:spacing w:after="0"/>
              <w:rPr>
                <w:sz w:val="20"/>
                <w:szCs w:val="20"/>
                <w:color w:val="auto"/>
              </w:rPr>
            </w:pPr>
            <w:r>
              <w:rPr>
                <w:rFonts w:ascii="Arial" w:cs="Arial" w:eastAsia="Arial" w:hAnsi="Arial"/>
                <w:sz w:val="15"/>
                <w:szCs w:val="15"/>
                <w:color w:val="auto"/>
              </w:rPr>
              <w:t>due 9/2018)</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7.75%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9/12/2013</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25,585</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25,981</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PayLease, LLC</w:t>
            </w:r>
            <w:r>
              <w:rPr>
                <w:rFonts w:ascii="Arial" w:cs="Arial" w:eastAsia="Arial" w:hAnsi="Arial"/>
                <w:sz w:val="13"/>
                <w:szCs w:val="13"/>
                <w:color w:val="auto"/>
              </w:rPr>
              <w:t>(3)</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($34,502 par,</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auto"/>
              </w:rPr>
              <w:t>10.00%</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5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due 3/2020)</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9"/>
              </w:rPr>
              <w:t>(incl. 2.50%</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3/6/2015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33,979</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34,700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Smarsh,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($30,000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jc w:val="right"/>
              <w:ind w:right="2900"/>
              <w:spacing w:after="0"/>
              <w:rPr>
                <w:sz w:val="20"/>
                <w:szCs w:val="20"/>
                <w:color w:val="auto"/>
              </w:rPr>
            </w:pPr>
            <w:r>
              <w:rPr>
                <w:rFonts w:ascii="Arial" w:cs="Arial" w:eastAsia="Arial" w:hAnsi="Arial"/>
                <w:sz w:val="13"/>
                <w:szCs w:val="13"/>
                <w:color w:val="auto"/>
              </w:rPr>
              <w:t>(3)(5)</w:t>
            </w:r>
          </w:p>
        </w:tc>
        <w:tc>
          <w:tcPr>
            <w:tcW w:w="2500" w:type="dxa"/>
            <w:vAlign w:val="bottom"/>
            <w:gridSpan w:val="2"/>
            <w:vMerge w:val="restart"/>
          </w:tcPr>
          <w:p>
            <w:pPr>
              <w:spacing w:after="0"/>
              <w:rPr>
                <w:sz w:val="20"/>
                <w:szCs w:val="20"/>
                <w:color w:val="auto"/>
              </w:rPr>
            </w:pPr>
            <w:r>
              <w:rPr>
                <w:rFonts w:ascii="Arial" w:cs="Arial" w:eastAsia="Arial" w:hAnsi="Arial"/>
                <w:sz w:val="15"/>
                <w:szCs w:val="15"/>
                <w:color w:val="auto"/>
              </w:rPr>
              <w:t>due 1/2021)</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8.50%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1/7/2016</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29,343</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30,300</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163,467</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166,636</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69"/>
        </w:trPr>
        <w:tc>
          <w:tcPr>
            <w:tcW w:w="3980" w:type="dxa"/>
            <w:vAlign w:val="bottom"/>
            <w:gridSpan w:val="2"/>
          </w:tcPr>
          <w:p>
            <w:pPr>
              <w:ind w:left="320"/>
              <w:spacing w:after="0" w:line="169" w:lineRule="exact"/>
              <w:rPr>
                <w:sz w:val="20"/>
                <w:szCs w:val="20"/>
                <w:color w:val="auto"/>
              </w:rPr>
            </w:pPr>
            <w:r>
              <w:rPr>
                <w:rFonts w:ascii="Arial" w:cs="Arial" w:eastAsia="Arial" w:hAnsi="Arial"/>
                <w:sz w:val="15"/>
                <w:szCs w:val="15"/>
                <w:b w:val="1"/>
                <w:bCs w:val="1"/>
                <w:color w:val="auto"/>
              </w:rPr>
              <w:t>Healthcare</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(3)(4)</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(EUR 40,573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5"/>
                <w:szCs w:val="15"/>
                <w:color w:val="auto"/>
              </w:rPr>
              <w:t>44,934</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9/2019)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9/30/2014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47,830</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(EUR 43,158)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revolving loan</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5"/>
                <w:szCs w:val="15"/>
                <w:color w:val="auto"/>
              </w:rPr>
              <w:t>527</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(EUR 300 par, due 9/2019)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11.50%</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9/30/2014</w:t>
            </w:r>
          </w:p>
        </w:tc>
        <w:tc>
          <w:tcPr>
            <w:tcW w:w="580" w:type="dxa"/>
            <w:vAlign w:val="bottom"/>
          </w:tcPr>
          <w:p>
            <w:pPr>
              <w:jc w:val="right"/>
              <w:spacing w:after="0"/>
              <w:rPr>
                <w:sz w:val="20"/>
                <w:szCs w:val="20"/>
                <w:color w:val="auto"/>
              </w:rPr>
            </w:pPr>
            <w:r>
              <w:rPr>
                <w:rFonts w:ascii="Arial" w:cs="Arial" w:eastAsia="Arial" w:hAnsi="Arial"/>
                <w:sz w:val="15"/>
                <w:szCs w:val="15"/>
                <w:color w:val="auto"/>
              </w:rPr>
              <w:t>253</w:t>
            </w:r>
          </w:p>
        </w:tc>
        <w:tc>
          <w:tcPr>
            <w:tcW w:w="26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(EUR 500)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MatrixCare,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($44,663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(3)(5)</w:t>
            </w:r>
          </w:p>
        </w:tc>
        <w:tc>
          <w:tcPr>
            <w:tcW w:w="25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12/2021)</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6.25%</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5"/>
              </w:rPr>
              <w:t>12/17/2015</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43,959</w:t>
            </w:r>
          </w:p>
        </w:tc>
        <w:tc>
          <w:tcPr>
            <w:tcW w:w="2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45,109</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55"/>
        </w:trPr>
        <w:tc>
          <w:tcPr>
            <w:tcW w:w="6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25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MedeAnalytics,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($47,066 par, due</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9.50%</w:t>
            </w: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ind w:left="126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9/2020)</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9"/>
              </w:rPr>
              <w:t>(incl. 2.50%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9/30/2015</w:t>
            </w:r>
          </w:p>
        </w:tc>
        <w:tc>
          <w:tcPr>
            <w:tcW w:w="580" w:type="dxa"/>
            <w:vAlign w:val="bottom"/>
          </w:tcPr>
          <w:p>
            <w:pPr>
              <w:jc w:val="right"/>
              <w:spacing w:after="0"/>
              <w:rPr>
                <w:sz w:val="20"/>
                <w:szCs w:val="20"/>
                <w:color w:val="auto"/>
              </w:rPr>
            </w:pPr>
            <w:r>
              <w:rPr>
                <w:rFonts w:ascii="Arial" w:cs="Arial" w:eastAsia="Arial" w:hAnsi="Arial"/>
                <w:sz w:val="15"/>
                <w:szCs w:val="15"/>
                <w:color w:val="auto"/>
              </w:rPr>
              <w:t>45,920</w:t>
            </w:r>
          </w:p>
        </w:tc>
        <w:tc>
          <w:tcPr>
            <w:tcW w:w="26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47,184</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Quantros, Inc.</w:t>
            </w:r>
            <w:r>
              <w:rPr>
                <w:rFonts w:ascii="Arial" w:cs="Arial" w:eastAsia="Arial" w:hAnsi="Arial"/>
                <w:sz w:val="13"/>
                <w:szCs w:val="13"/>
                <w:color w:val="auto"/>
              </w:rPr>
              <w:t>(3)(5)</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($29,775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2/2021)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2/29/2016</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28,894</w:t>
            </w: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29,849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5"/>
                <w:szCs w:val="15"/>
                <w:color w:val="auto"/>
              </w:rPr>
              <w:t>SRS Software, LLC</w:t>
            </w:r>
            <w:r>
              <w:rPr>
                <w:rFonts w:ascii="Arial" w:cs="Arial" w:eastAsia="Arial" w:hAnsi="Arial"/>
                <w:sz w:val="13"/>
                <w:szCs w:val="13"/>
                <w:color w:val="auto"/>
              </w:rPr>
              <w:t>(3)</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($30,000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due 12/2017)</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12/28/2012</w:t>
            </w:r>
          </w:p>
        </w:tc>
        <w:tc>
          <w:tcPr>
            <w:tcW w:w="580" w:type="dxa"/>
            <w:vAlign w:val="bottom"/>
          </w:tcPr>
          <w:p>
            <w:pPr>
              <w:jc w:val="right"/>
              <w:spacing w:after="0"/>
              <w:rPr>
                <w:sz w:val="20"/>
                <w:szCs w:val="20"/>
                <w:color w:val="auto"/>
              </w:rPr>
            </w:pPr>
            <w:r>
              <w:rPr>
                <w:rFonts w:ascii="Arial" w:cs="Arial" w:eastAsia="Arial" w:hAnsi="Arial"/>
                <w:sz w:val="15"/>
                <w:szCs w:val="15"/>
                <w:color w:val="auto"/>
              </w:rPr>
              <w:t>29,820</w:t>
            </w:r>
          </w:p>
        </w:tc>
        <w:tc>
          <w:tcPr>
            <w:tcW w:w="2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30,000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($2,000 par, due 12/2017)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12/28/2012</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198,667</w:t>
            </w:r>
          </w:p>
        </w:tc>
        <w:tc>
          <w:tcPr>
            <w:tcW w:w="260" w:type="dxa"/>
            <w:vAlign w:val="bottom"/>
          </w:tcPr>
          <w:p>
            <w:pPr>
              <w:spacing w:after="0"/>
              <w:rPr>
                <w:sz w:val="15"/>
                <w:szCs w:val="15"/>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199,603</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145"/>
        </w:trPr>
        <w:tc>
          <w:tcPr>
            <w:tcW w:w="3980" w:type="dxa"/>
            <w:vAlign w:val="bottom"/>
            <w:gridSpan w:val="2"/>
            <w:shd w:val="clear" w:color="auto" w:fill="CCEEFF"/>
          </w:tcPr>
          <w:p>
            <w:pPr>
              <w:ind w:left="320"/>
              <w:spacing w:after="0" w:line="145" w:lineRule="exact"/>
              <w:rPr>
                <w:sz w:val="20"/>
                <w:szCs w:val="20"/>
                <w:color w:val="auto"/>
              </w:rPr>
            </w:pPr>
            <w:r>
              <w:rPr>
                <w:rFonts w:ascii="Arial" w:cs="Arial" w:eastAsia="Arial" w:hAnsi="Arial"/>
                <w:sz w:val="15"/>
                <w:szCs w:val="15"/>
                <w:b w:val="1"/>
                <w:bCs w:val="1"/>
                <w:color w:val="auto"/>
              </w:rPr>
              <w:t>Hotel, gaming, and</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980" w:type="dxa"/>
            <w:vAlign w:val="bottom"/>
            <w:gridSpan w:val="2"/>
            <w:shd w:val="clear" w:color="auto" w:fill="CCEEFF"/>
          </w:tcPr>
          <w:p>
            <w:pPr>
              <w:ind w:left="460"/>
              <w:spacing w:after="0"/>
              <w:rPr>
                <w:sz w:val="20"/>
                <w:szCs w:val="20"/>
                <w:color w:val="auto"/>
              </w:rPr>
            </w:pPr>
            <w:r>
              <w:rPr>
                <w:rFonts w:ascii="Arial" w:cs="Arial" w:eastAsia="Arial" w:hAnsi="Arial"/>
                <w:sz w:val="15"/>
                <w:szCs w:val="15"/>
                <w:b w:val="1"/>
                <w:bCs w:val="1"/>
                <w:color w:val="auto"/>
              </w:rPr>
              <w:t>leisure</w:t>
            </w:r>
          </w:p>
        </w:tc>
        <w:tc>
          <w:tcPr>
            <w:tcW w:w="2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5"/>
                <w:szCs w:val="15"/>
                <w:color w:val="auto"/>
              </w:rPr>
              <w:t>CrunchTime Information Systems,</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($26,104 par, due</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9.27%</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
        </w:trPr>
        <w:tc>
          <w:tcPr>
            <w:tcW w:w="3980" w:type="dxa"/>
            <w:vAlign w:val="bottom"/>
            <w:gridSpan w:val="2"/>
          </w:tcPr>
          <w:p>
            <w:pPr>
              <w:ind w:left="160"/>
              <w:spacing w:after="0" w:line="19" w:lineRule="exact"/>
              <w:rPr>
                <w:sz w:val="20"/>
                <w:szCs w:val="20"/>
                <w:color w:val="auto"/>
              </w:rPr>
            </w:pPr>
            <w:r>
              <w:rPr>
                <w:rFonts w:ascii="Arial" w:cs="Arial" w:eastAsia="Arial" w:hAnsi="Arial"/>
                <w:sz w:val="2"/>
                <w:szCs w:val="2"/>
                <w:color w:val="auto"/>
              </w:rPr>
              <w:t>Inc.</w:t>
            </w:r>
          </w:p>
        </w:tc>
        <w:tc>
          <w:tcPr>
            <w:tcW w:w="2280" w:type="dxa"/>
            <w:vAlign w:val="bottom"/>
          </w:tcPr>
          <w:p>
            <w:pPr>
              <w:spacing w:after="0" w:line="19" w:lineRule="exact"/>
              <w:rPr>
                <w:sz w:val="20"/>
                <w:szCs w:val="20"/>
                <w:color w:val="auto"/>
              </w:rPr>
            </w:pPr>
            <w:r>
              <w:rPr>
                <w:rFonts w:ascii="Arial" w:cs="Arial" w:eastAsia="Arial" w:hAnsi="Arial"/>
                <w:sz w:val="2"/>
                <w:szCs w:val="2"/>
                <w:color w:val="auto"/>
              </w:rPr>
              <w:t>4/2020)</w:t>
            </w:r>
          </w:p>
        </w:tc>
        <w:tc>
          <w:tcPr>
            <w:tcW w:w="220" w:type="dxa"/>
            <w:vAlign w:val="bottom"/>
          </w:tcPr>
          <w:p>
            <w:pPr>
              <w:spacing w:after="0" w:line="20" w:lineRule="exact"/>
              <w:rPr>
                <w:sz w:val="1"/>
                <w:szCs w:val="1"/>
                <w:color w:val="auto"/>
              </w:rPr>
            </w:pPr>
          </w:p>
        </w:tc>
        <w:tc>
          <w:tcPr>
            <w:tcW w:w="1060" w:type="dxa"/>
            <w:vAlign w:val="bottom"/>
            <w:gridSpan w:val="2"/>
          </w:tcPr>
          <w:p>
            <w:pPr>
              <w:jc w:val="right"/>
              <w:ind w:right="260"/>
              <w:spacing w:after="0" w:line="19" w:lineRule="exact"/>
              <w:rPr>
                <w:sz w:val="20"/>
                <w:szCs w:val="20"/>
                <w:color w:val="auto"/>
              </w:rPr>
            </w:pPr>
            <w:r>
              <w:rPr>
                <w:rFonts w:ascii="Arial" w:cs="Arial" w:eastAsia="Arial" w:hAnsi="Arial"/>
                <w:sz w:val="2"/>
                <w:szCs w:val="2"/>
                <w:color w:val="auto"/>
              </w:rPr>
              <w:t>(incl. 2.50%</w:t>
            </w: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 w:type="dxa"/>
            <w:vAlign w:val="bottom"/>
          </w:tcPr>
          <w:p>
            <w:pPr>
              <w:ind w:left="400"/>
              <w:spacing w:after="0"/>
              <w:rPr>
                <w:sz w:val="20"/>
                <w:szCs w:val="20"/>
                <w:color w:val="auto"/>
              </w:rPr>
            </w:pPr>
            <w:r>
              <w:rPr>
                <w:rFonts w:ascii="Arial" w:cs="Arial" w:eastAsia="Arial" w:hAnsi="Arial"/>
                <w:sz w:val="13"/>
                <w:szCs w:val="13"/>
                <w:color w:val="auto"/>
              </w:rPr>
              <w:t>(3)</w:t>
            </w:r>
          </w:p>
        </w:tc>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5"/>
                <w:szCs w:val="15"/>
                <w:color w:val="auto"/>
              </w:rPr>
              <w:t>PIK)</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4/16/2015</w:t>
            </w:r>
          </w:p>
        </w:tc>
        <w:tc>
          <w:tcPr>
            <w:tcW w:w="580" w:type="dxa"/>
            <w:vAlign w:val="bottom"/>
          </w:tcPr>
          <w:p>
            <w:pPr>
              <w:jc w:val="right"/>
              <w:spacing w:after="0"/>
              <w:rPr>
                <w:sz w:val="20"/>
                <w:szCs w:val="20"/>
                <w:color w:val="auto"/>
              </w:rPr>
            </w:pPr>
            <w:r>
              <w:rPr>
                <w:rFonts w:ascii="Arial" w:cs="Arial" w:eastAsia="Arial" w:hAnsi="Arial"/>
                <w:sz w:val="15"/>
                <w:szCs w:val="15"/>
                <w:color w:val="auto"/>
              </w:rPr>
              <w:t>25,643</w:t>
            </w:r>
          </w:p>
        </w:tc>
        <w:tc>
          <w:tcPr>
            <w:tcW w:w="2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26,104</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($21,311 par, due</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10.50%</w:t>
            </w: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(3)(7)</w:t>
            </w:r>
          </w:p>
        </w:tc>
        <w:tc>
          <w:tcPr>
            <w:tcW w:w="2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9/2019)</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9"/>
              </w:rPr>
              <w:t>(incl. 5.00%</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8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9/29/2015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21,311</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18,807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revolver loan ($14,755 par,</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10.50%</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gridSpan w:val="2"/>
          </w:tcPr>
          <w:p>
            <w:pPr>
              <w:spacing w:after="0" w:line="162" w:lineRule="exact"/>
              <w:rPr>
                <w:sz w:val="20"/>
                <w:szCs w:val="20"/>
                <w:color w:val="auto"/>
              </w:rPr>
            </w:pPr>
            <w:r>
              <w:rPr>
                <w:rFonts w:ascii="Arial" w:cs="Arial" w:eastAsia="Arial" w:hAnsi="Arial"/>
                <w:sz w:val="15"/>
                <w:szCs w:val="15"/>
                <w:color w:val="auto"/>
              </w:rPr>
              <w:t>due 9/2019)</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9"/>
              </w:rPr>
              <w:t>(incl. 5.00%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9/29/2015</w:t>
            </w:r>
          </w:p>
        </w:tc>
        <w:tc>
          <w:tcPr>
            <w:tcW w:w="580" w:type="dxa"/>
            <w:vAlign w:val="bottom"/>
          </w:tcPr>
          <w:p>
            <w:pPr>
              <w:jc w:val="right"/>
              <w:spacing w:after="0"/>
              <w:rPr>
                <w:sz w:val="20"/>
                <w:szCs w:val="20"/>
                <w:color w:val="auto"/>
              </w:rPr>
            </w:pPr>
            <w:r>
              <w:rPr>
                <w:rFonts w:ascii="Arial" w:cs="Arial" w:eastAsia="Arial" w:hAnsi="Arial"/>
                <w:sz w:val="15"/>
                <w:szCs w:val="15"/>
                <w:color w:val="auto"/>
              </w:rPr>
              <w:t>14,755</w:t>
            </w:r>
          </w:p>
        </w:tc>
        <w:tc>
          <w:tcPr>
            <w:tcW w:w="26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13,021</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Soho House</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bond (GBP 12,875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320"/>
              <w:spacing w:after="0" w:line="6" w:lineRule="exact"/>
              <w:rPr>
                <w:sz w:val="20"/>
                <w:szCs w:val="20"/>
                <w:color w:val="auto"/>
              </w:rPr>
            </w:pPr>
            <w:r>
              <w:rPr>
                <w:rFonts w:ascii="Arial" w:cs="Arial" w:eastAsia="Arial" w:hAnsi="Arial"/>
                <w:sz w:val="1"/>
                <w:szCs w:val="1"/>
                <w:color w:val="auto"/>
              </w:rPr>
              <w:t>16,227</w:t>
            </w: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8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(4)</w:t>
            </w:r>
          </w:p>
        </w:tc>
        <w:tc>
          <w:tcPr>
            <w:tcW w:w="25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10/2018)</w:t>
            </w: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8"/>
              </w:rPr>
              <w:t>(GBP 13,133)</w:t>
            </w: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vMerge w:val="continue"/>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9.13%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9/20/2013</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20,618</w:t>
            </w:r>
          </w:p>
        </w:tc>
        <w:tc>
          <w:tcPr>
            <w:tcW w:w="26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82,327</w:t>
            </w:r>
          </w:p>
        </w:tc>
        <w:tc>
          <w:tcPr>
            <w:tcW w:w="260" w:type="dxa"/>
            <w:vAlign w:val="bottom"/>
          </w:tcPr>
          <w:p>
            <w:pPr>
              <w:spacing w:after="0"/>
              <w:rPr>
                <w:sz w:val="15"/>
                <w:szCs w:val="15"/>
                <w:color w:val="auto"/>
              </w:rPr>
            </w:pPr>
          </w:p>
        </w:tc>
        <w:tc>
          <w:tcPr>
            <w:tcW w:w="11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74,159</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45"/>
        </w:trPr>
        <w:tc>
          <w:tcPr>
            <w:tcW w:w="3980" w:type="dxa"/>
            <w:vAlign w:val="bottom"/>
            <w:gridSpan w:val="2"/>
            <w:shd w:val="clear" w:color="auto" w:fill="CCEEFF"/>
          </w:tcPr>
          <w:p>
            <w:pPr>
              <w:ind w:left="320"/>
              <w:spacing w:after="0" w:line="145" w:lineRule="exact"/>
              <w:rPr>
                <w:sz w:val="20"/>
                <w:szCs w:val="20"/>
                <w:color w:val="auto"/>
              </w:rPr>
            </w:pPr>
            <w:r>
              <w:rPr>
                <w:rFonts w:ascii="Arial" w:cs="Arial" w:eastAsia="Arial" w:hAnsi="Arial"/>
                <w:sz w:val="15"/>
                <w:szCs w:val="15"/>
                <w:b w:val="1"/>
                <w:bCs w:val="1"/>
                <w:color w:val="auto"/>
              </w:rPr>
              <w:t>Human resource</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980" w:type="dxa"/>
            <w:vAlign w:val="bottom"/>
            <w:gridSpan w:val="2"/>
            <w:shd w:val="clear" w:color="auto" w:fill="CCEEFF"/>
          </w:tcPr>
          <w:p>
            <w:pPr>
              <w:ind w:left="460"/>
              <w:spacing w:after="0"/>
              <w:rPr>
                <w:sz w:val="20"/>
                <w:szCs w:val="20"/>
                <w:color w:val="auto"/>
              </w:rPr>
            </w:pPr>
            <w:r>
              <w:rPr>
                <w:rFonts w:ascii="Arial" w:cs="Arial" w:eastAsia="Arial" w:hAnsi="Arial"/>
                <w:sz w:val="15"/>
                <w:szCs w:val="15"/>
                <w:b w:val="1"/>
                <w:bCs w:val="1"/>
                <w:color w:val="auto"/>
              </w:rPr>
              <w:t>support services</w:t>
            </w:r>
          </w:p>
        </w:tc>
        <w:tc>
          <w:tcPr>
            <w:tcW w:w="2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5"/>
                <w:szCs w:val="15"/>
                <w:color w:val="auto"/>
              </w:rPr>
              <w:t>Saba Software, Inc.</w:t>
            </w:r>
            <w:r>
              <w:rPr>
                <w:rFonts w:ascii="Arial" w:cs="Arial" w:eastAsia="Arial" w:hAnsi="Arial"/>
                <w:sz w:val="13"/>
                <w:szCs w:val="13"/>
                <w:color w:val="auto"/>
              </w:rPr>
              <w:t>(3)(5)</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($54,175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due 3/2021)</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9.75%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3/30/2015</w:t>
            </w:r>
          </w:p>
        </w:tc>
        <w:tc>
          <w:tcPr>
            <w:tcW w:w="580" w:type="dxa"/>
            <w:vAlign w:val="bottom"/>
          </w:tcPr>
          <w:p>
            <w:pPr>
              <w:jc w:val="right"/>
              <w:spacing w:after="0"/>
              <w:rPr>
                <w:sz w:val="20"/>
                <w:szCs w:val="20"/>
                <w:color w:val="auto"/>
              </w:rPr>
            </w:pPr>
            <w:r>
              <w:rPr>
                <w:rFonts w:ascii="Arial" w:cs="Arial" w:eastAsia="Arial" w:hAnsi="Arial"/>
                <w:sz w:val="15"/>
                <w:szCs w:val="15"/>
                <w:color w:val="auto"/>
              </w:rPr>
              <w:t>53,680</w:t>
            </w:r>
          </w:p>
        </w:tc>
        <w:tc>
          <w:tcPr>
            <w:tcW w:w="2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54,310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Skillsoft</w:t>
            </w:r>
            <w:r>
              <w:rPr>
                <w:rFonts w:ascii="Arial" w:cs="Arial" w:eastAsia="Arial" w:hAnsi="Arial"/>
                <w:sz w:val="13"/>
                <w:szCs w:val="13"/>
                <w:color w:val="auto"/>
              </w:rPr>
              <w:t>(3)</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($9,571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4/2021)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5.84%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11/5/2015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7,629</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8,709</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61,309</w:t>
            </w:r>
          </w:p>
        </w:tc>
        <w:tc>
          <w:tcPr>
            <w:tcW w:w="260" w:type="dxa"/>
            <w:vAlign w:val="bottom"/>
          </w:tcPr>
          <w:p>
            <w:pPr>
              <w:spacing w:after="0"/>
              <w:rPr>
                <w:sz w:val="15"/>
                <w:szCs w:val="15"/>
                <w:color w:val="auto"/>
              </w:rPr>
            </w:pPr>
          </w:p>
        </w:tc>
        <w:tc>
          <w:tcPr>
            <w:tcW w:w="11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63,019</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62"/>
        </w:trPr>
        <w:tc>
          <w:tcPr>
            <w:tcW w:w="39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Insurance</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Insurity,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($64,978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jc w:val="right"/>
              <w:ind w:right="2900"/>
              <w:spacing w:after="0"/>
              <w:rPr>
                <w:sz w:val="20"/>
                <w:szCs w:val="20"/>
                <w:color w:val="auto"/>
              </w:rPr>
            </w:pPr>
            <w:r>
              <w:rPr>
                <w:rFonts w:ascii="Arial" w:cs="Arial" w:eastAsia="Arial" w:hAnsi="Arial"/>
                <w:sz w:val="13"/>
                <w:szCs w:val="13"/>
                <w:color w:val="auto"/>
              </w:rPr>
              <w:t>(3)(5)</w:t>
            </w:r>
          </w:p>
        </w:tc>
        <w:tc>
          <w:tcPr>
            <w:tcW w:w="2500" w:type="dxa"/>
            <w:vAlign w:val="bottom"/>
            <w:gridSpan w:val="2"/>
            <w:vMerge w:val="restart"/>
          </w:tcPr>
          <w:p>
            <w:pPr>
              <w:spacing w:after="0"/>
              <w:rPr>
                <w:sz w:val="20"/>
                <w:szCs w:val="20"/>
                <w:color w:val="auto"/>
              </w:rPr>
            </w:pPr>
            <w:r>
              <w:rPr>
                <w:rFonts w:ascii="Arial" w:cs="Arial" w:eastAsia="Arial" w:hAnsi="Arial"/>
                <w:sz w:val="15"/>
                <w:szCs w:val="15"/>
                <w:color w:val="auto"/>
              </w:rPr>
              <w:t>due 10/2020)</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7.25%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5"/>
              </w:rPr>
              <w:t>10/31/2014</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64,423</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65,952</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Internet services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Highwinds Capital,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($47,988 par, due</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ind w:left="146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7/2018)</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9.00%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3/7/2014</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47,679</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48,588</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 ($3,000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7/2018)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9.00%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3/7/2014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2,985</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3,038</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50,664</w:t>
            </w:r>
          </w:p>
        </w:tc>
        <w:tc>
          <w:tcPr>
            <w:tcW w:w="260" w:type="dxa"/>
            <w:vAlign w:val="bottom"/>
          </w:tcPr>
          <w:p>
            <w:pPr>
              <w:spacing w:after="0"/>
              <w:rPr>
                <w:sz w:val="14"/>
                <w:szCs w:val="14"/>
                <w:color w:val="auto"/>
              </w:rPr>
            </w:pPr>
          </w:p>
        </w:tc>
        <w:tc>
          <w:tcPr>
            <w:tcW w:w="11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51,626</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Initial</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5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4"/>
              </w:rPr>
              <w:t>Amortized</w:t>
            </w:r>
          </w:p>
        </w:tc>
        <w:tc>
          <w:tcPr>
            <w:tcW w:w="1100" w:type="dxa"/>
            <w:vAlign w:val="bottom"/>
            <w:gridSpan w:val="2"/>
          </w:tcPr>
          <w:p>
            <w:pPr>
              <w:jc w:val="right"/>
              <w:ind w:right="60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980" w:type="dxa"/>
            <w:vAlign w:val="bottom"/>
            <w:gridSpan w:val="3"/>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r>
              <w:rPr>
                <w:rFonts w:ascii="Arial" w:cs="Arial" w:eastAsia="Arial" w:hAnsi="Arial"/>
                <w:sz w:val="10"/>
                <w:szCs w:val="10"/>
                <w:b w:val="1"/>
                <w:bCs w:val="1"/>
                <w:color w:val="auto"/>
              </w:rPr>
              <w:t>(2)(8)</w:t>
            </w:r>
          </w:p>
        </w:tc>
        <w:tc>
          <w:tcPr>
            <w:tcW w:w="11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5"/>
                <w:szCs w:val="15"/>
                <w:b w:val="1"/>
                <w:bCs w:val="1"/>
                <w:color w:val="auto"/>
              </w:rPr>
              <w:t>Manufacturing</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Power Solutions International,</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ABL FILO term loan ($53,550 par,</w:t>
            </w:r>
          </w:p>
        </w:tc>
        <w:tc>
          <w:tcPr>
            <w:tcW w:w="1060" w:type="dxa"/>
            <w:vAlign w:val="bottom"/>
            <w:gridSpan w:val="2"/>
            <w:vMerge w:val="restart"/>
          </w:tcPr>
          <w:p>
            <w:pPr>
              <w:jc w:val="right"/>
              <w:ind w:right="260"/>
              <w:spacing w:after="0" w:line="168" w:lineRule="exact"/>
              <w:rPr>
                <w:sz w:val="20"/>
                <w:szCs w:val="20"/>
                <w:color w:val="auto"/>
              </w:rPr>
            </w:pPr>
            <w:r>
              <w:rPr>
                <w:rFonts w:ascii="Arial" w:cs="Arial" w:eastAsia="Arial" w:hAnsi="Arial"/>
                <w:sz w:val="15"/>
                <w:szCs w:val="15"/>
                <w:color w:val="auto"/>
              </w:rPr>
              <w:t>10.75%</w:t>
            </w:r>
          </w:p>
        </w:tc>
        <w:tc>
          <w:tcPr>
            <w:tcW w:w="1000" w:type="dxa"/>
            <w:vAlign w:val="bottom"/>
            <w:gridSpan w:val="2"/>
            <w:vMerge w:val="restart"/>
          </w:tcPr>
          <w:p>
            <w:pPr>
              <w:jc w:val="right"/>
              <w:ind w:right="260"/>
              <w:spacing w:after="0" w:line="168" w:lineRule="exact"/>
              <w:rPr>
                <w:sz w:val="20"/>
                <w:szCs w:val="20"/>
                <w:color w:val="auto"/>
              </w:rPr>
            </w:pPr>
            <w:r>
              <w:rPr>
                <w:rFonts w:ascii="Arial" w:cs="Arial" w:eastAsia="Arial" w:hAnsi="Arial"/>
                <w:sz w:val="15"/>
                <w:szCs w:val="15"/>
                <w:color w:val="auto"/>
              </w:rPr>
              <w:t>6/28/2016</w:t>
            </w:r>
          </w:p>
        </w:tc>
        <w:tc>
          <w:tcPr>
            <w:tcW w:w="920" w:type="dxa"/>
            <w:vAlign w:val="bottom"/>
            <w:gridSpan w:val="2"/>
            <w:vMerge w:val="restart"/>
          </w:tcPr>
          <w:p>
            <w:pPr>
              <w:jc w:val="right"/>
              <w:ind w:right="260"/>
              <w:spacing w:after="0" w:line="168" w:lineRule="exact"/>
              <w:rPr>
                <w:sz w:val="20"/>
                <w:szCs w:val="20"/>
                <w:color w:val="auto"/>
              </w:rPr>
            </w:pPr>
            <w:r>
              <w:rPr>
                <w:rFonts w:ascii="Arial" w:cs="Arial" w:eastAsia="Arial" w:hAnsi="Arial"/>
                <w:sz w:val="15"/>
                <w:szCs w:val="15"/>
                <w:color w:val="auto"/>
              </w:rPr>
              <w:t>47,285</w:t>
            </w:r>
          </w:p>
        </w:tc>
        <w:tc>
          <w:tcPr>
            <w:tcW w:w="1100" w:type="dxa"/>
            <w:vAlign w:val="bottom"/>
            <w:gridSpan w:val="2"/>
            <w:vMerge w:val="restart"/>
          </w:tcPr>
          <w:p>
            <w:pPr>
              <w:jc w:val="right"/>
              <w:ind w:right="320"/>
              <w:spacing w:after="0" w:line="168" w:lineRule="exact"/>
              <w:rPr>
                <w:sz w:val="20"/>
                <w:szCs w:val="20"/>
                <w:color w:val="auto"/>
              </w:rPr>
            </w:pPr>
            <w:r>
              <w:rPr>
                <w:rFonts w:ascii="Arial" w:cs="Arial" w:eastAsia="Arial" w:hAnsi="Arial"/>
                <w:sz w:val="15"/>
                <w:szCs w:val="15"/>
                <w:color w:val="auto"/>
              </w:rPr>
              <w:t>52,613</w:t>
            </w:r>
          </w:p>
        </w:tc>
        <w:tc>
          <w:tcPr>
            <w:tcW w:w="860" w:type="dxa"/>
            <w:vAlign w:val="bottom"/>
            <w:gridSpan w:val="2"/>
            <w:vMerge w:val="restart"/>
          </w:tcPr>
          <w:p>
            <w:pPr>
              <w:jc w:val="right"/>
              <w:ind w:right="40"/>
              <w:spacing w:after="0" w:line="168"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960" w:type="dxa"/>
            <w:vAlign w:val="bottom"/>
            <w:gridSpan w:val="2"/>
          </w:tcPr>
          <w:p>
            <w:pPr>
              <w:ind w:left="140"/>
              <w:spacing w:after="0" w:line="19" w:lineRule="exact"/>
              <w:rPr>
                <w:sz w:val="20"/>
                <w:szCs w:val="20"/>
                <w:color w:val="auto"/>
              </w:rPr>
            </w:pPr>
            <w:r>
              <w:rPr>
                <w:rFonts w:ascii="Arial" w:cs="Arial" w:eastAsia="Arial" w:hAnsi="Arial"/>
                <w:sz w:val="2"/>
                <w:szCs w:val="2"/>
                <w:color w:val="auto"/>
              </w:rPr>
              <w:t>Inc.</w:t>
            </w:r>
          </w:p>
        </w:tc>
        <w:tc>
          <w:tcPr>
            <w:tcW w:w="2500" w:type="dxa"/>
            <w:vAlign w:val="bottom"/>
            <w:gridSpan w:val="2"/>
          </w:tcPr>
          <w:p>
            <w:pPr>
              <w:spacing w:after="0" w:line="19" w:lineRule="exact"/>
              <w:rPr>
                <w:sz w:val="20"/>
                <w:szCs w:val="20"/>
                <w:color w:val="auto"/>
              </w:rPr>
            </w:pPr>
            <w:r>
              <w:rPr>
                <w:rFonts w:ascii="Arial" w:cs="Arial" w:eastAsia="Arial" w:hAnsi="Arial"/>
                <w:sz w:val="2"/>
                <w:szCs w:val="2"/>
                <w:color w:val="auto"/>
              </w:rPr>
              <w:t>due 6/2021)</w:t>
            </w:r>
          </w:p>
        </w:tc>
        <w:tc>
          <w:tcPr>
            <w:tcW w:w="106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 w:type="dxa"/>
            <w:vAlign w:val="bottom"/>
            <w:gridSpan w:val="2"/>
          </w:tcPr>
          <w:p>
            <w:pPr>
              <w:jc w:val="right"/>
              <w:ind w:right="19"/>
              <w:spacing w:after="0"/>
              <w:rPr>
                <w:sz w:val="20"/>
                <w:szCs w:val="20"/>
                <w:color w:val="auto"/>
              </w:rPr>
            </w:pPr>
            <w:r>
              <w:rPr>
                <w:rFonts w:ascii="Arial" w:cs="Arial" w:eastAsia="Arial" w:hAnsi="Arial"/>
                <w:sz w:val="13"/>
                <w:szCs w:val="13"/>
                <w:color w:val="auto"/>
              </w:rPr>
              <w:t>(3)</w:t>
            </w:r>
          </w:p>
        </w:tc>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Office products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Ecommerce Industries,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($36,529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3"/>
          </w:tcPr>
          <w:p>
            <w:pPr>
              <w:jc w:val="right"/>
              <w:ind w:right="2140"/>
              <w:spacing w:after="0"/>
              <w:rPr>
                <w:sz w:val="20"/>
                <w:szCs w:val="20"/>
                <w:color w:val="auto"/>
              </w:rPr>
            </w:pPr>
            <w:r>
              <w:rPr>
                <w:rFonts w:ascii="Arial" w:cs="Arial" w:eastAsia="Arial" w:hAnsi="Arial"/>
                <w:sz w:val="13"/>
                <w:szCs w:val="13"/>
                <w:color w:val="auto"/>
              </w:rPr>
              <w:t>(3)</w:t>
            </w:r>
          </w:p>
        </w:tc>
        <w:tc>
          <w:tcPr>
            <w:tcW w:w="2500" w:type="dxa"/>
            <w:vAlign w:val="bottom"/>
            <w:gridSpan w:val="2"/>
            <w:vMerge w:val="restart"/>
          </w:tcPr>
          <w:p>
            <w:pPr>
              <w:spacing w:after="0"/>
              <w:rPr>
                <w:sz w:val="20"/>
                <w:szCs w:val="20"/>
                <w:color w:val="auto"/>
              </w:rPr>
            </w:pPr>
            <w:r>
              <w:rPr>
                <w:rFonts w:ascii="Arial" w:cs="Arial" w:eastAsia="Arial" w:hAnsi="Arial"/>
                <w:sz w:val="15"/>
                <w:szCs w:val="15"/>
                <w:color w:val="auto"/>
              </w:rPr>
              <w:t>due 3/2019)</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7.25%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3/11/2014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36,366</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36,627</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5"/>
                <w:szCs w:val="15"/>
                <w:b w:val="1"/>
                <w:bCs w:val="1"/>
                <w:color w:val="auto"/>
              </w:rPr>
              <w:t>Oil, gas and consumable</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60" w:type="dxa"/>
            <w:vAlign w:val="bottom"/>
            <w:gridSpan w:val="2"/>
            <w:shd w:val="clear" w:color="auto" w:fill="CCEEFF"/>
          </w:tcPr>
          <w:p>
            <w:pPr>
              <w:ind w:left="300"/>
              <w:spacing w:after="0"/>
              <w:rPr>
                <w:sz w:val="20"/>
                <w:szCs w:val="20"/>
                <w:color w:val="auto"/>
              </w:rPr>
            </w:pPr>
            <w:r>
              <w:rPr>
                <w:rFonts w:ascii="Arial" w:cs="Arial" w:eastAsia="Arial" w:hAnsi="Arial"/>
                <w:sz w:val="15"/>
                <w:szCs w:val="15"/>
                <w:b w:val="1"/>
                <w:bCs w:val="1"/>
                <w:color w:val="auto"/>
              </w:rPr>
              <w:t>fuels</w:t>
            </w: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Key Energy Services</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($10,771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3"/>
          </w:tcPr>
          <w:p>
            <w:pPr>
              <w:jc w:val="right"/>
              <w:ind w:right="2540"/>
              <w:spacing w:after="0"/>
              <w:rPr>
                <w:sz w:val="20"/>
                <w:szCs w:val="20"/>
                <w:color w:val="auto"/>
              </w:rPr>
            </w:pPr>
            <w:r>
              <w:rPr>
                <w:rFonts w:ascii="Arial" w:cs="Arial" w:eastAsia="Arial" w:hAnsi="Arial"/>
                <w:sz w:val="13"/>
                <w:szCs w:val="13"/>
                <w:color w:val="auto"/>
              </w:rPr>
              <w:t>(3)</w:t>
            </w:r>
          </w:p>
        </w:tc>
        <w:tc>
          <w:tcPr>
            <w:tcW w:w="2500" w:type="dxa"/>
            <w:vAlign w:val="bottom"/>
            <w:gridSpan w:val="2"/>
            <w:vMerge w:val="restart"/>
          </w:tcPr>
          <w:p>
            <w:pPr>
              <w:spacing w:after="0"/>
              <w:rPr>
                <w:sz w:val="20"/>
                <w:szCs w:val="20"/>
                <w:color w:val="auto"/>
              </w:rPr>
            </w:pPr>
            <w:r>
              <w:rPr>
                <w:rFonts w:ascii="Arial" w:cs="Arial" w:eastAsia="Arial" w:hAnsi="Arial"/>
                <w:sz w:val="15"/>
                <w:szCs w:val="15"/>
                <w:color w:val="auto"/>
              </w:rPr>
              <w:t>due 12/2021)</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11.25%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5/27/2015</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10,454</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10,717</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($51,537 par,</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13.00%</w:t>
            </w: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960" w:type="dxa"/>
            <w:vAlign w:val="bottom"/>
            <w:gridSpan w:val="2"/>
            <w:shd w:val="clear" w:color="auto" w:fill="CCEEFF"/>
          </w:tcPr>
          <w:p>
            <w:pPr>
              <w:ind w:left="1720"/>
              <w:spacing w:after="0"/>
              <w:rPr>
                <w:sz w:val="20"/>
                <w:szCs w:val="20"/>
                <w:color w:val="auto"/>
              </w:rPr>
            </w:pPr>
            <w:r>
              <w:rPr>
                <w:rFonts w:ascii="Arial" w:cs="Arial" w:eastAsia="Arial" w:hAnsi="Arial"/>
                <w:sz w:val="13"/>
                <w:szCs w:val="13"/>
                <w:color w:val="auto"/>
              </w:rPr>
              <w:t>(3)(7)</w:t>
            </w:r>
          </w:p>
        </w:tc>
        <w:tc>
          <w:tcPr>
            <w:tcW w:w="25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6/2018)</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9"/>
              </w:rPr>
              <w:t>(incl. 1.50%</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500" w:type="dxa"/>
            <w:vAlign w:val="bottom"/>
            <w:gridSpan w:val="2"/>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6/4/2014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51,078</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33,885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61,532</w:t>
            </w:r>
          </w:p>
        </w:tc>
        <w:tc>
          <w:tcPr>
            <w:tcW w:w="110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44,602</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Pharmaceuticals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Nektar Therapeutics</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Secured note ($74,950 par, due</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3"/>
          </w:tcPr>
          <w:p>
            <w:pPr>
              <w:jc w:val="right"/>
              <w:ind w:right="2280"/>
              <w:spacing w:after="0"/>
              <w:rPr>
                <w:sz w:val="20"/>
                <w:szCs w:val="20"/>
                <w:color w:val="auto"/>
              </w:rPr>
            </w:pPr>
            <w:r>
              <w:rPr>
                <w:rFonts w:ascii="Arial" w:cs="Arial" w:eastAsia="Arial" w:hAnsi="Arial"/>
                <w:sz w:val="13"/>
                <w:szCs w:val="13"/>
                <w:color w:val="auto"/>
              </w:rPr>
              <w:t>(4)(5)(9)</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10/2020)</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7.75%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10/5/2015</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74,184</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74,575</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Retail and consumer products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American Achievement Corporation</w:t>
            </w:r>
            <w:r>
              <w:rPr>
                <w:rFonts w:ascii="Arial" w:cs="Arial" w:eastAsia="Arial" w:hAnsi="Arial"/>
                <w:sz w:val="13"/>
                <w:szCs w:val="13"/>
                <w:color w:val="auto"/>
              </w:rPr>
              <w:t>(3)(5)</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($23,918 par, due</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9/2020)</w:t>
            </w:r>
          </w:p>
        </w:tc>
        <w:tc>
          <w:tcPr>
            <w:tcW w:w="22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23,652</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23,858</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Destination Maternity Corporation</w:t>
            </w:r>
            <w:r>
              <w:rPr>
                <w:rFonts w:ascii="Arial" w:cs="Arial" w:eastAsia="Arial" w:hAnsi="Arial"/>
                <w:sz w:val="13"/>
                <w:szCs w:val="13"/>
                <w:color w:val="auto"/>
              </w:rPr>
              <w:t>(3)(5)</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ABL FILO term loan ($17,371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3/2021)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3/25/2016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17,013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17,328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Payless Inc.</w:t>
            </w:r>
            <w:r>
              <w:rPr>
                <w:rFonts w:ascii="Arial" w:cs="Arial" w:eastAsia="Arial" w:hAnsi="Arial"/>
                <w:sz w:val="13"/>
                <w:szCs w:val="13"/>
                <w:color w:val="auto"/>
              </w:rPr>
              <w:t>(3)</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ABL FILO term loan ($50,000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due 3/2019)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8.00%</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10/3/2016</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48,736</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49,125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Quiksilver - Boardriders SA</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Bond (EUR 5,699 par, due 12/2020)</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5,170</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5/26/2015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6,036</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(EUR 4,901)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Sears</w:t>
            </w:r>
            <w:r>
              <w:rPr>
                <w:rFonts w:ascii="Arial" w:cs="Arial" w:eastAsia="Arial" w:hAnsi="Arial"/>
                <w:sz w:val="13"/>
                <w:szCs w:val="13"/>
                <w:color w:val="auto"/>
              </w:rPr>
              <w:t>(3)(4)(6)</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($3,642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due 6/2018)</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5.50%</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1/28/2016</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3,457</w:t>
            </w:r>
          </w:p>
        </w:tc>
        <w:tc>
          <w:tcPr>
            <w:tcW w:w="780" w:type="dxa"/>
            <w:vAlign w:val="bottom"/>
          </w:tcPr>
          <w:p>
            <w:pPr>
              <w:jc w:val="right"/>
              <w:spacing w:after="0"/>
              <w:rPr>
                <w:sz w:val="20"/>
                <w:szCs w:val="20"/>
                <w:color w:val="auto"/>
              </w:rPr>
            </w:pPr>
            <w:r>
              <w:rPr>
                <w:rFonts w:ascii="Arial" w:cs="Arial" w:eastAsia="Arial" w:hAnsi="Arial"/>
                <w:sz w:val="15"/>
                <w:szCs w:val="15"/>
                <w:color w:val="auto"/>
              </w:rPr>
              <w:t>3,487</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ABL loan ($22,727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7/2020)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3/18/2016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22,143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22,727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Toys ‘R’ Us-Delaware, Inc.</w:t>
            </w:r>
            <w:r>
              <w:rPr>
                <w:rFonts w:ascii="Arial" w:cs="Arial" w:eastAsia="Arial" w:hAnsi="Arial"/>
                <w:sz w:val="13"/>
                <w:szCs w:val="13"/>
                <w:color w:val="auto"/>
              </w:rPr>
              <w:t>(3)</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ABL FILO term loan ($25,500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due 10/2019)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10/9/2014</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25,349</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25,118</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146,386</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146,813</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6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Transportation</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Carrix,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($12,878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(3)</w:t>
            </w:r>
          </w:p>
        </w:tc>
        <w:tc>
          <w:tcPr>
            <w:tcW w:w="25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1/2019)</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4.50%</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3/17/2015</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12,342</w:t>
            </w:r>
          </w:p>
        </w:tc>
        <w:tc>
          <w:tcPr>
            <w:tcW w:w="11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12,610</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25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Total Debt Investments</w:t>
            </w: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w w:val="95"/>
              </w:rPr>
              <w:t>1,627,465</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1,629,836</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Equity and Other Investments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Chemicals</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Vertellus Specialties, Inc.</w:t>
            </w:r>
          </w:p>
        </w:tc>
        <w:tc>
          <w:tcPr>
            <w:tcW w:w="25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Common Units (2,672,990 units)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5"/>
              </w:rPr>
              <w:t>10/31/2016</w:t>
            </w: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3,828</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3,627</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Financial services</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AvidXchange, Inc.</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Series E Preferred Equity (214,132</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8/7/2015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3,846</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4,548</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Network Merchants, Inc.</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Non-Voting Preferred Units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(774,099 units)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9/12/2013</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780</w:t>
            </w:r>
          </w:p>
        </w:tc>
        <w:tc>
          <w:tcPr>
            <w:tcW w:w="780" w:type="dxa"/>
            <w:vAlign w:val="bottom"/>
          </w:tcPr>
          <w:p>
            <w:pPr>
              <w:jc w:val="right"/>
              <w:spacing w:after="0"/>
              <w:rPr>
                <w:sz w:val="20"/>
                <w:szCs w:val="20"/>
                <w:color w:val="auto"/>
              </w:rPr>
            </w:pPr>
            <w:r>
              <w:rPr>
                <w:rFonts w:ascii="Arial" w:cs="Arial" w:eastAsia="Arial" w:hAnsi="Arial"/>
                <w:sz w:val="15"/>
                <w:szCs w:val="15"/>
                <w:color w:val="auto"/>
              </w:rPr>
              <w:t>1,550</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TICC Capital Corp.</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Common Shares (995,419 shares)</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8/5/2015</w:t>
            </w:r>
          </w:p>
        </w:tc>
        <w:tc>
          <w:tcPr>
            <w:tcW w:w="92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6,673</w:t>
            </w:r>
          </w:p>
        </w:tc>
        <w:tc>
          <w:tcPr>
            <w:tcW w:w="78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6,580</w:t>
            </w:r>
          </w:p>
        </w:tc>
        <w:tc>
          <w:tcPr>
            <w:tcW w:w="32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jc w:val="right"/>
              <w:ind w:right="40"/>
              <w:spacing w:after="0" w:line="6" w:lineRule="exact"/>
              <w:rPr>
                <w:sz w:val="20"/>
                <w:szCs w:val="20"/>
                <w:color w:val="auto"/>
              </w:rPr>
            </w:pPr>
            <w:r>
              <w:rPr>
                <w:rFonts w:ascii="Arial" w:cs="Arial" w:eastAsia="Arial" w:hAnsi="Arial"/>
                <w:sz w:val="1"/>
                <w:szCs w:val="1"/>
                <w:color w:val="auto"/>
              </w:rPr>
              <w:t>0.7%</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(4)</w:t>
            </w:r>
          </w:p>
        </w:tc>
        <w:tc>
          <w:tcPr>
            <w:tcW w:w="2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11,299</w:t>
            </w:r>
          </w:p>
        </w:tc>
        <w:tc>
          <w:tcPr>
            <w:tcW w:w="110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12,678</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Healthcare</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Global Healthcare Exchange, LLC</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A (358</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shares)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3/11/2014</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358</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369</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Shares Class B (196</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3/11/2014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515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(4)</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Warrants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5"/>
                <w:szCs w:val="15"/>
                <w:color w:val="auto"/>
              </w:rPr>
              <w:t>685</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9/30/2014</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877</w:t>
            </w: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(EUR 648)</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SRS Parent Corp.</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Shares Class A</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(1,980 shares)</w:t>
            </w: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12/28/2012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1,980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B (2,953,020</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shares)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12/28/2012</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20</w:t>
            </w: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3,241</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2,594</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Initial</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5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20" w:type="dxa"/>
            <w:vAlign w:val="bottom"/>
          </w:tcPr>
          <w:p>
            <w:pPr>
              <w:spacing w:after="0"/>
              <w:rPr>
                <w:sz w:val="11"/>
                <w:szCs w:val="11"/>
                <w:color w:val="auto"/>
              </w:rPr>
            </w:pPr>
          </w:p>
        </w:tc>
        <w:tc>
          <w:tcPr>
            <w:tcW w:w="92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Amortized</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300" w:type="dxa"/>
            <w:vAlign w:val="bottom"/>
            <w:gridSpan w:val="2"/>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85"/>
              </w:rPr>
              <w:t>Interest</w:t>
            </w: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Date</w:t>
            </w:r>
          </w:p>
        </w:tc>
        <w:tc>
          <w:tcPr>
            <w:tcW w:w="20" w:type="dxa"/>
            <w:vAlign w:val="bottom"/>
          </w:tcPr>
          <w:p>
            <w:pPr>
              <w:spacing w:after="0"/>
              <w:rPr>
                <w:sz w:val="13"/>
                <w:szCs w:val="13"/>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Cost</w:t>
            </w:r>
            <w:r>
              <w:rPr>
                <w:rFonts w:ascii="Arial" w:cs="Arial" w:eastAsia="Arial" w:hAnsi="Arial"/>
                <w:sz w:val="10"/>
                <w:szCs w:val="10"/>
                <w:b w:val="1"/>
                <w:bCs w:val="1"/>
                <w:color w:val="auto"/>
                <w:w w:val="89"/>
              </w:rPr>
              <w:t>(2)(8)</w:t>
            </w: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142"/>
        </w:trPr>
        <w:tc>
          <w:tcPr>
            <w:tcW w:w="62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w w:val="71"/>
              </w:rPr>
              <w:t>Hotel,</w:t>
            </w:r>
          </w:p>
        </w:tc>
        <w:tc>
          <w:tcPr>
            <w:tcW w:w="36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5"/>
                <w:szCs w:val="15"/>
                <w:b w:val="1"/>
                <w:bCs w:val="1"/>
                <w:color w:val="auto"/>
              </w:rPr>
              <w:t>gaming, and leisure</w:t>
            </w:r>
          </w:p>
        </w:tc>
        <w:tc>
          <w:tcPr>
            <w:tcW w:w="2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43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Units (5,000,000 units)</w:t>
            </w: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9/29/2015</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3,897</w:t>
            </w: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98</w:t>
            </w:r>
          </w:p>
        </w:tc>
        <w:tc>
          <w:tcPr>
            <w:tcW w:w="24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300" w:type="dxa"/>
            <w:vAlign w:val="bottom"/>
            <w:gridSpan w:val="2"/>
          </w:tcPr>
          <w:p>
            <w:pPr>
              <w:ind w:left="1380"/>
              <w:spacing w:after="0"/>
              <w:rPr>
                <w:sz w:val="20"/>
                <w:szCs w:val="20"/>
                <w:color w:val="auto"/>
              </w:rPr>
            </w:pPr>
            <w:r>
              <w:rPr>
                <w:rFonts w:ascii="Arial" w:cs="Arial" w:eastAsia="Arial" w:hAnsi="Arial"/>
                <w:sz w:val="13"/>
                <w:szCs w:val="13"/>
                <w:color w:val="auto"/>
              </w:rPr>
              <w:t>(7)</w:t>
            </w: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5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Class C-1 Units (8,800,000 units)</w:t>
            </w: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9/29/2015</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3,997</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146</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Oil, gas and consumable fuels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3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Member Units (933 units)</w:t>
            </w: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6/4/2014</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8,874</w:t>
            </w:r>
          </w:p>
        </w:tc>
        <w:tc>
          <w:tcPr>
            <w:tcW w:w="220" w:type="dxa"/>
            <w:vAlign w:val="bottom"/>
            <w:shd w:val="clear" w:color="auto" w:fill="CCEEFF"/>
          </w:tcPr>
          <w:p>
            <w:pPr>
              <w:spacing w:after="0" w:line="20" w:lineRule="exact"/>
              <w:rPr>
                <w:sz w:val="1"/>
                <w:szCs w:val="1"/>
                <w:color w:val="auto"/>
              </w:rPr>
            </w:pPr>
          </w:p>
        </w:tc>
        <w:tc>
          <w:tcPr>
            <w:tcW w:w="960" w:type="dxa"/>
            <w:vAlign w:val="bottom"/>
            <w:gridSpan w:val="2"/>
            <w:shd w:val="clear" w:color="auto" w:fill="CCEEFF"/>
          </w:tcPr>
          <w:p>
            <w:pPr>
              <w:ind w:left="480"/>
              <w:spacing w:after="0" w:line="6" w:lineRule="exact"/>
              <w:rPr>
                <w:sz w:val="20"/>
                <w:szCs w:val="20"/>
                <w:color w:val="auto"/>
              </w:rPr>
            </w:pPr>
            <w:r>
              <w:rPr>
                <w:rFonts w:ascii="Arial" w:cs="Arial" w:eastAsia="Arial" w:hAnsi="Arial"/>
                <w:sz w:val="1"/>
                <w:szCs w:val="1"/>
                <w:color w:val="auto"/>
              </w:rPr>
              <w:t>—</w:t>
            </w: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300" w:type="dxa"/>
            <w:vAlign w:val="bottom"/>
            <w:gridSpan w:val="2"/>
          </w:tcPr>
          <w:p>
            <w:pPr>
              <w:ind w:left="1740"/>
              <w:spacing w:after="0"/>
              <w:rPr>
                <w:sz w:val="20"/>
                <w:szCs w:val="20"/>
                <w:color w:val="auto"/>
              </w:rPr>
            </w:pPr>
            <w:r>
              <w:rPr>
                <w:rFonts w:ascii="Arial" w:cs="Arial" w:eastAsia="Arial" w:hAnsi="Arial"/>
                <w:sz w:val="13"/>
                <w:szCs w:val="13"/>
                <w:color w:val="auto"/>
              </w:rPr>
              <w:t>(7)</w:t>
            </w: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Other</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gridSpan w:val="2"/>
          </w:tcPr>
          <w:p>
            <w:pPr>
              <w:spacing w:after="0" w:line="162" w:lineRule="exact"/>
              <w:rPr>
                <w:sz w:val="20"/>
                <w:szCs w:val="20"/>
                <w:color w:val="auto"/>
              </w:rPr>
            </w:pPr>
            <w:r>
              <w:rPr>
                <w:rFonts w:ascii="Arial" w:cs="Arial" w:eastAsia="Arial" w:hAnsi="Arial"/>
                <w:sz w:val="15"/>
                <w:szCs w:val="15"/>
                <w:color w:val="auto"/>
              </w:rPr>
              <w:t>Oak Hill Credit Partners</w:t>
            </w:r>
            <w:r>
              <w:rPr>
                <w:rFonts w:ascii="Arial" w:cs="Arial" w:eastAsia="Arial" w:hAnsi="Arial"/>
                <w:sz w:val="13"/>
                <w:szCs w:val="13"/>
                <w:color w:val="auto"/>
              </w:rPr>
              <w:t>(4)(6)</w:t>
            </w:r>
          </w:p>
        </w:tc>
        <w:tc>
          <w:tcPr>
            <w:tcW w:w="2500" w:type="dxa"/>
            <w:vAlign w:val="bottom"/>
            <w:gridSpan w:val="2"/>
          </w:tcPr>
          <w:p>
            <w:pPr>
              <w:spacing w:after="0" w:line="162" w:lineRule="exact"/>
              <w:rPr>
                <w:sz w:val="20"/>
                <w:szCs w:val="20"/>
                <w:color w:val="auto"/>
              </w:rPr>
            </w:pPr>
            <w:r>
              <w:rPr>
                <w:rFonts w:ascii="Arial" w:cs="Arial" w:eastAsia="Arial" w:hAnsi="Arial"/>
                <w:sz w:val="15"/>
                <w:szCs w:val="15"/>
                <w:color w:val="auto"/>
              </w:rPr>
              <w:t>Structured Product</w:t>
            </w:r>
          </w:p>
        </w:tc>
        <w:tc>
          <w:tcPr>
            <w:tcW w:w="8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6.38%</w:t>
            </w:r>
          </w:p>
        </w:tc>
        <w:tc>
          <w:tcPr>
            <w:tcW w:w="10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8/21/2015</w:t>
            </w:r>
          </w:p>
        </w:tc>
        <w:tc>
          <w:tcPr>
            <w:tcW w:w="7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3,345</w:t>
            </w:r>
          </w:p>
        </w:tc>
        <w:tc>
          <w:tcPr>
            <w:tcW w:w="2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3,162</w:t>
            </w:r>
          </w:p>
        </w:tc>
        <w:tc>
          <w:tcPr>
            <w:tcW w:w="24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6"/>
        </w:trPr>
        <w:tc>
          <w:tcPr>
            <w:tcW w:w="43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Symphony</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Structured Product</w:t>
            </w:r>
          </w:p>
        </w:tc>
        <w:tc>
          <w:tcPr>
            <w:tcW w:w="82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6.63%</w:t>
            </w: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11/17/2014</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5,638</w:t>
            </w: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5,360</w:t>
            </w:r>
          </w:p>
        </w:tc>
        <w:tc>
          <w:tcPr>
            <w:tcW w:w="24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0.6%</w:t>
            </w:r>
          </w:p>
        </w:tc>
        <w:tc>
          <w:tcPr>
            <w:tcW w:w="0" w:type="dxa"/>
            <w:vAlign w:val="bottom"/>
          </w:tcPr>
          <w:p>
            <w:pPr>
              <w:spacing w:after="0" w:line="20" w:lineRule="exact"/>
              <w:rPr>
                <w:sz w:val="1"/>
                <w:szCs w:val="1"/>
                <w:color w:val="auto"/>
              </w:rPr>
            </w:pPr>
          </w:p>
        </w:tc>
      </w:tr>
      <w:tr>
        <w:trPr>
          <w:trHeight w:val="156"/>
        </w:trPr>
        <w:tc>
          <w:tcPr>
            <w:tcW w:w="43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(4)(6)</w:t>
            </w:r>
          </w:p>
        </w:tc>
        <w:tc>
          <w:tcPr>
            <w:tcW w:w="2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8,983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8,522</w:t>
            </w:r>
          </w:p>
        </w:tc>
        <w:tc>
          <w:tcPr>
            <w:tcW w:w="240" w:type="dxa"/>
            <w:vAlign w:val="bottom"/>
          </w:tcPr>
          <w:p>
            <w:pPr>
              <w:spacing w:after="0"/>
              <w:rPr>
                <w:sz w:val="14"/>
                <w:szCs w:val="14"/>
                <w:color w:val="auto"/>
              </w:rPr>
            </w:pP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3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40,222</w:t>
            </w:r>
          </w:p>
        </w:tc>
        <w:tc>
          <w:tcPr>
            <w:tcW w:w="240" w:type="dxa"/>
            <w:vAlign w:val="bottom"/>
            <w:gridSpan w:val="2"/>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27,567</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Investments</w:t>
            </w: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00" w:type="dxa"/>
            <w:vAlign w:val="bottom"/>
            <w:gridSpan w:val="2"/>
            <w:vMerge w:val="continue"/>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1,667,687</w:t>
            </w: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1,657,403</w:t>
            </w:r>
          </w:p>
        </w:tc>
        <w:tc>
          <w:tcPr>
            <w:tcW w:w="240" w:type="dxa"/>
            <w:vAlign w:val="bottom"/>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173.8%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40" w:hanging="332"/>
        <w:spacing w:after="0" w:line="225" w:lineRule="auto"/>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ind w:left="340" w:right="360" w:hanging="332"/>
        <w:spacing w:after="0" w:line="24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4"/>
          <w:szCs w:val="14"/>
          <w:color w:val="auto"/>
        </w:rPr>
      </w:pPr>
    </w:p>
    <w:p>
      <w:pPr>
        <w:ind w:left="340" w:hanging="332"/>
        <w:spacing w:after="0" w:line="225" w:lineRule="auto"/>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ind w:left="340" w:right="60" w:hanging="332"/>
        <w:spacing w:after="0" w:line="232" w:lineRule="auto"/>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2016 in which the issuer was an Affiliated Person of and was deemed to Control a portfolio company are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Controlled, Affiliated Investments during the year ended December 31,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2"/>
                <w:szCs w:val="12"/>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90"/>
              </w:rPr>
              <w:t>Fair Value at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p>
        </w:tc>
        <w:tc>
          <w:tcPr>
            <w:tcW w:w="1100" w:type="dxa"/>
            <w:vAlign w:val="bottom"/>
            <w:gridSpan w:val="3"/>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Additions</w:t>
            </w: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Reductions</w:t>
            </w:r>
          </w:p>
        </w:tc>
        <w:tc>
          <w:tcPr>
            <w:tcW w:w="18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360" w:type="dxa"/>
            <w:vAlign w:val="bottom"/>
          </w:tcPr>
          <w:p>
            <w:pPr>
              <w:spacing w:after="0"/>
              <w:rPr>
                <w:sz w:val="11"/>
                <w:szCs w:val="11"/>
                <w:color w:val="auto"/>
              </w:rPr>
            </w:pPr>
          </w:p>
        </w:tc>
        <w:tc>
          <w:tcPr>
            <w:tcW w:w="1100" w:type="dxa"/>
            <w:vAlign w:val="bottom"/>
            <w:gridSpan w:val="3"/>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December 30,</w:t>
            </w:r>
          </w:p>
        </w:tc>
        <w:tc>
          <w:tcPr>
            <w:tcW w:w="5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3"/>
              </w:rPr>
              <w:t>Interest</w:t>
            </w:r>
          </w:p>
        </w:tc>
        <w:tc>
          <w:tcPr>
            <w:tcW w:w="0" w:type="dxa"/>
            <w:vAlign w:val="bottom"/>
          </w:tcPr>
          <w:p>
            <w:pPr>
              <w:spacing w:after="0"/>
              <w:rPr>
                <w:sz w:val="1"/>
                <w:szCs w:val="1"/>
                <w:color w:val="auto"/>
              </w:rPr>
            </w:pPr>
          </w:p>
        </w:tc>
      </w:tr>
      <w:tr>
        <w:trPr>
          <w:trHeight w:val="153"/>
        </w:trPr>
        <w:tc>
          <w:tcPr>
            <w:tcW w:w="3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(a)</w:t>
            </w:r>
          </w:p>
        </w:tc>
        <w:tc>
          <w:tcPr>
            <w:tcW w:w="100" w:type="dxa"/>
            <w:vAlign w:val="bottom"/>
          </w:tcPr>
          <w:p>
            <w:pPr>
              <w:spacing w:after="0"/>
              <w:rPr>
                <w:sz w:val="13"/>
                <w:szCs w:val="13"/>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(b)</w:t>
            </w:r>
          </w:p>
        </w:tc>
        <w:tc>
          <w:tcPr>
            <w:tcW w:w="18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2016</w:t>
            </w:r>
          </w:p>
        </w:tc>
        <w:tc>
          <w:tcPr>
            <w:tcW w:w="3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3"/>
              </w:rPr>
              <w:t>Mississippi</w:t>
            </w:r>
          </w:p>
        </w:tc>
        <w:tc>
          <w:tcPr>
            <w:tcW w:w="344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60" w:type="dxa"/>
            <w:vAlign w:val="bottom"/>
            <w:tcBorders>
              <w:top w:val="single" w:sz="8" w:color="auto"/>
            </w:tcBorders>
            <w:shd w:val="clear" w:color="auto" w:fill="CCEEFF"/>
          </w:tcPr>
          <w:p>
            <w:pPr>
              <w:jc w:val="right"/>
              <w:ind w:right="10"/>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36,682</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5,491</w:t>
            </w: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w w:val="74"/>
              </w:rPr>
              <w:t>(494)</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(7,794)</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33,885</w:t>
            </w: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200</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$6,746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tcPr>
          <w:p>
            <w:pPr>
              <w:spacing w:after="0" w:line="162" w:lineRule="exact"/>
              <w:rPr>
                <w:sz w:val="20"/>
                <w:szCs w:val="20"/>
                <w:color w:val="auto"/>
              </w:rPr>
            </w:pPr>
            <w:r>
              <w:rPr>
                <w:rFonts w:ascii="Arial" w:cs="Arial" w:eastAsia="Arial" w:hAnsi="Arial"/>
                <w:sz w:val="15"/>
                <w:szCs w:val="15"/>
                <w:color w:val="auto"/>
              </w:rPr>
              <w:t>IRGSE Holding Corp.</w:t>
            </w:r>
          </w:p>
        </w:tc>
        <w:tc>
          <w:tcPr>
            <w:tcW w:w="160" w:type="dxa"/>
            <w:vAlign w:val="bottom"/>
          </w:tcPr>
          <w:p>
            <w:pPr>
              <w:spacing w:after="0"/>
              <w:rPr>
                <w:sz w:val="14"/>
                <w:szCs w:val="14"/>
                <w:color w:val="auto"/>
              </w:rPr>
            </w:pPr>
          </w:p>
        </w:tc>
        <w:tc>
          <w:tcPr>
            <w:tcW w:w="9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26,816</w:t>
            </w: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8,358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(3,200)</w:t>
            </w:r>
          </w:p>
        </w:tc>
        <w:tc>
          <w:tcPr>
            <w:tcW w:w="120" w:type="dxa"/>
            <w:vAlign w:val="bottom"/>
          </w:tcPr>
          <w:p>
            <w:pPr>
              <w:spacing w:after="0"/>
              <w:rPr>
                <w:sz w:val="14"/>
                <w:szCs w:val="14"/>
                <w:color w:val="auto"/>
              </w:rPr>
            </w:pPr>
          </w:p>
        </w:tc>
        <w:tc>
          <w:tcPr>
            <w:tcW w:w="62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31,974</w:t>
            </w:r>
          </w:p>
        </w:tc>
        <w:tc>
          <w:tcPr>
            <w:tcW w:w="120" w:type="dxa"/>
            <w:vAlign w:val="bottom"/>
          </w:tcPr>
          <w:p>
            <w:pPr>
              <w:spacing w:after="0"/>
              <w:rPr>
                <w:sz w:val="14"/>
                <w:szCs w:val="14"/>
                <w:color w:val="auto"/>
              </w:rPr>
            </w:pPr>
          </w:p>
        </w:tc>
        <w:tc>
          <w:tcPr>
            <w:tcW w:w="4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4</w:t>
            </w:r>
          </w:p>
        </w:tc>
        <w:tc>
          <w:tcPr>
            <w:tcW w:w="6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jc w:val="right"/>
              <w:ind w:right="10"/>
              <w:spacing w:after="0" w:line="162" w:lineRule="exact"/>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63,498</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w w:val="91"/>
              </w:rPr>
              <w:t>13,849</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7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(494)</w:t>
            </w:r>
          </w:p>
        </w:tc>
        <w:tc>
          <w:tcPr>
            <w:tcW w:w="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w w:val="96"/>
              </w:rPr>
              <w:t>(10,994)</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b w:val="1"/>
                <w:bCs w:val="1"/>
                <w:color w:val="auto"/>
              </w:rPr>
              <w:t>—</w:t>
            </w:r>
          </w:p>
        </w:tc>
        <w:tc>
          <w:tcPr>
            <w:tcW w:w="520" w:type="dxa"/>
            <w:vAlign w:val="bottom"/>
            <w:gridSpan w:val="2"/>
            <w:shd w:val="clear" w:color="auto" w:fill="CCEEFF"/>
          </w:tcPr>
          <w:p>
            <w:pPr>
              <w:jc w:val="right"/>
              <w:ind w:right="12"/>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65,859</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4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204</w:t>
            </w:r>
          </w:p>
        </w:tc>
        <w:tc>
          <w:tcPr>
            <w:tcW w:w="64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9,975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0" w:right="180" w:hanging="454"/>
        <w:spacing w:after="0" w:line="233" w:lineRule="auto"/>
        <w:tabs>
          <w:tab w:leader="none" w:pos="80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premiums on debt investments, as applicable.</w:t>
      </w:r>
    </w:p>
    <w:p>
      <w:pPr>
        <w:ind w:left="340" w:hanging="332"/>
        <w:spacing w:after="0" w:line="225" w:lineRule="auto"/>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As of December 31, 2016, the tax cost of the Company’s investments approximates their amortized cost.</w:t>
      </w:r>
    </w:p>
    <w:p>
      <w:pPr>
        <w:ind w:left="340" w:right="400" w:hanging="332"/>
        <w:spacing w:after="0" w:line="239" w:lineRule="auto"/>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760" w:type="dxa"/>
            <w:vAlign w:val="bottom"/>
          </w:tcPr>
          <w:p>
            <w:pPr>
              <w:spacing w:after="0"/>
              <w:rPr>
                <w:sz w:val="12"/>
                <w:szCs w:val="12"/>
                <w:color w:val="auto"/>
              </w:rPr>
            </w:pPr>
          </w:p>
        </w:tc>
        <w:tc>
          <w:tcPr>
            <w:tcW w:w="24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Debt Investments Automotive</w:t>
            </w:r>
          </w:p>
        </w:tc>
        <w:tc>
          <w:tcPr>
            <w:tcW w:w="176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40" w:type="dxa"/>
            <w:vAlign w:val="bottom"/>
            <w:gridSpan w:val="2"/>
          </w:tcPr>
          <w:p>
            <w:pPr>
              <w:spacing w:after="0" w:line="122" w:lineRule="exact"/>
              <w:rPr>
                <w:sz w:val="20"/>
                <w:szCs w:val="20"/>
                <w:color w:val="auto"/>
              </w:rPr>
            </w:pPr>
            <w:r>
              <w:rPr>
                <w:rFonts w:ascii="Arial" w:cs="Arial" w:eastAsia="Arial" w:hAnsi="Arial"/>
                <w:sz w:val="14"/>
                <w:szCs w:val="14"/>
                <w:color w:val="auto"/>
              </w:rPr>
              <w:t>Heartland Automotive Holdings, LLC</w:t>
            </w:r>
          </w:p>
        </w:tc>
        <w:tc>
          <w:tcPr>
            <w:tcW w:w="1760" w:type="dxa"/>
            <w:vAlign w:val="bottom"/>
            <w:vMerge w:val="restart"/>
          </w:tcPr>
          <w:p>
            <w:pPr>
              <w:jc w:val="right"/>
              <w:ind w:right="1535"/>
              <w:spacing w:after="0"/>
              <w:rPr>
                <w:sz w:val="20"/>
                <w:szCs w:val="20"/>
                <w:color w:val="auto"/>
              </w:rPr>
            </w:pPr>
            <w:r>
              <w:rPr>
                <w:rFonts w:ascii="Arial" w:cs="Arial" w:eastAsia="Arial" w:hAnsi="Arial"/>
                <w:sz w:val="13"/>
                <w:szCs w:val="13"/>
                <w:color w:val="auto"/>
                <w:w w:val="87"/>
              </w:rPr>
              <w:t>(3)</w:t>
            </w:r>
          </w:p>
        </w:tc>
        <w:tc>
          <w:tcPr>
            <w:tcW w:w="2400" w:type="dxa"/>
            <w:vAlign w:val="bottom"/>
            <w:gridSpan w:val="2"/>
          </w:tcPr>
          <w:p>
            <w:pPr>
              <w:spacing w:after="0" w:line="122" w:lineRule="exact"/>
              <w:rPr>
                <w:sz w:val="20"/>
                <w:szCs w:val="20"/>
                <w:color w:val="auto"/>
              </w:rPr>
            </w:pPr>
            <w:r>
              <w:rPr>
                <w:rFonts w:ascii="Arial" w:cs="Arial" w:eastAsia="Arial" w:hAnsi="Arial"/>
                <w:sz w:val="14"/>
                <w:szCs w:val="14"/>
                <w:color w:val="auto"/>
              </w:rPr>
              <w:t>First-lien loan ($31,271 par,</w:t>
            </w: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7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6/2017)</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9.75%</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8/28/2012</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  30,977</w:t>
            </w: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  30,176</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($2,722 par, due 6/2017)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10.75%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8/28/2012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w:t>
            </w: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2,528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33,652</w:t>
            </w: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32,704</w:t>
            </w:r>
          </w:p>
        </w:tc>
        <w:tc>
          <w:tcPr>
            <w:tcW w:w="10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2"/>
        </w:trPr>
        <w:tc>
          <w:tcPr>
            <w:tcW w:w="23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w w:val="99"/>
              </w:rPr>
              <w:t>Beverage, food and tobacco</w:t>
            </w:r>
          </w:p>
        </w:tc>
        <w:tc>
          <w:tcPr>
            <w:tcW w:w="17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AFS Technologies,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($63,660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tcPr>
          <w:p>
            <w:pPr>
              <w:ind w:left="1460"/>
              <w:spacing w:after="0"/>
              <w:rPr>
                <w:sz w:val="20"/>
                <w:szCs w:val="20"/>
                <w:color w:val="auto"/>
              </w:rPr>
            </w:pPr>
            <w:r>
              <w:rPr>
                <w:rFonts w:ascii="Arial" w:cs="Arial" w:eastAsia="Arial" w:hAnsi="Arial"/>
                <w:sz w:val="13"/>
                <w:szCs w:val="13"/>
                <w:color w:val="auto"/>
              </w:rPr>
              <w:t>(3)(5)</w:t>
            </w:r>
          </w:p>
        </w:tc>
        <w:tc>
          <w:tcPr>
            <w:tcW w:w="1760" w:type="dxa"/>
            <w:vAlign w:val="bottom"/>
          </w:tcPr>
          <w:p>
            <w:pPr>
              <w:spacing w:after="0"/>
              <w:rPr>
                <w:sz w:val="14"/>
                <w:szCs w:val="14"/>
                <w:color w:val="auto"/>
              </w:rPr>
            </w:pP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3/2020)</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3/3/2014</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62,575</w:t>
            </w: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62,705</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Business services</w:t>
            </w:r>
          </w:p>
        </w:tc>
        <w:tc>
          <w:tcPr>
            <w:tcW w:w="17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Actian Corporation</w:t>
            </w:r>
            <w:r>
              <w:rPr>
                <w:rFonts w:ascii="Arial" w:cs="Arial" w:eastAsia="Arial" w:hAnsi="Arial"/>
                <w:sz w:val="13"/>
                <w:szCs w:val="13"/>
                <w:color w:val="auto"/>
              </w:rPr>
              <w:t>(3)(5)</w:t>
            </w:r>
          </w:p>
        </w:tc>
        <w:tc>
          <w:tcPr>
            <w:tcW w:w="176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($59,915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4/2018)</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7.50%</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4/11/2013</w:t>
            </w:r>
          </w:p>
        </w:tc>
        <w:tc>
          <w:tcPr>
            <w:tcW w:w="660" w:type="dxa"/>
            <w:vAlign w:val="bottom"/>
          </w:tcPr>
          <w:p>
            <w:pPr>
              <w:jc w:val="right"/>
              <w:spacing w:after="0"/>
              <w:rPr>
                <w:sz w:val="20"/>
                <w:szCs w:val="20"/>
                <w:color w:val="auto"/>
              </w:rPr>
            </w:pPr>
            <w:r>
              <w:rPr>
                <w:rFonts w:ascii="Arial" w:cs="Arial" w:eastAsia="Arial" w:hAnsi="Arial"/>
                <w:sz w:val="15"/>
                <w:szCs w:val="15"/>
                <w:color w:val="auto"/>
              </w:rPr>
              <w:t>58,781</w:t>
            </w: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62,462</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Bullhorn,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($45,000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(3)(5)</w:t>
            </w:r>
          </w:p>
        </w:tc>
        <w:tc>
          <w:tcPr>
            <w:tcW w:w="1760" w:type="dxa"/>
            <w:vAlign w:val="bottom"/>
            <w:shd w:val="clear" w:color="auto" w:fill="CCEEFF"/>
          </w:tcPr>
          <w:p>
            <w:pPr>
              <w:spacing w:after="0"/>
              <w:rPr>
                <w:sz w:val="14"/>
                <w:szCs w:val="14"/>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11/2020)</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8.50%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8"/>
              </w:rPr>
              <w:t>11/12/2015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43,916</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43,763</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Clarabridge, Inc.</w:t>
            </w:r>
            <w:r>
              <w:rPr>
                <w:rFonts w:ascii="Arial" w:cs="Arial" w:eastAsia="Arial" w:hAnsi="Arial"/>
                <w:sz w:val="13"/>
                <w:szCs w:val="13"/>
                <w:color w:val="auto"/>
              </w:rPr>
              <w:t>(3)</w:t>
            </w:r>
          </w:p>
        </w:tc>
        <w:tc>
          <w:tcPr>
            <w:tcW w:w="176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($22,388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4/2019)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8.50%</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5/20/2015</w:t>
            </w:r>
          </w:p>
        </w:tc>
        <w:tc>
          <w:tcPr>
            <w:tcW w:w="660" w:type="dxa"/>
            <w:vAlign w:val="bottom"/>
          </w:tcPr>
          <w:p>
            <w:pPr>
              <w:jc w:val="right"/>
              <w:spacing w:after="0"/>
              <w:rPr>
                <w:sz w:val="20"/>
                <w:szCs w:val="20"/>
                <w:color w:val="auto"/>
              </w:rPr>
            </w:pPr>
            <w:r>
              <w:rPr>
                <w:rFonts w:ascii="Arial" w:cs="Arial" w:eastAsia="Arial" w:hAnsi="Arial"/>
                <w:sz w:val="15"/>
                <w:szCs w:val="15"/>
                <w:color w:val="auto"/>
              </w:rPr>
              <w:t>21,963</w:t>
            </w: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21,641</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Idera,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($62,500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(3)</w:t>
            </w:r>
          </w:p>
        </w:tc>
        <w:tc>
          <w:tcPr>
            <w:tcW w:w="1760" w:type="dxa"/>
            <w:vAlign w:val="bottom"/>
            <w:shd w:val="clear" w:color="auto" w:fill="CCEEFF"/>
          </w:tcPr>
          <w:p>
            <w:pPr>
              <w:spacing w:after="0"/>
              <w:rPr>
                <w:sz w:val="14"/>
                <w:szCs w:val="14"/>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4/2021)</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6.50%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10/9/2015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56,446</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55,937</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Leaf US Holdings, Inc.</w:t>
            </w:r>
            <w:r>
              <w:rPr>
                <w:rFonts w:ascii="Arial" w:cs="Arial" w:eastAsia="Arial" w:hAnsi="Arial"/>
                <w:sz w:val="13"/>
                <w:szCs w:val="13"/>
                <w:color w:val="auto"/>
              </w:rPr>
              <w:t>(3)(4)</w:t>
            </w:r>
          </w:p>
        </w:tc>
        <w:tc>
          <w:tcPr>
            <w:tcW w:w="176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($28,565 par, due</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6/2019)</w:t>
            </w:r>
          </w:p>
        </w:tc>
        <w:tc>
          <w:tcPr>
            <w:tcW w:w="12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7.50%</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6/30/2014</w:t>
            </w:r>
          </w:p>
        </w:tc>
        <w:tc>
          <w:tcPr>
            <w:tcW w:w="660" w:type="dxa"/>
            <w:vAlign w:val="bottom"/>
          </w:tcPr>
          <w:p>
            <w:pPr>
              <w:jc w:val="right"/>
              <w:spacing w:after="0"/>
              <w:rPr>
                <w:sz w:val="20"/>
                <w:szCs w:val="20"/>
                <w:color w:val="auto"/>
              </w:rPr>
            </w:pPr>
            <w:r>
              <w:rPr>
                <w:rFonts w:ascii="Arial" w:cs="Arial" w:eastAsia="Arial" w:hAnsi="Arial"/>
                <w:sz w:val="15"/>
                <w:szCs w:val="15"/>
                <w:color w:val="auto"/>
              </w:rPr>
              <w:t>28,085</w:t>
            </w: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27,877</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Network Merchants,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($25,782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1540"/>
              <w:spacing w:after="0"/>
              <w:rPr>
                <w:sz w:val="20"/>
                <w:szCs w:val="20"/>
                <w:color w:val="auto"/>
              </w:rPr>
            </w:pPr>
            <w:r>
              <w:rPr>
                <w:rFonts w:ascii="Arial" w:cs="Arial" w:eastAsia="Arial" w:hAnsi="Arial"/>
                <w:sz w:val="13"/>
                <w:szCs w:val="13"/>
                <w:color w:val="auto"/>
              </w:rPr>
              <w:t>(3)</w:t>
            </w:r>
          </w:p>
        </w:tc>
        <w:tc>
          <w:tcPr>
            <w:tcW w:w="1760" w:type="dxa"/>
            <w:vAlign w:val="bottom"/>
            <w:shd w:val="clear" w:color="auto" w:fill="CCEEFF"/>
          </w:tcPr>
          <w:p>
            <w:pPr>
              <w:spacing w:after="0"/>
              <w:rPr>
                <w:sz w:val="14"/>
                <w:szCs w:val="14"/>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9/2018)</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7.75%</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9/12/2013</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25,481</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25,981</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ScentAir Technologies,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($18,857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tcPr>
          <w:p>
            <w:pPr>
              <w:ind w:left="1720"/>
              <w:spacing w:after="0"/>
              <w:rPr>
                <w:sz w:val="20"/>
                <w:szCs w:val="20"/>
                <w:color w:val="auto"/>
              </w:rPr>
            </w:pPr>
            <w:r>
              <w:rPr>
                <w:rFonts w:ascii="Arial" w:cs="Arial" w:eastAsia="Arial" w:hAnsi="Arial"/>
                <w:sz w:val="13"/>
                <w:szCs w:val="13"/>
                <w:color w:val="auto"/>
              </w:rPr>
              <w:t>(3)</w:t>
            </w:r>
          </w:p>
        </w:tc>
        <w:tc>
          <w:tcPr>
            <w:tcW w:w="1760" w:type="dxa"/>
            <w:vAlign w:val="bottom"/>
          </w:tcPr>
          <w:p>
            <w:pPr>
              <w:spacing w:after="0"/>
              <w:rPr>
                <w:sz w:val="14"/>
                <w:szCs w:val="14"/>
                <w:color w:val="auto"/>
              </w:rPr>
            </w:pP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12/2019)</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7.50%</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8"/>
              </w:rPr>
              <w:t>12/30/2014</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18,505</w:t>
            </w:r>
          </w:p>
        </w:tc>
        <w:tc>
          <w:tcPr>
            <w:tcW w:w="260" w:type="dxa"/>
            <w:vAlign w:val="bottom"/>
            <w:vMerge w:val="restart"/>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18,463</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253,177</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256,124</w:t>
            </w:r>
          </w:p>
        </w:tc>
        <w:tc>
          <w:tcPr>
            <w:tcW w:w="10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31.1%</w:t>
            </w:r>
          </w:p>
        </w:tc>
        <w:tc>
          <w:tcPr>
            <w:tcW w:w="0" w:type="dxa"/>
            <w:vAlign w:val="bottom"/>
          </w:tcPr>
          <w:p>
            <w:pPr>
              <w:spacing w:after="0"/>
              <w:rPr>
                <w:sz w:val="1"/>
                <w:szCs w:val="1"/>
                <w:color w:val="auto"/>
              </w:rPr>
            </w:pPr>
          </w:p>
        </w:tc>
      </w:tr>
      <w:tr>
        <w:trPr>
          <w:trHeight w:val="169"/>
        </w:trPr>
        <w:tc>
          <w:tcPr>
            <w:tcW w:w="2340" w:type="dxa"/>
            <w:vAlign w:val="bottom"/>
            <w:gridSpan w:val="2"/>
          </w:tcPr>
          <w:p>
            <w:pPr>
              <w:ind w:left="320"/>
              <w:spacing w:after="0" w:line="169" w:lineRule="exact"/>
              <w:rPr>
                <w:sz w:val="20"/>
                <w:szCs w:val="20"/>
                <w:color w:val="auto"/>
              </w:rPr>
            </w:pPr>
            <w:r>
              <w:rPr>
                <w:rFonts w:ascii="Arial" w:cs="Arial" w:eastAsia="Arial" w:hAnsi="Arial"/>
                <w:sz w:val="15"/>
                <w:szCs w:val="15"/>
                <w:b w:val="1"/>
                <w:bCs w:val="1"/>
                <w:color w:val="auto"/>
              </w:rPr>
              <w:t>Chemicals</w:t>
            </w: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Vertellus Specialties,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($10,839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1560"/>
              <w:spacing w:after="0"/>
              <w:rPr>
                <w:sz w:val="20"/>
                <w:szCs w:val="20"/>
                <w:color w:val="auto"/>
              </w:rPr>
            </w:pPr>
            <w:r>
              <w:rPr>
                <w:rFonts w:ascii="Arial" w:cs="Arial" w:eastAsia="Arial" w:hAnsi="Arial"/>
                <w:sz w:val="13"/>
                <w:szCs w:val="13"/>
                <w:color w:val="auto"/>
              </w:rPr>
              <w:t>(3)</w:t>
            </w:r>
          </w:p>
        </w:tc>
        <w:tc>
          <w:tcPr>
            <w:tcW w:w="1760" w:type="dxa"/>
            <w:vAlign w:val="bottom"/>
            <w:shd w:val="clear" w:color="auto" w:fill="CCEEFF"/>
          </w:tcPr>
          <w:p>
            <w:pPr>
              <w:spacing w:after="0"/>
              <w:rPr>
                <w:sz w:val="14"/>
                <w:szCs w:val="14"/>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10/2019)</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10.50%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8"/>
              </w:rPr>
              <w:t>10/31/2014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10,148</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7,804</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Education</w:t>
            </w: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Campus Management, Inc.</w:t>
            </w:r>
            <w:r>
              <w:rPr>
                <w:rFonts w:ascii="Arial" w:cs="Arial" w:eastAsia="Arial" w:hAnsi="Arial"/>
                <w:sz w:val="13"/>
                <w:szCs w:val="13"/>
                <w:color w:val="auto"/>
              </w:rPr>
              <w:t>(3)(5)</w:t>
            </w:r>
          </w:p>
        </w:tc>
        <w:tc>
          <w:tcPr>
            <w:tcW w:w="176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($26,277 par,</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9/2018)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9/30/2013</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25,879</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26,277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62"/>
        </w:trPr>
        <w:tc>
          <w:tcPr>
            <w:tcW w:w="234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Electronics</w:t>
            </w: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MyAlarm Center, LLC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($62,371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1420"/>
              <w:spacing w:after="0"/>
              <w:rPr>
                <w:sz w:val="20"/>
                <w:szCs w:val="20"/>
                <w:color w:val="auto"/>
              </w:rPr>
            </w:pPr>
            <w:r>
              <w:rPr>
                <w:rFonts w:ascii="Arial" w:cs="Arial" w:eastAsia="Arial" w:hAnsi="Arial"/>
                <w:sz w:val="13"/>
                <w:szCs w:val="13"/>
                <w:color w:val="auto"/>
              </w:rPr>
              <w:t>(3)</w:t>
            </w:r>
          </w:p>
        </w:tc>
        <w:tc>
          <w:tcPr>
            <w:tcW w:w="1760" w:type="dxa"/>
            <w:vAlign w:val="bottom"/>
            <w:shd w:val="clear" w:color="auto" w:fill="CCEEFF"/>
          </w:tcPr>
          <w:p>
            <w:pPr>
              <w:spacing w:after="0"/>
              <w:rPr>
                <w:sz w:val="14"/>
                <w:szCs w:val="14"/>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1/2019)</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9.00%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1/9/2014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61,766</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61,887</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APX Group Inc.</w:t>
            </w:r>
          </w:p>
        </w:tc>
        <w:tc>
          <w:tcPr>
            <w:tcW w:w="176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Senior notes 8.75% ($24,818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12/2020)</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w w:val="98"/>
              </w:rPr>
              <w:t>12/11/2014</w:t>
            </w:r>
          </w:p>
        </w:tc>
        <w:tc>
          <w:tcPr>
            <w:tcW w:w="660" w:type="dxa"/>
            <w:vAlign w:val="bottom"/>
          </w:tcPr>
          <w:p>
            <w:pPr>
              <w:jc w:val="right"/>
              <w:spacing w:after="0"/>
              <w:rPr>
                <w:sz w:val="20"/>
                <w:szCs w:val="20"/>
                <w:color w:val="auto"/>
              </w:rPr>
            </w:pPr>
            <w:r>
              <w:rPr>
                <w:rFonts w:ascii="Arial" w:cs="Arial" w:eastAsia="Arial" w:hAnsi="Arial"/>
                <w:sz w:val="15"/>
                <w:szCs w:val="15"/>
                <w:color w:val="auto"/>
              </w:rPr>
              <w:t>21,689</w:t>
            </w:r>
          </w:p>
        </w:tc>
        <w:tc>
          <w:tcPr>
            <w:tcW w:w="26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20,165</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83,455</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82,052</w:t>
            </w:r>
          </w:p>
        </w:tc>
        <w:tc>
          <w:tcPr>
            <w:tcW w:w="10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69"/>
        </w:trPr>
        <w:tc>
          <w:tcPr>
            <w:tcW w:w="2340" w:type="dxa"/>
            <w:vAlign w:val="bottom"/>
            <w:gridSpan w:val="2"/>
          </w:tcPr>
          <w:p>
            <w:pPr>
              <w:ind w:left="320"/>
              <w:spacing w:after="0" w:line="169" w:lineRule="exact"/>
              <w:rPr>
                <w:sz w:val="20"/>
                <w:szCs w:val="20"/>
                <w:color w:val="auto"/>
              </w:rPr>
            </w:pPr>
            <w:r>
              <w:rPr>
                <w:rFonts w:ascii="Arial" w:cs="Arial" w:eastAsia="Arial" w:hAnsi="Arial"/>
                <w:sz w:val="15"/>
                <w:szCs w:val="15"/>
                <w:b w:val="1"/>
                <w:bCs w:val="1"/>
                <w:color w:val="auto"/>
              </w:rPr>
              <w:t>Financial services</w:t>
            </w: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AppStar Financial, LLC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($23,400 par, due</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1500"/>
              <w:spacing w:after="0"/>
              <w:rPr>
                <w:sz w:val="20"/>
                <w:szCs w:val="20"/>
                <w:color w:val="auto"/>
              </w:rPr>
            </w:pPr>
            <w:r>
              <w:rPr>
                <w:rFonts w:ascii="Arial" w:cs="Arial" w:eastAsia="Arial" w:hAnsi="Arial"/>
                <w:sz w:val="13"/>
                <w:szCs w:val="13"/>
                <w:color w:val="auto"/>
              </w:rPr>
              <w:t>(3)</w:t>
            </w:r>
          </w:p>
        </w:tc>
        <w:tc>
          <w:tcPr>
            <w:tcW w:w="1760" w:type="dxa"/>
            <w:vAlign w:val="bottom"/>
            <w:shd w:val="clear" w:color="auto" w:fill="CCEEFF"/>
          </w:tcPr>
          <w:p>
            <w:pPr>
              <w:spacing w:after="0"/>
              <w:rPr>
                <w:sz w:val="14"/>
                <w:szCs w:val="14"/>
                <w:color w:val="auto"/>
              </w:rPr>
            </w:pPr>
          </w:p>
        </w:tc>
        <w:tc>
          <w:tcPr>
            <w:tcW w:w="2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8/2020)</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9.00%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8/18/2015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22,862</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22,765</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2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AvidXchange, Inc.</w:t>
            </w:r>
            <w:r>
              <w:rPr>
                <w:rFonts w:ascii="Arial" w:cs="Arial" w:eastAsia="Arial" w:hAnsi="Arial"/>
                <w:sz w:val="13"/>
                <w:szCs w:val="13"/>
                <w:color w:val="auto"/>
              </w:rPr>
              <w:t>(3)</w:t>
            </w:r>
          </w:p>
        </w:tc>
        <w:tc>
          <w:tcPr>
            <w:tcW w:w="176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Second-lien loan ($31,897 par, due</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10.50%</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8/2020)</w:t>
            </w:r>
          </w:p>
        </w:tc>
        <w:tc>
          <w:tcPr>
            <w:tcW w:w="120" w:type="dxa"/>
            <w:vAlign w:val="bottom"/>
          </w:tcPr>
          <w:p>
            <w:pPr>
              <w:spacing w:after="0"/>
              <w:rPr>
                <w:sz w:val="16"/>
                <w:szCs w:val="16"/>
                <w:color w:val="auto"/>
              </w:rPr>
            </w:pPr>
          </w:p>
        </w:tc>
        <w:tc>
          <w:tcPr>
            <w:tcW w:w="1060" w:type="dxa"/>
            <w:vAlign w:val="bottom"/>
            <w:gridSpan w:val="2"/>
          </w:tcPr>
          <w:p>
            <w:pPr>
              <w:ind w:left="420"/>
              <w:spacing w:after="0"/>
              <w:rPr>
                <w:sz w:val="20"/>
                <w:szCs w:val="20"/>
                <w:color w:val="auto"/>
              </w:rPr>
            </w:pPr>
            <w:r>
              <w:rPr>
                <w:rFonts w:ascii="Arial" w:cs="Arial" w:eastAsia="Arial" w:hAnsi="Arial"/>
                <w:sz w:val="15"/>
                <w:szCs w:val="15"/>
                <w:color w:val="auto"/>
              </w:rPr>
              <w:t>PIK</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8/7/2015</w:t>
            </w:r>
          </w:p>
        </w:tc>
        <w:tc>
          <w:tcPr>
            <w:tcW w:w="660" w:type="dxa"/>
            <w:vAlign w:val="bottom"/>
          </w:tcPr>
          <w:p>
            <w:pPr>
              <w:jc w:val="right"/>
              <w:spacing w:after="0"/>
              <w:rPr>
                <w:sz w:val="20"/>
                <w:szCs w:val="20"/>
                <w:color w:val="auto"/>
              </w:rPr>
            </w:pPr>
            <w:r>
              <w:rPr>
                <w:rFonts w:ascii="Arial" w:cs="Arial" w:eastAsia="Arial" w:hAnsi="Arial"/>
                <w:sz w:val="15"/>
                <w:szCs w:val="15"/>
                <w:color w:val="auto"/>
              </w:rPr>
              <w:t>31,380</w:t>
            </w: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30,910</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PayLease, LLC</w:t>
            </w:r>
            <w:r>
              <w:rPr>
                <w:rFonts w:ascii="Arial" w:cs="Arial" w:eastAsia="Arial" w:hAnsi="Arial"/>
                <w:sz w:val="13"/>
                <w:szCs w:val="13"/>
                <w:color w:val="auto"/>
              </w:rPr>
              <w:t>(3)</w:t>
            </w:r>
          </w:p>
        </w:tc>
        <w:tc>
          <w:tcPr>
            <w:tcW w:w="176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($33,639 par,</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auto"/>
              </w:rPr>
              <w:t>10.00%</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due 3/2020)</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9"/>
              </w:rPr>
              <w:t>(incl. 2.50%</w:t>
            </w: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PIK)</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3/6/2015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32,980</w:t>
            </w: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32,769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87,222</w:t>
            </w:r>
          </w:p>
        </w:tc>
        <w:tc>
          <w:tcPr>
            <w:tcW w:w="260" w:type="dxa"/>
            <w:vAlign w:val="bottom"/>
          </w:tcPr>
          <w:p>
            <w:pPr>
              <w:spacing w:after="0"/>
              <w:rPr>
                <w:sz w:val="14"/>
                <w:szCs w:val="14"/>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86,444</w:t>
            </w:r>
          </w:p>
        </w:tc>
        <w:tc>
          <w:tcPr>
            <w:tcW w:w="10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4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gridSpan w:val="2"/>
            <w:vMerge w:val="continue"/>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22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4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5"/>
                <w:szCs w:val="15"/>
                <w:b w:val="1"/>
                <w:bCs w:val="1"/>
                <w:color w:val="auto"/>
              </w:rPr>
              <w:t>Healthcare</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Aesynt Incorporated</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($33,250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tcPr>
          <w:p>
            <w:pPr>
              <w:ind w:left="1260"/>
              <w:spacing w:after="0"/>
              <w:rPr>
                <w:sz w:val="20"/>
                <w:szCs w:val="20"/>
                <w:color w:val="auto"/>
              </w:rPr>
            </w:pPr>
            <w:r>
              <w:rPr>
                <w:rFonts w:ascii="Arial" w:cs="Arial" w:eastAsia="Arial" w:hAnsi="Arial"/>
                <w:sz w:val="13"/>
                <w:szCs w:val="13"/>
                <w:color w:val="auto"/>
              </w:rPr>
              <w:t>(3)(5)</w:t>
            </w: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5/2019)</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7.00%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5/8/2014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32,598</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33,918</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(3)(4)</w:t>
            </w: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(EUR 35,912 par,</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5"/>
                <w:szCs w:val="15"/>
                <w:color w:val="auto"/>
              </w:rPr>
              <w:t>40,572</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9/2019)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9/30/2014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42,402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(EUR 37,349)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revolving loan</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5"/>
                <w:szCs w:val="15"/>
                <w:color w:val="auto"/>
              </w:rPr>
              <w:t>435</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(EUR 300 par, due 9/2019)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11.50%</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9/30/2014</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261</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(EUR 400)</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MatrixCare,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($45,000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(3)(5)</w:t>
            </w: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12/2021)</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6.25%</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5"/>
              </w:rPr>
              <w:t>12/17/2015</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44,184</w:t>
            </w:r>
          </w:p>
        </w:tc>
        <w:tc>
          <w:tcPr>
            <w:tcW w:w="12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44,100</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MedeAnalytics,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($45,411 par, due</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9.00%</w:t>
            </w: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tcPr>
          <w:p>
            <w:pPr>
              <w:ind w:left="126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9/2020)</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9"/>
              </w:rPr>
              <w:t>(incl. 2.50%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44,022</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43,708</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Mediware Information Systems,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($67,574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shd w:val="clear" w:color="auto" w:fill="CCEEFF"/>
          </w:tcPr>
          <w:p>
            <w:pPr>
              <w:ind w:left="2260"/>
              <w:spacing w:after="0"/>
              <w:rPr>
                <w:sz w:val="20"/>
                <w:szCs w:val="20"/>
                <w:color w:val="auto"/>
              </w:rPr>
            </w:pPr>
            <w:r>
              <w:rPr>
                <w:rFonts w:ascii="Arial" w:cs="Arial" w:eastAsia="Arial" w:hAnsi="Arial"/>
                <w:sz w:val="13"/>
                <w:szCs w:val="13"/>
                <w:color w:val="auto"/>
              </w:rPr>
              <w:t>(3)(5)</w:t>
            </w: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5/2018)</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7.00%</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11/9/2012</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66,725</w:t>
            </w:r>
          </w:p>
        </w:tc>
        <w:tc>
          <w:tcPr>
            <w:tcW w:w="12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68,250</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5"/>
                <w:szCs w:val="15"/>
                <w:color w:val="auto"/>
              </w:rPr>
              <w:t>SRS Software, LLC</w:t>
            </w:r>
            <w:r>
              <w:rPr>
                <w:rFonts w:ascii="Arial" w:cs="Arial" w:eastAsia="Arial" w:hAnsi="Arial"/>
                <w:sz w:val="13"/>
                <w:szCs w:val="13"/>
                <w:color w:val="auto"/>
              </w:rPr>
              <w:t>(3)</w:t>
            </w: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($31,875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12/2017)</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12/28/2012</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31,508</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31,477</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($2,000 par, due 12/2017)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1,955</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1,938</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263,655</w:t>
            </w:r>
          </w:p>
        </w:tc>
        <w:tc>
          <w:tcPr>
            <w:tcW w:w="26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264,398</w:t>
            </w:r>
          </w:p>
        </w:tc>
        <w:tc>
          <w:tcPr>
            <w:tcW w:w="300" w:type="dxa"/>
            <w:vAlign w:val="bottom"/>
          </w:tcPr>
          <w:p>
            <w:pPr>
              <w:spacing w:after="0"/>
              <w:rPr>
                <w:sz w:val="15"/>
                <w:szCs w:val="15"/>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32.1%</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Hotel, gaming, and leisure</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5"/>
                <w:szCs w:val="15"/>
                <w:color w:val="auto"/>
              </w:rPr>
              <w:t>CrunchTime Information Systems, Inc.</w:t>
            </w:r>
            <w:r>
              <w:rPr>
                <w:rFonts w:ascii="Arial" w:cs="Arial" w:eastAsia="Arial" w:hAnsi="Arial"/>
                <w:sz w:val="13"/>
                <w:szCs w:val="13"/>
                <w:color w:val="auto"/>
              </w:rPr>
              <w:t>(3)</w:t>
            </w: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($25,452 par, due</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9.00%</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4/2020)</w:t>
            </w:r>
          </w:p>
        </w:tc>
        <w:tc>
          <w:tcPr>
            <w:tcW w:w="12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9"/>
              </w:rPr>
              <w:t>(incl. 2.50%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4/16/2015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24,873</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24,200</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($20,260 par, due</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10.10%</w:t>
            </w: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(3)(7)</w:t>
            </w:r>
          </w:p>
        </w:tc>
        <w:tc>
          <w:tcPr>
            <w:tcW w:w="2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9/2019)</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9"/>
              </w:rPr>
              <w:t>(incl. 5.00%</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2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9/29/2015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20,260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19,500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revolver loan ($7,448 par,</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10.10%</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0" w:type="dxa"/>
            <w:vAlign w:val="bottom"/>
            <w:gridSpan w:val="2"/>
          </w:tcPr>
          <w:p>
            <w:pPr>
              <w:spacing w:after="0" w:line="162" w:lineRule="exact"/>
              <w:rPr>
                <w:sz w:val="20"/>
                <w:szCs w:val="20"/>
                <w:color w:val="auto"/>
              </w:rPr>
            </w:pPr>
            <w:r>
              <w:rPr>
                <w:rFonts w:ascii="Arial" w:cs="Arial" w:eastAsia="Arial" w:hAnsi="Arial"/>
                <w:sz w:val="15"/>
                <w:szCs w:val="15"/>
                <w:color w:val="auto"/>
              </w:rPr>
              <w:t>due 9/2019)</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9"/>
              </w:rPr>
              <w:t>(incl. 5.00%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9/29/2015</w:t>
            </w:r>
          </w:p>
        </w:tc>
        <w:tc>
          <w:tcPr>
            <w:tcW w:w="660" w:type="dxa"/>
            <w:vAlign w:val="bottom"/>
          </w:tcPr>
          <w:p>
            <w:pPr>
              <w:jc w:val="right"/>
              <w:spacing w:after="0"/>
              <w:rPr>
                <w:sz w:val="20"/>
                <w:szCs w:val="20"/>
                <w:color w:val="auto"/>
              </w:rPr>
            </w:pPr>
            <w:r>
              <w:rPr>
                <w:rFonts w:ascii="Arial" w:cs="Arial" w:eastAsia="Arial" w:hAnsi="Arial"/>
                <w:sz w:val="15"/>
                <w:szCs w:val="15"/>
                <w:color w:val="auto"/>
              </w:rPr>
              <w:t>7,448</w:t>
            </w:r>
          </w:p>
        </w:tc>
        <w:tc>
          <w:tcPr>
            <w:tcW w:w="26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7,169</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Soho House</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bond (GBP 20,375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30,781</w:t>
            </w: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(4)</w:t>
            </w: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10/2018)</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(GBP 20,884)</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400" w:type="dxa"/>
            <w:vAlign w:val="bottom"/>
            <w:gridSpan w:val="2"/>
            <w:vMerge w:val="continue"/>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9.13%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9/20/2013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33,055</w:t>
            </w:r>
          </w:p>
        </w:tc>
        <w:tc>
          <w:tcPr>
            <w:tcW w:w="1220" w:type="dxa"/>
            <w:vAlign w:val="bottom"/>
            <w:gridSpan w:val="2"/>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85,636</w:t>
            </w:r>
          </w:p>
        </w:tc>
        <w:tc>
          <w:tcPr>
            <w:tcW w:w="122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81,650</w:t>
            </w: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Human resource support services</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5"/>
                <w:szCs w:val="15"/>
                <w:color w:val="auto"/>
              </w:rPr>
              <w:t>Saba Software, Inc.</w:t>
            </w:r>
            <w:r>
              <w:rPr>
                <w:rFonts w:ascii="Arial" w:cs="Arial" w:eastAsia="Arial" w:hAnsi="Arial"/>
                <w:sz w:val="13"/>
                <w:szCs w:val="13"/>
                <w:color w:val="auto"/>
              </w:rPr>
              <w:t>(3)(5)</w:t>
            </w: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($54,725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3/2021)</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9.75%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3/30/2015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54,141</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53,767</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Skillsoft</w:t>
            </w:r>
            <w:r>
              <w:rPr>
                <w:rFonts w:ascii="Arial" w:cs="Arial" w:eastAsia="Arial" w:hAnsi="Arial"/>
                <w:sz w:val="13"/>
                <w:szCs w:val="13"/>
                <w:color w:val="auto"/>
              </w:rPr>
              <w:t>(3)</w:t>
            </w: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($500 par,</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4/2021)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5.75%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11/5/2015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438</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385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54,579</w:t>
            </w:r>
          </w:p>
        </w:tc>
        <w:tc>
          <w:tcPr>
            <w:tcW w:w="122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54,152</w:t>
            </w: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Insurance</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Insurity,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($65,452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tcPr>
          <w:p>
            <w:pPr>
              <w:ind w:left="780"/>
              <w:spacing w:after="0"/>
              <w:rPr>
                <w:sz w:val="20"/>
                <w:szCs w:val="20"/>
                <w:color w:val="auto"/>
              </w:rPr>
            </w:pPr>
            <w:r>
              <w:rPr>
                <w:rFonts w:ascii="Arial" w:cs="Arial" w:eastAsia="Arial" w:hAnsi="Arial"/>
                <w:sz w:val="13"/>
                <w:szCs w:val="13"/>
                <w:color w:val="auto"/>
              </w:rPr>
              <w:t>(3)(5)</w:t>
            </w: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10/2020)</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7.75%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5"/>
              </w:rPr>
              <w:t>10/31/2014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64,782</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63,980</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Internet services</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Highwinds Capital,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($50,987 par, due</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tcPr>
          <w:p>
            <w:pPr>
              <w:ind w:left="146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7/2018)</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9.00%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3/7/2014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50,474</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50,095</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w w:val="99"/>
              </w:rPr>
              <w:t>First-lien revolving loan ($2,800 par,</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7/2018)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9.00%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3/7/2014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2,775</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2,748</w:t>
            </w: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53,249</w:t>
            </w:r>
          </w:p>
        </w:tc>
        <w:tc>
          <w:tcPr>
            <w:tcW w:w="122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52,843</w:t>
            </w: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Manufacturing</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5"/>
                <w:szCs w:val="15"/>
                <w:color w:val="auto"/>
              </w:rPr>
              <w:t>Jeeves Information Systems AB</w:t>
            </w:r>
            <w:r>
              <w:rPr>
                <w:rFonts w:ascii="Arial" w:cs="Arial" w:eastAsia="Arial" w:hAnsi="Arial"/>
                <w:sz w:val="13"/>
                <w:szCs w:val="13"/>
                <w:color w:val="auto"/>
              </w:rPr>
              <w:t>(3)(4)(5)</w:t>
            </w: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(SEK 192,573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5"/>
                <w:szCs w:val="15"/>
                <w:color w:val="auto"/>
              </w:rPr>
              <w:t>23,470</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3/2019)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6/5/2013</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29,289</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(SEK 197,869)</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Office products</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Ecommerce Industries,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($36,811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tcPr>
          <w:p>
            <w:pPr>
              <w:ind w:left="1700"/>
              <w:spacing w:after="0"/>
              <w:rPr>
                <w:sz w:val="20"/>
                <w:szCs w:val="20"/>
                <w:color w:val="auto"/>
              </w:rPr>
            </w:pPr>
            <w:r>
              <w:rPr>
                <w:rFonts w:ascii="Arial" w:cs="Arial" w:eastAsia="Arial" w:hAnsi="Arial"/>
                <w:sz w:val="13"/>
                <w:szCs w:val="13"/>
                <w:color w:val="auto"/>
              </w:rPr>
              <w:t>(3)</w:t>
            </w: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3/2019)</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7.25%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3/11/2014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36,579</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36,370</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Initial</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Amortized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38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Investment</w:t>
            </w: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92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gridSpan w:val="3"/>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120" w:type="dxa"/>
            <w:vAlign w:val="bottom"/>
            <w:gridSpan w:val="2"/>
            <w:vMerge w:val="continue"/>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5"/>
                <w:szCs w:val="15"/>
                <w:b w:val="1"/>
                <w:bCs w:val="1"/>
                <w:color w:val="auto"/>
              </w:rPr>
              <w:t>Oil, gas and consumable fuels</w:t>
            </w: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Key Energy Services</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($13,504 par,</w:t>
            </w: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80" w:type="dxa"/>
            <w:vAlign w:val="bottom"/>
            <w:gridSpan w:val="3"/>
          </w:tcPr>
          <w:p>
            <w:pPr>
              <w:jc w:val="right"/>
              <w:ind w:right="2440"/>
              <w:spacing w:after="0"/>
              <w:rPr>
                <w:sz w:val="20"/>
                <w:szCs w:val="20"/>
                <w:color w:val="auto"/>
              </w:rPr>
            </w:pPr>
            <w:r>
              <w:rPr>
                <w:rFonts w:ascii="Arial" w:cs="Arial" w:eastAsia="Arial" w:hAnsi="Arial"/>
                <w:sz w:val="13"/>
                <w:szCs w:val="13"/>
                <w:color w:val="auto"/>
              </w:rPr>
              <w:t>(3)</w:t>
            </w:r>
          </w:p>
        </w:tc>
        <w:tc>
          <w:tcPr>
            <w:tcW w:w="2380" w:type="dxa"/>
            <w:vAlign w:val="bottom"/>
            <w:gridSpan w:val="2"/>
            <w:vMerge w:val="restart"/>
          </w:tcPr>
          <w:p>
            <w:pPr>
              <w:spacing w:after="0"/>
              <w:rPr>
                <w:sz w:val="20"/>
                <w:szCs w:val="20"/>
                <w:color w:val="auto"/>
              </w:rPr>
            </w:pPr>
            <w:r>
              <w:rPr>
                <w:rFonts w:ascii="Arial" w:cs="Arial" w:eastAsia="Arial" w:hAnsi="Arial"/>
                <w:sz w:val="15"/>
                <w:szCs w:val="15"/>
                <w:color w:val="auto"/>
              </w:rPr>
              <w:t>due 6/2020)</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10.25%</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5/27/2015</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13,043</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10,533</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Mississippi Resources,</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($46,679 par,</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auto"/>
              </w:rPr>
              <w:t>13.00%</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LLC</w:t>
            </w:r>
            <w:r>
              <w:rPr>
                <w:rFonts w:ascii="Arial" w:cs="Arial" w:eastAsia="Arial" w:hAnsi="Arial"/>
                <w:sz w:val="13"/>
                <w:szCs w:val="13"/>
                <w:color w:val="auto"/>
              </w:rPr>
              <w:t>(3)(7)</w:t>
            </w:r>
          </w:p>
        </w:tc>
        <w:tc>
          <w:tcPr>
            <w:tcW w:w="23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due 6/2018)</w:t>
            </w:r>
          </w:p>
        </w:tc>
        <w:tc>
          <w:tcPr>
            <w:tcW w:w="10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(incl. 1.50%</w:t>
            </w: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PIK)</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6/4/2014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46,081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36,682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59,124</w:t>
            </w:r>
          </w:p>
        </w:tc>
        <w:tc>
          <w:tcPr>
            <w:tcW w:w="112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47,215</w:t>
            </w: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Pharmaceuticals</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Nektar Therapeutics</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Secured note ($74,950 par, due</w:t>
            </w: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80" w:type="dxa"/>
            <w:vAlign w:val="bottom"/>
            <w:gridSpan w:val="3"/>
          </w:tcPr>
          <w:p>
            <w:pPr>
              <w:jc w:val="right"/>
              <w:ind w:right="2180"/>
              <w:spacing w:after="0"/>
              <w:rPr>
                <w:sz w:val="20"/>
                <w:szCs w:val="20"/>
                <w:color w:val="auto"/>
              </w:rPr>
            </w:pPr>
            <w:r>
              <w:rPr>
                <w:rFonts w:ascii="Arial" w:cs="Arial" w:eastAsia="Arial" w:hAnsi="Arial"/>
                <w:sz w:val="13"/>
                <w:szCs w:val="13"/>
                <w:color w:val="auto"/>
              </w:rPr>
              <w:t>(4)(5)(9)</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10/2020)</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7.75%</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10/5/2015</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74,005</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73,076</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Real estate</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JL Secured Promissory Note</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Secured note ($10,224 par, due</w:t>
            </w:r>
          </w:p>
        </w:tc>
        <w:tc>
          <w:tcPr>
            <w:tcW w:w="108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7.00%</w:t>
            </w: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80" w:type="dxa"/>
            <w:vAlign w:val="bottom"/>
            <w:gridSpan w:val="3"/>
          </w:tcPr>
          <w:p>
            <w:pPr>
              <w:jc w:val="right"/>
              <w:ind w:right="1960"/>
              <w:spacing w:after="0"/>
              <w:rPr>
                <w:sz w:val="20"/>
                <w:szCs w:val="20"/>
                <w:color w:val="auto"/>
              </w:rPr>
            </w:pPr>
            <w:r>
              <w:rPr>
                <w:rFonts w:ascii="Arial" w:cs="Arial" w:eastAsia="Arial" w:hAnsi="Arial"/>
                <w:sz w:val="13"/>
                <w:szCs w:val="13"/>
                <w:color w:val="auto"/>
              </w:rPr>
              <w:t>(4)</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9/2017)</w:t>
            </w:r>
          </w:p>
        </w:tc>
        <w:tc>
          <w:tcPr>
            <w:tcW w:w="100" w:type="dxa"/>
            <w:vAlign w:val="bottom"/>
          </w:tcPr>
          <w:p>
            <w:pPr>
              <w:spacing w:after="0"/>
              <w:rPr>
                <w:sz w:val="13"/>
                <w:szCs w:val="13"/>
                <w:color w:val="auto"/>
              </w:rPr>
            </w:pPr>
          </w:p>
        </w:tc>
        <w:tc>
          <w:tcPr>
            <w:tcW w:w="1080" w:type="dxa"/>
            <w:vAlign w:val="bottom"/>
            <w:gridSpan w:val="2"/>
            <w:vMerge w:val="restart"/>
          </w:tcPr>
          <w:p>
            <w:pPr>
              <w:ind w:left="440"/>
              <w:spacing w:after="0"/>
              <w:rPr>
                <w:sz w:val="20"/>
                <w:szCs w:val="20"/>
                <w:color w:val="auto"/>
              </w:rPr>
            </w:pPr>
            <w:r>
              <w:rPr>
                <w:rFonts w:ascii="Arial" w:cs="Arial" w:eastAsia="Arial" w:hAnsi="Arial"/>
                <w:sz w:val="15"/>
                <w:szCs w:val="15"/>
                <w:color w:val="auto"/>
              </w:rPr>
              <w:t>PIK</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9/29/2015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10,224</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10,224</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Retail and consumer products</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5"/>
                <w:szCs w:val="15"/>
                <w:color w:val="auto"/>
              </w:rPr>
              <w:t>American Achievement Corporation</w:t>
            </w:r>
            <w:r>
              <w:rPr>
                <w:rFonts w:ascii="Arial" w:cs="Arial" w:eastAsia="Arial" w:hAnsi="Arial"/>
                <w:sz w:val="13"/>
                <w:szCs w:val="13"/>
                <w:color w:val="auto"/>
              </w:rPr>
              <w:t>(3)(5)</w:t>
            </w:r>
          </w:p>
        </w:tc>
        <w:tc>
          <w:tcPr>
            <w:tcW w:w="238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($25,000 par, due</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9/2020)</w:t>
            </w:r>
          </w:p>
        </w:tc>
        <w:tc>
          <w:tcPr>
            <w:tcW w:w="10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9/30/2015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24,664</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24,563</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Quiksilver - Boardriders SA</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w w:val="98"/>
              </w:rPr>
              <w:t>Bond (EUR 7,599 par, due 12/2017)</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5"/>
                <w:szCs w:val="15"/>
                <w:color w:val="auto"/>
              </w:rPr>
              <w:t>7,801</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8.88%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5/26/2015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8,062</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(EUR 7,181)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5"/>
                <w:szCs w:val="15"/>
                <w:color w:val="auto"/>
              </w:rPr>
              <w:t>Sears</w:t>
            </w:r>
            <w:r>
              <w:rPr>
                <w:rFonts w:ascii="Arial" w:cs="Arial" w:eastAsia="Arial" w:hAnsi="Arial"/>
                <w:sz w:val="13"/>
                <w:szCs w:val="13"/>
                <w:color w:val="auto"/>
              </w:rPr>
              <w:t>(4)(6)</w:t>
            </w:r>
          </w:p>
        </w:tc>
        <w:tc>
          <w:tcPr>
            <w:tcW w:w="2380" w:type="dxa"/>
            <w:vAlign w:val="bottom"/>
            <w:gridSpan w:val="2"/>
          </w:tcPr>
          <w:p>
            <w:pPr>
              <w:spacing w:after="0" w:line="149" w:lineRule="exact"/>
              <w:rPr>
                <w:sz w:val="20"/>
                <w:szCs w:val="20"/>
                <w:color w:val="auto"/>
              </w:rPr>
            </w:pPr>
            <w:r>
              <w:rPr>
                <w:rFonts w:ascii="Arial" w:cs="Arial" w:eastAsia="Arial" w:hAnsi="Arial"/>
                <w:sz w:val="15"/>
                <w:szCs w:val="15"/>
                <w:color w:val="auto"/>
              </w:rPr>
              <w:t>First-lien ABL revolving loan ($303</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par, due 4/2016)</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2.84%</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4/15/2015</w:t>
            </w:r>
          </w:p>
        </w:tc>
        <w:tc>
          <w:tcPr>
            <w:tcW w:w="660" w:type="dxa"/>
            <w:vAlign w:val="bottom"/>
          </w:tcPr>
          <w:p>
            <w:pPr>
              <w:jc w:val="right"/>
              <w:spacing w:after="0"/>
              <w:rPr>
                <w:sz w:val="20"/>
                <w:szCs w:val="20"/>
                <w:color w:val="auto"/>
              </w:rPr>
            </w:pPr>
            <w:r>
              <w:rPr>
                <w:rFonts w:ascii="Arial" w:cs="Arial" w:eastAsia="Arial" w:hAnsi="Arial"/>
                <w:sz w:val="15"/>
                <w:szCs w:val="15"/>
                <w:color w:val="auto"/>
              </w:rPr>
              <w:t>116</w:t>
            </w:r>
          </w:p>
        </w:tc>
        <w:tc>
          <w:tcPr>
            <w:tcW w:w="2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257</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Sports Authority</w:t>
            </w:r>
            <w:r>
              <w:rPr>
                <w:rFonts w:ascii="Arial" w:cs="Arial" w:eastAsia="Arial" w:hAnsi="Arial"/>
                <w:sz w:val="13"/>
                <w:szCs w:val="13"/>
                <w:color w:val="auto"/>
              </w:rPr>
              <w:t>(3)(5)</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ABL FILO term loan ($45,000 par,</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6/2017)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7.40%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11/3/2015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44,249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43,762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5"/>
                <w:szCs w:val="15"/>
                <w:color w:val="auto"/>
              </w:rPr>
              <w:t>Toys ‘R’ Us-Delaware, Inc.</w:t>
            </w:r>
            <w:r>
              <w:rPr>
                <w:rFonts w:ascii="Arial" w:cs="Arial" w:eastAsia="Arial" w:hAnsi="Arial"/>
                <w:sz w:val="13"/>
                <w:szCs w:val="13"/>
                <w:color w:val="auto"/>
              </w:rPr>
              <w:t>(3)</w:t>
            </w:r>
          </w:p>
        </w:tc>
        <w:tc>
          <w:tcPr>
            <w:tcW w:w="2380" w:type="dxa"/>
            <w:vAlign w:val="bottom"/>
            <w:gridSpan w:val="2"/>
          </w:tcPr>
          <w:p>
            <w:pPr>
              <w:spacing w:after="0" w:line="149" w:lineRule="exact"/>
              <w:rPr>
                <w:sz w:val="20"/>
                <w:szCs w:val="20"/>
                <w:color w:val="auto"/>
              </w:rPr>
            </w:pPr>
            <w:r>
              <w:rPr>
                <w:rFonts w:ascii="Arial" w:cs="Arial" w:eastAsia="Arial" w:hAnsi="Arial"/>
                <w:sz w:val="15"/>
                <w:szCs w:val="15"/>
                <w:color w:val="auto"/>
              </w:rPr>
              <w:t>ABL FILO term loan ($51,000 par,</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due 10/2019)</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10/9/2014</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50,313</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49,470</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127,404</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125,853</w:t>
            </w: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Transportation</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Carrix, Inc.</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($13,441 par,</w:t>
            </w: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(3)</w:t>
            </w:r>
          </w:p>
        </w:tc>
        <w:tc>
          <w:tcPr>
            <w:tcW w:w="23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1/2019)</w:t>
            </w: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4.50%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3/17/2015</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12,631</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12,500</w:t>
            </w: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238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Kewill, Ltd.</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loan ($62,500 par,</w:t>
            </w: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80" w:type="dxa"/>
            <w:vAlign w:val="bottom"/>
            <w:gridSpan w:val="3"/>
          </w:tcPr>
          <w:p>
            <w:pPr>
              <w:jc w:val="right"/>
              <w:ind w:right="2820"/>
              <w:spacing w:after="0"/>
              <w:rPr>
                <w:sz w:val="20"/>
                <w:szCs w:val="20"/>
                <w:color w:val="auto"/>
              </w:rPr>
            </w:pPr>
            <w:r>
              <w:rPr>
                <w:rFonts w:ascii="Arial" w:cs="Arial" w:eastAsia="Arial" w:hAnsi="Arial"/>
                <w:sz w:val="13"/>
                <w:szCs w:val="13"/>
                <w:color w:val="auto"/>
              </w:rPr>
              <w:t>(3)(4)</w:t>
            </w:r>
          </w:p>
        </w:tc>
        <w:tc>
          <w:tcPr>
            <w:tcW w:w="2380" w:type="dxa"/>
            <w:vAlign w:val="bottom"/>
            <w:gridSpan w:val="2"/>
            <w:vMerge w:val="restart"/>
          </w:tcPr>
          <w:p>
            <w:pPr>
              <w:spacing w:after="0"/>
              <w:rPr>
                <w:sz w:val="20"/>
                <w:szCs w:val="20"/>
                <w:color w:val="auto"/>
              </w:rPr>
            </w:pPr>
            <w:r>
              <w:rPr>
                <w:rFonts w:ascii="Arial" w:cs="Arial" w:eastAsia="Arial" w:hAnsi="Arial"/>
                <w:sz w:val="15"/>
                <w:szCs w:val="15"/>
                <w:color w:val="auto"/>
              </w:rPr>
              <w:t>due 10/2019)</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9.50%</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10/2/2013</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61,614</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59,531</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74,245</w:t>
            </w:r>
          </w:p>
        </w:tc>
        <w:tc>
          <w:tcPr>
            <w:tcW w:w="112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72,031</w:t>
            </w:r>
          </w:p>
        </w:tc>
        <w:tc>
          <w:tcPr>
            <w:tcW w:w="10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Total Debt Investments</w:t>
            </w: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w w:val="95"/>
              </w:rPr>
              <w:t>1,488,879</w:t>
            </w:r>
          </w:p>
        </w:tc>
        <w:tc>
          <w:tcPr>
            <w:tcW w:w="260" w:type="dxa"/>
            <w:vAlign w:val="bottom"/>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1,459,372</w:t>
            </w:r>
          </w:p>
        </w:tc>
        <w:tc>
          <w:tcPr>
            <w:tcW w:w="300" w:type="dxa"/>
            <w:vAlign w:val="bottom"/>
          </w:tcPr>
          <w:p>
            <w:pPr>
              <w:spacing w:after="0"/>
              <w:rPr>
                <w:sz w:val="15"/>
                <w:szCs w:val="15"/>
                <w:color w:val="auto"/>
              </w:rPr>
            </w:pP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177.7%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Equity and Other Investments</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Business services</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Network Merchants, Inc.</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Non-Voting Preferred Units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(774,099 units)</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9/12/2013</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1,119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Financial services</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AvidXchange, Inc.</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Series E Preferred Equity (214,132</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8/7/2015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3,846</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3,846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TICC Capital Corp.</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Common Shares (1,633,660 shares)</w:t>
            </w: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8/5/2015</w:t>
            </w:r>
          </w:p>
        </w:tc>
        <w:tc>
          <w:tcPr>
            <w:tcW w:w="92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10,943</w:t>
            </w:r>
          </w:p>
        </w:tc>
        <w:tc>
          <w:tcPr>
            <w:tcW w:w="112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9,933</w:t>
            </w:r>
          </w:p>
        </w:tc>
        <w:tc>
          <w:tcPr>
            <w:tcW w:w="1020" w:type="dxa"/>
            <w:vAlign w:val="bottom"/>
            <w:gridSpan w:val="2"/>
            <w:shd w:val="clear" w:color="auto" w:fill="CCEEFF"/>
          </w:tcPr>
          <w:p>
            <w:pPr>
              <w:jc w:val="right"/>
              <w:ind w:right="60"/>
              <w:spacing w:after="0" w:line="6" w:lineRule="exact"/>
              <w:rPr>
                <w:sz w:val="20"/>
                <w:szCs w:val="20"/>
                <w:color w:val="auto"/>
              </w:rPr>
            </w:pPr>
            <w:r>
              <w:rPr>
                <w:rFonts w:ascii="Arial" w:cs="Arial" w:eastAsia="Arial" w:hAnsi="Arial"/>
                <w:sz w:val="1"/>
                <w:szCs w:val="1"/>
                <w:color w:val="auto"/>
              </w:rPr>
              <w:t>1.2%</w:t>
            </w:r>
          </w:p>
        </w:tc>
        <w:tc>
          <w:tcPr>
            <w:tcW w:w="0" w:type="dxa"/>
            <w:vAlign w:val="bottom"/>
          </w:tcPr>
          <w:p>
            <w:pPr>
              <w:spacing w:after="0" w:line="20" w:lineRule="exact"/>
              <w:rPr>
                <w:sz w:val="1"/>
                <w:szCs w:val="1"/>
                <w:color w:val="auto"/>
              </w:rPr>
            </w:pPr>
          </w:p>
        </w:tc>
      </w:tr>
      <w:tr>
        <w:trPr>
          <w:trHeight w:val="163"/>
        </w:trPr>
        <w:tc>
          <w:tcPr>
            <w:tcW w:w="3880" w:type="dxa"/>
            <w:vAlign w:val="bottom"/>
            <w:gridSpan w:val="3"/>
          </w:tcPr>
          <w:p>
            <w:pPr>
              <w:jc w:val="right"/>
              <w:ind w:right="2500"/>
              <w:spacing w:after="0"/>
              <w:rPr>
                <w:sz w:val="20"/>
                <w:szCs w:val="20"/>
                <w:color w:val="auto"/>
              </w:rPr>
            </w:pPr>
            <w:r>
              <w:rPr>
                <w:rFonts w:ascii="Arial" w:cs="Arial" w:eastAsia="Arial" w:hAnsi="Arial"/>
                <w:sz w:val="13"/>
                <w:szCs w:val="13"/>
                <w:color w:val="auto"/>
              </w:rPr>
              <w:t>(4)</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14,789</w:t>
            </w:r>
          </w:p>
        </w:tc>
        <w:tc>
          <w:tcPr>
            <w:tcW w:w="112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13,779</w:t>
            </w:r>
          </w:p>
        </w:tc>
        <w:tc>
          <w:tcPr>
            <w:tcW w:w="10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Healthcare</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Global Healthcare Exchange, LLC</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Shares Class A (598</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3/11/2014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729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B (196</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shares)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3/11/2014</w:t>
            </w:r>
          </w:p>
        </w:tc>
        <w:tc>
          <w:tcPr>
            <w:tcW w:w="660" w:type="dxa"/>
            <w:vAlign w:val="bottom"/>
          </w:tcPr>
          <w:p>
            <w:pPr>
              <w:jc w:val="right"/>
              <w:spacing w:after="0"/>
              <w:rPr>
                <w:sz w:val="20"/>
                <w:szCs w:val="20"/>
                <w:color w:val="auto"/>
              </w:rPr>
            </w:pPr>
            <w:r>
              <w:rPr>
                <w:rFonts w:ascii="Arial" w:cs="Arial" w:eastAsia="Arial" w:hAnsi="Arial"/>
                <w:sz w:val="15"/>
                <w:szCs w:val="15"/>
                <w:color w:val="auto"/>
              </w:rPr>
              <w:t>137</w:t>
            </w:r>
          </w:p>
        </w:tc>
        <w:tc>
          <w:tcPr>
            <w:tcW w:w="2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214</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(4)</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Warrants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5"/>
                <w:szCs w:val="15"/>
                <w:color w:val="auto"/>
              </w:rPr>
              <w:t>965</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9/30/2014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(EUR 888)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5"/>
                <w:szCs w:val="15"/>
                <w:color w:val="auto"/>
              </w:rPr>
              <w:t>SRS Parent Corp.</w:t>
            </w:r>
          </w:p>
        </w:tc>
        <w:tc>
          <w:tcPr>
            <w:tcW w:w="238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A</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(1,980 shares)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w w:val="98"/>
              </w:rPr>
              <w:t>12/28/2012</w:t>
            </w:r>
          </w:p>
        </w:tc>
        <w:tc>
          <w:tcPr>
            <w:tcW w:w="660" w:type="dxa"/>
            <w:vAlign w:val="bottom"/>
          </w:tcPr>
          <w:p>
            <w:pPr>
              <w:jc w:val="right"/>
              <w:spacing w:after="0"/>
              <w:rPr>
                <w:sz w:val="20"/>
                <w:szCs w:val="20"/>
                <w:color w:val="auto"/>
              </w:rPr>
            </w:pPr>
            <w:r>
              <w:rPr>
                <w:rFonts w:ascii="Arial" w:cs="Arial" w:eastAsia="Arial" w:hAnsi="Arial"/>
                <w:sz w:val="15"/>
                <w:szCs w:val="15"/>
                <w:color w:val="auto"/>
              </w:rPr>
              <w:t>1,980</w:t>
            </w:r>
          </w:p>
        </w:tc>
        <w:tc>
          <w:tcPr>
            <w:tcW w:w="2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1,173</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w w:val="96"/>
              </w:rPr>
              <w:t>Common Shares Class B (2,953,020</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3,481</w:t>
            </w:r>
          </w:p>
        </w:tc>
        <w:tc>
          <w:tcPr>
            <w:tcW w:w="26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3,093</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14"/>
                <w:szCs w:val="14"/>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3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76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5"/>
                <w:szCs w:val="15"/>
                <w:b w:val="1"/>
                <w:bCs w:val="1"/>
                <w:color w:val="auto"/>
              </w:rPr>
              <w:t>Hotel,</w:t>
            </w:r>
          </w:p>
        </w:tc>
        <w:tc>
          <w:tcPr>
            <w:tcW w:w="3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gaming, and leisure</w:t>
            </w:r>
          </w:p>
        </w:tc>
        <w:tc>
          <w:tcPr>
            <w:tcW w:w="2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42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3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Units (5,000,000 units)</w:t>
            </w:r>
          </w:p>
        </w:tc>
        <w:tc>
          <w:tcPr>
            <w:tcW w:w="5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9/29/2015</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3,897</w:t>
            </w:r>
          </w:p>
        </w:tc>
        <w:tc>
          <w:tcPr>
            <w:tcW w:w="1200" w:type="dxa"/>
            <w:vAlign w:val="bottom"/>
            <w:gridSpan w:val="3"/>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97</w:t>
            </w:r>
          </w:p>
        </w:tc>
        <w:tc>
          <w:tcPr>
            <w:tcW w:w="10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260" w:type="dxa"/>
            <w:vAlign w:val="bottom"/>
            <w:gridSpan w:val="2"/>
          </w:tcPr>
          <w:p>
            <w:pPr>
              <w:ind w:left="1380"/>
              <w:spacing w:after="0"/>
              <w:rPr>
                <w:sz w:val="20"/>
                <w:szCs w:val="20"/>
                <w:color w:val="auto"/>
              </w:rPr>
            </w:pPr>
            <w:r>
              <w:rPr>
                <w:rFonts w:ascii="Arial" w:cs="Arial" w:eastAsia="Arial" w:hAnsi="Arial"/>
                <w:sz w:val="13"/>
                <w:szCs w:val="13"/>
                <w:color w:val="auto"/>
              </w:rPr>
              <w:t>(7)</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Class C-1 Units (8,800,000 units)</w:t>
            </w: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9/29/2015</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50</w:t>
            </w:r>
          </w:p>
        </w:tc>
        <w:tc>
          <w:tcPr>
            <w:tcW w:w="10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3,997</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147</w:t>
            </w:r>
          </w:p>
        </w:tc>
        <w:tc>
          <w:tcPr>
            <w:tcW w:w="10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Oil, gas and consumable fuels</w:t>
            </w: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2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3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Member Units (933 units)</w:t>
            </w:r>
          </w:p>
        </w:tc>
        <w:tc>
          <w:tcPr>
            <w:tcW w:w="5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6/4/2014</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8,874</w:t>
            </w:r>
          </w:p>
        </w:tc>
        <w:tc>
          <w:tcPr>
            <w:tcW w:w="240" w:type="dxa"/>
            <w:vAlign w:val="bottom"/>
            <w:shd w:val="clear" w:color="auto" w:fill="CCEEFF"/>
          </w:tcPr>
          <w:p>
            <w:pPr>
              <w:spacing w:after="0" w:line="20" w:lineRule="exact"/>
              <w:rPr>
                <w:sz w:val="1"/>
                <w:szCs w:val="1"/>
                <w:color w:val="auto"/>
              </w:rPr>
            </w:pPr>
          </w:p>
        </w:tc>
        <w:tc>
          <w:tcPr>
            <w:tcW w:w="960" w:type="dxa"/>
            <w:vAlign w:val="bottom"/>
            <w:gridSpan w:val="2"/>
            <w:shd w:val="clear" w:color="auto" w:fill="CCEEFF"/>
          </w:tcPr>
          <w:p>
            <w:pPr>
              <w:jc w:val="right"/>
              <w:ind w:right="340"/>
              <w:spacing w:after="0" w:line="6" w:lineRule="exact"/>
              <w:rPr>
                <w:sz w:val="20"/>
                <w:szCs w:val="20"/>
                <w:color w:val="auto"/>
              </w:rPr>
            </w:pPr>
            <w:r>
              <w:rPr>
                <w:rFonts w:ascii="Arial" w:cs="Arial" w:eastAsia="Arial" w:hAnsi="Arial"/>
                <w:sz w:val="1"/>
                <w:szCs w:val="1"/>
                <w:color w:val="auto"/>
              </w:rPr>
              <w:t>—</w:t>
            </w:r>
          </w:p>
        </w:tc>
        <w:tc>
          <w:tcPr>
            <w:tcW w:w="10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260" w:type="dxa"/>
            <w:vAlign w:val="bottom"/>
            <w:gridSpan w:val="2"/>
          </w:tcPr>
          <w:p>
            <w:pPr>
              <w:ind w:left="1740"/>
              <w:spacing w:after="0"/>
              <w:rPr>
                <w:sz w:val="20"/>
                <w:szCs w:val="20"/>
                <w:color w:val="auto"/>
              </w:rPr>
            </w:pPr>
            <w:r>
              <w:rPr>
                <w:rFonts w:ascii="Arial" w:cs="Arial" w:eastAsia="Arial" w:hAnsi="Arial"/>
                <w:sz w:val="13"/>
                <w:szCs w:val="13"/>
                <w:color w:val="auto"/>
              </w:rPr>
              <w:t>(7)</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Other</w:t>
            </w: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gridSpan w:val="2"/>
          </w:tcPr>
          <w:p>
            <w:pPr>
              <w:spacing w:after="0" w:line="162" w:lineRule="exact"/>
              <w:rPr>
                <w:sz w:val="20"/>
                <w:szCs w:val="20"/>
                <w:color w:val="auto"/>
              </w:rPr>
            </w:pPr>
            <w:r>
              <w:rPr>
                <w:rFonts w:ascii="Arial" w:cs="Arial" w:eastAsia="Arial" w:hAnsi="Arial"/>
                <w:sz w:val="15"/>
                <w:szCs w:val="15"/>
                <w:color w:val="auto"/>
              </w:rPr>
              <w:t>Oak Hill Credit Partners</w:t>
            </w:r>
            <w:r>
              <w:rPr>
                <w:rFonts w:ascii="Arial" w:cs="Arial" w:eastAsia="Arial" w:hAnsi="Arial"/>
                <w:sz w:val="13"/>
                <w:szCs w:val="13"/>
                <w:color w:val="auto"/>
              </w:rPr>
              <w:t>(4)(6)</w:t>
            </w:r>
          </w:p>
        </w:tc>
        <w:tc>
          <w:tcPr>
            <w:tcW w:w="2360" w:type="dxa"/>
            <w:vAlign w:val="bottom"/>
            <w:gridSpan w:val="2"/>
          </w:tcPr>
          <w:p>
            <w:pPr>
              <w:spacing w:after="0" w:line="162" w:lineRule="exact"/>
              <w:rPr>
                <w:sz w:val="20"/>
                <w:szCs w:val="20"/>
                <w:color w:val="auto"/>
              </w:rPr>
            </w:pPr>
            <w:r>
              <w:rPr>
                <w:rFonts w:ascii="Arial" w:cs="Arial" w:eastAsia="Arial" w:hAnsi="Arial"/>
                <w:sz w:val="15"/>
                <w:szCs w:val="15"/>
                <w:color w:val="auto"/>
              </w:rPr>
              <w:t>Structured Product</w:t>
            </w:r>
          </w:p>
        </w:tc>
        <w:tc>
          <w:tcPr>
            <w:tcW w:w="8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5.82%</w:t>
            </w:r>
          </w:p>
        </w:tc>
        <w:tc>
          <w:tcPr>
            <w:tcW w:w="10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8/21/2015</w:t>
            </w:r>
          </w:p>
        </w:tc>
        <w:tc>
          <w:tcPr>
            <w:tcW w:w="7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3,293</w:t>
            </w:r>
          </w:p>
        </w:tc>
        <w:tc>
          <w:tcPr>
            <w:tcW w:w="120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3,099</w:t>
            </w: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6"/>
        </w:trPr>
        <w:tc>
          <w:tcPr>
            <w:tcW w:w="42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Symphony</w:t>
            </w:r>
          </w:p>
        </w:tc>
        <w:tc>
          <w:tcPr>
            <w:tcW w:w="23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Structured Product</w:t>
            </w:r>
          </w:p>
        </w:tc>
        <w:tc>
          <w:tcPr>
            <w:tcW w:w="88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6.07%</w:t>
            </w: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11/17/2014</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5,583</w:t>
            </w:r>
          </w:p>
        </w:tc>
        <w:tc>
          <w:tcPr>
            <w:tcW w:w="1200" w:type="dxa"/>
            <w:vAlign w:val="bottom"/>
            <w:gridSpan w:val="3"/>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5,100</w:t>
            </w:r>
          </w:p>
        </w:tc>
        <w:tc>
          <w:tcPr>
            <w:tcW w:w="10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0.6%</w:t>
            </w:r>
          </w:p>
        </w:tc>
        <w:tc>
          <w:tcPr>
            <w:tcW w:w="0" w:type="dxa"/>
            <w:vAlign w:val="bottom"/>
          </w:tcPr>
          <w:p>
            <w:pPr>
              <w:spacing w:after="0" w:line="20" w:lineRule="exact"/>
              <w:rPr>
                <w:sz w:val="1"/>
                <w:szCs w:val="1"/>
                <w:color w:val="auto"/>
              </w:rPr>
            </w:pPr>
          </w:p>
        </w:tc>
      </w:tr>
      <w:tr>
        <w:trPr>
          <w:trHeight w:val="156"/>
        </w:trPr>
        <w:tc>
          <w:tcPr>
            <w:tcW w:w="42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(4)(6)</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8,876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8,199</w:t>
            </w:r>
          </w:p>
        </w:tc>
        <w:tc>
          <w:tcPr>
            <w:tcW w:w="10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26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40,797</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26,337</w:t>
            </w:r>
          </w:p>
        </w:tc>
        <w:tc>
          <w:tcPr>
            <w:tcW w:w="10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Investments</w:t>
            </w: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60" w:type="dxa"/>
            <w:vAlign w:val="bottom"/>
            <w:gridSpan w:val="2"/>
            <w:vMerge w:val="continue"/>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1,529,676</w:t>
            </w:r>
          </w:p>
        </w:tc>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90"/>
              </w:rPr>
              <w:t>$</w:t>
            </w:r>
            <w:r>
              <w:rPr>
                <w:rFonts w:ascii="Arial" w:cs="Arial" w:eastAsia="Arial" w:hAnsi="Arial"/>
                <w:sz w:val="15"/>
                <w:szCs w:val="15"/>
                <w:b w:val="1"/>
                <w:bCs w:val="1"/>
                <w:color w:val="auto"/>
                <w:w w:val="90"/>
              </w:rPr>
              <w:t>1,485,709</w:t>
            </w:r>
          </w:p>
        </w:tc>
        <w:tc>
          <w:tcPr>
            <w:tcW w:w="260" w:type="dxa"/>
            <w:vAlign w:val="bottom"/>
            <w:vMerge w:val="continue"/>
          </w:tcPr>
          <w:p>
            <w:pPr>
              <w:spacing w:after="0"/>
              <w:rPr>
                <w:sz w:val="14"/>
                <w:szCs w:val="14"/>
                <w:color w:val="auto"/>
              </w:rPr>
            </w:pPr>
          </w:p>
        </w:tc>
        <w:tc>
          <w:tcPr>
            <w:tcW w:w="100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180.8%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20" w:hanging="332"/>
        <w:spacing w:after="0" w:line="225" w:lineRule="auto"/>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340" w:right="360" w:hanging="332"/>
        <w:spacing w:after="0" w:line="241" w:lineRule="auto"/>
        <w:tabs>
          <w:tab w:leader="none" w:pos="3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4"/>
          <w:szCs w:val="14"/>
          <w:color w:val="auto"/>
        </w:rPr>
      </w:pPr>
    </w:p>
    <w:p>
      <w:pPr>
        <w:ind w:left="340" w:hanging="332"/>
        <w:spacing w:after="0" w:line="225" w:lineRule="auto"/>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ind w:left="340" w:right="60" w:hanging="332"/>
        <w:spacing w:after="0" w:line="232" w:lineRule="auto"/>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Controlled, Affiliated Investments during the year ended December 31, 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at</w:t>
            </w:r>
          </w:p>
        </w:tc>
        <w:tc>
          <w:tcPr>
            <w:tcW w:w="80" w:type="dxa"/>
            <w:vAlign w:val="bottom"/>
          </w:tcPr>
          <w:p>
            <w:pPr>
              <w:spacing w:after="0"/>
              <w:rPr>
                <w:sz w:val="12"/>
                <w:szCs w:val="12"/>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90"/>
              </w:rPr>
              <w:t>Fair Value at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p>
        </w:tc>
        <w:tc>
          <w:tcPr>
            <w:tcW w:w="11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December 31,</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Additions</w:t>
            </w: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Reductions</w:t>
            </w:r>
          </w:p>
        </w:tc>
        <w:tc>
          <w:tcPr>
            <w:tcW w:w="18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360" w:type="dxa"/>
            <w:vAlign w:val="bottom"/>
          </w:tcPr>
          <w:p>
            <w:pPr>
              <w:spacing w:after="0"/>
              <w:rPr>
                <w:sz w:val="11"/>
                <w:szCs w:val="11"/>
                <w:color w:val="auto"/>
              </w:rPr>
            </w:pPr>
          </w:p>
        </w:tc>
        <w:tc>
          <w:tcPr>
            <w:tcW w:w="1100" w:type="dxa"/>
            <w:vAlign w:val="bottom"/>
            <w:gridSpan w:val="3"/>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5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3"/>
              </w:rPr>
              <w:t>Interest</w:t>
            </w:r>
          </w:p>
        </w:tc>
        <w:tc>
          <w:tcPr>
            <w:tcW w:w="0" w:type="dxa"/>
            <w:vAlign w:val="bottom"/>
          </w:tcPr>
          <w:p>
            <w:pPr>
              <w:spacing w:after="0"/>
              <w:rPr>
                <w:sz w:val="1"/>
                <w:szCs w:val="1"/>
                <w:color w:val="auto"/>
              </w:rPr>
            </w:pPr>
          </w:p>
        </w:tc>
      </w:tr>
      <w:tr>
        <w:trPr>
          <w:trHeight w:val="153"/>
        </w:trPr>
        <w:tc>
          <w:tcPr>
            <w:tcW w:w="3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(a)</w:t>
            </w:r>
          </w:p>
        </w:tc>
        <w:tc>
          <w:tcPr>
            <w:tcW w:w="100" w:type="dxa"/>
            <w:vAlign w:val="bottom"/>
          </w:tcPr>
          <w:p>
            <w:pPr>
              <w:spacing w:after="0"/>
              <w:rPr>
                <w:sz w:val="13"/>
                <w:szCs w:val="13"/>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(b)</w:t>
            </w:r>
          </w:p>
        </w:tc>
        <w:tc>
          <w:tcPr>
            <w:tcW w:w="18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2015</w:t>
            </w:r>
          </w:p>
        </w:tc>
        <w:tc>
          <w:tcPr>
            <w:tcW w:w="3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3"/>
              </w:rPr>
              <w:t>Mississippi</w:t>
            </w:r>
          </w:p>
        </w:tc>
        <w:tc>
          <w:tcPr>
            <w:tcW w:w="344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41,636</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7,833</w:t>
            </w: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w w:val="74"/>
              </w:rPr>
              <w:t>(459)</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9"/>
              </w:rPr>
              <w:t>(12,328)</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36,682</w:t>
            </w: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219</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$6,003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tcPr>
          <w:p>
            <w:pPr>
              <w:spacing w:after="0" w:line="162" w:lineRule="exact"/>
              <w:rPr>
                <w:sz w:val="20"/>
                <w:szCs w:val="20"/>
                <w:color w:val="auto"/>
              </w:rPr>
            </w:pPr>
            <w:r>
              <w:rPr>
                <w:rFonts w:ascii="Arial" w:cs="Arial" w:eastAsia="Arial" w:hAnsi="Arial"/>
                <w:sz w:val="15"/>
                <w:szCs w:val="15"/>
                <w:color w:val="auto"/>
              </w:rPr>
              <w:t>IRGSE Holding Corp.</w:t>
            </w:r>
          </w:p>
        </w:tc>
        <w:tc>
          <w:tcPr>
            <w:tcW w:w="160" w:type="dxa"/>
            <w:vAlign w:val="bottom"/>
          </w:tcPr>
          <w:p>
            <w:pPr>
              <w:spacing w:after="0"/>
              <w:rPr>
                <w:sz w:val="14"/>
                <w:szCs w:val="14"/>
                <w:color w:val="auto"/>
              </w:rPr>
            </w:pPr>
          </w:p>
        </w:tc>
        <w:tc>
          <w:tcPr>
            <w:tcW w:w="58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91"/>
              </w:rPr>
              <w:t>31,704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(4,888)</w:t>
            </w:r>
          </w:p>
        </w:tc>
        <w:tc>
          <w:tcPr>
            <w:tcW w:w="120" w:type="dxa"/>
            <w:vAlign w:val="bottom"/>
          </w:tcPr>
          <w:p>
            <w:pPr>
              <w:spacing w:after="0"/>
              <w:rPr>
                <w:sz w:val="14"/>
                <w:szCs w:val="14"/>
                <w:color w:val="auto"/>
              </w:rPr>
            </w:pPr>
          </w:p>
        </w:tc>
        <w:tc>
          <w:tcPr>
            <w:tcW w:w="62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26,816</w:t>
            </w:r>
          </w:p>
        </w:tc>
        <w:tc>
          <w:tcPr>
            <w:tcW w:w="120" w:type="dxa"/>
            <w:vAlign w:val="bottom"/>
          </w:tcPr>
          <w:p>
            <w:pPr>
              <w:spacing w:after="0"/>
              <w:rPr>
                <w:sz w:val="14"/>
                <w:szCs w:val="14"/>
                <w:color w:val="auto"/>
              </w:rPr>
            </w:pPr>
          </w:p>
        </w:tc>
        <w:tc>
          <w:tcPr>
            <w:tcW w:w="4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21</w:t>
            </w:r>
          </w:p>
        </w:tc>
        <w:tc>
          <w:tcPr>
            <w:tcW w:w="6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41,636</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w w:val="91"/>
              </w:rPr>
              <w:t>39,537</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7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(459)</w:t>
            </w:r>
          </w:p>
        </w:tc>
        <w:tc>
          <w:tcPr>
            <w:tcW w:w="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w w:val="96"/>
              </w:rPr>
              <w:t>(17,216)</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b w:val="1"/>
                <w:bCs w:val="1"/>
                <w:color w:val="auto"/>
              </w:rPr>
              <w:t>—</w:t>
            </w:r>
          </w:p>
        </w:tc>
        <w:tc>
          <w:tcPr>
            <w:tcW w:w="520" w:type="dxa"/>
            <w:vAlign w:val="bottom"/>
            <w:gridSpan w:val="2"/>
            <w:shd w:val="clear" w:color="auto" w:fill="CCEEFF"/>
          </w:tcPr>
          <w:p>
            <w:pPr>
              <w:jc w:val="right"/>
              <w:ind w:right="12"/>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63,498</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4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240</w:t>
            </w:r>
          </w:p>
        </w:tc>
        <w:tc>
          <w:tcPr>
            <w:tcW w:w="64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6,639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0" w:right="180" w:hanging="454"/>
        <w:spacing w:after="0" w:line="233" w:lineRule="auto"/>
        <w:tabs>
          <w:tab w:leader="none" w:pos="80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premiums on debt investments, as applicable.</w:t>
      </w:r>
    </w:p>
    <w:p>
      <w:pPr>
        <w:ind w:left="340" w:hanging="332"/>
        <w:spacing w:after="0" w:line="225" w:lineRule="auto"/>
        <w:tabs>
          <w:tab w:leader="none" w:pos="34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As of December 31, 2015, the tax cost of the Company’s investments approximates their amortized cost.</w:t>
      </w:r>
    </w:p>
    <w:p>
      <w:pPr>
        <w:ind w:left="340" w:right="400" w:hanging="332"/>
        <w:spacing w:after="0" w:line="239" w:lineRule="auto"/>
        <w:tabs>
          <w:tab w:leader="none" w:pos="34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107,333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95,298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104,475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29,802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(28,568)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realized losses</w:t>
            </w:r>
          </w:p>
        </w:tc>
        <w:tc>
          <w:tcPr>
            <w:tcW w:w="16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(3,162)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137,007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63,568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85,050</w:t>
            </w:r>
          </w:p>
        </w:tc>
        <w:tc>
          <w:tcPr>
            <w:tcW w:w="0" w:type="dxa"/>
            <w:vAlign w:val="bottom"/>
          </w:tcPr>
          <w:p>
            <w:pPr>
              <w:spacing w:after="0"/>
              <w:rPr>
                <w:sz w:val="1"/>
                <w:szCs w:val="1"/>
                <w:color w:val="auto"/>
              </w:rPr>
            </w:pPr>
          </w:p>
        </w:tc>
      </w:tr>
      <w:tr>
        <w:trPr>
          <w:trHeight w:val="205"/>
        </w:trPr>
        <w:tc>
          <w:tcPr>
            <w:tcW w:w="612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 Capital</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Share Transactions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78,250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234,419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10,337</w:t>
            </w:r>
          </w:p>
        </w:tc>
        <w:tc>
          <w:tcPr>
            <w:tcW w:w="1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6,095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22,566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(1,329)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16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(82,777)</w:t>
            </w:r>
          </w:p>
        </w:tc>
        <w:tc>
          <w:tcPr>
            <w:tcW w:w="1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(62,332)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(80,077)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(10,017)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(21,966)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5"/>
        </w:trPr>
        <w:tc>
          <w:tcPr>
            <w:tcW w:w="6120" w:type="dxa"/>
            <w:vAlign w:val="bottom"/>
          </w:tcPr>
          <w:p>
            <w:pPr>
              <w:ind w:left="360"/>
              <w:spacing w:after="0" w:line="205" w:lineRule="exact"/>
              <w:rPr>
                <w:sz w:val="20"/>
                <w:szCs w:val="20"/>
                <w:color w:val="auto"/>
              </w:rPr>
            </w:pPr>
            <w:r>
              <w:rPr>
                <w:rFonts w:ascii="Arial" w:cs="Arial" w:eastAsia="Arial" w:hAnsi="Arial"/>
                <w:sz w:val="18"/>
                <w:szCs w:val="18"/>
                <w:b w:val="1"/>
                <w:bCs w:val="1"/>
                <w:color w:val="auto"/>
              </w:rPr>
              <w:t>Increase in Net Assets Resulting from Capital Share</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540"/>
              <w:spacing w:after="0"/>
              <w:rPr>
                <w:sz w:val="20"/>
                <w:szCs w:val="20"/>
                <w:color w:val="auto"/>
              </w:rPr>
            </w:pPr>
            <w:r>
              <w:rPr>
                <w:rFonts w:ascii="Arial" w:cs="Arial" w:eastAsia="Arial" w:hAnsi="Arial"/>
                <w:sz w:val="18"/>
                <w:szCs w:val="18"/>
                <w:b w:val="1"/>
                <w:bCs w:val="1"/>
                <w:color w:val="auto"/>
              </w:rPr>
              <w:t>Transactions</w:t>
            </w:r>
          </w:p>
        </w:tc>
        <w:tc>
          <w:tcPr>
            <w:tcW w:w="160" w:type="dxa"/>
            <w:vAlign w:val="bottom"/>
          </w:tcPr>
          <w:p>
            <w:pPr>
              <w:spacing w:after="0"/>
              <w:rPr>
                <w:sz w:val="20"/>
                <w:szCs w:val="20"/>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(5,536)</w:t>
            </w:r>
          </w:p>
        </w:tc>
        <w:tc>
          <w:tcPr>
            <w:tcW w:w="16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(78,232)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175,659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(Decrease) in Net Assets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131,471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260,709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820,741</w:t>
            </w:r>
          </w:p>
        </w:tc>
        <w:tc>
          <w:tcPr>
            <w:tcW w:w="1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835,405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952,212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820,741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835,405</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the End of the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50,142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27,521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Year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20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38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r>
      <w:tr>
        <w:trPr>
          <w:trHeight w:val="183"/>
        </w:trPr>
        <w:tc>
          <w:tcPr>
            <w:tcW w:w="6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137,007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63,568</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85,050</w:t>
            </w:r>
          </w:p>
        </w:tc>
      </w:tr>
      <w:tr>
        <w:trPr>
          <w:trHeight w:val="185"/>
        </w:trPr>
        <w:tc>
          <w:tcPr>
            <w:tcW w:w="62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Adjustments to reconcile increase in net assets resulting from operations to net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6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used in operating activities: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Net change in unrealized (gains) losses on investments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(33,682)</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34,225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28,895</w:t>
            </w:r>
          </w:p>
        </w:tc>
      </w:tr>
      <w:tr>
        <w:trPr>
          <w:trHeight w:val="185"/>
        </w:trPr>
        <w:tc>
          <w:tcPr>
            <w:tcW w:w="6200" w:type="dxa"/>
            <w:vAlign w:val="bottom"/>
            <w:shd w:val="clear" w:color="auto" w:fill="CCEEFF"/>
          </w:tcPr>
          <w:p>
            <w:pPr>
              <w:ind w:left="700"/>
              <w:spacing w:after="0" w:line="185" w:lineRule="exact"/>
              <w:rPr>
                <w:sz w:val="20"/>
                <w:szCs w:val="20"/>
                <w:color w:val="auto"/>
              </w:rPr>
            </w:pPr>
            <w:r>
              <w:rPr>
                <w:rFonts w:ascii="Arial" w:cs="Arial" w:eastAsia="Arial" w:hAnsi="Arial"/>
                <w:sz w:val="17"/>
                <w:szCs w:val="17"/>
                <w:color w:val="auto"/>
              </w:rPr>
              <w:t>Net change in unrealized (gains) losses on foreign</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62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currency Transactions</w:t>
            </w: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3,547</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(6,275)</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(11,173)</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Net change in unrealized losses on interest rate swaps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618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losses on investments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772</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5,042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(83)</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Net realized gains on foreign currency transactions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(870)</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(195)</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on interest rate swaps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(1,851)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Net amortization of discount on securities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(15,624)</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(12,729)</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(19,627)</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2,238</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5,874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2,553</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Accretion of discount on 2019 Convertible Senior Notes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589</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560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300</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Purchases or originations of investments, net</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(720,728)</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(757,295)</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(974,824)</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Proceeds from investments, net</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71,355</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39,077</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100,656</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on investments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524,194</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474,483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620,671</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Paid-in-kind interest</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(8,920)</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(5,410)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(2,748)</w:t>
            </w:r>
          </w:p>
        </w:tc>
      </w:tr>
      <w:tr>
        <w:trPr>
          <w:trHeight w:val="203"/>
        </w:trPr>
        <w:tc>
          <w:tcPr>
            <w:tcW w:w="6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Interest receivable</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478</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(3,725)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(1,167)</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receivable paid-in-kind</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4,364</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9,836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(12,443)</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Management fees payable to affiliate</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739</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643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3,307</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Incentive fees payable to affiliate</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974</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(1,040)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(181)</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Payable to affiliate</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63</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(1,426)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Other liabilities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(4,734)</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(27,378)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31,972</w:t>
            </w:r>
          </w:p>
        </w:tc>
      </w:tr>
      <w:tr>
        <w:trPr>
          <w:trHeight w:val="27"/>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Used in Operating Activities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(37,895)</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(183,506)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(148,831)</w:t>
            </w:r>
          </w:p>
        </w:tc>
      </w:tr>
      <w:tr>
        <w:trPr>
          <w:trHeight w:val="206"/>
        </w:trPr>
        <w:tc>
          <w:tcPr>
            <w:tcW w:w="62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Borrowings on debt</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580,364</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847,547</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1,108,097</w:t>
            </w:r>
          </w:p>
        </w:tc>
      </w:tr>
      <w:tr>
        <w:trPr>
          <w:trHeight w:val="203"/>
        </w:trPr>
        <w:tc>
          <w:tcPr>
            <w:tcW w:w="6200" w:type="dxa"/>
            <w:vAlign w:val="bottom"/>
          </w:tcPr>
          <w:p>
            <w:pPr>
              <w:spacing w:after="0"/>
              <w:rPr>
                <w:sz w:val="20"/>
                <w:szCs w:val="20"/>
                <w:color w:val="auto"/>
              </w:rPr>
            </w:pPr>
            <w:r>
              <w:rPr>
                <w:rFonts w:ascii="Arial" w:cs="Arial" w:eastAsia="Arial" w:hAnsi="Arial"/>
                <w:sz w:val="17"/>
                <w:szCs w:val="17"/>
                <w:color w:val="auto"/>
              </w:rPr>
              <w:t>Payments on debt</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(533,772)</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(584,481)</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(1,135,388)</w:t>
            </w: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(2,892)</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(1,452)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(6,766)</w:t>
            </w:r>
          </w:p>
        </w:tc>
      </w:tr>
      <w:tr>
        <w:trPr>
          <w:trHeight w:val="185"/>
        </w:trPr>
        <w:tc>
          <w:tcPr>
            <w:tcW w:w="6200" w:type="dxa"/>
            <w:vAlign w:val="bottom"/>
          </w:tcPr>
          <w:p>
            <w:pPr>
              <w:spacing w:after="0" w:line="185" w:lineRule="exact"/>
              <w:rPr>
                <w:sz w:val="20"/>
                <w:szCs w:val="20"/>
                <w:color w:val="auto"/>
              </w:rPr>
            </w:pPr>
            <w:r>
              <w:rPr>
                <w:rFonts w:ascii="Arial" w:cs="Arial" w:eastAsia="Arial" w:hAnsi="Arial"/>
                <w:sz w:val="17"/>
                <w:szCs w:val="17"/>
                <w:color w:val="auto"/>
              </w:rPr>
              <w:t>Proceeds from issuance of common stock, net of offering and underwriting</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7"/>
                <w:szCs w:val="17"/>
                <w:color w:val="auto"/>
              </w:rPr>
              <w:t>costs</w:t>
            </w:r>
          </w:p>
        </w:tc>
        <w:tc>
          <w:tcPr>
            <w:tcW w:w="160" w:type="dxa"/>
            <w:vAlign w:val="bottom"/>
          </w:tcPr>
          <w:p>
            <w:pPr>
              <w:spacing w:after="0"/>
              <w:rPr>
                <w:sz w:val="18"/>
                <w:szCs w:val="18"/>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78,250</w:t>
            </w:r>
          </w:p>
        </w:tc>
        <w:tc>
          <w:tcPr>
            <w:tcW w:w="16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234,419</w:t>
            </w:r>
          </w:p>
        </w:tc>
      </w:tr>
      <w:tr>
        <w:trPr>
          <w:trHeight w:val="207"/>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Purchases of treasury stock</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(1,329)</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6200" w:type="dxa"/>
            <w:vAlign w:val="bottom"/>
          </w:tcPr>
          <w:p>
            <w:pPr>
              <w:spacing w:after="0"/>
              <w:rPr>
                <w:sz w:val="20"/>
                <w:szCs w:val="20"/>
                <w:color w:val="auto"/>
              </w:rPr>
            </w:pPr>
            <w:r>
              <w:rPr>
                <w:rFonts w:ascii="Arial" w:cs="Arial" w:eastAsia="Arial" w:hAnsi="Arial"/>
                <w:sz w:val="17"/>
                <w:szCs w:val="17"/>
                <w:color w:val="auto"/>
              </w:rPr>
              <w:t>Dividends paid to stockholders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(80,291)</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(78,063)</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(52,589)</w:t>
            </w:r>
          </w:p>
        </w:tc>
      </w:tr>
      <w:tr>
        <w:trPr>
          <w:trHeight w:val="27"/>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Provided by Financing Activities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40,330</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183,524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147,773</w:t>
            </w:r>
          </w:p>
        </w:tc>
      </w:tr>
      <w:tr>
        <w:trPr>
          <w:trHeight w:val="210"/>
        </w:trPr>
        <w:tc>
          <w:tcPr>
            <w:tcW w:w="6200" w:type="dxa"/>
            <w:vAlign w:val="bottom"/>
          </w:tcPr>
          <w:p>
            <w:pPr>
              <w:ind w:left="70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2,435</w:t>
            </w: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Pr>
          <w:p>
            <w:pPr>
              <w:spacing w:after="0"/>
              <w:rPr>
                <w:sz w:val="18"/>
                <w:szCs w:val="18"/>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2,431</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2,413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3,471</w:t>
            </w:r>
          </w:p>
        </w:tc>
      </w:tr>
      <w:tr>
        <w:trPr>
          <w:trHeight w:val="210"/>
        </w:trPr>
        <w:tc>
          <w:tcPr>
            <w:tcW w:w="6200" w:type="dxa"/>
            <w:vAlign w:val="bottom"/>
          </w:tcPr>
          <w:p>
            <w:pPr>
              <w:ind w:left="700"/>
              <w:spacing w:after="0"/>
              <w:rPr>
                <w:sz w:val="20"/>
                <w:szCs w:val="20"/>
                <w:color w:val="auto"/>
              </w:rPr>
            </w:pPr>
            <w:r>
              <w:rPr>
                <w:rFonts w:ascii="Arial" w:cs="Arial" w:eastAsia="Arial" w:hAnsi="Arial"/>
                <w:sz w:val="17"/>
                <w:szCs w:val="17"/>
                <w:b w:val="1"/>
                <w:bCs w:val="1"/>
                <w:color w:val="auto"/>
              </w:rPr>
              <w:t>Cash and Cash Equivalents,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4,866</w:t>
            </w:r>
          </w:p>
        </w:tc>
        <w:tc>
          <w:tcPr>
            <w:tcW w:w="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2,431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2,413</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Supplemental Information:</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Interest paid during the period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22,008</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16,175</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11,394</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Excise taxes paid during the 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1,200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Dividends declared during the period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92,794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84,297</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81,326</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Reinvestment of dividends during the 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10,337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6,094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22,566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Cash and cash equivalents may consist of demand deposits and highly liquid investments (e.g., money market funds, U.S. Treasury notes, and similar type instruments) with original maturities of three months or 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80" w:hanging="325"/>
        <w:spacing w:after="0" w:line="286"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has identified and requested them to perform. At December 31, 2016,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38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in other assets and a portion of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yield method, or straight-line method, over the stated maturity of the obligation.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yield method.</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generally include syndication, structuring or diligence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2016</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April 2015, the Financial Accounting Standards Board issued Accounting Standards Update No. 2015-03 (“ASU 2015-03”), “Interest – Imputation of Interest (Subtopic 835-30): Simplifying the Presentation of Debt Issuance Costs.” ASU 2015-03 requires that debt issuance costs be presented as a direct deduction from the carrying amount of the related debt liability, consistent with the presentation of debt discounts. Prior to the issuance of ASU 2015-03, debt issuance costs were required to be presented as deferred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adopted this guidance during the quarter ended March 31, 2016 and adjusted prior period balance sheets to reflect the change. The adoption of this guidance did not have an impact on the Company’s results of operations or cash flows. See Note 7, “Debt” for additional disclosures required under this guidance.</w:t>
      </w:r>
    </w:p>
    <w:p>
      <w:pPr>
        <w:spacing w:after="0" w:line="17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“Presentation of Financial Statements – Going Concern (Subtopic 205 – 40): Disclosure of Uncertainties About an Entity’s Ability to Continue as a Going Concern.” ASU 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ASU 2014-15 is effective for the annual period ending after December 31, 2016 and for annual periods and interim periods thereafter, with early adoption permitted. The Company adopted this guidance during the quarter ended June 30, 2016. The adoption of this guidance did not have an impact on the Company’s financial position, results of operations or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May 2014, the Financial Accounting Standards Board issued Accounting Standards Update 2014-09 (“ASU 2014-09”), “Revenue from Contracts with Customers (Topic 606).” The guidance in this ASU supersedes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 is currently evaluating the impact of adopting this ASU on its consolidated financial statements.</w:t>
      </w:r>
    </w:p>
    <w:p>
      <w:pPr>
        <w:spacing w:after="0" w:line="173"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color w:val="auto"/>
        </w:rPr>
        <w:t>In November 2016, the Financial Accounting Standards Board issued Accounting Standards Update 2016-18 (“ASU 2016-18”), “Statement of Cash Flows (Topic 230): Restricted Cash.” The standard requires an entity’s reconciliation of the beginning-of-period and end-of-period total amounts shown on the statement of cash flows to include in cash and cash equivalents amounts generally described as restricted cash and restricted cash equivalents. ASU</w:t>
      </w:r>
    </w:p>
    <w:p>
      <w:pPr>
        <w:ind w:right="20"/>
        <w:spacing w:after="0" w:line="323" w:lineRule="auto"/>
        <w:rPr>
          <w:sz w:val="20"/>
          <w:szCs w:val="20"/>
          <w:color w:val="auto"/>
        </w:rPr>
      </w:pPr>
      <w:r>
        <w:rPr>
          <w:rFonts w:ascii="Arial" w:cs="Arial" w:eastAsia="Arial" w:hAnsi="Arial"/>
          <w:sz w:val="16"/>
          <w:szCs w:val="16"/>
          <w:color w:val="auto"/>
        </w:rPr>
        <w:t>2016-18 is effective for public business entities for annual and interim periods in fiscal years beginning after December 15, 2017. Early adoption is permitted, including adoption in an interim period. The Company is currently evaluating the impact of adopting this ASU on its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years ended December 31, 2016, 2015 and 2014, the Company incurred expenses of $3.1 million, $3.6 million and $2.7 million, respectively, for administrative services payable to the Adviser under the terms of the Administration Agreement.</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November 2016, the Board renewed the Administration Agreement. Unless earlier terminated as described below, the Administration Agreement will remain in effect until November 2017,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Administration Agreement was subsequently amended on February 22, 2017 to make certain clarifications to the agreement, including with respect to the scope of the costs and expenses of the Administrator’s services. In February 2017, the Board approved an amendment to the Administration Agreement. Unless earlier terminated as described below, the Administration Agreement will remain in effect until February 2018, and may be extended subject to required approvals.</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2016, 2015 and 2014, Management Fees were $24.3 million, $21.3 million and $18.3 million, respectively.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the Company’s initial public offering ( the “IPO”), the Adviser had waived its right to receive the Management Fee in excess of the sum of</w:t>
      </w:r>
    </w:p>
    <w:p>
      <w:pPr>
        <w:spacing w:after="0" w:line="35" w:lineRule="exact"/>
        <w:rPr>
          <w:sz w:val="20"/>
          <w:szCs w:val="20"/>
          <w:color w:val="auto"/>
        </w:rPr>
      </w:pPr>
    </w:p>
    <w:p>
      <w:pPr>
        <w:ind w:right="360" w:firstLine="8"/>
        <w:spacing w:after="0" w:line="261" w:lineRule="auto"/>
        <w:tabs>
          <w:tab w:leader="none" w:pos="2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0.25% of aggregate committed but undrawn capital; and, (ii) 0.75% of aggregate drawn capital (including capital drawn to pay Company expenses) as determined as of the end of any calendar quarter (the “Pre-IPO Waiver”).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Adviser has voluntarily waived the Management Fee on the Company’s ownership of shares of common stock in TICC Capital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“TICC Shares”) for any period in which TICC Capital Corp. remains a portfolio company of the Company.</w:t>
      </w:r>
    </w:p>
    <w:p>
      <w:pPr>
        <w:spacing w:after="0" w:line="211"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For the year ended December 31, 2016 and 2015, Management Fees of $0.1 million, and $0.1 million, respectively, were waived, consisting solely of Management Fees attributable to the Company’s ownership of the TICC shares. For the year ended December 31, 2014, Management Fees of $2.5 million were waived pursuant to the Pre-IPO Waiver. Any waived Management Fees are not subject to recoupment by the Adviser.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71"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71" w:lineRule="exact"/>
        <w:rPr>
          <w:sz w:val="20"/>
          <w:szCs w:val="20"/>
          <w:color w:val="auto"/>
        </w:rPr>
      </w:pPr>
    </w:p>
    <w:p>
      <w:pPr>
        <w:ind w:left="920" w:right="100"/>
        <w:spacing w:after="0" w:line="273" w:lineRule="auto"/>
        <w:rPr>
          <w:sz w:val="20"/>
          <w:szCs w:val="20"/>
          <w:color w:val="auto"/>
        </w:rPr>
      </w:pPr>
      <w:r>
        <w:rPr>
          <w:rFonts w:ascii="Arial" w:cs="Arial" w:eastAsia="Arial" w:hAnsi="Arial"/>
          <w:sz w:val="17"/>
          <w:szCs w:val="17"/>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80"/>
        <w:spacing w:after="0" w:line="342" w:lineRule="auto"/>
        <w:rPr>
          <w:sz w:val="20"/>
          <w:szCs w:val="20"/>
          <w:color w:val="auto"/>
        </w:rPr>
      </w:pPr>
      <w:r>
        <w:rPr>
          <w:rFonts w:ascii="Arial" w:cs="Arial" w:eastAsia="Arial" w:hAnsi="Arial"/>
          <w:sz w:val="16"/>
          <w:szCs w:val="16"/>
          <w:color w:val="auto"/>
        </w:rPr>
        <w:t>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89"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its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For the year ended December 31, 2016, Incentive Fees were $22.7 million which were realized and payable to the Adviser. For the year ended December 31, 2015, Incentive Fees were $20.2 million which were realized and payable to the Adviser. For the year ended December 31, 2014, Incentive Fees were $17.8 million, of which $20.8 million were realized and payable to the Adviser.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the Company’s ownership of the TICC Shares for any period in which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against the Company’s cumulative realized capital gains on which the Capital Gains Fee is calculated.</w:t>
      </w:r>
    </w:p>
    <w:p>
      <w:pPr>
        <w:spacing w:after="0" w:line="18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For the years ended December 31, 2016 and 2015, Incentive Fees of $0.3 million and $0.2 million, respectively, were waived, consisting solely of Incentive Fees attributable to the Company’s ownership of the TICC Shares. For the year ending December 31, 2014 no Incentive Fees were waived, as the Company did not hold any TICC Shares during such periods. Any waived Incentive Fees are not subject to recoupment by the Adviser.</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the Company’s ownership of the TICC Shares, as the Adviser can discontinue the voluntary waiver at any time. Accordingly, the Company may be required to continue to pay the full amount of the Management Fee and Incentive Fee, including with respect to the TICC Shares, in future periods.</w:t>
      </w:r>
    </w:p>
    <w:p>
      <w:pPr>
        <w:spacing w:after="0" w:line="17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In November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2016 and 2015:</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0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1,592,753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$1,599,578</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23,959</w:t>
            </w:r>
          </w:p>
        </w:tc>
        <w:tc>
          <w:tcPr>
            <w:tcW w:w="1740" w:type="dxa"/>
            <w:vAlign w:val="bottom"/>
            <w:gridSpan w:val="3"/>
          </w:tcPr>
          <w:p>
            <w:pPr>
              <w:jc w:val="right"/>
              <w:ind w:right="420"/>
              <w:spacing w:after="0"/>
              <w:rPr>
                <w:sz w:val="20"/>
                <w:szCs w:val="20"/>
                <w:color w:val="auto"/>
              </w:rPr>
            </w:pPr>
            <w:r>
              <w:rPr>
                <w:rFonts w:ascii="Arial" w:cs="Arial" w:eastAsia="Arial" w:hAnsi="Arial"/>
                <w:sz w:val="18"/>
                <w:szCs w:val="18"/>
                <w:color w:val="auto"/>
              </w:rPr>
              <w:t>19,577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10,753</w:t>
            </w:r>
          </w:p>
        </w:tc>
        <w:tc>
          <w:tcPr>
            <w:tcW w:w="1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10,681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40,222</w:t>
            </w:r>
          </w:p>
        </w:tc>
        <w:tc>
          <w:tcPr>
            <w:tcW w:w="1740" w:type="dxa"/>
            <w:vAlign w:val="bottom"/>
            <w:gridSpan w:val="3"/>
          </w:tcPr>
          <w:p>
            <w:pPr>
              <w:jc w:val="right"/>
              <w:ind w:right="420"/>
              <w:spacing w:after="0"/>
              <w:rPr>
                <w:sz w:val="20"/>
                <w:szCs w:val="20"/>
                <w:color w:val="auto"/>
              </w:rPr>
            </w:pPr>
            <w:r>
              <w:rPr>
                <w:rFonts w:ascii="Arial" w:cs="Arial" w:eastAsia="Arial" w:hAnsi="Arial"/>
                <w:sz w:val="18"/>
                <w:szCs w:val="18"/>
                <w:color w:val="auto"/>
              </w:rPr>
              <w:t>27,567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(12,655)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1,667,687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1,657,403</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0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1,333,080</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$1,310,183</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126,049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121,222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29,751</w:t>
            </w:r>
          </w:p>
        </w:tc>
        <w:tc>
          <w:tcPr>
            <w:tcW w:w="1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27,966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40,796</w:t>
            </w:r>
          </w:p>
        </w:tc>
        <w:tc>
          <w:tcPr>
            <w:tcW w:w="1740" w:type="dxa"/>
            <w:vAlign w:val="bottom"/>
            <w:gridSpan w:val="3"/>
          </w:tcPr>
          <w:p>
            <w:pPr>
              <w:jc w:val="right"/>
              <w:ind w:right="420"/>
              <w:spacing w:after="0"/>
              <w:rPr>
                <w:sz w:val="20"/>
                <w:szCs w:val="20"/>
                <w:color w:val="auto"/>
              </w:rPr>
            </w:pPr>
            <w:r>
              <w:rPr>
                <w:rFonts w:ascii="Arial" w:cs="Arial" w:eastAsia="Arial" w:hAnsi="Arial"/>
                <w:sz w:val="18"/>
                <w:szCs w:val="18"/>
                <w:color w:val="auto"/>
              </w:rPr>
              <w:t>26,338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(14,458)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1,529,676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1,485,709</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(43,967)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December 31, 2016 and 2015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4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2016</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6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Chemicals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0.7%</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Electronics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4.2%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Healthcare</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12.2%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Internet services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3.1%</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Office products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0.5%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Real Estate</w:t>
            </w:r>
          </w:p>
        </w:tc>
        <w:tc>
          <w:tcPr>
            <w:tcW w:w="160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Retail and consumer products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8.9%</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Transportation</w:t>
            </w:r>
          </w:p>
        </w:tc>
        <w:tc>
          <w:tcPr>
            <w:tcW w:w="160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460" w:type="dxa"/>
            <w:vAlign w:val="bottom"/>
            <w:gridSpan w:val="3"/>
          </w:tcPr>
          <w:p>
            <w:pPr>
              <w:jc w:val="right"/>
              <w:ind w:right="2240"/>
              <w:spacing w:after="0"/>
              <w:rPr>
                <w:sz w:val="20"/>
                <w:szCs w:val="20"/>
                <w:color w:val="auto"/>
              </w:rPr>
            </w:pPr>
            <w:r>
              <w:rPr>
                <w:rFonts w:ascii="Arial" w:cs="Arial" w:eastAsia="Arial" w:hAnsi="Arial"/>
                <w:sz w:val="18"/>
                <w:szCs w:val="18"/>
                <w:color w:val="auto"/>
              </w:rPr>
              <w:t>F-25</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60" w:right="5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2016 and 2015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37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2016</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Midwest</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12.8%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South</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24.5%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Canada</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9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forward exchange rate as of the measurement date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92"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During the year ended December 31, 2016, the Company entered into foreign currency forward contracts to facilitate settlement of purchases and sales of investments denominated in foreign currencies. The Company did not have any open foreign currency forward contracts as of December 31, 2016.</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(losses)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June 2014, in connection with the issuance of the 2019 Convertible Senior Notes, the Company entered into two interest rate swap transactions, each with a $57.5 million notional amount. As of December 31, 2014 the Company received fixed rate interest at 4.50% and paid variable rate interest based on the three-month London Interbank Offered Rate (“LIBOR”) plus 252.9 basis points.</w:t>
      </w:r>
    </w:p>
    <w:p>
      <w:pPr>
        <w:spacing w:after="0" w:line="181" w:lineRule="exact"/>
        <w:rPr>
          <w:sz w:val="20"/>
          <w:szCs w:val="20"/>
          <w:color w:val="auto"/>
        </w:rPr>
      </w:pPr>
    </w:p>
    <w:p>
      <w:pPr>
        <w:jc w:val="both"/>
        <w:ind w:right="460" w:firstLine="456"/>
        <w:spacing w:after="0" w:line="342" w:lineRule="auto"/>
        <w:rPr>
          <w:sz w:val="20"/>
          <w:szCs w:val="20"/>
          <w:color w:val="auto"/>
        </w:rPr>
      </w:pPr>
      <w:r>
        <w:rPr>
          <w:rFonts w:ascii="Arial" w:cs="Arial" w:eastAsia="Arial" w:hAnsi="Arial"/>
          <w:sz w:val="16"/>
          <w:szCs w:val="16"/>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2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gross and net information on the Company’s interest rate swap transactions that are eligible for offset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as of December 31,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Net Amount</w:t>
            </w: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w:t>
            </w: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of Assets in</w:t>
            </w: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the</w:t>
            </w:r>
          </w:p>
        </w:tc>
        <w:tc>
          <w:tcPr>
            <w:tcW w:w="14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2"/>
                <w:szCs w:val="12"/>
                <w:color w:val="auto"/>
              </w:rPr>
            </w:pP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Amount of</w:t>
            </w:r>
          </w:p>
        </w:tc>
        <w:tc>
          <w:tcPr>
            <w:tcW w:w="360" w:type="dxa"/>
            <w:vAlign w:val="bottom"/>
          </w:tcPr>
          <w:p>
            <w:pPr>
              <w:spacing w:after="0"/>
              <w:rPr>
                <w:sz w:val="12"/>
                <w:szCs w:val="12"/>
                <w:color w:val="auto"/>
              </w:rPr>
            </w:pPr>
          </w:p>
        </w:tc>
        <w:tc>
          <w:tcPr>
            <w:tcW w:w="13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Offset in the</w:t>
            </w:r>
          </w:p>
        </w:tc>
        <w:tc>
          <w:tcPr>
            <w:tcW w:w="12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360" w:type="dxa"/>
            <w:vAlign w:val="bottom"/>
          </w:tcPr>
          <w:p>
            <w:pPr>
              <w:spacing w:after="0"/>
              <w:rPr>
                <w:sz w:val="12"/>
                <w:szCs w:val="12"/>
                <w:color w:val="auto"/>
              </w:rPr>
            </w:pPr>
          </w:p>
        </w:tc>
        <w:tc>
          <w:tcPr>
            <w:tcW w:w="13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Consolidated</w:t>
            </w:r>
          </w:p>
        </w:tc>
        <w:tc>
          <w:tcPr>
            <w:tcW w:w="12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Balance</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Arial" w:cs="Arial" w:eastAsia="Arial" w:hAnsi="Arial"/>
                <w:sz w:val="14"/>
                <w:szCs w:val="14"/>
                <w:color w:val="auto"/>
              </w:rPr>
              <w:t>($ in thousands)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3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Balance Sheets</w:t>
            </w:r>
          </w:p>
        </w:tc>
        <w:tc>
          <w:tcPr>
            <w:tcW w:w="12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Sheets</w:t>
            </w:r>
            <w:r>
              <w:rPr>
                <w:rFonts w:ascii="Arial" w:cs="Arial" w:eastAsia="Arial" w:hAnsi="Arial"/>
                <w:sz w:val="12"/>
                <w:szCs w:val="12"/>
                <w:b w:val="1"/>
                <w:bCs w:val="1"/>
                <w:color w:val="auto"/>
                <w:w w:val="89"/>
              </w:rPr>
              <w:t>(1)</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Sheets</w:t>
            </w:r>
          </w:p>
        </w:tc>
        <w:tc>
          <w:tcPr>
            <w:tcW w:w="0" w:type="dxa"/>
            <w:vAlign w:val="bottom"/>
          </w:tcPr>
          <w:p>
            <w:pPr>
              <w:spacing w:after="0"/>
              <w:rPr>
                <w:sz w:val="1"/>
                <w:szCs w:val="1"/>
                <w:color w:val="auto"/>
              </w:rPr>
            </w:pPr>
          </w:p>
        </w:tc>
      </w:tr>
      <w:tr>
        <w:trPr>
          <w:trHeight w:val="195"/>
        </w:trPr>
        <w:tc>
          <w:tcPr>
            <w:tcW w:w="39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Receivable for</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12/15/2019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$ 115,000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10/5/2018</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93"/>
              </w:rPr>
              <w:t>276</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276</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276</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Net Amount</w:t>
            </w: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Gross Amount</w:t>
            </w:r>
          </w:p>
        </w:tc>
        <w:tc>
          <w:tcPr>
            <w:tcW w:w="48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of Assets in</w:t>
            </w: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the</w:t>
            </w:r>
          </w:p>
        </w:tc>
        <w:tc>
          <w:tcPr>
            <w:tcW w:w="14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Maturity</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Notional</w:t>
            </w:r>
          </w:p>
        </w:tc>
        <w:tc>
          <w:tcPr>
            <w:tcW w:w="260" w:type="dxa"/>
            <w:vAlign w:val="bottom"/>
          </w:tcPr>
          <w:p>
            <w:pPr>
              <w:spacing w:after="0"/>
              <w:rPr>
                <w:sz w:val="12"/>
                <w:szCs w:val="12"/>
                <w:color w:val="auto"/>
              </w:rPr>
            </w:pPr>
          </w:p>
        </w:tc>
        <w:tc>
          <w:tcPr>
            <w:tcW w:w="7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Amount of</w:t>
            </w:r>
          </w:p>
        </w:tc>
        <w:tc>
          <w:tcPr>
            <w:tcW w:w="4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480" w:type="dxa"/>
            <w:vAlign w:val="bottom"/>
          </w:tcPr>
          <w:p>
            <w:pPr>
              <w:spacing w:after="0"/>
              <w:rPr>
                <w:sz w:val="12"/>
                <w:szCs w:val="12"/>
                <w:color w:val="auto"/>
              </w:rPr>
            </w:pPr>
          </w:p>
        </w:tc>
        <w:tc>
          <w:tcPr>
            <w:tcW w:w="13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6"/>
              </w:rPr>
              <w:t>Recognized</w:t>
            </w:r>
          </w:p>
        </w:tc>
        <w:tc>
          <w:tcPr>
            <w:tcW w:w="4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Balance</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Arial" w:cs="Arial" w:eastAsia="Arial" w:hAnsi="Arial"/>
                <w:sz w:val="14"/>
                <w:szCs w:val="14"/>
                <w:color w:val="auto"/>
              </w:rPr>
              <w:t>($ in thousands)</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4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Balance Sheets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Sheets</w:t>
            </w:r>
            <w:r>
              <w:rPr>
                <w:rFonts w:ascii="Arial" w:cs="Arial" w:eastAsia="Arial" w:hAnsi="Arial"/>
                <w:sz w:val="12"/>
                <w:szCs w:val="12"/>
                <w:b w:val="1"/>
                <w:bCs w:val="1"/>
                <w:color w:val="auto"/>
                <w:w w:val="89"/>
              </w:rPr>
              <w:t>(1)</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Sheets</w:t>
            </w:r>
          </w:p>
        </w:tc>
        <w:tc>
          <w:tcPr>
            <w:tcW w:w="0" w:type="dxa"/>
            <w:vAlign w:val="bottom"/>
          </w:tcPr>
          <w:p>
            <w:pPr>
              <w:spacing w:after="0"/>
              <w:rPr>
                <w:sz w:val="1"/>
                <w:szCs w:val="1"/>
                <w:color w:val="auto"/>
              </w:rPr>
            </w:pPr>
          </w:p>
        </w:tc>
      </w:tr>
      <w:tr>
        <w:trPr>
          <w:trHeight w:val="195"/>
        </w:trPr>
        <w:tc>
          <w:tcPr>
            <w:tcW w:w="35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8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Receivable for</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12/15/2019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$ 115,000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10/5/2018</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92,500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274</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207,500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402</w:t>
            </w: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During the years ended December 31, 2016, 2015 and 2014, the Company received $5.2 million, $5.2 million, and $2.6 million, respectively, and paid $4.1 million, $3.7 million, and $1.6 million, respectively, related to the quarterly settlements of its $115 million notional amount interest rate swap. The net amounts of these settlements are reductions to interest expense in the Company’s consolidated statements of operations.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year ended December 31, 2016 the Company received $0.5 million and paid $1.1 million related to the quarterly settlements of 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$92.5 million notional amount interest rate swap. The net amounts of these settlements are a reduction to interest income in the Company’s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w:t>
      </w:r>
    </w:p>
    <w:p>
      <w:pPr>
        <w:spacing w:after="0" w:line="21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For the years ended December 31, 2016 and 2015, the Company recognized ($0.3) million and ($0.6) million, respectively, in unrealized depreciation on derivatives in the consolidated statement of operations related to the swap transactions. As of December 31, 2016, and 2015, the swap transactions had a fair value of $0.1 million, and $0.4 million, respectively, which is included in receivable for interest rate swaps on the Company’s consolidated balance sheet.</w:t>
      </w:r>
    </w:p>
    <w:p>
      <w:pPr>
        <w:spacing w:after="0" w:line="14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(e.g., a so-called “margin call”) may result in a default. In the event of a default by a counterparty, the Company would be an unsecured creditor to the extent of any such overcollateralization. As of December 31, 2016, $1.1 million of cash is pledged as collateral under the Company’s derivative instruments and is included in restricted cash as a component of other assets on the Company’s consolidated balance sheet. The Company also had $0.9 million of cash collateral posted as of December 31, 2015, which is also included in restricted cash as a component of other assets on the Company’s consolidated balance sheet.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December 31,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4"/>
              </w:rPr>
              <w:t>Fair Value Hierarchy at December 31, 2016</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76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18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13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88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$ 145,491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$ 1,454,087</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$ 1,599,578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16,227</w:t>
            </w:r>
          </w:p>
        </w:tc>
        <w:tc>
          <w:tcPr>
            <w:tcW w:w="4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3,350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19,577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5,511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6,580</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8,522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12,465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27,567</w:t>
            </w:r>
          </w:p>
        </w:tc>
      </w:tr>
      <w:tr>
        <w:trPr>
          <w:trHeight w:val="27"/>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2"/>
              </w:rPr>
              <w:t>$ 12,091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$ 175,410</w:t>
            </w:r>
          </w:p>
        </w:tc>
        <w:tc>
          <w:tcPr>
            <w:tcW w:w="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$ 1,469,902</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$ 1,657,403</w:t>
            </w:r>
          </w:p>
        </w:tc>
        <w:tc>
          <w:tcPr>
            <w:tcW w:w="6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12,091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$ 175,479</w:t>
            </w:r>
          </w:p>
        </w:tc>
        <w:tc>
          <w:tcPr>
            <w:tcW w:w="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$ 1,469,902</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$ 1,657,472</w:t>
            </w:r>
          </w:p>
        </w:tc>
        <w:tc>
          <w:tcPr>
            <w:tcW w:w="6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8"/>
          </w:tcPr>
          <w:p>
            <w:pPr>
              <w:ind w:left="200"/>
              <w:spacing w:after="0"/>
              <w:rPr>
                <w:sz w:val="20"/>
                <w:szCs w:val="20"/>
                <w:color w:val="auto"/>
              </w:rPr>
            </w:pPr>
            <w:r>
              <w:rPr>
                <w:rFonts w:ascii="Arial" w:cs="Arial" w:eastAsia="Arial" w:hAnsi="Arial"/>
                <w:sz w:val="14"/>
                <w:szCs w:val="14"/>
                <w:b w:val="1"/>
                <w:bCs w:val="1"/>
                <w:color w:val="auto"/>
              </w:rPr>
              <w:t>Fair Value Hierarchy at December 31, 2015</w:t>
            </w:r>
          </w:p>
        </w:tc>
      </w:tr>
      <w:tr>
        <w:trPr>
          <w:trHeight w:val="142"/>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13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8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$ 80,692</w:t>
            </w: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$ 1,229,491</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$ 1,310,183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480"/>
              <w:spacing w:after="0"/>
              <w:rPr>
                <w:sz w:val="20"/>
                <w:szCs w:val="20"/>
                <w:color w:val="auto"/>
              </w:rPr>
            </w:pPr>
            <w:r>
              <w:rPr>
                <w:rFonts w:ascii="Arial" w:cs="Arial" w:eastAsia="Arial" w:hAnsi="Arial"/>
                <w:sz w:val="18"/>
                <w:szCs w:val="18"/>
                <w:color w:val="auto"/>
              </w:rPr>
              <w:t>30,781</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90,441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121,222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20,165</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7,801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27,966</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9,933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8,200</w:t>
            </w:r>
          </w:p>
        </w:tc>
        <w:tc>
          <w:tcPr>
            <w:tcW w:w="4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26,338</w:t>
            </w:r>
          </w:p>
        </w:tc>
        <w:tc>
          <w:tcPr>
            <w:tcW w:w="6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7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$9,933</w:t>
            </w:r>
          </w:p>
        </w:tc>
        <w:tc>
          <w:tcPr>
            <w:tcW w:w="152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$ 139,838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$ 1,335,938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$ 1,485,709</w:t>
            </w:r>
          </w:p>
        </w:tc>
        <w:tc>
          <w:tcPr>
            <w:tcW w:w="6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402</w:t>
            </w:r>
          </w:p>
        </w:tc>
        <w:tc>
          <w:tcPr>
            <w:tcW w:w="48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6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9,933</w:t>
            </w:r>
          </w:p>
        </w:tc>
        <w:tc>
          <w:tcPr>
            <w:tcW w:w="152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$ 140,240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$ 1,335,938</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$ 1,486,111</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2016 and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42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First-lien</w:t>
            </w: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9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Equity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18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and unsecured debt</w:t>
            </w:r>
          </w:p>
        </w:tc>
        <w:tc>
          <w:tcPr>
            <w:tcW w:w="10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investments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investments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$1,229,491</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$1,335,940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675,813</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675,808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(455,697)</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(62,500)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(520,362)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18,593</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2,561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672</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22,106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(8,585)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12,483</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Transfers within Level 3</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34,082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(34,082)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(58,456)</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3,828</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(57,310)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1,454,087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3,350</w:t>
            </w: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12,465</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1,469,902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Idera and Quiksilver – Boardriders SA were transferred out of Level 3 for fair value measurement purposes during the year ended December 31, 2016, as a result of changes in the observability of inputs into these securities valuations. Vertellus was transferred into Level 3 fair value measurement purposes as a result of changes in the observability of inputs into the valuation. APX Group was transferred into Level 1 as a result of changes in the observability of inputs into the valuation.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First-lien</w:t>
            </w:r>
          </w:p>
        </w:tc>
        <w:tc>
          <w:tcPr>
            <w:tcW w:w="22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40" w:type="dxa"/>
            <w:vAlign w:val="bottom"/>
          </w:tcPr>
          <w:p>
            <w:pPr>
              <w:spacing w:after="0"/>
              <w:rPr>
                <w:sz w:val="10"/>
                <w:szCs w:val="10"/>
                <w:color w:val="auto"/>
              </w:rPr>
            </w:pPr>
          </w:p>
        </w:tc>
        <w:tc>
          <w:tcPr>
            <w:tcW w:w="11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Mezzanine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Equity</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debt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4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$1,059,336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61,250</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$1,134,474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632,277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30,201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7,843</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670,321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(22,344)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(22,344)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(438,438)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(443,325)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losses</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(14,125)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(2,375)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(6,169)</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(22,031)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(2,837)</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11,506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11,813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Level 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1,229,491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90,441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1,335,938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Quiksilver – Boardriders SA and Sears were transferred into Level 3 for fair value measurement purposes during the year ended December 31, 2015, as a result of changes in the observability of inputs into these securities valuations.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2016 and 2015:</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Net Change in Unrealized</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49"/>
        </w:trPr>
        <w:tc>
          <w:tcPr>
            <w:tcW w:w="5080" w:type="dxa"/>
            <w:vAlign w:val="bottom"/>
          </w:tcPr>
          <w:p>
            <w:pPr>
              <w:spacing w:after="0"/>
              <w:rPr>
                <w:sz w:val="12"/>
                <w:szCs w:val="12"/>
                <w:color w:val="auto"/>
              </w:rPr>
            </w:pPr>
          </w:p>
        </w:tc>
        <w:tc>
          <w:tcPr>
            <w:tcW w:w="2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December 31, 2016 on</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December 31, 2015 on</w:t>
            </w: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2015</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236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(2,374)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8"/>
                <w:szCs w:val="18"/>
                <w:color w:val="auto"/>
              </w:rPr>
            </w:pPr>
          </w:p>
        </w:tc>
        <w:tc>
          <w:tcPr>
            <w:tcW w:w="2360" w:type="dxa"/>
            <w:vAlign w:val="bottom"/>
            <w:gridSpan w:val="2"/>
          </w:tcPr>
          <w:p>
            <w:pPr>
              <w:jc w:val="right"/>
              <w:ind w:right="580"/>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(7,378)</w:t>
            </w:r>
          </w:p>
        </w:tc>
      </w:tr>
      <w:tr>
        <w:trPr>
          <w:trHeight w:val="27"/>
        </w:trPr>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18,909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(18,815)</w:t>
            </w:r>
          </w:p>
        </w:tc>
      </w:tr>
      <w:tr>
        <w:trPr>
          <w:trHeight w:val="20"/>
        </w:trPr>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right"/>
              <w:ind w:right="803"/>
              <w:spacing w:after="0"/>
              <w:rPr>
                <w:sz w:val="20"/>
                <w:szCs w:val="20"/>
                <w:color w:val="auto"/>
              </w:rPr>
            </w:pPr>
            <w:r>
              <w:rPr>
                <w:rFonts w:ascii="Arial" w:cs="Arial" w:eastAsia="Arial" w:hAnsi="Arial"/>
                <w:sz w:val="14"/>
                <w:szCs w:val="14"/>
                <w:b w:val="1"/>
                <w:bCs w:val="1"/>
                <w:color w:val="auto"/>
                <w:w w:val="96"/>
              </w:rPr>
              <w:t>December 31, 2016</w:t>
            </w: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Unobservable</w:t>
            </w:r>
          </w:p>
        </w:tc>
        <w:tc>
          <w:tcPr>
            <w:tcW w:w="120" w:type="dxa"/>
            <w:vAlign w:val="bottom"/>
          </w:tcPr>
          <w:p>
            <w:pPr>
              <w:spacing w:after="0"/>
              <w:rPr>
                <w:sz w:val="10"/>
                <w:szCs w:val="10"/>
                <w:color w:val="auto"/>
              </w:rPr>
            </w:pPr>
          </w:p>
        </w:tc>
        <w:tc>
          <w:tcPr>
            <w:tcW w:w="3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Range (Weighted</w:t>
            </w: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3"/>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800" w:type="dxa"/>
            <w:vAlign w:val="bottom"/>
            <w:gridSpan w:val="2"/>
          </w:tcPr>
          <w:p>
            <w:pPr>
              <w:ind w:left="520"/>
              <w:spacing w:after="0"/>
              <w:rPr>
                <w:sz w:val="20"/>
                <w:szCs w:val="20"/>
                <w:color w:val="auto"/>
              </w:rPr>
            </w:pPr>
            <w:r>
              <w:rPr>
                <w:rFonts w:ascii="Arial" w:cs="Arial" w:eastAsia="Arial" w:hAnsi="Arial"/>
                <w:sz w:val="14"/>
                <w:szCs w:val="14"/>
                <w:b w:val="1"/>
                <w:bCs w:val="1"/>
                <w:color w:val="auto"/>
              </w:rPr>
              <w:t>Technique</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Input</w:t>
            </w:r>
          </w:p>
        </w:tc>
        <w:tc>
          <w:tcPr>
            <w:tcW w:w="120" w:type="dxa"/>
            <w:vAlign w:val="bottom"/>
          </w:tcPr>
          <w:p>
            <w:pPr>
              <w:spacing w:after="0"/>
              <w:rPr>
                <w:sz w:val="16"/>
                <w:szCs w:val="16"/>
                <w:color w:val="auto"/>
              </w:rPr>
            </w:pPr>
          </w:p>
        </w:tc>
        <w:tc>
          <w:tcPr>
            <w:tcW w:w="3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Average)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1,454,087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2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6.6%—12.9%</w:t>
            </w:r>
          </w:p>
        </w:tc>
        <w:tc>
          <w:tcPr>
            <w:tcW w:w="1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(9.3%)</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w w:val="96"/>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3,350</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Income approach</w:t>
            </w:r>
          </w:p>
        </w:tc>
        <w:tc>
          <w:tcPr>
            <w:tcW w:w="1240" w:type="dxa"/>
            <w:vAlign w:val="bottom"/>
          </w:tcPr>
          <w:p>
            <w:pPr>
              <w:spacing w:after="0"/>
              <w:rPr>
                <w:sz w:val="20"/>
                <w:szCs w:val="20"/>
                <w:color w:val="auto"/>
              </w:rPr>
            </w:pPr>
            <w:r>
              <w:rPr>
                <w:rFonts w:ascii="Arial" w:cs="Arial" w:eastAsia="Arial" w:hAnsi="Arial"/>
                <w:sz w:val="16"/>
                <w:szCs w:val="16"/>
                <w:color w:val="auto"/>
              </w:rPr>
              <w:t>Market yield</w:t>
            </w:r>
          </w:p>
        </w:tc>
        <w:tc>
          <w:tcPr>
            <w:tcW w:w="1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13.6%—13.6%</w:t>
            </w:r>
          </w:p>
        </w:tc>
        <w:tc>
          <w:tcPr>
            <w:tcW w:w="1520" w:type="dxa"/>
            <w:vAlign w:val="bottom"/>
          </w:tcPr>
          <w:p>
            <w:pPr>
              <w:ind w:left="2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w w:val="97"/>
              </w:rPr>
              <w:t>Equity and other investments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gridSpan w:val="3"/>
            <w:vMerge w:val="restart"/>
            <w:shd w:val="clear" w:color="auto" w:fill="CCEEFF"/>
          </w:tcPr>
          <w:p>
            <w:pPr>
              <w:ind w:left="80"/>
              <w:spacing w:after="0"/>
              <w:rPr>
                <w:sz w:val="20"/>
                <w:szCs w:val="20"/>
                <w:color w:val="auto"/>
              </w:rPr>
            </w:pPr>
            <w:r>
              <w:rPr>
                <w:rFonts w:ascii="Arial" w:cs="Arial" w:eastAsia="Arial" w:hAnsi="Arial"/>
                <w:sz w:val="16"/>
                <w:szCs w:val="16"/>
                <w:color w:val="auto"/>
              </w:rPr>
              <w:t>Market Multiple</w:t>
            </w:r>
            <w:r>
              <w:rPr>
                <w:rFonts w:ascii="Arial" w:cs="Arial" w:eastAsia="Arial" w:hAnsi="Arial"/>
                <w:sz w:val="27"/>
                <w:szCs w:val="27"/>
                <w:color w:val="auto"/>
                <w:vertAlign w:val="superscript"/>
              </w:rPr>
              <w:t>(2)</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Comparable</w:t>
            </w: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12,465</w:t>
            </w:r>
          </w:p>
        </w:tc>
        <w:tc>
          <w:tcPr>
            <w:tcW w:w="1880" w:type="dxa"/>
            <w:vAlign w:val="bottom"/>
            <w:gridSpan w:val="3"/>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multiple</w:t>
            </w:r>
          </w:p>
        </w:tc>
        <w:tc>
          <w:tcPr>
            <w:tcW w:w="12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4"/>
              </w:rPr>
              <w:t>8.4x —13.5x (10.1x)</w:t>
            </w: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$123.6 million of first-lien debt investments which were valued using a waterfall of the asset valuation.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$4.7 million of equity investments which were valued using a weighted valuation approach.</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2015</w:t>
            </w: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Unobservable</w:t>
            </w:r>
          </w:p>
        </w:tc>
        <w:tc>
          <w:tcPr>
            <w:tcW w:w="120" w:type="dxa"/>
            <w:vAlign w:val="bottom"/>
          </w:tcPr>
          <w:p>
            <w:pPr>
              <w:spacing w:after="0"/>
              <w:rPr>
                <w:sz w:val="10"/>
                <w:szCs w:val="10"/>
                <w:color w:val="auto"/>
              </w:rPr>
            </w:pPr>
          </w:p>
        </w:tc>
        <w:tc>
          <w:tcPr>
            <w:tcW w:w="3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Range (Weighted</w:t>
            </w: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800" w:type="dxa"/>
            <w:vAlign w:val="bottom"/>
            <w:gridSpan w:val="2"/>
          </w:tcPr>
          <w:p>
            <w:pPr>
              <w:ind w:left="520"/>
              <w:spacing w:after="0"/>
              <w:rPr>
                <w:sz w:val="20"/>
                <w:szCs w:val="20"/>
                <w:color w:val="auto"/>
              </w:rPr>
            </w:pPr>
            <w:r>
              <w:rPr>
                <w:rFonts w:ascii="Arial" w:cs="Arial" w:eastAsia="Arial" w:hAnsi="Arial"/>
                <w:sz w:val="14"/>
                <w:szCs w:val="14"/>
                <w:b w:val="1"/>
                <w:bCs w:val="1"/>
                <w:color w:val="auto"/>
              </w:rPr>
              <w:t>Technique</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Input</w:t>
            </w:r>
          </w:p>
        </w:tc>
        <w:tc>
          <w:tcPr>
            <w:tcW w:w="120" w:type="dxa"/>
            <w:vAlign w:val="bottom"/>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Average)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1,229,491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3.9%—15.3% (10.8%)</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w w:val="96"/>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90,441</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Income approach</w:t>
            </w:r>
          </w:p>
        </w:tc>
        <w:tc>
          <w:tcPr>
            <w:tcW w:w="1240" w:type="dxa"/>
            <w:vAlign w:val="bottom"/>
          </w:tcPr>
          <w:p>
            <w:pPr>
              <w:spacing w:after="0"/>
              <w:rPr>
                <w:sz w:val="20"/>
                <w:szCs w:val="20"/>
                <w:color w:val="auto"/>
              </w:rPr>
            </w:pPr>
            <w:r>
              <w:rPr>
                <w:rFonts w:ascii="Arial" w:cs="Arial" w:eastAsia="Arial" w:hAnsi="Arial"/>
                <w:sz w:val="16"/>
                <w:szCs w:val="16"/>
                <w:color w:val="auto"/>
              </w:rPr>
              <w:t>Market yield</w:t>
            </w:r>
          </w:p>
        </w:tc>
        <w:tc>
          <w:tcPr>
            <w:tcW w:w="120" w:type="dxa"/>
            <w:vAlign w:val="bottom"/>
          </w:tcPr>
          <w:p>
            <w:pPr>
              <w:spacing w:after="0"/>
              <w:rPr>
                <w:sz w:val="17"/>
                <w:szCs w:val="17"/>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12.1%—13.8% (13.2%)</w:t>
            </w:r>
          </w:p>
        </w:tc>
        <w:tc>
          <w:tcPr>
            <w:tcW w:w="160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w w:val="99"/>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7,801</w:t>
            </w:r>
          </w:p>
        </w:tc>
        <w:tc>
          <w:tcPr>
            <w:tcW w:w="18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Income approach</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Market yield</w:t>
            </w:r>
          </w:p>
        </w:tc>
        <w:tc>
          <w:tcPr>
            <w:tcW w:w="1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12.6%—12.6% (12.6%)</w:t>
            </w: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w w:val="97"/>
              </w:rPr>
              <w:t>Equity and other investments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Comparable</w:t>
            </w:r>
          </w:p>
        </w:tc>
        <w:tc>
          <w:tcPr>
            <w:tcW w:w="120" w:type="dxa"/>
            <w:vAlign w:val="bottom"/>
          </w:tcPr>
          <w:p>
            <w:pPr>
              <w:spacing w:after="0"/>
              <w:rPr>
                <w:sz w:val="16"/>
                <w:szCs w:val="16"/>
                <w:color w:val="auto"/>
              </w:rPr>
            </w:pPr>
          </w:p>
        </w:tc>
        <w:tc>
          <w:tcPr>
            <w:tcW w:w="36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4"/>
              </w:rPr>
              <w:t>8.4x —13.5x (11.8x)</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Market Multiple or</w:t>
            </w:r>
          </w:p>
        </w:tc>
        <w:tc>
          <w:tcPr>
            <w:tcW w:w="1240" w:type="dxa"/>
            <w:vAlign w:val="bottom"/>
          </w:tcPr>
          <w:p>
            <w:pPr>
              <w:spacing w:after="0"/>
              <w:rPr>
                <w:sz w:val="20"/>
                <w:szCs w:val="20"/>
                <w:color w:val="auto"/>
              </w:rPr>
            </w:pPr>
            <w:r>
              <w:rPr>
                <w:rFonts w:ascii="Arial" w:cs="Arial" w:eastAsia="Arial" w:hAnsi="Arial"/>
                <w:sz w:val="16"/>
                <w:szCs w:val="16"/>
                <w:color w:val="auto"/>
              </w:rPr>
              <w:t>multiple or</w:t>
            </w:r>
          </w:p>
        </w:tc>
        <w:tc>
          <w:tcPr>
            <w:tcW w:w="120" w:type="dxa"/>
            <w:vAlign w:val="bottom"/>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0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8,205</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w w:val="95"/>
              </w:rPr>
              <w:t xml:space="preserve">Discounted Cash Flow </w:t>
            </w:r>
            <w:r>
              <w:rPr>
                <w:rFonts w:ascii="Arial" w:cs="Arial" w:eastAsia="Arial" w:hAnsi="Arial"/>
                <w:sz w:val="27"/>
                <w:szCs w:val="27"/>
                <w:color w:val="auto"/>
                <w:w w:val="95"/>
                <w:vertAlign w:val="superscript"/>
              </w:rPr>
              <w:t>(2)</w:t>
            </w:r>
          </w:p>
        </w:tc>
        <w:tc>
          <w:tcPr>
            <w:tcW w:w="1240" w:type="dxa"/>
            <w:vAlign w:val="bottom"/>
          </w:tcPr>
          <w:p>
            <w:pPr>
              <w:spacing w:after="0"/>
              <w:rPr>
                <w:sz w:val="20"/>
                <w:szCs w:val="20"/>
                <w:color w:val="auto"/>
              </w:rPr>
            </w:pPr>
            <w:r>
              <w:rPr>
                <w:rFonts w:ascii="Arial" w:cs="Arial" w:eastAsia="Arial" w:hAnsi="Arial"/>
                <w:sz w:val="16"/>
                <w:szCs w:val="16"/>
                <w:color w:val="auto"/>
              </w:rPr>
              <w:t>discount rate</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or 12.0%</w:t>
            </w:r>
          </w:p>
        </w:tc>
        <w:tc>
          <w:tcPr>
            <w:tcW w:w="1600" w:type="dxa"/>
            <w:vAlign w:val="bottom"/>
          </w:tcPr>
          <w:p>
            <w:pPr>
              <w:spacing w:after="0"/>
              <w:rPr>
                <w:sz w:val="20"/>
                <w:szCs w:val="20"/>
                <w:color w:val="auto"/>
              </w:rPr>
            </w:pPr>
            <w:r>
              <w:rPr>
                <w:rFonts w:ascii="Arial" w:cs="Arial" w:eastAsia="Arial" w:hAnsi="Arial"/>
                <w:sz w:val="16"/>
                <w:szCs w:val="16"/>
                <w:color w:val="auto"/>
              </w:rPr>
              <w:t>Increase or decrease</w:t>
            </w:r>
          </w:p>
        </w:tc>
        <w:tc>
          <w:tcPr>
            <w:tcW w:w="0" w:type="dxa"/>
            <w:vAlign w:val="bottom"/>
          </w:tcPr>
          <w:p>
            <w:pPr>
              <w:spacing w:after="0"/>
              <w:rPr>
                <w:sz w:val="1"/>
                <w:szCs w:val="1"/>
                <w:color w:val="auto"/>
              </w:rPr>
            </w:pPr>
          </w:p>
        </w:tc>
      </w:tr>
    </w:tbl>
    <w:p>
      <w:pPr>
        <w:ind w:left="460" w:right="40" w:hanging="452"/>
        <w:spacing w:after="0" w:line="249"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Includes $44.1 million of first-lien debt investments which, due to the proximity of the transactions relative to the measurement date, were valued using the transacted value of the investments.</w:t>
      </w:r>
    </w:p>
    <w:p>
      <w:pPr>
        <w:ind w:left="460" w:right="380" w:hanging="452"/>
        <w:spacing w:after="0" w:line="261"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Includes $3.8 million of equity investments which, due to the proximity of the transactions relative to the measurement date, were valued using the transacted value of the investments.</w:t>
      </w:r>
    </w:p>
    <w:p>
      <w:pPr>
        <w:spacing w:after="0" w:line="184"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December 31, 2016, approximates its carrying value as the outstanding balance is callable at carrying value. The fair value of the Company’s 2019 Convertible Senior Notes, which is categorized as Level 2 within the fair value hierarchy, as of December 31, 2016, was $117.6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2019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2016 and 2015, the Company’s asset coverage was 237.7% and 225.7%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3"/>
              </w:rPr>
              <w:t>December 31, 2016</w:t>
            </w: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120" w:type="dxa"/>
            <w:vAlign w:val="bottom"/>
          </w:tcPr>
          <w:p>
            <w:pPr>
              <w:spacing w:after="0"/>
              <w:rPr>
                <w:sz w:val="10"/>
                <w:szCs w:val="10"/>
                <w:color w:val="auto"/>
              </w:rPr>
            </w:pPr>
          </w:p>
        </w:tc>
        <w:tc>
          <w:tcPr>
            <w:tcW w:w="1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300" w:type="dxa"/>
            <w:vAlign w:val="bottom"/>
          </w:tcPr>
          <w:p>
            <w:pPr>
              <w:spacing w:after="0"/>
              <w:rPr>
                <w:sz w:val="10"/>
                <w:szCs w:val="10"/>
                <w:color w:val="auto"/>
              </w:rPr>
            </w:pPr>
          </w:p>
        </w:tc>
        <w:tc>
          <w:tcPr>
            <w:tcW w:w="14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w w:val="99"/>
              </w:rPr>
              <w:t>Outstanding</w:t>
            </w:r>
          </w:p>
        </w:tc>
        <w:tc>
          <w:tcPr>
            <w:tcW w:w="136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Amount</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0"/>
                <w:szCs w:val="10"/>
                <w:color w:val="auto"/>
              </w:rPr>
            </w:pPr>
          </w:p>
        </w:tc>
      </w:tr>
      <w:tr>
        <w:trPr>
          <w:trHeight w:val="171"/>
        </w:trPr>
        <w:tc>
          <w:tcPr>
            <w:tcW w:w="51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578,657</w:t>
            </w: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$ 366,343</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$569,919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115,000</w:t>
            </w:r>
          </w:p>
        </w:tc>
        <w:tc>
          <w:tcPr>
            <w:tcW w:w="6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110,790</w:t>
            </w:r>
          </w:p>
        </w:tc>
      </w:tr>
      <w:tr>
        <w:trPr>
          <w:trHeight w:val="27"/>
        </w:trPr>
        <w:tc>
          <w:tcPr>
            <w:tcW w:w="5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693,657</w:t>
            </w: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$ 366,343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680,709</w:t>
            </w:r>
          </w:p>
        </w:tc>
      </w:tr>
      <w:tr>
        <w:trPr>
          <w:trHeight w:val="20"/>
        </w:trPr>
        <w:tc>
          <w:tcPr>
            <w:tcW w:w="5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Convertible Senior Notes are presented net of deferred financing costs of $8.7 million and $2.3 million, respectively.</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40"/>
          </w:cols>
          <w:pgMar w:left="240" w:top="459" w:right="3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3"/>
              </w:rPr>
              <w:t>December 31, 2015</w:t>
            </w: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360" w:type="dxa"/>
            <w:vAlign w:val="bottom"/>
          </w:tcPr>
          <w:p>
            <w:pPr>
              <w:spacing w:after="0"/>
              <w:rPr>
                <w:sz w:val="10"/>
                <w:szCs w:val="10"/>
                <w:color w:val="auto"/>
              </w:rPr>
            </w:pPr>
          </w:p>
        </w:tc>
        <w:tc>
          <w:tcPr>
            <w:tcW w:w="1440" w:type="dxa"/>
            <w:vAlign w:val="bottom"/>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w w:val="96"/>
              </w:rPr>
              <w:t>Outstanding</w:t>
            </w:r>
          </w:p>
        </w:tc>
        <w:tc>
          <w:tcPr>
            <w:tcW w:w="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7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0"/>
                <w:szCs w:val="10"/>
                <w:color w:val="auto"/>
              </w:rPr>
            </w:pPr>
          </w:p>
        </w:tc>
      </w:tr>
      <w:tr>
        <w:trPr>
          <w:trHeight w:val="171"/>
        </w:trPr>
        <w:tc>
          <w:tcPr>
            <w:tcW w:w="3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Amount Committed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Available</w:t>
            </w:r>
            <w:r>
              <w:rPr>
                <w:rFonts w:ascii="Arial" w:cs="Arial" w:eastAsia="Arial" w:hAnsi="Arial"/>
                <w:sz w:val="12"/>
                <w:szCs w:val="12"/>
                <w:b w:val="1"/>
                <w:bCs w:val="1"/>
                <w:color w:val="auto"/>
                <w:w w:val="94"/>
              </w:rPr>
              <w:t>(1)</w:t>
            </w:r>
          </w:p>
        </w:tc>
        <w:tc>
          <w:tcPr>
            <w:tcW w:w="7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821,250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540,305</w:t>
            </w: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$ 280,945</w:t>
            </w:r>
          </w:p>
        </w:tc>
        <w:tc>
          <w:tcPr>
            <w:tcW w:w="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$532,996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115,000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115,000</w:t>
            </w:r>
          </w:p>
        </w:tc>
        <w:tc>
          <w:tcPr>
            <w:tcW w:w="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109,427</w:t>
            </w:r>
          </w:p>
        </w:tc>
      </w:tr>
      <w:tr>
        <w:trPr>
          <w:trHeight w:val="27"/>
        </w:trPr>
        <w:tc>
          <w:tcPr>
            <w:tcW w:w="3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936,250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655,305</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$ 280,945</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642,423</w:t>
            </w:r>
          </w:p>
        </w:tc>
      </w:tr>
      <w:tr>
        <w:trPr>
          <w:trHeight w:val="20"/>
        </w:trPr>
        <w:tc>
          <w:tcPr>
            <w:tcW w:w="3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Convertible Senior Notes are presented net of deferred financing costs of $7.3 million and $3.1 million, respectively.</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years ended December 31, 2016, 2015 and 2014,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Commitment fees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837</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1,773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2,263</w:t>
            </w:r>
          </w:p>
        </w:tc>
        <w:tc>
          <w:tcPr>
            <w:tcW w:w="2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Swap settlement</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w:t>
            </w: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22,010</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15,078</w:t>
            </w:r>
          </w:p>
        </w:tc>
        <w:tc>
          <w:tcPr>
            <w:tcW w:w="2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4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2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Average 1-month LIBOR rate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w:t>
      </w:r>
    </w:p>
    <w:p>
      <w:pPr>
        <w:spacing w:after="0"/>
        <w:rPr>
          <w:sz w:val="20"/>
          <w:szCs w:val="20"/>
          <w:color w:val="auto"/>
        </w:rPr>
      </w:pPr>
      <w:r>
        <w:rPr>
          <w:rFonts w:ascii="Arial" w:cs="Arial" w:eastAsia="Arial" w:hAnsi="Arial"/>
          <w:sz w:val="16"/>
          <w:szCs w:val="16"/>
          <w:color w:val="auto"/>
        </w:rPr>
        <w:t>$350 million. The facility included an uncommitted accordion feature that allowed the Company, under certain circumstances, to increase the size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up to $550 million. On September 30, 2013, the Company exercised its right under the accordion feature and increased the size of the facility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 million. On January 27, 2014, the Company again exercised its right under the accordion feature and increased the size of the facility to $420 million.</w:t>
      </w:r>
    </w:p>
    <w:p>
      <w:pPr>
        <w:spacing w:after="0" w:line="23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40"/>
          </w:cols>
          <w:pgMar w:left="240" w:top="460" w:right="3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31" w:lineRule="exact"/>
        <w:rPr>
          <w:sz w:val="20"/>
          <w:szCs w:val="20"/>
          <w:color w:val="auto"/>
        </w:rPr>
      </w:pPr>
    </w:p>
    <w:p>
      <w:pPr>
        <w:ind w:left="900" w:right="240" w:hanging="325"/>
        <w:spacing w:after="0" w:line="264"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22, 2016, the Company entered into a fifth amendment to the Revolving Credit Facility:</w:t>
      </w:r>
    </w:p>
    <w:p>
      <w:pPr>
        <w:spacing w:after="0" w:line="131" w:lineRule="exact"/>
        <w:rPr>
          <w:sz w:val="20"/>
          <w:szCs w:val="20"/>
          <w:color w:val="auto"/>
        </w:rPr>
      </w:pPr>
    </w:p>
    <w:p>
      <w:pPr>
        <w:ind w:left="900" w:hanging="325"/>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2016, the Company had outstanding debt denominated in Euro (EUR) of 47.1 million and Pound Sterling (GBP) of 13.3 million on its Revolving Credit Facility, included in the Outstanding Principal amount in the table above.</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2019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jc w:val="both"/>
        <w:ind w:right="100" w:firstLine="456"/>
        <w:spacing w:after="0" w:line="273" w:lineRule="auto"/>
        <w:rPr>
          <w:sz w:val="20"/>
          <w:szCs w:val="20"/>
          <w:color w:val="auto"/>
        </w:rPr>
      </w:pPr>
      <w:r>
        <w:rPr>
          <w:rFonts w:ascii="Arial" w:cs="Arial" w:eastAsia="Arial" w:hAnsi="Arial"/>
          <w:sz w:val="17"/>
          <w:szCs w:val="17"/>
          <w:color w:val="auto"/>
        </w:rPr>
        <w:t>On May 8, 2012, the “Closing Date,” the Company’s wholly owned subsidiary TPG SL SPV, LLC,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60"/>
          </w:cols>
          <w:pgMar w:left="240" w:top="460" w:right="2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availability under the borrowing base, which was based on the amount of TPG SL SPV’s assets from time to time, and satisfaction of certain conditions, including an asset coverage test, an asset quality test and certain concentration limits.</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(as amended, the “SPV Asset Facility”) had commitments of $175 million and the pricing ranged from cost of funds plus 225 basis points to LIBOR plus 235 basis points and the facility was scheduled to mature on January 21, 2021.</w:t>
      </w:r>
    </w:p>
    <w:p>
      <w:pPr>
        <w:spacing w:after="0" w:line="181"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8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On June 10, 2014, the Company issued in a private offering $115 million aggregate principal amount convertible senior notes due December 2019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the Company’s common stock or a combination of cash and shares of the Company’s common stock, at the Company’s election, at an initial conversion rate of 38.7162 shares of common stock per $1,000 principal amount of 2019 Convertible Senior Notes, which is equivalent to an initial conversion price of approximately $25.83 per share of the Company’s common stock, subject to customary anti-dilution adjustments. The sale of the 2019 Convertible Senior Notes generated net proceeds of approximately $110.8 million. The Company used the net proceeds of the offering to pay down debt under the Revolving Credit Facility. In connection with the offering of 2019 Convertible Senior Notes, the Company entered into interest rate swaps to continue to align the interest rates of its liabilities with its investment portfolio, which consists of predominately floating rate loans. As a result of the swaps, the Company’s effective interest rate on the 2019 Convertible Senior Notes is three-month LIBOR plus 286 basis points. See Note 5 for further information related to the Company’s interest rate swaps.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40"/>
          </w:cols>
          <w:pgMar w:left="240" w:top="460" w:right="3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may convert their 2019 Convertible Senior Notes at their option at any time prior to June 15, 2019 only under the following circumstances:</w:t>
      </w:r>
    </w:p>
    <w:p>
      <w:pPr>
        <w:spacing w:after="0" w:line="46" w:lineRule="exact"/>
        <w:rPr>
          <w:sz w:val="20"/>
          <w:szCs w:val="20"/>
          <w:color w:val="auto"/>
        </w:rPr>
      </w:pPr>
    </w:p>
    <w:p>
      <w:pPr>
        <w:ind w:firstLine="8"/>
        <w:spacing w:after="0" w:line="281" w:lineRule="auto"/>
        <w:tabs>
          <w:tab w:leader="none" w:pos="2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100" w:firstLine="8"/>
        <w:spacing w:after="0" w:line="292" w:lineRule="auto"/>
        <w:tabs>
          <w:tab w:leader="none" w:pos="2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2019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6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2016 and 2015, the components of interest expense related to the 2019 Convertible Senior Notes were as follows: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2016</w:t>
            </w:r>
          </w:p>
        </w:tc>
        <w:tc>
          <w:tcPr>
            <w:tcW w:w="2440" w:type="dxa"/>
            <w:vAlign w:val="bottom"/>
            <w:gridSpan w:val="4"/>
          </w:tcPr>
          <w:p>
            <w:pPr>
              <w:ind w:left="1220"/>
              <w:spacing w:after="0"/>
              <w:rPr>
                <w:sz w:val="20"/>
                <w:szCs w:val="20"/>
                <w:color w:val="auto"/>
              </w:rPr>
            </w:pPr>
            <w:r>
              <w:rPr>
                <w:rFonts w:ascii="Arial" w:cs="Arial" w:eastAsia="Arial" w:hAnsi="Arial"/>
                <w:sz w:val="14"/>
                <w:szCs w:val="14"/>
                <w:b w:val="1"/>
                <w:bCs w:val="1"/>
                <w:color w:val="auto"/>
                <w:w w:val="95"/>
              </w:rPr>
              <w:t>December 31, 2015</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589</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0" w:type="dxa"/>
            <w:vAlign w:val="bottom"/>
            <w:shd w:val="clear" w:color="auto" w:fill="CCEEFF"/>
          </w:tcPr>
          <w:p>
            <w:pPr>
              <w:spacing w:after="0"/>
              <w:rPr>
                <w:sz w:val="18"/>
                <w:szCs w:val="18"/>
                <w:color w:val="auto"/>
              </w:rPr>
            </w:pPr>
          </w:p>
        </w:tc>
      </w:tr>
      <w:tr>
        <w:trPr>
          <w:trHeight w:val="223"/>
        </w:trPr>
        <w:tc>
          <w:tcPr>
            <w:tcW w:w="506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12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6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years ended December 31, 2016 and 2015, the Company received $5.2 million and $5.2 million, respectively, and paid $4.1 million and $3.7 million, respectively, related to the quarterly settlement of its interest rate swaps. These net amounts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5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December 31, 2016 and December 31, 2015, the principal amount of the 2019 Convertible Senior Notes exceeded the value of the underlying shares multiplied by the per share closing price of the Company’s common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of December 31, 2016 and December 31, 2015, the components of the carrying value of the 2019 Convertible Senior Notes and the stated interest rate were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115,000</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115,000</w:t>
            </w:r>
          </w:p>
        </w:tc>
        <w:tc>
          <w:tcPr>
            <w:tcW w:w="2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(1,928)</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(2,517)</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(2,282)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(3,056)</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Carrying value of debt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110,790</w:t>
            </w: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109,427</w:t>
            </w:r>
          </w:p>
        </w:tc>
        <w:tc>
          <w:tcPr>
            <w:tcW w:w="2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rate</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bl>
    <w:p>
      <w:pPr>
        <w:spacing w:after="0" w:line="202" w:lineRule="exact"/>
        <w:rPr>
          <w:sz w:val="20"/>
          <w:szCs w:val="20"/>
          <w:color w:val="auto"/>
        </w:rPr>
      </w:pPr>
    </w:p>
    <w:p>
      <w:pPr>
        <w:jc w:val="both"/>
        <w:ind w:right="540" w:firstLine="456"/>
        <w:spacing w:after="0" w:line="342" w:lineRule="auto"/>
        <w:rPr>
          <w:sz w:val="20"/>
          <w:szCs w:val="20"/>
          <w:color w:val="auto"/>
        </w:rPr>
      </w:pPr>
      <w:r>
        <w:rPr>
          <w:rFonts w:ascii="Arial" w:cs="Arial" w:eastAsia="Arial" w:hAnsi="Arial"/>
          <w:sz w:val="16"/>
          <w:szCs w:val="16"/>
          <w:color w:val="auto"/>
        </w:rPr>
        <w:t>The stated interest rate in the table above does not include the effect of the interest rate swaps. The Company’s swap-adjusted interest rate as of December 31, 2016 was three-month LIBOR plus 286 basis points. Please see Note 5 for further information about the Company’s interest rate swaps.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2019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2019 Convertible Senior Notes under certain circumstances. These covenants are subject to important limitations and exceptions that are described in the 2019 Convertible Senior Notes Indenture. As of December 31, 2016, the Company was in compliance with the terms of the 2019 Convertible Senior Notes Indenture.</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2019 Convertible Senior Notes are accounted for in accordance with Accounting Standards Codification (“ASC”) 470-20. Upon conversion of any of the 2019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2019 Convertible Senior Notes Indenture. The Company has determined that the embedded conversion option in the 2019 Convertible Senior Notes are not required to be separately accounted for as a derivative under U.S. GAAP. In accounting for the 2019 Convertible Senior Notes, the Company estimated at the time of issuance separate debt and equity components of the 2019 Convertible Senior Notes. An original issue discount equal to the equity components of the 2019 Convertible Senior Notes was recorded in “additional paid-in capital” in the accompanying consolidated balance sheet. Additionally, the issuance costs associated with the 2019 Convertible Senior Notes were allocated to the debt and equity components in proportion to the allocation of the proceeds and accounted for as debt issuance costs and equity issuance costs, respectively.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and December 31, 2015,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59" w:right="2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and December 31, 2015, the Company had the following commitments to fund investments in current portfolio companies: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4"/>
          </w:tcPr>
          <w:p>
            <w:pPr>
              <w:spacing w:after="0"/>
              <w:rPr>
                <w:sz w:val="20"/>
                <w:szCs w:val="20"/>
                <w:color w:val="auto"/>
              </w:rPr>
            </w:pPr>
            <w:r>
              <w:rPr>
                <w:rFonts w:ascii="Arial" w:cs="Arial" w:eastAsia="Arial" w:hAnsi="Arial"/>
                <w:sz w:val="14"/>
                <w:szCs w:val="14"/>
                <w:b w:val="1"/>
                <w:bCs w:val="1"/>
                <w:color w:val="auto"/>
              </w:rPr>
              <w:t>December 31, 2016</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2015</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AppStar Financial, LLC - Revolver</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15,385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Clarabridge,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CrunchTime Information Systems, Inc. - Delayed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2,486</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4,139</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2,833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Helix Health, Ltd.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3,903</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IRGSE Holding Corp.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Marketo,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MyAlarm Center, LLC - Delayed Draw</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774</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2,164</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PayLease, LLC -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SailPoint Technologies,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2,143</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Sears - ABL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17,913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Sovos Compliance, LLC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43,795</w:t>
            </w:r>
          </w:p>
        </w:tc>
        <w:tc>
          <w:tcPr>
            <w:tcW w:w="2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78,646</w:t>
            </w:r>
          </w:p>
        </w:tc>
        <w:tc>
          <w:tcPr>
            <w:tcW w:w="6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December 31, 2016, the Company had additional unfunded commitments of $50.0 million to fund investments to new borrowers that were not current portfolio companies as of December 31, 2016. As of December 31, 2015, the Company did not have any unfunded commitments to fund investments to new borrowers that were not current portfolio companies as of December 31, 2015.</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2016,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20"/>
          </w:cols>
          <w:pgMar w:left="240" w:top="460"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2016 and 2015. All shares issued to stockholders in the tables below are newly issued shares.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w w:val="92"/>
              </w:rPr>
              <w:t>Year Ended December 31, 2016</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40" w:type="dxa"/>
            <w:vAlign w:val="bottom"/>
            <w:tcBorders>
              <w:bottom w:val="single" w:sz="8" w:color="CCEEFF"/>
            </w:tcBorders>
            <w:vMerge w:val="continue"/>
          </w:tcPr>
          <w:p>
            <w:pPr>
              <w:spacing w:after="0"/>
              <w:rPr>
                <w:sz w:val="12"/>
                <w:szCs w:val="12"/>
                <w:color w:val="auto"/>
              </w:rPr>
            </w:pPr>
          </w:p>
        </w:tc>
        <w:tc>
          <w:tcPr>
            <w:tcW w:w="176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Record Date</w:t>
            </w:r>
          </w:p>
        </w:tc>
        <w:tc>
          <w:tcPr>
            <w:tcW w:w="5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Date Shares Issued</w:t>
            </w:r>
          </w:p>
        </w:tc>
        <w:tc>
          <w:tcPr>
            <w:tcW w:w="5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Shares Issued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2015</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 2016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February 24, 2016</w:t>
            </w:r>
          </w:p>
        </w:tc>
        <w:tc>
          <w:tcPr>
            <w:tcW w:w="1760" w:type="dxa"/>
            <w:vAlign w:val="bottom"/>
          </w:tcPr>
          <w:p>
            <w:pPr>
              <w:jc w:val="right"/>
              <w:spacing w:after="0"/>
              <w:rPr>
                <w:sz w:val="20"/>
                <w:szCs w:val="20"/>
                <w:color w:val="auto"/>
              </w:rPr>
            </w:pPr>
            <w:r>
              <w:rPr>
                <w:rFonts w:ascii="Arial" w:cs="Arial" w:eastAsia="Arial" w:hAnsi="Arial"/>
                <w:sz w:val="18"/>
                <w:szCs w:val="18"/>
                <w:color w:val="auto"/>
              </w:rPr>
              <w:t>March 31, 2016</w:t>
            </w:r>
          </w:p>
        </w:tc>
        <w:tc>
          <w:tcPr>
            <w:tcW w:w="520" w:type="dxa"/>
            <w:vAlign w:val="bottom"/>
          </w:tcPr>
          <w:p>
            <w:pPr>
              <w:spacing w:after="0"/>
              <w:rPr>
                <w:sz w:val="18"/>
                <w:szCs w:val="18"/>
                <w:color w:val="auto"/>
              </w:rPr>
            </w:pPr>
          </w:p>
        </w:tc>
        <w:tc>
          <w:tcPr>
            <w:tcW w:w="2180" w:type="dxa"/>
            <w:vAlign w:val="bottom"/>
            <w:gridSpan w:val="2"/>
          </w:tcPr>
          <w:p>
            <w:pPr>
              <w:jc w:val="right"/>
              <w:ind w:right="520"/>
              <w:spacing w:after="0"/>
              <w:rPr>
                <w:sz w:val="20"/>
                <w:szCs w:val="20"/>
                <w:color w:val="auto"/>
              </w:rPr>
            </w:pPr>
            <w:r>
              <w:rPr>
                <w:rFonts w:ascii="Arial" w:cs="Arial" w:eastAsia="Arial" w:hAnsi="Arial"/>
                <w:sz w:val="18"/>
                <w:szCs w:val="18"/>
                <w:color w:val="auto"/>
              </w:rPr>
              <w:t>May 2, 2016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186,204</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4, 2016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2016</w:t>
            </w:r>
          </w:p>
        </w:tc>
        <w:tc>
          <w:tcPr>
            <w:tcW w:w="5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August 1, 2016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168,621</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August 3, 2016</w:t>
            </w:r>
          </w:p>
        </w:tc>
        <w:tc>
          <w:tcPr>
            <w:tcW w:w="1760" w:type="dxa"/>
            <w:vAlign w:val="bottom"/>
          </w:tcPr>
          <w:p>
            <w:pPr>
              <w:jc w:val="right"/>
              <w:spacing w:after="0"/>
              <w:rPr>
                <w:sz w:val="20"/>
                <w:szCs w:val="20"/>
                <w:color w:val="auto"/>
              </w:rPr>
            </w:pPr>
            <w:r>
              <w:rPr>
                <w:rFonts w:ascii="Arial" w:cs="Arial" w:eastAsia="Arial" w:hAnsi="Arial"/>
                <w:sz w:val="18"/>
                <w:szCs w:val="18"/>
                <w:color w:val="auto"/>
              </w:rPr>
              <w:t>September 30, 2016</w:t>
            </w:r>
          </w:p>
        </w:tc>
        <w:tc>
          <w:tcPr>
            <w:tcW w:w="520" w:type="dxa"/>
            <w:vAlign w:val="bottom"/>
          </w:tcPr>
          <w:p>
            <w:pPr>
              <w:spacing w:after="0"/>
              <w:rPr>
                <w:sz w:val="19"/>
                <w:szCs w:val="19"/>
                <w:color w:val="auto"/>
              </w:rPr>
            </w:pPr>
          </w:p>
        </w:tc>
        <w:tc>
          <w:tcPr>
            <w:tcW w:w="2180" w:type="dxa"/>
            <w:vAlign w:val="bottom"/>
            <w:gridSpan w:val="2"/>
          </w:tcPr>
          <w:p>
            <w:pPr>
              <w:jc w:val="right"/>
              <w:ind w:right="520"/>
              <w:spacing w:after="0"/>
              <w:rPr>
                <w:sz w:val="20"/>
                <w:szCs w:val="20"/>
                <w:color w:val="auto"/>
              </w:rPr>
            </w:pPr>
            <w:r>
              <w:rPr>
                <w:rFonts w:ascii="Arial" w:cs="Arial" w:eastAsia="Arial" w:hAnsi="Arial"/>
                <w:sz w:val="18"/>
                <w:szCs w:val="18"/>
                <w:color w:val="auto"/>
              </w:rPr>
              <w:t>November 1, 2016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638,326</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0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w w:val="92"/>
              </w:rPr>
              <w:t>Year Ended December 31, 2015</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vMerge w:val="continue"/>
          </w:tcPr>
          <w:p>
            <w:pPr>
              <w:spacing w:after="0"/>
              <w:rPr>
                <w:sz w:val="24"/>
                <w:szCs w:val="24"/>
                <w:color w:val="auto"/>
              </w:rPr>
            </w:pPr>
          </w:p>
        </w:tc>
        <w:tc>
          <w:tcPr>
            <w:tcW w:w="3140" w:type="dxa"/>
            <w:vAlign w:val="bottom"/>
            <w:vMerge w:val="continue"/>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40" w:type="dxa"/>
            <w:vAlign w:val="bottom"/>
            <w:tcBorders>
              <w:bottom w:val="single" w:sz="8" w:color="CCEEFF"/>
            </w:tcBorders>
            <w:vMerge w:val="continue"/>
          </w:tcPr>
          <w:p>
            <w:pPr>
              <w:spacing w:after="0"/>
              <w:rPr>
                <w:sz w:val="12"/>
                <w:szCs w:val="12"/>
                <w:color w:val="auto"/>
              </w:rPr>
            </w:pPr>
          </w:p>
        </w:tc>
        <w:tc>
          <w:tcPr>
            <w:tcW w:w="176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Record Date</w:t>
            </w:r>
          </w:p>
        </w:tc>
        <w:tc>
          <w:tcPr>
            <w:tcW w:w="5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Date Shares Issued</w:t>
            </w:r>
          </w:p>
        </w:tc>
        <w:tc>
          <w:tcPr>
            <w:tcW w:w="5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Shares Issued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2014</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 2015</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February 24, 2015</w:t>
            </w:r>
          </w:p>
        </w:tc>
        <w:tc>
          <w:tcPr>
            <w:tcW w:w="1760" w:type="dxa"/>
            <w:vAlign w:val="bottom"/>
          </w:tcPr>
          <w:p>
            <w:pPr>
              <w:jc w:val="right"/>
              <w:spacing w:after="0"/>
              <w:rPr>
                <w:sz w:val="20"/>
                <w:szCs w:val="20"/>
                <w:color w:val="auto"/>
              </w:rPr>
            </w:pPr>
            <w:r>
              <w:rPr>
                <w:rFonts w:ascii="Arial" w:cs="Arial" w:eastAsia="Arial" w:hAnsi="Arial"/>
                <w:sz w:val="18"/>
                <w:szCs w:val="18"/>
                <w:color w:val="auto"/>
              </w:rPr>
              <w:t>March 31, 2015</w:t>
            </w:r>
          </w:p>
        </w:tc>
        <w:tc>
          <w:tcPr>
            <w:tcW w:w="520" w:type="dxa"/>
            <w:vAlign w:val="bottom"/>
          </w:tcPr>
          <w:p>
            <w:pPr>
              <w:spacing w:after="0"/>
              <w:rPr>
                <w:sz w:val="18"/>
                <w:szCs w:val="18"/>
                <w:color w:val="auto"/>
              </w:rPr>
            </w:pPr>
          </w:p>
        </w:tc>
        <w:tc>
          <w:tcPr>
            <w:tcW w:w="2180" w:type="dxa"/>
            <w:vAlign w:val="bottom"/>
            <w:gridSpan w:val="2"/>
          </w:tcPr>
          <w:p>
            <w:pPr>
              <w:jc w:val="right"/>
              <w:ind w:right="520"/>
              <w:spacing w:after="0"/>
              <w:rPr>
                <w:sz w:val="20"/>
                <w:szCs w:val="20"/>
                <w:color w:val="auto"/>
              </w:rPr>
            </w:pPr>
            <w:r>
              <w:rPr>
                <w:rFonts w:ascii="Arial" w:cs="Arial" w:eastAsia="Arial" w:hAnsi="Arial"/>
                <w:sz w:val="18"/>
                <w:szCs w:val="18"/>
                <w:color w:val="auto"/>
              </w:rPr>
              <w:t>May 1, 2015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41,441</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2015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2015</w:t>
            </w:r>
          </w:p>
        </w:tc>
        <w:tc>
          <w:tcPr>
            <w:tcW w:w="5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August 3, 2015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26,258</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August 4, 2015</w:t>
            </w:r>
          </w:p>
        </w:tc>
        <w:tc>
          <w:tcPr>
            <w:tcW w:w="1760" w:type="dxa"/>
            <w:vAlign w:val="bottom"/>
          </w:tcPr>
          <w:p>
            <w:pPr>
              <w:jc w:val="right"/>
              <w:spacing w:after="0"/>
              <w:rPr>
                <w:sz w:val="20"/>
                <w:szCs w:val="20"/>
                <w:color w:val="auto"/>
              </w:rPr>
            </w:pPr>
            <w:r>
              <w:rPr>
                <w:rFonts w:ascii="Arial" w:cs="Arial" w:eastAsia="Arial" w:hAnsi="Arial"/>
                <w:sz w:val="18"/>
                <w:szCs w:val="18"/>
                <w:color w:val="auto"/>
              </w:rPr>
              <w:t>September 30, 2015</w:t>
            </w:r>
          </w:p>
        </w:tc>
        <w:tc>
          <w:tcPr>
            <w:tcW w:w="520" w:type="dxa"/>
            <w:vAlign w:val="bottom"/>
          </w:tcPr>
          <w:p>
            <w:pPr>
              <w:spacing w:after="0"/>
              <w:rPr>
                <w:sz w:val="19"/>
                <w:szCs w:val="19"/>
                <w:color w:val="auto"/>
              </w:rPr>
            </w:pPr>
          </w:p>
        </w:tc>
        <w:tc>
          <w:tcPr>
            <w:tcW w:w="2180" w:type="dxa"/>
            <w:vAlign w:val="bottom"/>
            <w:gridSpan w:val="2"/>
          </w:tcPr>
          <w:p>
            <w:pPr>
              <w:jc w:val="right"/>
              <w:ind w:right="520"/>
              <w:spacing w:after="0"/>
              <w:rPr>
                <w:sz w:val="20"/>
                <w:szCs w:val="20"/>
                <w:color w:val="auto"/>
              </w:rPr>
            </w:pPr>
            <w:r>
              <w:rPr>
                <w:rFonts w:ascii="Arial" w:cs="Arial" w:eastAsia="Arial" w:hAnsi="Arial"/>
                <w:sz w:val="18"/>
                <w:szCs w:val="18"/>
                <w:color w:val="auto"/>
              </w:rPr>
              <w:t>November 2, 2015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368,602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8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On August 3, 2016, the Board authorized the extension of the termination date of the Company 10b5-1 Plan to February 28, 2017. Unless extended or terminated by the Board, the Company 10b5-1 Plan will be in effect through the earlier of February 28, 2017 or such time as the current approved repurchase amount of up to $50 million has been fully utilized, subject to certain conditions.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60"/>
          </w:cols>
          <w:pgMar w:left="240" w:top="460" w:right="2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During the year ended December 31, 2016, the Company repurchased 86,081 shares under the Company 10b5-1 Plan at a weighted average price per share of $15.44, inclusive of commissions, for a total cost of $1.3 million. During the year ended December 31, 2015, 2,000 shares were repurchased under the Company 10b5-1 Plan at a weighted average price per share of $14.44, inclusive of commissions, for a total cost of $28.9. On February 22, 2017, the Board authorized the extension of the termination date of the Company 10b5-1 Plan to August 3, 2017.</w:t>
      </w:r>
    </w:p>
    <w:p>
      <w:pPr>
        <w:spacing w:after="0" w:line="17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For dates prior to December 3, 2013, the Company has retroactively applied the effect of the stock split to the financial information presented herein by multiplying numbers of shares outstanding by 66.676 and dividing per share amounts by 66.676.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Year Ended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2016</w:t>
            </w:r>
          </w:p>
        </w:tc>
        <w:tc>
          <w:tcPr>
            <w:tcW w:w="1960" w:type="dxa"/>
            <w:vAlign w:val="bottom"/>
            <w:gridSpan w:val="3"/>
          </w:tcPr>
          <w:p>
            <w:pPr>
              <w:ind w:left="780"/>
              <w:spacing w:after="0" w:line="142" w:lineRule="exact"/>
              <w:rPr>
                <w:sz w:val="20"/>
                <w:szCs w:val="20"/>
                <w:color w:val="auto"/>
              </w:rPr>
            </w:pPr>
            <w:r>
              <w:rPr>
                <w:rFonts w:ascii="Arial" w:cs="Arial" w:eastAsia="Arial" w:hAnsi="Arial"/>
                <w:sz w:val="14"/>
                <w:szCs w:val="14"/>
                <w:b w:val="1"/>
                <w:bCs w:val="1"/>
                <w:color w:val="auto"/>
                <w:w w:val="91"/>
              </w:rPr>
              <w:t>December 31, 2015</w:t>
            </w:r>
          </w:p>
        </w:tc>
        <w:tc>
          <w:tcPr>
            <w:tcW w:w="1960" w:type="dxa"/>
            <w:vAlign w:val="bottom"/>
            <w:gridSpan w:val="3"/>
          </w:tcPr>
          <w:p>
            <w:pPr>
              <w:ind w:left="800"/>
              <w:spacing w:after="0" w:line="142" w:lineRule="exact"/>
              <w:rPr>
                <w:sz w:val="20"/>
                <w:szCs w:val="20"/>
                <w:color w:val="auto"/>
              </w:rPr>
            </w:pPr>
            <w:r>
              <w:rPr>
                <w:rFonts w:ascii="Arial" w:cs="Arial" w:eastAsia="Arial" w:hAnsi="Arial"/>
                <w:sz w:val="14"/>
                <w:szCs w:val="14"/>
                <w:b w:val="1"/>
                <w:bCs w:val="1"/>
                <w:color w:val="auto"/>
                <w:w w:val="90"/>
              </w:rPr>
              <w:t>December 31, 2014</w:t>
            </w:r>
          </w:p>
        </w:tc>
        <w:tc>
          <w:tcPr>
            <w:tcW w:w="60" w:type="dxa"/>
            <w:vAlign w:val="bottom"/>
          </w:tcPr>
          <w:p>
            <w:pPr>
              <w:spacing w:after="0"/>
              <w:rPr>
                <w:sz w:val="12"/>
                <w:szCs w:val="12"/>
                <w:color w:val="auto"/>
              </w:rPr>
            </w:pPr>
          </w:p>
        </w:tc>
      </w:tr>
      <w:tr>
        <w:trPr>
          <w:trHeight w:val="182"/>
        </w:trPr>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4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137,007</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63,568</w:t>
            </w: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85,050</w:t>
            </w:r>
          </w:p>
        </w:tc>
        <w:tc>
          <w:tcPr>
            <w:tcW w:w="60" w:type="dxa"/>
            <w:vAlign w:val="bottom"/>
            <w:shd w:val="clear" w:color="auto" w:fill="CCEEFF"/>
          </w:tcPr>
          <w:p>
            <w:pPr>
              <w:spacing w:after="0"/>
              <w:rPr>
                <w:sz w:val="20"/>
                <w:szCs w:val="20"/>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stock outstanding—basic and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58,591,380</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54,006,322</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50,509,692</w:t>
            </w:r>
          </w:p>
        </w:tc>
        <w:tc>
          <w:tcPr>
            <w:tcW w:w="60" w:type="dxa"/>
            <w:vAlign w:val="bottom"/>
          </w:tcPr>
          <w:p>
            <w:pPr>
              <w:spacing w:after="0"/>
              <w:rPr>
                <w:sz w:val="20"/>
                <w:szCs w:val="20"/>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common share—basic</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2016 was less than the conversion price for the 2019 Convertible Senior Notes outstanding as of December 31, 2016. Therefore, for all periods presented in the financial statements, the underlying shares for the intrinsic value of the embedded options in the 2019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2016 and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December 31, 2016</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8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2"/>
                <w:szCs w:val="12"/>
                <w:color w:val="auto"/>
              </w:rPr>
            </w:pPr>
          </w:p>
        </w:tc>
        <w:tc>
          <w:tcPr>
            <w:tcW w:w="17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Payment Date</w:t>
            </w:r>
          </w:p>
        </w:tc>
        <w:tc>
          <w:tcPr>
            <w:tcW w:w="400" w:type="dxa"/>
            <w:vAlign w:val="bottom"/>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2016</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2016</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29, 2016</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0.39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May 4, 2016</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June 30, 2016</w:t>
            </w:r>
          </w:p>
        </w:tc>
        <w:tc>
          <w:tcPr>
            <w:tcW w:w="44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July 29, 2016</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August 3, 2016</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September 30, 2016</w:t>
            </w:r>
          </w:p>
        </w:tc>
        <w:tc>
          <w:tcPr>
            <w:tcW w:w="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October 31, 2016</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November 7, 2016</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2016</w:t>
            </w:r>
          </w:p>
        </w:tc>
        <w:tc>
          <w:tcPr>
            <w:tcW w:w="44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January 31, 2017</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1.56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60" w:type="dxa"/>
            <w:vAlign w:val="bottom"/>
            <w:gridSpan w:val="2"/>
            <w:vMerge w:val="restart"/>
          </w:tcPr>
          <w:p>
            <w:pPr>
              <w:ind w:left="720"/>
              <w:spacing w:after="0"/>
              <w:rPr>
                <w:sz w:val="20"/>
                <w:szCs w:val="20"/>
                <w:color w:val="auto"/>
              </w:rPr>
            </w:pPr>
            <w:r>
              <w:rPr>
                <w:rFonts w:ascii="Arial" w:cs="Arial" w:eastAsia="Arial" w:hAnsi="Arial"/>
                <w:sz w:val="18"/>
                <w:szCs w:val="18"/>
                <w:color w:val="auto"/>
              </w:rPr>
              <w:t>F-40</w:t>
            </w: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December 31, 2015</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8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2"/>
                <w:szCs w:val="12"/>
                <w:color w:val="auto"/>
              </w:rPr>
            </w:pPr>
          </w:p>
        </w:tc>
        <w:tc>
          <w:tcPr>
            <w:tcW w:w="17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Payment Date</w:t>
            </w:r>
          </w:p>
        </w:tc>
        <w:tc>
          <w:tcPr>
            <w:tcW w:w="400" w:type="dxa"/>
            <w:vAlign w:val="bottom"/>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2015</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30, 2015</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0.39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May 7, 2015</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June 30, 2015</w:t>
            </w:r>
          </w:p>
        </w:tc>
        <w:tc>
          <w:tcPr>
            <w:tcW w:w="44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July 31, 2015</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August 4, 2015</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September 30, 2015</w:t>
            </w:r>
          </w:p>
        </w:tc>
        <w:tc>
          <w:tcPr>
            <w:tcW w:w="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October 30, 2015</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November 3, 2015</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2015</w:t>
            </w:r>
          </w:p>
        </w:tc>
        <w:tc>
          <w:tcPr>
            <w:tcW w:w="44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January 29, 2016</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1.56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2016 and December 31, 2015, were derived from net investment income and long-term capital gains, determined on a tax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fiscal years ended December 31, 2016, 2015 and 2014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204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2014</w:t>
            </w: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89,916</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74,932</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Capital Gains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right"/>
              <w:ind w:right="1040"/>
              <w:spacing w:after="0"/>
              <w:rPr>
                <w:sz w:val="20"/>
                <w:szCs w:val="20"/>
                <w:color w:val="auto"/>
              </w:rPr>
            </w:pPr>
            <w:r>
              <w:rPr>
                <w:rFonts w:ascii="Arial" w:cs="Arial" w:eastAsia="Arial" w:hAnsi="Arial"/>
                <w:sz w:val="18"/>
                <w:szCs w:val="18"/>
                <w:color w:val="auto"/>
              </w:rPr>
              <w:t>2,878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9,366</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1,249</w:t>
            </w:r>
          </w:p>
        </w:tc>
      </w:tr>
      <w:tr>
        <w:trPr>
          <w:trHeight w:val="27"/>
        </w:trPr>
        <w:tc>
          <w:tcPr>
            <w:tcW w:w="2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92,794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84,298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81,326</w:t>
            </w:r>
          </w:p>
        </w:tc>
      </w:tr>
      <w:tr>
        <w:trPr>
          <w:trHeight w:val="20"/>
        </w:trPr>
        <w:tc>
          <w:tcPr>
            <w:tcW w:w="2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the years ended December 31, 2016, 2015 and 2014, 82.52%, 83.04%, and 78.85% of ordinary income qualified as interest related dividend which is exempt from U.S. withholding tax applicable to non-U.S. shareholders.</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2016, 2015 and 2014, to taxable income at December 31, 2016, 2015 and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December 31, 2016</w:t>
            </w: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182"/>
        </w:trPr>
        <w:tc>
          <w:tcPr>
            <w:tcW w:w="4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137,007</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63,568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(29,802)</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28,568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17,722</w:t>
            </w: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Other income (loss) for tax purposes,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ind w:left="540"/>
              <w:spacing w:after="0"/>
              <w:rPr>
                <w:sz w:val="20"/>
                <w:szCs w:val="20"/>
                <w:color w:val="auto"/>
              </w:rPr>
            </w:pPr>
            <w:r>
              <w:rPr>
                <w:rFonts w:ascii="Arial" w:cs="Arial" w:eastAsia="Arial" w:hAnsi="Arial"/>
                <w:sz w:val="18"/>
                <w:szCs w:val="18"/>
                <w:color w:val="auto"/>
              </w:rPr>
              <w:t>not book</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3"/>
          </w:tcPr>
          <w:p>
            <w:pPr>
              <w:jc w:val="right"/>
              <w:ind w:right="90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20"/>
                <w:szCs w:val="20"/>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Other expenses not currently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ind w:left="540"/>
              <w:spacing w:after="0"/>
              <w:rPr>
                <w:sz w:val="20"/>
                <w:szCs w:val="20"/>
                <w:color w:val="auto"/>
              </w:rPr>
            </w:pPr>
            <w:r>
              <w:rPr>
                <w:rFonts w:ascii="Arial" w:cs="Arial" w:eastAsia="Arial" w:hAnsi="Arial"/>
                <w:sz w:val="18"/>
                <w:szCs w:val="18"/>
                <w:color w:val="auto"/>
              </w:rPr>
              <w:t>deductible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2,249</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(2,930)</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2,073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Taxable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106,134</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96,067</w:t>
            </w:r>
          </w:p>
        </w:tc>
        <w:tc>
          <w:tcPr>
            <w:tcW w:w="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104,020</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00"/>
          </w:cols>
          <w:pgMar w:left="240" w:top="460" w:right="3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jc w:val="both"/>
        <w:ind w:right="460" w:firstLine="456"/>
        <w:spacing w:after="0" w:line="288" w:lineRule="auto"/>
        <w:rPr>
          <w:sz w:val="20"/>
          <w:szCs w:val="20"/>
          <w:color w:val="auto"/>
        </w:rPr>
      </w:pPr>
      <w:r>
        <w:rPr>
          <w:rFonts w:ascii="Arial" w:cs="Arial" w:eastAsia="Arial" w:hAnsi="Arial"/>
          <w:sz w:val="16"/>
          <w:szCs w:val="16"/>
          <w:color w:val="auto"/>
        </w:rPr>
        <w:t>During the year ended December 31, 2016, permanent differences were principally related to $2.3 million of recharacterization of income for tax purposes between ordinary income and capital gains, $1.8 million attributable to accrued U.S. federal excise taxes, $1.0 million of recharacterization of prepayment penalties for tax purposes between ordinary income and capital gains, and $0.4 million attributable to the foreign currency reclassifications.</w:t>
      </w:r>
    </w:p>
    <w:p>
      <w:pPr>
        <w:ind w:right="140"/>
        <w:spacing w:after="0" w:line="271" w:lineRule="auto"/>
        <w:rPr>
          <w:sz w:val="20"/>
          <w:szCs w:val="20"/>
          <w:color w:val="auto"/>
        </w:rPr>
      </w:pPr>
      <w:r>
        <w:rPr>
          <w:rFonts w:ascii="Arial" w:cs="Arial" w:eastAsia="Arial" w:hAnsi="Arial"/>
          <w:sz w:val="17"/>
          <w:szCs w:val="17"/>
          <w:color w:val="auto"/>
        </w:rPr>
        <w:t>During the year ended December 31, 2015, permanent differences were principally related to $13.8 million of recharacterization of prepayment penalties for tax purposes between ordinary income and capital gains, $1.2 million attributable to accrued U.S. federal excise taxes, and $0.1 million attributable to the foreign currency reclassifications. During the year ended December 31, 2014, permanent differences were principally related to $19.9 million of recharacterization of prepayment penalties for tax purposes between ordinary income and capital gains, $1.1 million attributable to accrued U.S. federal excise taxes, and $0.2 million attributable to the foreign currency reclassifications.</w:t>
      </w:r>
    </w:p>
    <w:p>
      <w:pPr>
        <w:spacing w:after="0" w:line="1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December 31, 2016, the Company had a deferred tax asset of $3.1 million pertaining to operating losses, related to one of its investments. Given the losses generated by the entity, the deferred tax asset has been offset by a valuation allowance of $3.1 million. As of December 31, 2015, the Company had a deferred tax asset of $1.5 million pertaining to unrealized depreciation and a $1.6 million deferred tax asset pertaining to operating losses, related to one of its investments. Given the losses generated by the entity, the deferred tax assets have been offset by valuation allowances of $1.5 million and $1.6 million for the deferred tax asset generated from unrealized depreciation and operating income, respectively. There were no deferred tax assets or liabilities as of December 31, 2014.</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2016 and 2015,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2016, 2015, 2014, 2013, and 2012.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December 31, 2013</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5"/>
                <w:szCs w:val="15"/>
                <w:b w:val="1"/>
                <w:bCs w:val="1"/>
                <w:color w:val="auto"/>
              </w:rPr>
              <w:t>(5)(7)</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14.71</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r>
      <w:tr>
        <w:trPr>
          <w:trHeight w:val="202"/>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Net realized and unrealized gain</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(loss)</w:t>
            </w:r>
            <w:r>
              <w:rPr>
                <w:rFonts w:ascii="Arial" w:cs="Arial" w:eastAsia="Arial" w:hAnsi="Arial"/>
                <w:sz w:val="15"/>
                <w:szCs w:val="15"/>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from operations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Issuance of common stock, net of offering costs</w:t>
            </w:r>
            <w:r>
              <w:rPr>
                <w:rFonts w:ascii="Arial" w:cs="Arial" w:eastAsia="Arial" w:hAnsi="Arial"/>
                <w:sz w:val="15"/>
                <w:szCs w:val="15"/>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r>
              <w:rPr>
                <w:rFonts w:ascii="Arial" w:cs="Arial" w:eastAsia="Arial" w:hAnsi="Arial"/>
                <w:sz w:val="15"/>
                <w:szCs w:val="15"/>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Dividends declared from realized gains</w:t>
            </w: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(decrease) in net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0.48</w:t>
            </w:r>
          </w:p>
        </w:tc>
      </w:tr>
      <w:tr>
        <w:trPr>
          <w:trHeight w:val="230"/>
        </w:trPr>
        <w:tc>
          <w:tcPr>
            <w:tcW w:w="20" w:type="dxa"/>
            <w:vAlign w:val="bottom"/>
          </w:tcPr>
          <w:p>
            <w:pPr>
              <w:spacing w:after="0"/>
              <w:rPr>
                <w:sz w:val="20"/>
                <w:szCs w:val="20"/>
                <w:color w:val="auto"/>
              </w:rPr>
            </w:pPr>
          </w:p>
        </w:tc>
        <w:tc>
          <w:tcPr>
            <w:tcW w:w="4020" w:type="dxa"/>
            <w:vAlign w:val="bottom"/>
          </w:tcPr>
          <w:p>
            <w:pPr>
              <w:ind w:left="340"/>
              <w:spacing w:after="0"/>
              <w:rPr>
                <w:sz w:val="20"/>
                <w:szCs w:val="20"/>
                <w:color w:val="auto"/>
              </w:rPr>
            </w:pPr>
            <w:r>
              <w:rPr>
                <w:rFonts w:ascii="Arial" w:cs="Arial" w:eastAsia="Arial" w:hAnsi="Arial"/>
                <w:sz w:val="18"/>
                <w:szCs w:val="18"/>
                <w:b w:val="1"/>
                <w:bCs w:val="1"/>
                <w:color w:val="auto"/>
              </w:rPr>
              <w:t>Net Asset Value, End of Period</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return based on market value</w:t>
            </w:r>
            <w:r>
              <w:rPr>
                <w:rFonts w:ascii="Arial" w:cs="Arial" w:eastAsia="Arial" w:hAnsi="Arial"/>
                <w:sz w:val="15"/>
                <w:szCs w:val="15"/>
                <w:color w:val="auto"/>
              </w:rPr>
              <w:t>(3)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24.78%</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59,716,205</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54,163,960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53,797,358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37,026,023</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31,582,954</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Ratio of net expenses to average net assets</w:t>
            </w:r>
            <w:r>
              <w:rPr>
                <w:rFonts w:ascii="Arial" w:cs="Arial" w:eastAsia="Arial" w:hAnsi="Arial"/>
                <w:sz w:val="15"/>
                <w:szCs w:val="15"/>
                <w:color w:val="auto"/>
              </w:rPr>
              <w:t>(6)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9.39%</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6.91%</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4"/>
              </w:rPr>
              <w:t>Ratio of net investment income to average net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Portfolio turnover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37.40%</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34.51%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53.16%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45.70%</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952,212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820,741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835,405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574,696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479,803</w:t>
            </w:r>
          </w:p>
        </w:tc>
      </w:tr>
    </w:tbl>
    <w:p>
      <w:pPr>
        <w:spacing w:after="0" w:line="229"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460" w:right="60" w:hanging="452"/>
        <w:spacing w:after="0" w:line="261"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8"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ratio of net expenses to average net assets in the table above reflects the Adviser’s waivers of its right to receive a portion of the Management Fee and Incentive Fees with respect to the Company’s ownership of shares of common stock of TICC Capital Corp. Excluding the effects of waivers, the ratio of net expenses to average net assets would have been 9.43% and 9.33% for the years ended December 31, 2016 and 2015, respectively. For the years ended December 31, 2014, 2013, and 2012, the Company’s did not own any shares of common stock of TICC Capital Corp. For the years ended December 31, 2014, 2013, and 2012, the ratio of net expenses to average net assets in the table above reflects the Adviser’s waivers of its right to receive a portion of the Management Fee prior to our IPO. Excluding the effects of the waiver, the ratio of net expenses to average net assets would have been 7.88%, 7.94% and 8.03% for the years ended December 31, 2014, 2013, and 2012, respectively.</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6"/>
              </w:rPr>
              <w:t>Q4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50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Q2</w:t>
            </w:r>
          </w:p>
        </w:tc>
        <w:tc>
          <w:tcPr>
            <w:tcW w:w="6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$49,708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$53,917</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$46,034</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$42,751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center"/>
              <w:ind w:right="60"/>
              <w:spacing w:after="0"/>
              <w:rPr>
                <w:sz w:val="20"/>
                <w:szCs w:val="20"/>
                <w:color w:val="auto"/>
              </w:rPr>
            </w:pPr>
            <w:r>
              <w:rPr>
                <w:rFonts w:ascii="Arial" w:cs="Arial" w:eastAsia="Arial" w:hAnsi="Arial"/>
                <w:sz w:val="18"/>
                <w:szCs w:val="18"/>
                <w:color w:val="auto"/>
                <w:w w:val="92"/>
              </w:rPr>
              <w:t>$21,641</w:t>
            </w:r>
          </w:p>
        </w:tc>
        <w:tc>
          <w:tcPr>
            <w:tcW w:w="1320" w:type="dxa"/>
            <w:vAlign w:val="bottom"/>
            <w:gridSpan w:val="8"/>
          </w:tcPr>
          <w:p>
            <w:pPr>
              <w:jc w:val="right"/>
              <w:ind w:right="400"/>
              <w:spacing w:after="0"/>
              <w:rPr>
                <w:sz w:val="20"/>
                <w:szCs w:val="20"/>
                <w:color w:val="auto"/>
              </w:rPr>
            </w:pPr>
            <w:r>
              <w:rPr>
                <w:rFonts w:ascii="Arial" w:cs="Arial" w:eastAsia="Arial" w:hAnsi="Arial"/>
                <w:sz w:val="18"/>
                <w:szCs w:val="18"/>
                <w:color w:val="auto"/>
              </w:rPr>
              <w:t>$23,346</w:t>
            </w:r>
          </w:p>
        </w:tc>
        <w:tc>
          <w:tcPr>
            <w:tcW w:w="114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$20,531</w:t>
            </w:r>
          </w:p>
        </w:tc>
        <w:tc>
          <w:tcPr>
            <w:tcW w:w="640" w:type="dxa"/>
            <w:vAlign w:val="bottom"/>
            <w:gridSpan w:val="3"/>
          </w:tcPr>
          <w:p>
            <w:pPr>
              <w:spacing w:after="0"/>
              <w:rPr>
                <w:sz w:val="20"/>
                <w:szCs w:val="20"/>
                <w:color w:val="auto"/>
              </w:rPr>
            </w:pPr>
            <w:r>
              <w:rPr>
                <w:rFonts w:ascii="Arial" w:cs="Arial" w:eastAsia="Arial" w:hAnsi="Arial"/>
                <w:sz w:val="18"/>
                <w:szCs w:val="18"/>
                <w:color w:val="auto"/>
                <w:w w:val="95"/>
              </w:rPr>
              <w:t>$19,559</w:t>
            </w:r>
          </w:p>
        </w:tc>
        <w:tc>
          <w:tcPr>
            <w:tcW w:w="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center"/>
              <w:ind w:right="60"/>
              <w:spacing w:after="0"/>
              <w:rPr>
                <w:sz w:val="20"/>
                <w:szCs w:val="20"/>
                <w:color w:val="auto"/>
              </w:rPr>
            </w:pPr>
            <w:r>
              <w:rPr>
                <w:rFonts w:ascii="Arial" w:cs="Arial" w:eastAsia="Arial" w:hAnsi="Arial"/>
                <w:sz w:val="18"/>
                <w:szCs w:val="18"/>
                <w:color w:val="auto"/>
                <w:w w:val="92"/>
              </w:rPr>
              <w:t>$28,067</w:t>
            </w:r>
          </w:p>
        </w:tc>
        <w:tc>
          <w:tcPr>
            <w:tcW w:w="1320" w:type="dxa"/>
            <w:vAlign w:val="bottom"/>
            <w:gridSpan w:val="8"/>
            <w:shd w:val="clear" w:color="auto" w:fill="CCEEFF"/>
          </w:tcPr>
          <w:p>
            <w:pPr>
              <w:jc w:val="right"/>
              <w:ind w:right="400"/>
              <w:spacing w:after="0"/>
              <w:rPr>
                <w:sz w:val="20"/>
                <w:szCs w:val="20"/>
                <w:color w:val="auto"/>
              </w:rPr>
            </w:pPr>
            <w:r>
              <w:rPr>
                <w:rFonts w:ascii="Arial" w:cs="Arial" w:eastAsia="Arial" w:hAnsi="Arial"/>
                <w:sz w:val="18"/>
                <w:szCs w:val="18"/>
                <w:color w:val="auto"/>
              </w:rPr>
              <w:t>$30,571</w:t>
            </w:r>
          </w:p>
        </w:tc>
        <w:tc>
          <w:tcPr>
            <w:tcW w:w="11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9"/>
              </w:rPr>
              <w:t>$25,503</w:t>
            </w: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$23,192</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center"/>
              <w:ind w:right="60"/>
              <w:spacing w:after="0"/>
              <w:rPr>
                <w:sz w:val="20"/>
                <w:szCs w:val="20"/>
                <w:color w:val="auto"/>
              </w:rPr>
            </w:pPr>
            <w:r>
              <w:rPr>
                <w:rFonts w:ascii="Arial" w:cs="Arial" w:eastAsia="Arial" w:hAnsi="Arial"/>
                <w:sz w:val="18"/>
                <w:szCs w:val="18"/>
                <w:color w:val="auto"/>
                <w:w w:val="99"/>
              </w:rPr>
              <w:t>$ 4,656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0"/>
              <w:spacing w:after="0"/>
              <w:rPr>
                <w:sz w:val="20"/>
                <w:szCs w:val="20"/>
                <w:color w:val="auto"/>
              </w:rPr>
            </w:pPr>
            <w:r>
              <w:rPr>
                <w:rFonts w:ascii="Arial" w:cs="Arial" w:eastAsia="Arial" w:hAnsi="Arial"/>
                <w:sz w:val="18"/>
                <w:szCs w:val="18"/>
                <w:color w:val="auto"/>
              </w:rPr>
              <w:t>6,304</w:t>
            </w:r>
          </w:p>
        </w:tc>
        <w:tc>
          <w:tcPr>
            <w:tcW w:w="114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$24,135</w:t>
            </w:r>
          </w:p>
        </w:tc>
        <w:tc>
          <w:tcPr>
            <w:tcW w:w="700" w:type="dxa"/>
            <w:vAlign w:val="bottom"/>
            <w:gridSpan w:val="4"/>
          </w:tcPr>
          <w:p>
            <w:pPr>
              <w:spacing w:after="0"/>
              <w:rPr>
                <w:sz w:val="20"/>
                <w:szCs w:val="20"/>
                <w:color w:val="auto"/>
              </w:rPr>
            </w:pPr>
            <w:r>
              <w:rPr>
                <w:rFonts w:ascii="Arial" w:cs="Arial" w:eastAsia="Arial" w:hAnsi="Arial"/>
                <w:sz w:val="18"/>
                <w:szCs w:val="18"/>
                <w:color w:val="auto"/>
                <w:w w:val="94"/>
              </w:rPr>
              <w:t>$ (5,421)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center"/>
              <w:ind w:right="60"/>
              <w:spacing w:after="0"/>
              <w:rPr>
                <w:sz w:val="20"/>
                <w:szCs w:val="20"/>
                <w:color w:val="auto"/>
              </w:rPr>
            </w:pPr>
            <w:r>
              <w:rPr>
                <w:rFonts w:ascii="Arial" w:cs="Arial" w:eastAsia="Arial" w:hAnsi="Arial"/>
                <w:sz w:val="18"/>
                <w:szCs w:val="18"/>
                <w:color w:val="auto"/>
                <w:w w:val="92"/>
              </w:rPr>
              <w:t>$32,723</w:t>
            </w:r>
          </w:p>
        </w:tc>
        <w:tc>
          <w:tcPr>
            <w:tcW w:w="1320" w:type="dxa"/>
            <w:vAlign w:val="bottom"/>
            <w:gridSpan w:val="8"/>
            <w:shd w:val="clear" w:color="auto" w:fill="CCEEFF"/>
          </w:tcPr>
          <w:p>
            <w:pPr>
              <w:jc w:val="right"/>
              <w:ind w:right="400"/>
              <w:spacing w:after="0"/>
              <w:rPr>
                <w:sz w:val="20"/>
                <w:szCs w:val="20"/>
                <w:color w:val="auto"/>
              </w:rPr>
            </w:pPr>
            <w:r>
              <w:rPr>
                <w:rFonts w:ascii="Arial" w:cs="Arial" w:eastAsia="Arial" w:hAnsi="Arial"/>
                <w:sz w:val="18"/>
                <w:szCs w:val="18"/>
                <w:color w:val="auto"/>
              </w:rPr>
              <w:t>$36,875</w:t>
            </w:r>
          </w:p>
        </w:tc>
        <w:tc>
          <w:tcPr>
            <w:tcW w:w="11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9"/>
              </w:rPr>
              <w:t>$49,638</w:t>
            </w: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$17,771</w:t>
            </w:r>
          </w:p>
        </w:tc>
        <w:tc>
          <w:tcPr>
            <w:tcW w:w="60" w:type="dxa"/>
            <w:vAlign w:val="bottom"/>
            <w:shd w:val="clear" w:color="auto" w:fill="CCEEFF"/>
          </w:tcPr>
          <w:p>
            <w:pPr>
              <w:spacing w:after="0"/>
              <w:rPr>
                <w:sz w:val="18"/>
                <w:szCs w:val="18"/>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5"/>
          </w:tcPr>
          <w:p>
            <w:pPr>
              <w:jc w:val="center"/>
              <w:ind w:right="60"/>
              <w:spacing w:after="0"/>
              <w:rPr>
                <w:sz w:val="20"/>
                <w:szCs w:val="20"/>
                <w:color w:val="auto"/>
              </w:rPr>
            </w:pPr>
            <w:r>
              <w:rPr>
                <w:rFonts w:ascii="Arial" w:cs="Arial" w:eastAsia="Arial" w:hAnsi="Arial"/>
                <w:sz w:val="18"/>
                <w:szCs w:val="18"/>
                <w:color w:val="auto"/>
                <w:w w:val="99"/>
              </w:rPr>
              <w:t>$ 15.95</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0"/>
              <w:spacing w:after="0"/>
              <w:rPr>
                <w:sz w:val="20"/>
                <w:szCs w:val="20"/>
                <w:color w:val="auto"/>
              </w:rPr>
            </w:pPr>
            <w:r>
              <w:rPr>
                <w:rFonts w:ascii="Arial" w:cs="Arial" w:eastAsia="Arial" w:hAnsi="Arial"/>
                <w:sz w:val="18"/>
                <w:szCs w:val="18"/>
                <w:color w:val="auto"/>
              </w:rPr>
              <w:t>15.78</w:t>
            </w: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96"/>
              </w:rPr>
              <w:t>$ 15.55</w:t>
            </w:r>
          </w:p>
        </w:tc>
        <w:tc>
          <w:tcPr>
            <w:tcW w:w="48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$ 15.11</w:t>
            </w:r>
          </w:p>
        </w:tc>
        <w:tc>
          <w:tcPr>
            <w:tcW w:w="60" w:type="dxa"/>
            <w:vAlign w:val="bottom"/>
          </w:tcPr>
          <w:p>
            <w:pPr>
              <w:spacing w:after="0"/>
              <w:rPr>
                <w:sz w:val="20"/>
                <w:szCs w:val="20"/>
                <w:color w:val="auto"/>
              </w:rPr>
            </w:pPr>
          </w:p>
        </w:tc>
      </w:tr>
      <w:tr>
        <w:trPr>
          <w:trHeight w:val="377"/>
        </w:trPr>
        <w:tc>
          <w:tcPr>
            <w:tcW w:w="6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560"/>
              <w:spacing w:after="0" w:line="142" w:lineRule="exact"/>
              <w:rPr>
                <w:sz w:val="20"/>
                <w:szCs w:val="20"/>
                <w:color w:val="auto"/>
              </w:rPr>
            </w:pPr>
            <w:r>
              <w:rPr>
                <w:rFonts w:ascii="Arial" w:cs="Arial" w:eastAsia="Arial" w:hAnsi="Arial"/>
                <w:sz w:val="14"/>
                <w:szCs w:val="14"/>
                <w:b w:val="1"/>
                <w:bCs w:val="1"/>
                <w:color w:val="auto"/>
                <w:w w:val="96"/>
              </w:rPr>
              <w:t>Q2</w:t>
            </w:r>
          </w:p>
        </w:tc>
        <w:tc>
          <w:tcPr>
            <w:tcW w:w="60" w:type="dxa"/>
            <w:vAlign w:val="bottom"/>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Q1</w:t>
            </w:r>
          </w:p>
        </w:tc>
        <w:tc>
          <w:tcPr>
            <w:tcW w:w="60" w:type="dxa"/>
            <w:vAlign w:val="bottom"/>
          </w:tcPr>
          <w:p>
            <w:pPr>
              <w:spacing w:after="0"/>
              <w:rPr>
                <w:sz w:val="12"/>
                <w:szCs w:val="12"/>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$ 43,559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1"/>
              </w:rPr>
              <w:t>$ 46,774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$45,352</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$37,730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760" w:type="dxa"/>
            <w:vAlign w:val="bottom"/>
            <w:gridSpan w:val="5"/>
          </w:tcPr>
          <w:p>
            <w:pPr>
              <w:jc w:val="right"/>
              <w:ind w:right="100"/>
              <w:spacing w:after="0"/>
              <w:rPr>
                <w:sz w:val="20"/>
                <w:szCs w:val="20"/>
                <w:color w:val="auto"/>
              </w:rPr>
            </w:pPr>
            <w:r>
              <w:rPr>
                <w:rFonts w:ascii="Arial" w:cs="Arial" w:eastAsia="Arial" w:hAnsi="Arial"/>
                <w:sz w:val="18"/>
                <w:szCs w:val="18"/>
                <w:color w:val="auto"/>
                <w:w w:val="91"/>
              </w:rPr>
              <w:t>$ 19,916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6"/>
          </w:tcPr>
          <w:p>
            <w:pPr>
              <w:ind w:left="160"/>
              <w:spacing w:after="0"/>
              <w:rPr>
                <w:sz w:val="20"/>
                <w:szCs w:val="20"/>
                <w:color w:val="auto"/>
              </w:rPr>
            </w:pPr>
            <w:r>
              <w:rPr>
                <w:rFonts w:ascii="Arial" w:cs="Arial" w:eastAsia="Arial" w:hAnsi="Arial"/>
                <w:sz w:val="18"/>
                <w:szCs w:val="18"/>
                <w:color w:val="auto"/>
                <w:w w:val="96"/>
              </w:rPr>
              <w:t>$ 20,926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89"/>
              </w:rPr>
              <w:t>$20,332</w:t>
            </w:r>
          </w:p>
        </w:tc>
        <w:tc>
          <w:tcPr>
            <w:tcW w:w="480" w:type="dxa"/>
            <w:vAlign w:val="bottom"/>
          </w:tcPr>
          <w:p>
            <w:pPr>
              <w:spacing w:after="0"/>
              <w:rPr>
                <w:sz w:val="18"/>
                <w:szCs w:val="18"/>
                <w:color w:val="auto"/>
              </w:rPr>
            </w:pP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89"/>
              </w:rPr>
              <w:t>$16,943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1"/>
              </w:rPr>
              <w:t>$ 23,643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6"/>
              </w:rPr>
              <w:t>$ 25,849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$25,020</w:t>
            </w:r>
          </w:p>
        </w:tc>
        <w:tc>
          <w:tcPr>
            <w:tcW w:w="4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$20,787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w w:val="90"/>
              </w:rPr>
              <w:t>$(27,985)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7"/>
          </w:tcPr>
          <w:p>
            <w:pPr>
              <w:ind w:left="160"/>
              <w:spacing w:after="0"/>
              <w:rPr>
                <w:sz w:val="20"/>
                <w:szCs w:val="20"/>
                <w:color w:val="auto"/>
              </w:rPr>
            </w:pPr>
            <w:r>
              <w:rPr>
                <w:rFonts w:ascii="Arial" w:cs="Arial" w:eastAsia="Arial" w:hAnsi="Arial"/>
                <w:sz w:val="18"/>
                <w:szCs w:val="18"/>
                <w:color w:val="auto"/>
                <w:w w:val="95"/>
              </w:rPr>
              <w:t>$(16,512)</w:t>
            </w:r>
          </w:p>
        </w:tc>
        <w:tc>
          <w:tcPr>
            <w:tcW w:w="400" w:type="dxa"/>
            <w:vAlign w:val="bottom"/>
          </w:tcPr>
          <w:p>
            <w:pPr>
              <w:spacing w:after="0"/>
              <w:rPr>
                <w:sz w:val="18"/>
                <w:szCs w:val="18"/>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96"/>
              </w:rPr>
              <w:t>$ 9,085</w:t>
            </w:r>
          </w:p>
        </w:tc>
        <w:tc>
          <w:tcPr>
            <w:tcW w:w="480" w:type="dxa"/>
            <w:vAlign w:val="bottom"/>
          </w:tcPr>
          <w:p>
            <w:pPr>
              <w:spacing w:after="0"/>
              <w:rPr>
                <w:sz w:val="18"/>
                <w:szCs w:val="18"/>
                <w:color w:val="auto"/>
              </w:rPr>
            </w:pP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96"/>
              </w:rPr>
              <w:t>$ 3,681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(4,342)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9,337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$34,105</w:t>
            </w:r>
          </w:p>
        </w:tc>
        <w:tc>
          <w:tcPr>
            <w:tcW w:w="4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$24,468</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15.15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15.62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96"/>
              </w:rPr>
              <w:t>$ 15.84</w:t>
            </w:r>
          </w:p>
        </w:tc>
        <w:tc>
          <w:tcPr>
            <w:tcW w:w="480" w:type="dxa"/>
            <w:vAlign w:val="bottom"/>
          </w:tcPr>
          <w:p>
            <w:pPr>
              <w:spacing w:after="0"/>
              <w:rPr>
                <w:sz w:val="20"/>
                <w:szCs w:val="20"/>
                <w:color w:val="auto"/>
              </w:rPr>
            </w:pP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96"/>
              </w:rPr>
              <w:t>$ 15.60</w:t>
            </w:r>
          </w:p>
        </w:tc>
      </w:tr>
      <w:tr>
        <w:trPr>
          <w:trHeight w:val="377"/>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Q2</w:t>
            </w:r>
          </w:p>
        </w:tc>
        <w:tc>
          <w:tcPr>
            <w:tcW w:w="60" w:type="dxa"/>
            <w:vAlign w:val="bottom"/>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Q1</w:t>
            </w:r>
          </w:p>
        </w:tc>
        <w:tc>
          <w:tcPr>
            <w:tcW w:w="60" w:type="dxa"/>
            <w:vAlign w:val="bottom"/>
          </w:tcPr>
          <w:p>
            <w:pPr>
              <w:spacing w:after="0"/>
              <w:rPr>
                <w:sz w:val="12"/>
                <w:szCs w:val="12"/>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1"/>
              </w:rPr>
              <w:t>$ 45,778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$38,404</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$45,657</w:t>
            </w: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$33,481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880" w:type="dxa"/>
            <w:vAlign w:val="bottom"/>
            <w:gridSpan w:val="6"/>
          </w:tcPr>
          <w:p>
            <w:pPr>
              <w:ind w:left="100"/>
              <w:spacing w:after="0"/>
              <w:rPr>
                <w:sz w:val="20"/>
                <w:szCs w:val="20"/>
                <w:color w:val="auto"/>
              </w:rPr>
            </w:pPr>
            <w:r>
              <w:rPr>
                <w:rFonts w:ascii="Arial" w:cs="Arial" w:eastAsia="Arial" w:hAnsi="Arial"/>
                <w:sz w:val="18"/>
                <w:szCs w:val="18"/>
                <w:color w:val="auto"/>
              </w:rPr>
              <w:t>$ 15,094</w:t>
            </w:r>
          </w:p>
        </w:tc>
        <w:tc>
          <w:tcPr>
            <w:tcW w:w="140" w:type="dxa"/>
            <w:vAlign w:val="bottom"/>
          </w:tcPr>
          <w:p>
            <w:pPr>
              <w:spacing w:after="0"/>
              <w:rPr>
                <w:sz w:val="18"/>
                <w:szCs w:val="18"/>
                <w:color w:val="auto"/>
              </w:rPr>
            </w:pPr>
          </w:p>
        </w:tc>
        <w:tc>
          <w:tcPr>
            <w:tcW w:w="920" w:type="dxa"/>
            <w:vAlign w:val="bottom"/>
            <w:gridSpan w:val="7"/>
          </w:tcPr>
          <w:p>
            <w:pPr>
              <w:jc w:val="right"/>
              <w:ind w:right="60"/>
              <w:spacing w:after="0"/>
              <w:rPr>
                <w:sz w:val="20"/>
                <w:szCs w:val="20"/>
                <w:color w:val="auto"/>
              </w:rPr>
            </w:pPr>
            <w:r>
              <w:rPr>
                <w:rFonts w:ascii="Arial" w:cs="Arial" w:eastAsia="Arial" w:hAnsi="Arial"/>
                <w:sz w:val="18"/>
                <w:szCs w:val="18"/>
                <w:color w:val="auto"/>
              </w:rPr>
              <w:t>$15,288</w:t>
            </w:r>
          </w:p>
        </w:tc>
        <w:tc>
          <w:tcPr>
            <w:tcW w:w="400" w:type="dxa"/>
            <w:vAlign w:val="bottom"/>
          </w:tcPr>
          <w:p>
            <w:pPr>
              <w:spacing w:after="0"/>
              <w:rPr>
                <w:sz w:val="18"/>
                <w:szCs w:val="18"/>
                <w:color w:val="auto"/>
              </w:rPr>
            </w:pPr>
          </w:p>
        </w:tc>
        <w:tc>
          <w:tcPr>
            <w:tcW w:w="114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$16,224</w:t>
            </w: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89"/>
              </w:rPr>
              <w:t>$12,239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$ 30,684</w:t>
            </w:r>
          </w:p>
        </w:tc>
        <w:tc>
          <w:tcPr>
            <w:tcW w:w="140" w:type="dxa"/>
            <w:vAlign w:val="bottom"/>
            <w:shd w:val="clear" w:color="auto" w:fill="CCEEFF"/>
          </w:tcPr>
          <w:p>
            <w:pPr>
              <w:spacing w:after="0"/>
              <w:rPr>
                <w:sz w:val="18"/>
                <w:szCs w:val="18"/>
                <w:color w:val="auto"/>
              </w:rPr>
            </w:pPr>
          </w:p>
        </w:tc>
        <w:tc>
          <w:tcPr>
            <w:tcW w:w="92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$23,116</w:t>
            </w:r>
          </w:p>
        </w:tc>
        <w:tc>
          <w:tcPr>
            <w:tcW w:w="4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9"/>
              </w:rPr>
              <w:t>$29,433</w:t>
            </w:r>
          </w:p>
        </w:tc>
        <w:tc>
          <w:tcPr>
            <w:tcW w:w="7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$21,242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880" w:type="dxa"/>
            <w:vAlign w:val="bottom"/>
            <w:gridSpan w:val="6"/>
          </w:tcPr>
          <w:p>
            <w:pPr>
              <w:ind w:left="100"/>
              <w:spacing w:after="0"/>
              <w:rPr>
                <w:sz w:val="20"/>
                <w:szCs w:val="20"/>
                <w:color w:val="auto"/>
              </w:rPr>
            </w:pPr>
            <w:r>
              <w:rPr>
                <w:rFonts w:ascii="Arial" w:cs="Arial" w:eastAsia="Arial" w:hAnsi="Arial"/>
                <w:sz w:val="18"/>
                <w:szCs w:val="18"/>
                <w:color w:val="auto"/>
                <w:w w:val="98"/>
              </w:rPr>
              <w:t>$(16,879)</w:t>
            </w:r>
          </w:p>
        </w:tc>
        <w:tc>
          <w:tcPr>
            <w:tcW w:w="140" w:type="dxa"/>
            <w:vAlign w:val="bottom"/>
          </w:tcPr>
          <w:p>
            <w:pPr>
              <w:spacing w:after="0"/>
              <w:rPr>
                <w:sz w:val="18"/>
                <w:szCs w:val="18"/>
                <w:color w:val="auto"/>
              </w:rPr>
            </w:pPr>
          </w:p>
        </w:tc>
        <w:tc>
          <w:tcPr>
            <w:tcW w:w="1320" w:type="dxa"/>
            <w:vAlign w:val="bottom"/>
            <w:gridSpan w:val="8"/>
          </w:tcPr>
          <w:p>
            <w:pPr>
              <w:jc w:val="right"/>
              <w:ind w:right="400"/>
              <w:spacing w:after="0"/>
              <w:rPr>
                <w:sz w:val="20"/>
                <w:szCs w:val="20"/>
                <w:color w:val="auto"/>
              </w:rPr>
            </w:pPr>
            <w:r>
              <w:rPr>
                <w:rFonts w:ascii="Arial" w:cs="Arial" w:eastAsia="Arial" w:hAnsi="Arial"/>
                <w:sz w:val="18"/>
                <w:szCs w:val="18"/>
                <w:color w:val="auto"/>
              </w:rPr>
              <w:t>$ (4,513)</w:t>
            </w:r>
          </w:p>
        </w:tc>
        <w:tc>
          <w:tcPr>
            <w:tcW w:w="1140" w:type="dxa"/>
            <w:vAlign w:val="bottom"/>
            <w:gridSpan w:val="5"/>
          </w:tcPr>
          <w:p>
            <w:pPr>
              <w:jc w:val="right"/>
              <w:ind w:right="420"/>
              <w:spacing w:after="0"/>
              <w:rPr>
                <w:sz w:val="20"/>
                <w:szCs w:val="20"/>
                <w:color w:val="auto"/>
              </w:rPr>
            </w:pPr>
            <w:r>
              <w:rPr>
                <w:rFonts w:ascii="Arial" w:cs="Arial" w:eastAsia="Arial" w:hAnsi="Arial"/>
                <w:sz w:val="18"/>
                <w:szCs w:val="18"/>
                <w:color w:val="auto"/>
                <w:w w:val="97"/>
              </w:rPr>
              <w:t>$ (2,139)</w:t>
            </w: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96"/>
              </w:rPr>
              <w:t>$ 4,106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$ 13,805</w:t>
            </w:r>
          </w:p>
        </w:tc>
        <w:tc>
          <w:tcPr>
            <w:tcW w:w="140" w:type="dxa"/>
            <w:vAlign w:val="bottom"/>
            <w:shd w:val="clear" w:color="auto" w:fill="CCEEFF"/>
          </w:tcPr>
          <w:p>
            <w:pPr>
              <w:spacing w:after="0"/>
              <w:rPr>
                <w:sz w:val="18"/>
                <w:szCs w:val="18"/>
                <w:color w:val="auto"/>
              </w:rPr>
            </w:pPr>
          </w:p>
        </w:tc>
        <w:tc>
          <w:tcPr>
            <w:tcW w:w="92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$18,603</w:t>
            </w:r>
          </w:p>
        </w:tc>
        <w:tc>
          <w:tcPr>
            <w:tcW w:w="4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9"/>
              </w:rPr>
              <w:t>$27,294</w:t>
            </w:r>
          </w:p>
        </w:tc>
        <w:tc>
          <w:tcPr>
            <w:tcW w:w="7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$25,348</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ind w:left="160"/>
              <w:spacing w:after="0"/>
              <w:rPr>
                <w:sz w:val="20"/>
                <w:szCs w:val="20"/>
                <w:color w:val="auto"/>
              </w:rPr>
            </w:pPr>
            <w:r>
              <w:rPr>
                <w:rFonts w:ascii="Arial" w:cs="Arial" w:eastAsia="Arial" w:hAnsi="Arial"/>
                <w:sz w:val="18"/>
                <w:szCs w:val="18"/>
                <w:color w:val="auto"/>
              </w:rPr>
              <w:t>15.53</w:t>
            </w:r>
          </w:p>
        </w:tc>
        <w:tc>
          <w:tcPr>
            <w:tcW w:w="14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15.66</w:t>
            </w:r>
          </w:p>
        </w:tc>
        <w:tc>
          <w:tcPr>
            <w:tcW w:w="400" w:type="dxa"/>
            <w:vAlign w:val="bottom"/>
          </w:tcPr>
          <w:p>
            <w:pPr>
              <w:spacing w:after="0"/>
              <w:rPr>
                <w:sz w:val="20"/>
                <w:szCs w:val="20"/>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96"/>
              </w:rPr>
              <w:t>$ 15.70</w:t>
            </w:r>
          </w:p>
        </w:tc>
        <w:tc>
          <w:tcPr>
            <w:tcW w:w="480" w:type="dxa"/>
            <w:vAlign w:val="bottom"/>
          </w:tcPr>
          <w:p>
            <w:pPr>
              <w:spacing w:after="0"/>
              <w:rPr>
                <w:sz w:val="20"/>
                <w:szCs w:val="20"/>
                <w:color w:val="auto"/>
              </w:rPr>
            </w:pP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96"/>
              </w:rPr>
              <w:t>$ 15.51</w:t>
            </w:r>
          </w:p>
        </w:tc>
      </w:tr>
    </w:tbl>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Net expenses include income taxes, including excise taxes.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1, 2017, the Company issued in a private offering $100 million aggregate principal amount of 4.50% Convertible Senior Notes due 2022 (the “2022 Convertible Senior Notes”). On February 3, 2017,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Company issued an additional $15 million aggregate principal amount of the 2022 Convertible Senior Notes pursuant to the exercise in full of the over-allotment option to purchase additional notes granted to the initial purchasers. The 2022 Convertible Senior Notes are unsecured, and bear interest at a rate of 4.50% per year, payable semiannually. The 2022 Convertible Senior Notes will mature on August 1, 2022. In certain circumstances, the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The sale of the 2022 Convertible Senior Notes generated net proceeds of approximately $110.6 million. The Company used the net proceeds of the 2022 Convertible Senior Notes issuances to pay down debt under its Revolving Credit Facility.</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February 1, 2017, in connection with the issuance of the 2022 Convertible Senior Notes, the Company entered into an interest rate swap transaction with a notional amount of $115 million. The Company pays three-month LIBOR plus 237.2 basis points and receives fixed rate interest at 4.50%. The swap transaction matures on August 1, 2022.</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59" w:right="2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00" w:type="dxa"/>
            <w:vAlign w:val="bottom"/>
            <w:gridSpan w:val="6"/>
          </w:tcPr>
          <w:p>
            <w:pPr>
              <w:jc w:val="center"/>
              <w:ind w:right="2920"/>
              <w:spacing w:after="0"/>
              <w:rPr>
                <w:sz w:val="20"/>
                <w:szCs w:val="20"/>
                <w:color w:val="auto"/>
              </w:rPr>
            </w:pPr>
            <w:r>
              <w:rPr>
                <w:rFonts w:ascii="Arial" w:cs="Arial" w:eastAsia="Arial" w:hAnsi="Arial"/>
                <w:sz w:val="18"/>
                <w:szCs w:val="18"/>
                <w:b w:val="1"/>
                <w:bCs w:val="1"/>
                <w:color w:val="auto"/>
              </w:rPr>
              <w:t>TPG SPECIALTY LENDING, INC.</w:t>
            </w: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5"/>
          </w:tcPr>
          <w:p>
            <w:pPr>
              <w:jc w:val="center"/>
              <w:ind w:right="3340"/>
              <w:spacing w:after="0"/>
              <w:rPr>
                <w:sz w:val="20"/>
                <w:szCs w:val="20"/>
                <w:color w:val="auto"/>
              </w:rPr>
            </w:pPr>
            <w:r>
              <w:rPr>
                <w:rFonts w:ascii="Arial" w:cs="Arial" w:eastAsia="Arial" w:hAnsi="Arial"/>
                <w:sz w:val="18"/>
                <w:szCs w:val="18"/>
                <w:b w:val="1"/>
                <w:bCs w:val="1"/>
                <w:color w:val="auto"/>
                <w:w w:val="95"/>
              </w:rPr>
              <w:t>PART C</w:t>
            </w:r>
          </w:p>
        </w:tc>
        <w:tc>
          <w:tcPr>
            <w:tcW w:w="130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gridSpan w:val="5"/>
          </w:tcPr>
          <w:p>
            <w:pPr>
              <w:jc w:val="center"/>
              <w:ind w:right="3340"/>
              <w:spacing w:after="0"/>
              <w:rPr>
                <w:sz w:val="20"/>
                <w:szCs w:val="20"/>
                <w:color w:val="auto"/>
              </w:rPr>
            </w:pPr>
            <w:r>
              <w:rPr>
                <w:rFonts w:ascii="Arial" w:cs="Arial" w:eastAsia="Arial" w:hAnsi="Arial"/>
                <w:sz w:val="18"/>
                <w:szCs w:val="18"/>
                <w:b w:val="1"/>
                <w:bCs w:val="1"/>
                <w:color w:val="auto"/>
                <w:w w:val="94"/>
              </w:rPr>
              <w:t>Other Information</w:t>
            </w:r>
          </w:p>
        </w:tc>
        <w:tc>
          <w:tcPr>
            <w:tcW w:w="1300" w:type="dxa"/>
            <w:vAlign w:val="bottom"/>
          </w:tcPr>
          <w:p>
            <w:pPr>
              <w:spacing w:after="0"/>
              <w:rPr>
                <w:sz w:val="20"/>
                <w:szCs w:val="20"/>
                <w:color w:val="auto"/>
              </w:rPr>
            </w:pPr>
          </w:p>
        </w:tc>
      </w:tr>
      <w:tr>
        <w:trPr>
          <w:trHeight w:val="581"/>
        </w:trPr>
        <w:tc>
          <w:tcPr>
            <w:tcW w:w="90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9220" w:type="dxa"/>
            <w:vAlign w:val="bottom"/>
            <w:gridSpan w:val="8"/>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c>
          <w:tcPr>
            <w:tcW w:w="1300" w:type="dxa"/>
            <w:vAlign w:val="bottom"/>
          </w:tcPr>
          <w:p>
            <w:pPr>
              <w:spacing w:after="0"/>
              <w:rPr>
                <w:sz w:val="24"/>
                <w:szCs w:val="24"/>
                <w:color w:val="auto"/>
              </w:rPr>
            </w:pPr>
          </w:p>
        </w:tc>
      </w:tr>
      <w:tr>
        <w:trPr>
          <w:trHeight w:val="324"/>
        </w:trPr>
        <w:tc>
          <w:tcPr>
            <w:tcW w:w="10120" w:type="dxa"/>
            <w:vAlign w:val="bottom"/>
            <w:gridSpan w:val="9"/>
          </w:tcPr>
          <w:p>
            <w:pPr>
              <w:spacing w:after="0"/>
              <w:rPr>
                <w:sz w:val="20"/>
                <w:szCs w:val="20"/>
                <w:color w:val="auto"/>
              </w:rPr>
            </w:pPr>
            <w:r>
              <w:rPr>
                <w:rFonts w:ascii="Arial" w:cs="Arial" w:eastAsia="Arial" w:hAnsi="Arial"/>
                <w:sz w:val="18"/>
                <w:szCs w:val="18"/>
                <w:b w:val="1"/>
                <w:bCs w:val="1"/>
                <w:color w:val="auto"/>
              </w:rPr>
              <w:t>(1) Financial Statements</w:t>
            </w:r>
          </w:p>
        </w:tc>
        <w:tc>
          <w:tcPr>
            <w:tcW w:w="1300" w:type="dxa"/>
            <w:vAlign w:val="bottom"/>
          </w:tcPr>
          <w:p>
            <w:pPr>
              <w:spacing w:after="0"/>
              <w:rPr>
                <w:sz w:val="24"/>
                <w:szCs w:val="24"/>
                <w:color w:val="auto"/>
              </w:rPr>
            </w:pPr>
          </w:p>
        </w:tc>
      </w:tr>
      <w:tr>
        <w:trPr>
          <w:trHeight w:val="324"/>
        </w:trPr>
        <w:tc>
          <w:tcPr>
            <w:tcW w:w="10120" w:type="dxa"/>
            <w:vAlign w:val="bottom"/>
            <w:gridSpan w:val="9"/>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300" w:type="dxa"/>
            <w:vAlign w:val="bottom"/>
          </w:tcPr>
          <w:p>
            <w:pPr>
              <w:spacing w:after="0"/>
              <w:rPr>
                <w:sz w:val="24"/>
                <w:szCs w:val="24"/>
                <w:color w:val="auto"/>
              </w:rPr>
            </w:pPr>
          </w:p>
        </w:tc>
      </w:tr>
      <w:tr>
        <w:trPr>
          <w:trHeight w:val="445"/>
        </w:trPr>
        <w:tc>
          <w:tcPr>
            <w:tcW w:w="10120" w:type="dxa"/>
            <w:vAlign w:val="bottom"/>
            <w:gridSpan w:val="9"/>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300" w:type="dxa"/>
            <w:vAlign w:val="bottom"/>
          </w:tcPr>
          <w:p>
            <w:pPr>
              <w:spacing w:after="0"/>
              <w:rPr>
                <w:sz w:val="24"/>
                <w:szCs w:val="24"/>
                <w:color w:val="auto"/>
              </w:rPr>
            </w:pPr>
          </w:p>
        </w:tc>
      </w:tr>
      <w:tr>
        <w:trPr>
          <w:trHeight w:val="190"/>
        </w:trPr>
        <w:tc>
          <w:tcPr>
            <w:tcW w:w="10120" w:type="dxa"/>
            <w:vAlign w:val="bottom"/>
            <w:gridSpan w:val="9"/>
          </w:tcPr>
          <w:p>
            <w:pPr>
              <w:spacing w:after="0" w:line="190" w:lineRule="exact"/>
              <w:rPr>
                <w:rFonts w:ascii="Arial" w:cs="Arial" w:eastAsia="Arial" w:hAnsi="Arial"/>
                <w:sz w:val="18"/>
                <w:szCs w:val="18"/>
                <w:color w:val="0000EE"/>
              </w:rPr>
            </w:pPr>
            <w:hyperlink w:anchor="page192">
              <w:r>
                <w:rPr>
                  <w:rFonts w:ascii="Arial" w:cs="Arial" w:eastAsia="Arial" w:hAnsi="Arial"/>
                  <w:sz w:val="18"/>
                  <w:szCs w:val="18"/>
                  <w:color w:val="0000EE"/>
                </w:rPr>
                <w:t>Report of Independent Registered Public Accounting Firm</w:t>
              </w:r>
            </w:hyperlink>
          </w:p>
        </w:tc>
        <w:tc>
          <w:tcPr>
            <w:tcW w:w="13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93">
              <w:r>
                <w:rPr>
                  <w:rFonts w:ascii="Arial" w:cs="Arial" w:eastAsia="Arial" w:hAnsi="Arial"/>
                  <w:sz w:val="18"/>
                  <w:szCs w:val="18"/>
                  <w:color w:val="0000EE"/>
                  <w:w w:val="88"/>
                </w:rPr>
                <w:t>Consolidated Balance Sheets as of December 31, 2016 and 2015</w:t>
              </w:r>
            </w:hyperlink>
          </w:p>
        </w:tc>
        <w:tc>
          <w:tcPr>
            <w:tcW w:w="5460" w:type="dxa"/>
            <w:vAlign w:val="bottom"/>
            <w:gridSpan w:val="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Consolidated Statements of Operations for the Years Ended December 31, 2016, 2015 and 2014</w:t>
              </w:r>
            </w:hyperlink>
          </w:p>
        </w:tc>
        <w:tc>
          <w:tcPr>
            <w:tcW w:w="316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10120" w:type="dxa"/>
            <w:vAlign w:val="bottom"/>
            <w:gridSpan w:val="9"/>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Consolidated Schedules of Investments as of December 31, 2016 and 2015</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0120" w:type="dxa"/>
            <w:vAlign w:val="bottom"/>
            <w:gridSpan w:val="9"/>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Consolidated Statements of Changes in Net Assets for the Years Ended December 31, 2016, 2015 and 2014</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7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Consolidated Statements of Cash Flows for the Years Ended December 31, 2016, 2015 and 2014</w:t>
              </w:r>
            </w:hyperlink>
          </w:p>
        </w:tc>
        <w:tc>
          <w:tcPr>
            <w:tcW w:w="720" w:type="dxa"/>
            <w:vAlign w:val="bottom"/>
            <w:tcBorders>
              <w:top w:val="single" w:sz="8" w:color="0000EE"/>
            </w:tcBorders>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05">
              <w:r>
                <w:rPr>
                  <w:rFonts w:ascii="Arial" w:cs="Arial" w:eastAsia="Arial" w:hAnsi="Arial"/>
                  <w:sz w:val="18"/>
                  <w:szCs w:val="18"/>
                  <w:color w:val="0000EE"/>
                  <w:w w:val="89"/>
                </w:rPr>
                <w:t>Notes to Consolidated Financial Statements</w:t>
              </w:r>
            </w:hyperlink>
          </w:p>
        </w:tc>
        <w:tc>
          <w:tcPr>
            <w:tcW w:w="6960" w:type="dxa"/>
            <w:vAlign w:val="bottom"/>
            <w:gridSpan w:val="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364" w:lineRule="exact"/>
        <w:rPr>
          <w:sz w:val="20"/>
          <w:szCs w:val="20"/>
          <w:color w:val="auto"/>
        </w:rPr>
      </w:pPr>
    </w:p>
    <w:p>
      <w:pPr>
        <w:ind w:left="880" w:right="60" w:hanging="879"/>
        <w:spacing w:after="0" w:line="277" w:lineRule="auto"/>
        <w:tabs>
          <w:tab w:leader="none" w:pos="8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880" w:right="440" w:hanging="879"/>
        <w:spacing w:after="0" w:line="277" w:lineRule="auto"/>
        <w:tabs>
          <w:tab w:leader="none" w:pos="8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880" w:right="120" w:hanging="879"/>
        <w:spacing w:after="0" w:line="277" w:lineRule="auto"/>
        <w:tabs>
          <w:tab w:leader="none" w:pos="8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Certificate of Change of Registered Agent and/or Registered Office (incorporated by reference to Exhibit 3.1 to the Company’s Quarterly Report on Form 10-Q filed on November 7, 2016)</w:t>
      </w:r>
    </w:p>
    <w:p>
      <w:pPr>
        <w:spacing w:after="0" w:line="62" w:lineRule="exact"/>
        <w:rPr>
          <w:sz w:val="20"/>
          <w:szCs w:val="20"/>
          <w:color w:val="auto"/>
        </w:rPr>
      </w:pPr>
    </w:p>
    <w:p>
      <w:pPr>
        <w:ind w:left="880" w:right="180" w:hanging="872"/>
        <w:spacing w:after="0" w:line="277" w:lineRule="auto"/>
        <w:tabs>
          <w:tab w:leader="none" w:pos="8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Bylaws of TPG Specialty Lending, Inc., effective as of November 7, 2016 (incorporated by reference to Exhibit 3.2 to the Company’s Quarterly Report on Form 10-Q filed on November 7, 2016)</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80" w:hanging="879"/>
        <w:spacing w:after="0" w:line="277" w:lineRule="auto"/>
        <w:tabs>
          <w:tab w:leader="none" w:pos="86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880" w:right="120" w:hanging="879"/>
        <w:spacing w:after="0" w:line="277" w:lineRule="auto"/>
        <w:tabs>
          <w:tab w:leader="none" w:pos="8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880" w:right="40" w:hanging="879"/>
        <w:spacing w:after="0" w:line="277" w:lineRule="auto"/>
        <w:tabs>
          <w:tab w:leader="none" w:pos="86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ind w:left="880" w:right="840" w:hanging="879"/>
        <w:spacing w:after="0" w:line="308" w:lineRule="auto"/>
        <w:tabs>
          <w:tab w:leader="none" w:pos="860" w:val="left"/>
        </w:tabs>
        <w:rPr>
          <w:sz w:val="20"/>
          <w:szCs w:val="20"/>
          <w:color w:val="auto"/>
        </w:rPr>
      </w:pPr>
      <w:r>
        <w:rPr>
          <w:rFonts w:ascii="Arial" w:cs="Arial" w:eastAsia="Arial" w:hAnsi="Arial"/>
          <w:sz w:val="17"/>
          <w:szCs w:val="17"/>
          <w:color w:val="auto"/>
        </w:rPr>
        <w:t>(d)(5)</w:t>
      </w:r>
      <w:r>
        <w:rPr>
          <w:sz w:val="20"/>
          <w:szCs w:val="20"/>
          <w:color w:val="auto"/>
        </w:rPr>
        <w:tab/>
      </w:r>
      <w:r>
        <w:rPr>
          <w:rFonts w:ascii="Arial" w:cs="Arial" w:eastAsia="Arial" w:hAnsi="Arial"/>
          <w:sz w:val="17"/>
          <w:szCs w:val="17"/>
          <w:color w:val="auto"/>
        </w:rPr>
        <w:t>Indenture, dated as of February 1, 2017, between TPG Specialty Lending, Inc. and Wells Fargo Bank, National Association, as Trustee (incorporated by reference to Exhibit 4.1 to the Company’s Current Report on Form 8-K filed on February 1, 2017)</w:t>
      </w:r>
    </w:p>
    <w:p>
      <w:pPr>
        <w:spacing w:after="0" w:line="38" w:lineRule="exact"/>
        <w:rPr>
          <w:sz w:val="20"/>
          <w:szCs w:val="20"/>
          <w:color w:val="auto"/>
        </w:rPr>
      </w:pPr>
    </w:p>
    <w:p>
      <w:pPr>
        <w:ind w:left="880" w:right="100" w:hanging="879"/>
        <w:spacing w:after="0" w:line="277" w:lineRule="auto"/>
        <w:tabs>
          <w:tab w:leader="none" w:pos="86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of 4.50% Convertible Senior Note Due 2022 (incorporated by reference to Exhibit 4.2 to the Company’s Current Report on Form 8-K filed on February 1,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(d)(7)</w:t>
      </w:r>
      <w:r>
        <w:rPr>
          <w:sz w:val="20"/>
          <w:szCs w:val="20"/>
          <w:color w:val="auto"/>
        </w:rPr>
        <w:tab/>
      </w:r>
      <w:r>
        <w:rPr>
          <w:rFonts w:ascii="Arial" w:cs="Arial" w:eastAsia="Arial" w:hAnsi="Arial"/>
          <w:sz w:val="17"/>
          <w:szCs w:val="17"/>
          <w:color w:val="auto"/>
        </w:rPr>
        <w:t>Form of Indenture (incorporated by reference to Exhibit (d)(5) to the Company’s Registration Statement on Form N-2 filed on April 16, 2015)</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Statement of Eligibility of Trustee on Form T-1</w:t>
      </w:r>
    </w:p>
    <w:p>
      <w:pPr>
        <w:spacing w:after="0" w:line="117"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880" w:right="200" w:hanging="872"/>
        <w:spacing w:after="0" w:line="277" w:lineRule="auto"/>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360" w:hanging="872"/>
        <w:spacing w:after="0" w:line="308" w:lineRule="auto"/>
        <w:tabs>
          <w:tab w:leader="none" w:pos="8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ind w:left="880" w:right="160" w:hanging="879"/>
        <w:spacing w:after="0" w:line="277" w:lineRule="auto"/>
        <w:tabs>
          <w:tab w:leader="none" w:pos="86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(incorporated by reference to Exhibit (h)(1) to the Company’s Registration Statement on Form N-2 filed on March 31, 2016)</w:t>
      </w:r>
    </w:p>
    <w:p>
      <w:pPr>
        <w:spacing w:after="0" w:line="62" w:lineRule="exact"/>
        <w:rPr>
          <w:sz w:val="20"/>
          <w:szCs w:val="20"/>
          <w:color w:val="auto"/>
        </w:rPr>
      </w:pPr>
    </w:p>
    <w:p>
      <w:pPr>
        <w:ind w:left="880" w:right="300" w:hanging="879"/>
        <w:spacing w:after="0" w:line="277" w:lineRule="auto"/>
        <w:tabs>
          <w:tab w:leader="none" w:pos="86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(incorporated by reference to Exhibit (h)(2) to the Company’s Registration Statement on Form N-2 filed on March 31, 2016)</w:t>
      </w:r>
    </w:p>
    <w:p>
      <w:pPr>
        <w:spacing w:after="0" w:line="62" w:lineRule="exact"/>
        <w:rPr>
          <w:sz w:val="20"/>
          <w:szCs w:val="20"/>
          <w:color w:val="auto"/>
        </w:rPr>
      </w:pPr>
    </w:p>
    <w:p>
      <w:pPr>
        <w:ind w:left="880" w:hanging="872"/>
        <w:spacing w:after="0"/>
        <w:tabs>
          <w:tab w:leader="none" w:pos="8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220" w:hanging="872"/>
        <w:spacing w:after="0" w:line="277" w:lineRule="auto"/>
        <w:tabs>
          <w:tab w:leader="none" w:pos="8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880" w:right="600" w:hanging="879"/>
        <w:spacing w:after="0" w:line="277" w:lineRule="auto"/>
        <w:tabs>
          <w:tab w:leader="none" w:pos="86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jc w:val="both"/>
        <w:ind w:left="880" w:right="200" w:hanging="879"/>
        <w:spacing w:after="0" w:line="264" w:lineRule="auto"/>
        <w:tabs>
          <w:tab w:leader="none" w:pos="86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jc w:val="both"/>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ind w:left="880" w:hanging="879"/>
        <w:spacing w:after="0" w:line="286" w:lineRule="auto"/>
        <w:tabs>
          <w:tab w:leader="none" w:pos="860" w:val="left"/>
        </w:tabs>
        <w:rPr>
          <w:sz w:val="20"/>
          <w:szCs w:val="20"/>
          <w:color w:val="auto"/>
        </w:rPr>
      </w:pPr>
      <w:r>
        <w:rPr>
          <w:rFonts w:ascii="Arial" w:cs="Arial" w:eastAsia="Arial" w:hAnsi="Arial"/>
          <w:sz w:val="17"/>
          <w:szCs w:val="17"/>
          <w:color w:val="auto"/>
        </w:rPr>
        <w:t>(k)(4)</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880" w:right="20" w:hanging="879"/>
        <w:spacing w:after="0" w:line="312" w:lineRule="auto"/>
        <w:tabs>
          <w:tab w:leader="none" w:pos="860" w:val="left"/>
        </w:tabs>
        <w:rPr>
          <w:sz w:val="20"/>
          <w:szCs w:val="20"/>
          <w:color w:val="auto"/>
        </w:rPr>
      </w:pPr>
      <w:r>
        <w:rPr>
          <w:rFonts w:ascii="Arial" w:cs="Arial" w:eastAsia="Arial" w:hAnsi="Arial"/>
          <w:sz w:val="16"/>
          <w:szCs w:val="16"/>
          <w:color w:val="auto"/>
        </w:rPr>
        <w:t>(k)(5)</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880" w:right="320" w:hanging="879"/>
        <w:spacing w:after="0" w:line="286" w:lineRule="auto"/>
        <w:tabs>
          <w:tab w:leader="none" w:pos="860" w:val="left"/>
        </w:tabs>
        <w:rPr>
          <w:sz w:val="20"/>
          <w:szCs w:val="20"/>
          <w:color w:val="auto"/>
        </w:rPr>
      </w:pPr>
      <w:r>
        <w:rPr>
          <w:rFonts w:ascii="Arial" w:cs="Arial" w:eastAsia="Arial" w:hAnsi="Arial"/>
          <w:sz w:val="17"/>
          <w:szCs w:val="17"/>
          <w:color w:val="auto"/>
        </w:rPr>
        <w:t>(k)(7)</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(k)(8)</w:t>
            </w:r>
          </w:p>
        </w:tc>
        <w:tc>
          <w:tcPr>
            <w:tcW w:w="10380" w:type="dxa"/>
            <w:vAlign w:val="bottom"/>
          </w:tcPr>
          <w:p>
            <w:pPr>
              <w:ind w:left="280"/>
              <w:spacing w:after="0"/>
              <w:rPr>
                <w:sz w:val="20"/>
                <w:szCs w:val="20"/>
                <w:color w:val="auto"/>
              </w:rPr>
            </w:pPr>
            <w:r>
              <w:rPr>
                <w:rFonts w:ascii="Arial" w:cs="Arial" w:eastAsia="Arial" w:hAnsi="Arial"/>
                <w:sz w:val="18"/>
                <w:szCs w:val="18"/>
                <w:color w:val="auto"/>
                <w:w w:val="90"/>
              </w:rPr>
              <w:t>Third Amendment to the Second Amended and Restated Senior Secured Revolving Credit Agreement, dated October 17, 2014, among TPG</w:t>
            </w:r>
          </w:p>
        </w:tc>
      </w:tr>
      <w:tr>
        <w:trPr>
          <w:trHeight w:val="216"/>
        </w:trPr>
        <w:tc>
          <w:tcPr>
            <w:tcW w:w="78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Specialty Lending, Inc., as Borrower, the Lenders party thereto and SunTrust Bank, as Administrative Agent (incorporated by reference to</w:t>
            </w:r>
          </w:p>
        </w:tc>
      </w:tr>
      <w:tr>
        <w:trPr>
          <w:trHeight w:val="230"/>
        </w:trPr>
        <w:tc>
          <w:tcPr>
            <w:tcW w:w="78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3, 2014)</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(k)(9)</w:t>
            </w: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Fourth Amendment to Second Amended and Restated Senior Secured Revolving Credit Agreement, dated October 2, 2015, among TPG</w:t>
            </w:r>
          </w:p>
        </w:tc>
      </w:tr>
      <w:tr>
        <w:trPr>
          <w:trHeight w:val="216"/>
        </w:trPr>
        <w:tc>
          <w:tcPr>
            <w:tcW w:w="78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Specialty Lending, Inc., as Borrower, the Lenders party thereto and Suntrust Bank, as Administrative Agent (incorporated by reference to</w:t>
            </w:r>
          </w:p>
        </w:tc>
      </w:tr>
      <w:tr>
        <w:trPr>
          <w:trHeight w:val="230"/>
        </w:trPr>
        <w:tc>
          <w:tcPr>
            <w:tcW w:w="78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3, 2015)</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(k)(10)</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Fifth Amendment to Second Amended and Restated Senior Secured Revolving Credit Agreement, dated December 22, 2016, among TPG</w:t>
            </w:r>
          </w:p>
        </w:tc>
      </w:tr>
      <w:tr>
        <w:trPr>
          <w:trHeight w:val="216"/>
        </w:trPr>
        <w:tc>
          <w:tcPr>
            <w:tcW w:w="78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Specialty Lending, Inc., as Borrower, the Lenders party thereto and SunTrust Bank, as Administrative Agent (incorporated by reference to</w:t>
            </w:r>
          </w:p>
        </w:tc>
      </w:tr>
      <w:tr>
        <w:trPr>
          <w:trHeight w:val="230"/>
        </w:trPr>
        <w:tc>
          <w:tcPr>
            <w:tcW w:w="78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Exhibit 10.15 to the Company’s Annual Report on Form 10-K filed on February 22, 2017)</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(k)(11)</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Amended and Restated Administration Agreement, dated as of February 22, 2017, between the Company and the Adviser (incorporated by</w:t>
            </w:r>
          </w:p>
        </w:tc>
      </w:tr>
      <w:tr>
        <w:trPr>
          <w:trHeight w:val="230"/>
        </w:trPr>
        <w:tc>
          <w:tcPr>
            <w:tcW w:w="78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reference to Exhibit 10.16 to the Company’s Annual Report on Form 10-K filed on February 22, 2017)</w:t>
            </w:r>
          </w:p>
        </w:tc>
      </w:tr>
    </w:tbl>
    <w:p>
      <w:pPr>
        <w:spacing w:after="0" w:line="94" w:lineRule="exact"/>
        <w:rPr>
          <w:sz w:val="20"/>
          <w:szCs w:val="20"/>
          <w:color w:val="auto"/>
        </w:rPr>
      </w:pPr>
    </w:p>
    <w:p>
      <w:pPr>
        <w:ind w:left="1060" w:hanging="1052"/>
        <w:spacing w:after="0"/>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(n)(1)</w:t>
            </w:r>
          </w:p>
        </w:tc>
        <w:tc>
          <w:tcPr>
            <w:tcW w:w="5720" w:type="dxa"/>
            <w:vAlign w:val="bottom"/>
          </w:tcPr>
          <w:p>
            <w:pPr>
              <w:ind w:left="320"/>
              <w:spacing w:after="0"/>
              <w:rPr>
                <w:sz w:val="20"/>
                <w:szCs w:val="20"/>
                <w:color w:val="auto"/>
              </w:rPr>
            </w:pPr>
            <w:r>
              <w:rPr>
                <w:rFonts w:ascii="Arial" w:cs="Arial" w:eastAsia="Arial" w:hAnsi="Arial"/>
                <w:sz w:val="18"/>
                <w:szCs w:val="18"/>
                <w:color w:val="auto"/>
                <w:w w:val="93"/>
              </w:rPr>
              <w:t>Consent of Cleary Gottlieb Steen &amp; Hamilton LLP (included in exhibit (l))</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(n)(2)</w:t>
            </w:r>
          </w:p>
        </w:tc>
        <w:tc>
          <w:tcPr>
            <w:tcW w:w="5720" w:type="dxa"/>
            <w:vAlign w:val="bottom"/>
          </w:tcPr>
          <w:p>
            <w:pPr>
              <w:ind w:left="320"/>
              <w:spacing w:after="0"/>
              <w:rPr>
                <w:sz w:val="20"/>
                <w:szCs w:val="20"/>
                <w:color w:val="auto"/>
              </w:rPr>
            </w:pPr>
            <w:r>
              <w:rPr>
                <w:rFonts w:ascii="Arial" w:cs="Arial" w:eastAsia="Arial" w:hAnsi="Arial"/>
                <w:sz w:val="18"/>
                <w:szCs w:val="18"/>
                <w:color w:val="auto"/>
              </w:rPr>
              <w:t>Consent of KPMG LLP, dated April 7, 2017</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(n)(3)</w:t>
            </w:r>
          </w:p>
        </w:tc>
        <w:tc>
          <w:tcPr>
            <w:tcW w:w="5720" w:type="dxa"/>
            <w:vAlign w:val="bottom"/>
          </w:tcPr>
          <w:p>
            <w:pPr>
              <w:ind w:left="320"/>
              <w:spacing w:after="0"/>
              <w:rPr>
                <w:sz w:val="20"/>
                <w:szCs w:val="20"/>
                <w:color w:val="auto"/>
              </w:rPr>
            </w:pPr>
            <w:r>
              <w:rPr>
                <w:rFonts w:ascii="Arial" w:cs="Arial" w:eastAsia="Arial" w:hAnsi="Arial"/>
                <w:sz w:val="18"/>
                <w:szCs w:val="18"/>
                <w:color w:val="auto"/>
              </w:rPr>
              <w:t>Report of KPMG LLP, dated April 7, 2017</w:t>
            </w:r>
          </w:p>
        </w:tc>
      </w:tr>
    </w:tbl>
    <w:p>
      <w:pPr>
        <w:spacing w:after="0" w:line="94" w:lineRule="exact"/>
        <w:rPr>
          <w:sz w:val="20"/>
          <w:szCs w:val="20"/>
          <w:color w:val="auto"/>
        </w:rPr>
      </w:pPr>
    </w:p>
    <w:p>
      <w:pPr>
        <w:ind w:left="1060" w:hanging="1052"/>
        <w:spacing w:after="0"/>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(r)(1)</w:t>
            </w:r>
          </w:p>
        </w:tc>
        <w:tc>
          <w:tcPr>
            <w:tcW w:w="10400" w:type="dxa"/>
            <w:vAlign w:val="bottom"/>
          </w:tcPr>
          <w:p>
            <w:pPr>
              <w:ind w:left="340"/>
              <w:spacing w:after="0"/>
              <w:rPr>
                <w:sz w:val="20"/>
                <w:szCs w:val="20"/>
                <w:color w:val="auto"/>
              </w:rPr>
            </w:pPr>
            <w:r>
              <w:rPr>
                <w:rFonts w:ascii="Arial" w:cs="Arial" w:eastAsia="Arial" w:hAnsi="Arial"/>
                <w:sz w:val="18"/>
                <w:szCs w:val="18"/>
                <w:color w:val="auto"/>
                <w:w w:val="97"/>
              </w:rPr>
              <w:t>Code of Ethics of TPG Specialty Lending, Inc. (incorporated by reference to Exhibit (r)(1) to Pre-Effective Amendment No. 4 to the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Company’s 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(r)(2)</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Code of Ethics of TSL Advisers, LLC (incorporated by reference to Exhibit (r)(2) to Pre-Effective Amendment No. 4 to the Company’s</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Common Stock Offerings (incorporated by reference to Exhibit 99.1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Preferred Stock Offerings (incorporated by reference to Exhibit 99.2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Debt Securities Offerings (incorporated by reference to Exhibit 99.3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10400" w:type="dxa"/>
            <w:vAlign w:val="bottom"/>
          </w:tcPr>
          <w:p>
            <w:pPr>
              <w:ind w:left="340"/>
              <w:spacing w:after="0"/>
              <w:rPr>
                <w:sz w:val="20"/>
                <w:szCs w:val="20"/>
                <w:color w:val="auto"/>
              </w:rPr>
            </w:pPr>
            <w:r>
              <w:rPr>
                <w:rFonts w:ascii="Arial" w:cs="Arial" w:eastAsia="Arial" w:hAnsi="Arial"/>
                <w:sz w:val="18"/>
                <w:szCs w:val="18"/>
                <w:color w:val="auto"/>
                <w:w w:val="92"/>
              </w:rPr>
              <w:t>Form of Preliminary Prospectus Supplement For Rights Offerings (incorporated by reference to Exhibit 99.4 to Pre-Effective Amendment</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99.5</w:t>
            </w:r>
          </w:p>
        </w:tc>
        <w:tc>
          <w:tcPr>
            <w:tcW w:w="10400" w:type="dxa"/>
            <w:vAlign w:val="bottom"/>
          </w:tcPr>
          <w:p>
            <w:pPr>
              <w:ind w:left="340"/>
              <w:spacing w:after="0"/>
              <w:rPr>
                <w:sz w:val="20"/>
                <w:szCs w:val="20"/>
                <w:color w:val="auto"/>
              </w:rPr>
            </w:pPr>
            <w:r>
              <w:rPr>
                <w:rFonts w:ascii="Arial" w:cs="Arial" w:eastAsia="Arial" w:hAnsi="Arial"/>
                <w:sz w:val="18"/>
                <w:szCs w:val="18"/>
                <w:color w:val="auto"/>
                <w:w w:val="91"/>
              </w:rPr>
              <w:t>Form of Preliminary Prospectus Supplement For Warrant Offerings (incorporated by reference to Exhibit 99.5 to Pre-Effective Amendment</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No. 1 to the Company’s Registration Statement on Form N-2 filed on July 25, 2014)</w:t>
            </w:r>
          </w:p>
        </w:tc>
      </w:tr>
      <w:tr>
        <w:trPr>
          <w:trHeight w:val="365"/>
        </w:trPr>
        <w:tc>
          <w:tcPr>
            <w:tcW w:w="720" w:type="dxa"/>
            <w:vAlign w:val="bottom"/>
          </w:tcPr>
          <w:p>
            <w:pPr>
              <w:spacing w:after="0"/>
              <w:rPr>
                <w:sz w:val="24"/>
                <w:szCs w:val="24"/>
                <w:color w:val="auto"/>
              </w:rPr>
            </w:pPr>
          </w:p>
        </w:tc>
        <w:tc>
          <w:tcPr>
            <w:tcW w:w="10400" w:type="dxa"/>
            <w:vAlign w:val="bottom"/>
          </w:tcPr>
          <w:p>
            <w:pPr>
              <w:ind w:left="4860"/>
              <w:spacing w:after="0"/>
              <w:rPr>
                <w:sz w:val="20"/>
                <w:szCs w:val="20"/>
                <w:color w:val="auto"/>
              </w:rPr>
            </w:pPr>
            <w:r>
              <w:rPr>
                <w:rFonts w:ascii="Arial" w:cs="Arial" w:eastAsia="Arial" w:hAnsi="Arial"/>
                <w:sz w:val="18"/>
                <w:szCs w:val="18"/>
                <w:color w:val="auto"/>
              </w:rPr>
              <w:t>C-3</w:t>
            </w:r>
          </w:p>
        </w:tc>
      </w:tr>
    </w:tbl>
    <w:p>
      <w:pPr>
        <w:sectPr>
          <w:pgSz w:w="11900" w:h="16838" w:orient="portrait"/>
          <w:cols w:equalWidth="0" w:num="1">
            <w:col w:w="11160"/>
          </w:cols>
          <w:pgMar w:left="240" w:top="460" w:right="4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628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 Expenses of Issuance and Distribution</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4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$ 86,925*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FINRA filing fee</w:t>
            </w:r>
          </w:p>
        </w:tc>
        <w:tc>
          <w:tcPr>
            <w:tcW w:w="2420" w:type="dxa"/>
            <w:vAlign w:val="bottom"/>
            <w:gridSpan w:val="3"/>
          </w:tcPr>
          <w:p>
            <w:pPr>
              <w:jc w:val="right"/>
              <w:ind w:right="60"/>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Printing expenses</w:t>
            </w:r>
          </w:p>
        </w:tc>
        <w:tc>
          <w:tcPr>
            <w:tcW w:w="2420" w:type="dxa"/>
            <w:vAlign w:val="bottom"/>
            <w:gridSpan w:val="3"/>
          </w:tcPr>
          <w:p>
            <w:pPr>
              <w:jc w:val="right"/>
              <w:ind w:right="60"/>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20" w:type="dxa"/>
            <w:vAlign w:val="bottom"/>
            <w:gridSpan w:val="3"/>
          </w:tcPr>
          <w:p>
            <w:pPr>
              <w:jc w:val="right"/>
              <w:ind w:right="60"/>
              <w:spacing w:after="0"/>
              <w:rPr>
                <w:sz w:val="20"/>
                <w:szCs w:val="20"/>
                <w:color w:val="auto"/>
              </w:rPr>
            </w:pPr>
            <w:r>
              <w:rPr>
                <w:rFonts w:ascii="Arial" w:cs="Arial" w:eastAsia="Arial" w:hAnsi="Arial"/>
                <w:sz w:val="18"/>
                <w:szCs w:val="18"/>
                <w:color w:val="auto"/>
              </w:rPr>
              <w:t>40,000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10,075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6280" w:type="dxa"/>
            <w:vAlign w:val="bottom"/>
            <w:gridSpan w:val="2"/>
          </w:tcPr>
          <w:p>
            <w:pPr>
              <w:ind w:left="9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131" w:lineRule="exact"/>
        <w:rPr>
          <w:sz w:val="20"/>
          <w:szCs w:val="20"/>
          <w:color w:val="auto"/>
        </w:rPr>
      </w:pPr>
    </w:p>
    <w:p>
      <w:pPr>
        <w:ind w:right="500" w:firstLine="8"/>
        <w:spacing w:after="0" w:line="500" w:lineRule="auto"/>
        <w:tabs>
          <w:tab w:leader="none" w:pos="44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$77,609.98 of this amount has been offset against filing fees associated with unsold securities registered under a previous registration statement. ** $100,185.00 of this amount has been offset against filing fees associated with unsold securities registered under a previous registration statement.</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April 6, 2017.</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940" w:type="dxa"/>
            <w:vAlign w:val="bottom"/>
          </w:tcPr>
          <w:p>
            <w:pPr>
              <w:ind w:left="1560"/>
              <w:spacing w:after="0"/>
              <w:rPr>
                <w:sz w:val="20"/>
                <w:szCs w:val="20"/>
                <w:color w:val="auto"/>
              </w:rPr>
            </w:pPr>
            <w:r>
              <w:rPr>
                <w:rFonts w:ascii="Arial" w:cs="Arial" w:eastAsia="Arial" w:hAnsi="Arial"/>
                <w:sz w:val="14"/>
                <w:szCs w:val="14"/>
                <w:b w:val="1"/>
                <w:bCs w:val="1"/>
                <w:color w:val="auto"/>
              </w:rPr>
              <w:t>Title of Class</w:t>
            </w:r>
          </w:p>
        </w:tc>
        <w:tc>
          <w:tcPr>
            <w:tcW w:w="3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20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3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6"/>
          <w:szCs w:val="16"/>
          <w:b w:val="1"/>
          <w:bCs w:val="1"/>
          <w:color w:val="auto"/>
        </w:rPr>
        <w:t>Business and Other Connections of Investment Advisor</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60" w:right="80" w:hanging="452"/>
        <w:spacing w:after="0" w:line="264"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98" w:lineRule="exact"/>
        <w:rPr>
          <w:rFonts w:ascii="Arial" w:cs="Arial" w:eastAsia="Arial" w:hAnsi="Arial"/>
          <w:sz w:val="18"/>
          <w:szCs w:val="18"/>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440" w:hanging="567"/>
        <w:spacing w:after="0" w:line="264" w:lineRule="auto"/>
        <w:tabs>
          <w:tab w:leader="none" w:pos="148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480" w:right="200" w:hanging="567"/>
        <w:spacing w:after="0" w:line="277" w:lineRule="auto"/>
        <w:tabs>
          <w:tab w:leader="none" w:pos="148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900" w:right="320" w:hanging="446"/>
        <w:spacing w:after="0" w:line="264" w:lineRule="auto"/>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60"/>
          </w:cols>
          <w:pgMar w:left="240" w:top="460" w:right="29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900" w:hanging="446"/>
        <w:spacing w:after="0" w:line="271" w:lineRule="auto"/>
        <w:tabs>
          <w:tab w:leader="none" w:pos="90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7"/>
          <w:szCs w:val="17"/>
          <w:color w:val="auto"/>
        </w:rPr>
      </w:pPr>
    </w:p>
    <w:p>
      <w:pPr>
        <w:ind w:left="900" w:right="40" w:hanging="446"/>
        <w:spacing w:after="0" w:line="259"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92" w:lineRule="exact"/>
        <w:rPr>
          <w:rFonts w:ascii="Arial" w:cs="Arial" w:eastAsia="Arial" w:hAnsi="Arial"/>
          <w:sz w:val="18"/>
          <w:szCs w:val="18"/>
          <w:color w:val="auto"/>
        </w:rPr>
      </w:pPr>
    </w:p>
    <w:p>
      <w:pPr>
        <w:ind w:left="1480" w:right="300" w:hanging="567"/>
        <w:spacing w:after="0" w:line="277" w:lineRule="auto"/>
        <w:tabs>
          <w:tab w:leader="none" w:pos="148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80" w:right="260" w:hanging="567"/>
        <w:spacing w:after="0" w:line="277" w:lineRule="auto"/>
        <w:tabs>
          <w:tab w:leader="none" w:pos="148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900" w:right="100" w:hanging="446"/>
        <w:spacing w:after="0" w:line="286" w:lineRule="auto"/>
        <w:tabs>
          <w:tab w:leader="none" w:pos="9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70" w:lineRule="exact"/>
        <w:rPr>
          <w:rFonts w:ascii="Arial" w:cs="Arial" w:eastAsia="Arial" w:hAnsi="Arial"/>
          <w:sz w:val="17"/>
          <w:szCs w:val="17"/>
          <w:color w:val="auto"/>
        </w:rPr>
      </w:pPr>
    </w:p>
    <w:p>
      <w:pPr>
        <w:ind w:left="900" w:hanging="446"/>
        <w:spacing w:after="0" w:line="264" w:lineRule="auto"/>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ind w:left="460" w:right="420" w:hanging="452"/>
        <w:spacing w:after="0" w:line="342" w:lineRule="auto"/>
        <w:tabs>
          <w:tab w:leader="none" w:pos="4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We undertake to file a post-effective amendment or a new registration statement for any offering of debt securities referred to as “senior.”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7th day of April, 2017.</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 Michael Fishman</w:t>
      </w:r>
    </w:p>
    <w:p>
      <w:pPr>
        <w:spacing w:after="0" w:line="2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 Co-Chief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Each officer and director of TPG Specialty Lending, Inc. whose signature appears below constitutes and appoints Michael Fishman, Joshua Easterly, Ian Simmonds, David Stiepleman and Jennifer Gordon, and each of them to act without the other, as his or her true and lawful attorney-in-fact and agent, with full power of substitution and revocation, for him or her and in his or her name, place and stead, in any and all capacities, to execute and file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40" w:type="dxa"/>
            <w:vAlign w:val="bottom"/>
          </w:tcPr>
          <w:p>
            <w:pPr>
              <w:spacing w:after="0"/>
              <w:rPr>
                <w:sz w:val="16"/>
                <w:szCs w:val="16"/>
                <w:color w:val="auto"/>
              </w:rPr>
            </w:pPr>
          </w:p>
        </w:tc>
      </w:tr>
      <w:tr>
        <w:trPr>
          <w:trHeight w:val="412"/>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Michael Fishman</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Co-Chief Executive Officer and Director</w:t>
            </w:r>
          </w:p>
        </w:tc>
        <w:tc>
          <w:tcPr>
            <w:tcW w:w="1460" w:type="dxa"/>
            <w:vAlign w:val="bottom"/>
            <w:gridSpan w:val="3"/>
          </w:tcPr>
          <w:p>
            <w:pPr>
              <w:jc w:val="center"/>
              <w:ind w:left="390"/>
              <w:spacing w:after="0"/>
              <w:rPr>
                <w:sz w:val="20"/>
                <w:szCs w:val="20"/>
                <w:color w:val="auto"/>
              </w:rPr>
            </w:pPr>
            <w:r>
              <w:rPr>
                <w:rFonts w:ascii="Arial" w:cs="Arial" w:eastAsia="Arial" w:hAnsi="Arial"/>
                <w:sz w:val="18"/>
                <w:szCs w:val="18"/>
                <w:color w:val="auto"/>
                <w:w w:val="96"/>
              </w:rPr>
              <w:t>April 7,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Michael Fishman</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Joshua Easterly</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Co-Chief Executive Officer, Director and Chairman of the</w:t>
            </w:r>
          </w:p>
        </w:tc>
        <w:tc>
          <w:tcPr>
            <w:tcW w:w="1460" w:type="dxa"/>
            <w:vAlign w:val="bottom"/>
            <w:gridSpan w:val="3"/>
          </w:tcPr>
          <w:p>
            <w:pPr>
              <w:jc w:val="center"/>
              <w:ind w:left="390"/>
              <w:spacing w:after="0"/>
              <w:rPr>
                <w:sz w:val="20"/>
                <w:szCs w:val="20"/>
                <w:color w:val="auto"/>
              </w:rPr>
            </w:pPr>
            <w:r>
              <w:rPr>
                <w:rFonts w:ascii="Arial" w:cs="Arial" w:eastAsia="Arial" w:hAnsi="Arial"/>
                <w:sz w:val="18"/>
                <w:szCs w:val="18"/>
                <w:color w:val="auto"/>
                <w:w w:val="96"/>
              </w:rPr>
              <w:t>April 7,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8"/>
              </w:rPr>
              <w:t>Joshua Easterly</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Board of Directors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Ian Simmonds</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(Principal Financial Officer)</w:t>
            </w:r>
          </w:p>
        </w:tc>
        <w:tc>
          <w:tcPr>
            <w:tcW w:w="1460" w:type="dxa"/>
            <w:vAlign w:val="bottom"/>
            <w:gridSpan w:val="3"/>
          </w:tcPr>
          <w:p>
            <w:pPr>
              <w:jc w:val="center"/>
              <w:ind w:left="390"/>
              <w:spacing w:after="0"/>
              <w:rPr>
                <w:sz w:val="20"/>
                <w:szCs w:val="20"/>
                <w:color w:val="auto"/>
              </w:rPr>
            </w:pPr>
            <w:r>
              <w:rPr>
                <w:rFonts w:ascii="Arial" w:cs="Arial" w:eastAsia="Arial" w:hAnsi="Arial"/>
                <w:sz w:val="18"/>
                <w:szCs w:val="18"/>
                <w:color w:val="auto"/>
                <w:w w:val="96"/>
              </w:rPr>
              <w:t>April 7,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Ian Simmonds</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Michael Graf</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Vice President and Principal Accounting Officer (Principal</w:t>
            </w:r>
          </w:p>
        </w:tc>
        <w:tc>
          <w:tcPr>
            <w:tcW w:w="1460" w:type="dxa"/>
            <w:vAlign w:val="bottom"/>
            <w:gridSpan w:val="3"/>
          </w:tcPr>
          <w:p>
            <w:pPr>
              <w:jc w:val="center"/>
              <w:ind w:left="390"/>
              <w:spacing w:after="0"/>
              <w:rPr>
                <w:sz w:val="20"/>
                <w:szCs w:val="20"/>
                <w:color w:val="auto"/>
              </w:rPr>
            </w:pPr>
            <w:r>
              <w:rPr>
                <w:rFonts w:ascii="Arial" w:cs="Arial" w:eastAsia="Arial" w:hAnsi="Arial"/>
                <w:sz w:val="18"/>
                <w:szCs w:val="18"/>
                <w:color w:val="auto"/>
                <w:w w:val="96"/>
              </w:rPr>
              <w:t>April 7,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6"/>
              </w:rPr>
              <w:t>Michael Graf</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Accounting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John A. Ross</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 and Chairman of the Audit Committee</w:t>
            </w:r>
          </w:p>
        </w:tc>
        <w:tc>
          <w:tcPr>
            <w:tcW w:w="1460" w:type="dxa"/>
            <w:vAlign w:val="bottom"/>
            <w:gridSpan w:val="3"/>
          </w:tcPr>
          <w:p>
            <w:pPr>
              <w:jc w:val="center"/>
              <w:ind w:left="390"/>
              <w:spacing w:after="0"/>
              <w:rPr>
                <w:sz w:val="20"/>
                <w:szCs w:val="20"/>
                <w:color w:val="auto"/>
              </w:rPr>
            </w:pPr>
            <w:r>
              <w:rPr>
                <w:rFonts w:ascii="Arial" w:cs="Arial" w:eastAsia="Arial" w:hAnsi="Arial"/>
                <w:sz w:val="18"/>
                <w:szCs w:val="18"/>
                <w:color w:val="auto"/>
                <w:w w:val="96"/>
              </w:rPr>
              <w:t>April 7,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7"/>
              </w:rPr>
              <w:t>John A. Ross</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Richard A. Higginbotham</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90"/>
              <w:spacing w:after="0"/>
              <w:rPr>
                <w:sz w:val="20"/>
                <w:szCs w:val="20"/>
                <w:color w:val="auto"/>
              </w:rPr>
            </w:pPr>
            <w:r>
              <w:rPr>
                <w:rFonts w:ascii="Arial" w:cs="Arial" w:eastAsia="Arial" w:hAnsi="Arial"/>
                <w:sz w:val="18"/>
                <w:szCs w:val="18"/>
                <w:color w:val="auto"/>
                <w:w w:val="96"/>
              </w:rPr>
              <w:t>April 7,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Richard A. Higginbotham</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Ronald K. Tanemura</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90"/>
              <w:spacing w:after="0"/>
              <w:rPr>
                <w:sz w:val="20"/>
                <w:szCs w:val="20"/>
                <w:color w:val="auto"/>
              </w:rPr>
            </w:pPr>
            <w:r>
              <w:rPr>
                <w:rFonts w:ascii="Arial" w:cs="Arial" w:eastAsia="Arial" w:hAnsi="Arial"/>
                <w:sz w:val="18"/>
                <w:szCs w:val="18"/>
                <w:color w:val="auto"/>
                <w:w w:val="96"/>
              </w:rPr>
              <w:t>April 7,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0"/>
              </w:rPr>
              <w:t>Ronald K. Tanemura</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ectPr>
          <w:pgSz w:w="11900" w:h="16838" w:orient="portrait"/>
          <w:cols w:equalWidth="0" w:num="1">
            <w:col w:w="11400"/>
          </w:cols>
          <w:pgMar w:left="240" w:top="460" w:right="25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60" w:right="560" w:hanging="452"/>
        <w:spacing w:after="0" w:line="256" w:lineRule="auto"/>
        <w:tabs>
          <w:tab w:leader="none" w:pos="460" w:val="left"/>
        </w:tabs>
        <w:numPr>
          <w:ilvl w:val="0"/>
          <w:numId w:val="187"/>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WELLS FARGO BANK, NATIONAL ASSOCIATION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3"/>
          </w:tcPr>
          <w:p>
            <w:pPr>
              <w:jc w:val="center"/>
              <w:ind w:left="3318"/>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400" w:type="dxa"/>
            <w:vAlign w:val="bottom"/>
          </w:tcPr>
          <w:p>
            <w:pPr>
              <w:spacing w:after="0"/>
              <w:rPr>
                <w:sz w:val="20"/>
                <w:szCs w:val="20"/>
                <w:color w:val="auto"/>
              </w:rPr>
            </w:pPr>
          </w:p>
        </w:tc>
      </w:tr>
      <w:tr>
        <w:trPr>
          <w:trHeight w:val="345"/>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57"/>
        </w:trPr>
        <w:tc>
          <w:tcPr>
            <w:tcW w:w="80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0"/>
              </w:rPr>
              <w:t>A National Banking Association</w:t>
            </w:r>
          </w:p>
        </w:tc>
        <w:tc>
          <w:tcPr>
            <w:tcW w:w="3400" w:type="dxa"/>
            <w:vAlign w:val="bottom"/>
          </w:tcPr>
          <w:p>
            <w:pPr>
              <w:jc w:val="center"/>
              <w:ind w:right="2001"/>
              <w:spacing w:after="0"/>
              <w:rPr>
                <w:sz w:val="20"/>
                <w:szCs w:val="20"/>
                <w:color w:val="auto"/>
              </w:rPr>
            </w:pPr>
            <w:r>
              <w:rPr>
                <w:rFonts w:ascii="Arial" w:cs="Arial" w:eastAsia="Arial" w:hAnsi="Arial"/>
                <w:sz w:val="18"/>
                <w:szCs w:val="18"/>
                <w:b w:val="1"/>
                <w:bCs w:val="1"/>
                <w:color w:val="auto"/>
                <w:w w:val="91"/>
              </w:rPr>
              <w:t>94-1347393</w:t>
            </w:r>
          </w:p>
        </w:tc>
      </w:tr>
      <w:tr>
        <w:trPr>
          <w:trHeight w:val="149"/>
        </w:trPr>
        <w:tc>
          <w:tcPr>
            <w:tcW w:w="8020" w:type="dxa"/>
            <w:vAlign w:val="bottom"/>
            <w:gridSpan w:val="3"/>
          </w:tcPr>
          <w:p>
            <w:pPr>
              <w:jc w:val="center"/>
              <w:ind w:right="2300"/>
              <w:spacing w:after="0" w:line="149" w:lineRule="exact"/>
              <w:rPr>
                <w:sz w:val="20"/>
                <w:szCs w:val="20"/>
                <w:color w:val="auto"/>
              </w:rPr>
            </w:pPr>
            <w:r>
              <w:rPr>
                <w:rFonts w:ascii="Arial" w:cs="Arial" w:eastAsia="Arial" w:hAnsi="Arial"/>
                <w:sz w:val="14"/>
                <w:szCs w:val="14"/>
                <w:b w:val="1"/>
                <w:bCs w:val="1"/>
                <w:color w:val="auto"/>
                <w:w w:val="93"/>
              </w:rPr>
              <w:t>(Jurisdiction of incorporation or</w:t>
            </w:r>
          </w:p>
        </w:tc>
        <w:tc>
          <w:tcPr>
            <w:tcW w:w="3400" w:type="dxa"/>
            <w:vAlign w:val="bottom"/>
          </w:tcPr>
          <w:p>
            <w:pPr>
              <w:jc w:val="center"/>
              <w:ind w:right="20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02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4"/>
              </w:rPr>
              <w:t>organization if not a U.S. national bank)</w:t>
            </w:r>
          </w:p>
        </w:tc>
        <w:tc>
          <w:tcPr>
            <w:tcW w:w="3400" w:type="dxa"/>
            <w:vAlign w:val="bottom"/>
          </w:tcPr>
          <w:p>
            <w:pPr>
              <w:jc w:val="center"/>
              <w:ind w:right="200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80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0"/>
              </w:rPr>
              <w:t>101 North Phillips Avenue</w:t>
            </w:r>
          </w:p>
        </w:tc>
        <w:tc>
          <w:tcPr>
            <w:tcW w:w="3400" w:type="dxa"/>
            <w:vAlign w:val="bottom"/>
          </w:tcPr>
          <w:p>
            <w:pPr>
              <w:spacing w:after="0"/>
              <w:rPr>
                <w:sz w:val="24"/>
                <w:szCs w:val="24"/>
                <w:color w:val="auto"/>
              </w:rPr>
            </w:pPr>
          </w:p>
        </w:tc>
      </w:tr>
      <w:tr>
        <w:trPr>
          <w:trHeight w:val="212"/>
        </w:trPr>
        <w:tc>
          <w:tcPr>
            <w:tcW w:w="802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0"/>
              </w:rPr>
              <w:t>Sioux Falls, South Dakota</w:t>
            </w:r>
          </w:p>
        </w:tc>
        <w:tc>
          <w:tcPr>
            <w:tcW w:w="3400" w:type="dxa"/>
            <w:vAlign w:val="bottom"/>
          </w:tcPr>
          <w:p>
            <w:pPr>
              <w:jc w:val="center"/>
              <w:ind w:right="2001"/>
              <w:spacing w:after="0"/>
              <w:rPr>
                <w:sz w:val="20"/>
                <w:szCs w:val="20"/>
                <w:color w:val="auto"/>
              </w:rPr>
            </w:pPr>
            <w:r>
              <w:rPr>
                <w:rFonts w:ascii="Arial" w:cs="Arial" w:eastAsia="Arial" w:hAnsi="Arial"/>
                <w:sz w:val="18"/>
                <w:szCs w:val="18"/>
                <w:b w:val="1"/>
                <w:bCs w:val="1"/>
                <w:color w:val="auto"/>
                <w:w w:val="87"/>
              </w:rPr>
              <w:t>57104</w:t>
            </w:r>
          </w:p>
        </w:tc>
      </w:tr>
      <w:tr>
        <w:trPr>
          <w:trHeight w:val="186"/>
        </w:trPr>
        <w:tc>
          <w:tcPr>
            <w:tcW w:w="802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00" w:type="dxa"/>
            <w:vAlign w:val="bottom"/>
          </w:tcPr>
          <w:p>
            <w:pPr>
              <w:jc w:val="center"/>
              <w:ind w:right="2001"/>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8020" w:type="dxa"/>
            <w:vAlign w:val="bottom"/>
            <w:gridSpan w:val="3"/>
          </w:tcPr>
          <w:p>
            <w:pPr>
              <w:jc w:val="center"/>
              <w:ind w:left="3318"/>
              <w:spacing w:after="0"/>
              <w:rPr>
                <w:sz w:val="20"/>
                <w:szCs w:val="20"/>
                <w:color w:val="auto"/>
              </w:rPr>
            </w:pPr>
            <w:r>
              <w:rPr>
                <w:rFonts w:ascii="Arial" w:cs="Arial" w:eastAsia="Arial" w:hAnsi="Arial"/>
                <w:sz w:val="18"/>
                <w:szCs w:val="18"/>
                <w:b w:val="1"/>
                <w:bCs w:val="1"/>
                <w:color w:val="auto"/>
                <w:w w:val="91"/>
              </w:rPr>
              <w:t>Wells Fargo &amp; Company Law Department, Trust Section</w:t>
            </w:r>
          </w:p>
        </w:tc>
        <w:tc>
          <w:tcPr>
            <w:tcW w:w="340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35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6"/>
              </w:rPr>
              <w:t>MAC N9305-175</w:t>
            </w:r>
          </w:p>
        </w:tc>
        <w:tc>
          <w:tcPr>
            <w:tcW w:w="3400" w:type="dxa"/>
            <w:vAlign w:val="bottom"/>
          </w:tcPr>
          <w:p>
            <w:pPr>
              <w:spacing w:after="0"/>
              <w:rPr>
                <w:sz w:val="18"/>
                <w:szCs w:val="18"/>
                <w:color w:val="auto"/>
              </w:rPr>
            </w:pPr>
          </w:p>
        </w:tc>
      </w:tr>
      <w:tr>
        <w:trPr>
          <w:trHeight w:val="216"/>
        </w:trPr>
        <w:tc>
          <w:tcPr>
            <w:tcW w:w="8020" w:type="dxa"/>
            <w:vAlign w:val="bottom"/>
            <w:gridSpan w:val="3"/>
          </w:tcPr>
          <w:p>
            <w:pPr>
              <w:jc w:val="center"/>
              <w:ind w:left="3318"/>
              <w:spacing w:after="0"/>
              <w:rPr>
                <w:sz w:val="20"/>
                <w:szCs w:val="20"/>
                <w:color w:val="auto"/>
              </w:rPr>
            </w:pPr>
            <w:r>
              <w:rPr>
                <w:rFonts w:ascii="Arial" w:cs="Arial" w:eastAsia="Arial" w:hAnsi="Arial"/>
                <w:sz w:val="18"/>
                <w:szCs w:val="18"/>
                <w:b w:val="1"/>
                <w:bCs w:val="1"/>
                <w:color w:val="auto"/>
                <w:w w:val="91"/>
              </w:rPr>
              <w:t>Sixth Street and Marquette Avenue, 17</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34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5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Minneapolis, Minnesota 55479</w:t>
            </w:r>
          </w:p>
        </w:tc>
        <w:tc>
          <w:tcPr>
            <w:tcW w:w="3400" w:type="dxa"/>
            <w:vAlign w:val="bottom"/>
          </w:tcPr>
          <w:p>
            <w:pPr>
              <w:spacing w:after="0"/>
              <w:rPr>
                <w:sz w:val="18"/>
                <w:szCs w:val="18"/>
                <w:color w:val="auto"/>
              </w:rPr>
            </w:pPr>
          </w:p>
        </w:tc>
      </w:tr>
      <w:tr>
        <w:trPr>
          <w:trHeight w:val="212"/>
        </w:trPr>
        <w:tc>
          <w:tcPr>
            <w:tcW w:w="6900" w:type="dxa"/>
            <w:vAlign w:val="bottom"/>
            <w:gridSpan w:val="2"/>
          </w:tcPr>
          <w:p>
            <w:pPr>
              <w:jc w:val="center"/>
              <w:ind w:left="4458"/>
              <w:spacing w:after="0"/>
              <w:rPr>
                <w:sz w:val="20"/>
                <w:szCs w:val="20"/>
                <w:color w:val="auto"/>
              </w:rPr>
            </w:pPr>
            <w:r>
              <w:rPr>
                <w:rFonts w:ascii="Arial" w:cs="Arial" w:eastAsia="Arial" w:hAnsi="Arial"/>
                <w:sz w:val="18"/>
                <w:szCs w:val="18"/>
                <w:b w:val="1"/>
                <w:bCs w:val="1"/>
                <w:color w:val="auto"/>
                <w:w w:val="90"/>
              </w:rPr>
              <w:t>(612) 667-4608</w:t>
            </w:r>
          </w:p>
        </w:tc>
        <w:tc>
          <w:tcPr>
            <w:tcW w:w="112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186"/>
        </w:trPr>
        <w:tc>
          <w:tcPr>
            <w:tcW w:w="8020" w:type="dxa"/>
            <w:vAlign w:val="bottom"/>
            <w:gridSpan w:val="3"/>
          </w:tcPr>
          <w:p>
            <w:pPr>
              <w:jc w:val="center"/>
              <w:ind w:left="3318"/>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400" w:type="dxa"/>
            <w:vAlign w:val="bottom"/>
          </w:tcPr>
          <w:p>
            <w:pPr>
              <w:spacing w:after="0"/>
              <w:rPr>
                <w:sz w:val="16"/>
                <w:szCs w:val="16"/>
                <w:color w:val="auto"/>
              </w:rPr>
            </w:pP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35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1"/>
              </w:rPr>
              <w:t>TPG Specialty Lending, Inc.</w:t>
            </w:r>
          </w:p>
        </w:tc>
        <w:tc>
          <w:tcPr>
            <w:tcW w:w="3400" w:type="dxa"/>
            <w:vAlign w:val="bottom"/>
          </w:tcPr>
          <w:p>
            <w:pPr>
              <w:spacing w:after="0"/>
              <w:rPr>
                <w:sz w:val="24"/>
                <w:szCs w:val="24"/>
                <w:color w:val="auto"/>
              </w:rPr>
            </w:pPr>
          </w:p>
        </w:tc>
      </w:tr>
      <w:tr>
        <w:trPr>
          <w:trHeight w:val="186"/>
        </w:trPr>
        <w:tc>
          <w:tcPr>
            <w:tcW w:w="8020" w:type="dxa"/>
            <w:vAlign w:val="bottom"/>
            <w:gridSpan w:val="3"/>
          </w:tcPr>
          <w:p>
            <w:pPr>
              <w:jc w:val="center"/>
              <w:ind w:left="3318"/>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40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70"/>
        </w:trPr>
        <w:tc>
          <w:tcPr>
            <w:tcW w:w="802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jc w:val="center"/>
              <w:ind w:right="2001"/>
              <w:spacing w:after="0"/>
              <w:rPr>
                <w:sz w:val="20"/>
                <w:szCs w:val="20"/>
                <w:color w:val="auto"/>
              </w:rPr>
            </w:pPr>
            <w:r>
              <w:rPr>
                <w:rFonts w:ascii="Arial" w:cs="Arial" w:eastAsia="Arial" w:hAnsi="Arial"/>
                <w:sz w:val="18"/>
                <w:szCs w:val="18"/>
                <w:b w:val="1"/>
                <w:bCs w:val="1"/>
                <w:color w:val="auto"/>
                <w:w w:val="91"/>
              </w:rPr>
              <w:t>27-3380000</w:t>
            </w:r>
          </w:p>
        </w:tc>
      </w:tr>
      <w:tr>
        <w:trPr>
          <w:trHeight w:val="149"/>
        </w:trPr>
        <w:tc>
          <w:tcPr>
            <w:tcW w:w="8020" w:type="dxa"/>
            <w:vAlign w:val="bottom"/>
            <w:gridSpan w:val="3"/>
          </w:tcPr>
          <w:p>
            <w:pPr>
              <w:jc w:val="center"/>
              <w:ind w:right="23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00" w:type="dxa"/>
            <w:vAlign w:val="bottom"/>
          </w:tcPr>
          <w:p>
            <w:pPr>
              <w:jc w:val="center"/>
              <w:ind w:right="20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02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4"/>
              </w:rPr>
              <w:t>incorporation or organization)</w:t>
            </w:r>
          </w:p>
        </w:tc>
        <w:tc>
          <w:tcPr>
            <w:tcW w:w="3400" w:type="dxa"/>
            <w:vAlign w:val="bottom"/>
          </w:tcPr>
          <w:p>
            <w:pPr>
              <w:jc w:val="center"/>
              <w:ind w:right="200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80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89"/>
              </w:rPr>
              <w:t>301 Commerce Street, Suite 3300</w:t>
            </w:r>
          </w:p>
        </w:tc>
        <w:tc>
          <w:tcPr>
            <w:tcW w:w="3400" w:type="dxa"/>
            <w:vAlign w:val="bottom"/>
          </w:tcPr>
          <w:p>
            <w:pPr>
              <w:spacing w:after="0"/>
              <w:rPr>
                <w:sz w:val="24"/>
                <w:szCs w:val="24"/>
                <w:color w:val="auto"/>
              </w:rPr>
            </w:pPr>
          </w:p>
        </w:tc>
      </w:tr>
      <w:tr>
        <w:trPr>
          <w:trHeight w:val="225"/>
        </w:trPr>
        <w:tc>
          <w:tcPr>
            <w:tcW w:w="80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7"/>
              </w:rPr>
              <w:t>Fort Worth, TX</w:t>
            </w:r>
          </w:p>
        </w:tc>
        <w:tc>
          <w:tcPr>
            <w:tcW w:w="3400" w:type="dxa"/>
            <w:vAlign w:val="bottom"/>
          </w:tcPr>
          <w:p>
            <w:pPr>
              <w:jc w:val="center"/>
              <w:ind w:right="2001"/>
              <w:spacing w:after="0"/>
              <w:rPr>
                <w:sz w:val="20"/>
                <w:szCs w:val="20"/>
                <w:color w:val="auto"/>
              </w:rPr>
            </w:pPr>
            <w:r>
              <w:rPr>
                <w:rFonts w:ascii="Arial" w:cs="Arial" w:eastAsia="Arial" w:hAnsi="Arial"/>
                <w:sz w:val="18"/>
                <w:szCs w:val="18"/>
                <w:b w:val="1"/>
                <w:bCs w:val="1"/>
                <w:color w:val="auto"/>
                <w:w w:val="87"/>
              </w:rPr>
              <w:t>76102</w:t>
            </w:r>
          </w:p>
        </w:tc>
      </w:tr>
      <w:tr>
        <w:trPr>
          <w:trHeight w:val="186"/>
        </w:trPr>
        <w:tc>
          <w:tcPr>
            <w:tcW w:w="802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00" w:type="dxa"/>
            <w:vAlign w:val="bottom"/>
          </w:tcPr>
          <w:p>
            <w:pPr>
              <w:jc w:val="center"/>
              <w:ind w:right="2001"/>
              <w:spacing w:after="0"/>
              <w:rPr>
                <w:sz w:val="20"/>
                <w:szCs w:val="20"/>
                <w:color w:val="auto"/>
              </w:rPr>
            </w:pPr>
            <w:r>
              <w:rPr>
                <w:rFonts w:ascii="Arial" w:cs="Arial" w:eastAsia="Arial" w:hAnsi="Arial"/>
                <w:sz w:val="14"/>
                <w:szCs w:val="14"/>
                <w:b w:val="1"/>
                <w:bCs w:val="1"/>
                <w:color w:val="auto"/>
                <w:w w:val="98"/>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35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8"/>
              </w:rPr>
              <w:t>Debt Securities</w:t>
            </w:r>
          </w:p>
        </w:tc>
        <w:tc>
          <w:tcPr>
            <w:tcW w:w="340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5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(Title of the indenture securities)</w:t>
            </w:r>
          </w:p>
        </w:tc>
        <w:tc>
          <w:tcPr>
            <w:tcW w:w="340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 1. </w:t>
      </w:r>
      <w:r>
        <w:rPr>
          <w:rFonts w:ascii="Arial" w:cs="Arial" w:eastAsia="Arial" w:hAnsi="Arial"/>
          <w:sz w:val="18"/>
          <w:szCs w:val="18"/>
          <w:u w:val="single" w:color="auto"/>
          <w:color w:val="auto"/>
        </w:rPr>
        <w:t>General Information.</w:t>
      </w:r>
      <w:r>
        <w:rPr>
          <w:rFonts w:ascii="Arial" w:cs="Arial" w:eastAsia="Arial" w:hAnsi="Arial"/>
          <w:sz w:val="18"/>
          <w:szCs w:val="18"/>
          <w:color w:val="auto"/>
        </w:rPr>
        <w:t xml:space="preserve"> Furnish the following information as to the trustee:</w:t>
      </w:r>
    </w:p>
    <w:p>
      <w:pPr>
        <w:spacing w:after="0" w:line="131" w:lineRule="exact"/>
        <w:rPr>
          <w:sz w:val="20"/>
          <w:szCs w:val="20"/>
          <w:color w:val="auto"/>
        </w:rPr>
      </w:pPr>
    </w:p>
    <w:p>
      <w:pPr>
        <w:ind w:left="1480" w:hanging="567"/>
        <w:spacing w:after="0"/>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117" w:lineRule="exact"/>
        <w:rPr>
          <w:rFonts w:ascii="Arial" w:cs="Arial" w:eastAsia="Arial" w:hAnsi="Arial"/>
          <w:sz w:val="18"/>
          <w:szCs w:val="18"/>
          <w:color w:val="auto"/>
        </w:rPr>
      </w:pPr>
    </w:p>
    <w:p>
      <w:pPr>
        <w:ind w:left="1500" w:right="7780"/>
        <w:spacing w:after="0" w:line="312" w:lineRule="auto"/>
        <w:rPr>
          <w:rFonts w:ascii="Arial" w:cs="Arial" w:eastAsia="Arial" w:hAnsi="Arial"/>
          <w:sz w:val="18"/>
          <w:szCs w:val="18"/>
          <w:color w:val="auto"/>
        </w:rPr>
      </w:pPr>
      <w:r>
        <w:rPr>
          <w:rFonts w:ascii="Arial" w:cs="Arial" w:eastAsia="Arial" w:hAnsi="Arial"/>
          <w:sz w:val="16"/>
          <w:szCs w:val="16"/>
          <w:color w:val="auto"/>
        </w:rPr>
        <w:t>Comptroller of the Currency Treasury Department Washington, D.C.</w:t>
      </w:r>
    </w:p>
    <w:p>
      <w:pPr>
        <w:spacing w:after="0" w:line="38" w:lineRule="exact"/>
        <w:rPr>
          <w:rFonts w:ascii="Arial" w:cs="Arial" w:eastAsia="Arial" w:hAnsi="Arial"/>
          <w:sz w:val="18"/>
          <w:szCs w:val="18"/>
          <w:color w:val="auto"/>
        </w:rPr>
      </w:pPr>
    </w:p>
    <w:p>
      <w:pPr>
        <w:ind w:left="1500" w:right="7020"/>
        <w:spacing w:after="0" w:line="277" w:lineRule="auto"/>
        <w:rPr>
          <w:rFonts w:ascii="Arial" w:cs="Arial" w:eastAsia="Arial" w:hAnsi="Arial"/>
          <w:sz w:val="18"/>
          <w:szCs w:val="18"/>
          <w:color w:val="auto"/>
        </w:rPr>
      </w:pPr>
      <w:r>
        <w:rPr>
          <w:rFonts w:ascii="Arial" w:cs="Arial" w:eastAsia="Arial" w:hAnsi="Arial"/>
          <w:sz w:val="18"/>
          <w:szCs w:val="18"/>
          <w:color w:val="auto"/>
        </w:rPr>
        <w:t>Federal Deposit Insurance Corporation Washington, D.C.</w:t>
      </w:r>
    </w:p>
    <w:p>
      <w:pPr>
        <w:spacing w:after="0" w:line="62" w:lineRule="exact"/>
        <w:rPr>
          <w:rFonts w:ascii="Arial" w:cs="Arial" w:eastAsia="Arial" w:hAnsi="Arial"/>
          <w:sz w:val="18"/>
          <w:szCs w:val="18"/>
          <w:color w:val="auto"/>
        </w:rPr>
      </w:pPr>
    </w:p>
    <w:p>
      <w:pPr>
        <w:ind w:left="1500" w:right="6980"/>
        <w:spacing w:after="0" w:line="342" w:lineRule="auto"/>
        <w:rPr>
          <w:rFonts w:ascii="Arial" w:cs="Arial" w:eastAsia="Arial" w:hAnsi="Arial"/>
          <w:sz w:val="18"/>
          <w:szCs w:val="18"/>
          <w:color w:val="auto"/>
        </w:rPr>
      </w:pPr>
      <w:r>
        <w:rPr>
          <w:rFonts w:ascii="Arial" w:cs="Arial" w:eastAsia="Arial" w:hAnsi="Arial"/>
          <w:sz w:val="16"/>
          <w:szCs w:val="16"/>
          <w:color w:val="auto"/>
        </w:rPr>
        <w:t>Federal Reserve Bank of San Francisco San Francisco, California 94120</w:t>
      </w:r>
    </w:p>
    <w:p>
      <w:pPr>
        <w:spacing w:after="0" w:line="29" w:lineRule="exact"/>
        <w:rPr>
          <w:rFonts w:ascii="Arial" w:cs="Arial" w:eastAsia="Arial" w:hAnsi="Arial"/>
          <w:sz w:val="18"/>
          <w:szCs w:val="18"/>
          <w:color w:val="auto"/>
        </w:rPr>
      </w:pPr>
    </w:p>
    <w:p>
      <w:pPr>
        <w:jc w:val="both"/>
        <w:ind w:left="1500" w:right="5540" w:hanging="587"/>
        <w:spacing w:after="0" w:line="483" w:lineRule="auto"/>
        <w:tabs>
          <w:tab w:leader="none" w:pos="148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Whether it is authorized to exercise corporate trust powers. The trustee is authorized to exercise corporate trust powers.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Affiliations with Obligor.</w:t>
      </w:r>
      <w:r>
        <w:rPr>
          <w:rFonts w:ascii="Arial" w:cs="Arial" w:eastAsia="Arial" w:hAnsi="Arial"/>
          <w:sz w:val="18"/>
          <w:szCs w:val="18"/>
          <w:color w:val="auto"/>
        </w:rPr>
        <w:t xml:space="preserve"> If the obligor is an affiliate of the trustee, describe each such affiliation.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 with respect to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responses are included for Items 3-14 of this Form T-1 because the obligor is not in default as provided under Item 13.</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3"/>
          </w:tcPr>
          <w:p>
            <w:pPr>
              <w:spacing w:after="0"/>
              <w:rPr>
                <w:sz w:val="20"/>
                <w:szCs w:val="20"/>
                <w:color w:val="auto"/>
              </w:rPr>
            </w:pPr>
            <w:r>
              <w:rPr>
                <w:rFonts w:ascii="Arial" w:cs="Arial" w:eastAsia="Arial" w:hAnsi="Arial"/>
                <w:sz w:val="18"/>
                <w:szCs w:val="18"/>
                <w:color w:val="auto"/>
                <w:w w:val="91"/>
              </w:rPr>
              <w:t>Item 15. Foreign Trustee.</w:t>
            </w:r>
          </w:p>
        </w:tc>
        <w:tc>
          <w:tcPr>
            <w:tcW w:w="9460" w:type="dxa"/>
            <w:vAlign w:val="bottom"/>
          </w:tcPr>
          <w:p>
            <w:pPr>
              <w:ind w:left="1100"/>
              <w:spacing w:after="0"/>
              <w:rPr>
                <w:sz w:val="20"/>
                <w:szCs w:val="20"/>
                <w:color w:val="auto"/>
              </w:rPr>
            </w:pPr>
            <w:r>
              <w:rPr>
                <w:rFonts w:ascii="Arial" w:cs="Arial" w:eastAsia="Arial" w:hAnsi="Arial"/>
                <w:sz w:val="18"/>
                <w:szCs w:val="18"/>
                <w:color w:val="auto"/>
              </w:rPr>
              <w:t>Not applicable.</w:t>
            </w:r>
          </w:p>
        </w:tc>
      </w:tr>
      <w:tr>
        <w:trPr>
          <w:trHeight w:val="20"/>
        </w:trPr>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r>
      <w:tr>
        <w:trPr>
          <w:trHeight w:val="561"/>
        </w:trPr>
        <w:tc>
          <w:tcPr>
            <w:tcW w:w="1860" w:type="dxa"/>
            <w:vAlign w:val="bottom"/>
            <w:gridSpan w:val="3"/>
          </w:tcPr>
          <w:p>
            <w:pPr>
              <w:spacing w:after="0"/>
              <w:rPr>
                <w:sz w:val="20"/>
                <w:szCs w:val="20"/>
                <w:color w:val="auto"/>
              </w:rPr>
            </w:pPr>
            <w:r>
              <w:rPr>
                <w:rFonts w:ascii="Arial" w:cs="Arial" w:eastAsia="Arial" w:hAnsi="Arial"/>
                <w:sz w:val="18"/>
                <w:szCs w:val="18"/>
                <w:color w:val="auto"/>
                <w:w w:val="96"/>
              </w:rPr>
              <w:t>Item 16. List of Exhibits.</w:t>
            </w:r>
          </w:p>
        </w:tc>
        <w:tc>
          <w:tcPr>
            <w:tcW w:w="9460" w:type="dxa"/>
            <w:vAlign w:val="bottom"/>
          </w:tcPr>
          <w:p>
            <w:pPr>
              <w:ind w:left="110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20"/>
        </w:trPr>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r>
      <w:tr>
        <w:trPr>
          <w:trHeight w:val="480"/>
        </w:trPr>
        <w:tc>
          <w:tcPr>
            <w:tcW w:w="1860" w:type="dxa"/>
            <w:vAlign w:val="bottom"/>
            <w:gridSpan w:val="3"/>
          </w:tcPr>
          <w:p>
            <w:pPr>
              <w:ind w:left="460"/>
              <w:spacing w:after="0"/>
              <w:rPr>
                <w:sz w:val="20"/>
                <w:szCs w:val="20"/>
                <w:color w:val="auto"/>
              </w:rPr>
            </w:pPr>
            <w:r>
              <w:rPr>
                <w:rFonts w:ascii="Arial" w:cs="Arial" w:eastAsia="Arial" w:hAnsi="Arial"/>
                <w:sz w:val="18"/>
                <w:szCs w:val="18"/>
                <w:color w:val="auto"/>
              </w:rPr>
              <w:t>Exhibit 1.</w:t>
            </w:r>
          </w:p>
        </w:tc>
        <w:tc>
          <w:tcPr>
            <w:tcW w:w="9460" w:type="dxa"/>
            <w:vAlign w:val="bottom"/>
          </w:tcPr>
          <w:p>
            <w:pPr>
              <w:ind w:left="40"/>
              <w:spacing w:after="0"/>
              <w:rPr>
                <w:sz w:val="20"/>
                <w:szCs w:val="20"/>
                <w:color w:val="auto"/>
              </w:rPr>
            </w:pPr>
            <w:r>
              <w:rPr>
                <w:rFonts w:ascii="Arial" w:cs="Arial" w:eastAsia="Arial" w:hAnsi="Arial"/>
                <w:sz w:val="18"/>
                <w:szCs w:val="18"/>
                <w:color w:val="auto"/>
              </w:rPr>
              <w:t>A copy of the Articles of Association of the trustee now in effect.*</w:t>
            </w:r>
          </w:p>
        </w:tc>
      </w:tr>
      <w:tr>
        <w:trPr>
          <w:trHeight w:val="310"/>
        </w:trPr>
        <w:tc>
          <w:tcPr>
            <w:tcW w:w="1860" w:type="dxa"/>
            <w:vAlign w:val="bottom"/>
            <w:gridSpan w:val="3"/>
          </w:tcPr>
          <w:p>
            <w:pPr>
              <w:ind w:left="460"/>
              <w:spacing w:after="0"/>
              <w:rPr>
                <w:sz w:val="20"/>
                <w:szCs w:val="20"/>
                <w:color w:val="auto"/>
              </w:rPr>
            </w:pPr>
            <w:r>
              <w:rPr>
                <w:rFonts w:ascii="Arial" w:cs="Arial" w:eastAsia="Arial" w:hAnsi="Arial"/>
                <w:sz w:val="18"/>
                <w:szCs w:val="18"/>
                <w:color w:val="auto"/>
              </w:rPr>
              <w:t>Exhibit 2.</w:t>
            </w:r>
          </w:p>
        </w:tc>
        <w:tc>
          <w:tcPr>
            <w:tcW w:w="9460" w:type="dxa"/>
            <w:vAlign w:val="bottom"/>
          </w:tcPr>
          <w:p>
            <w:pPr>
              <w:ind w:left="40"/>
              <w:spacing w:after="0"/>
              <w:rPr>
                <w:sz w:val="20"/>
                <w:szCs w:val="20"/>
                <w:color w:val="auto"/>
              </w:rPr>
            </w:pPr>
            <w:r>
              <w:rPr>
                <w:rFonts w:ascii="Arial" w:cs="Arial" w:eastAsia="Arial" w:hAnsi="Arial"/>
                <w:sz w:val="18"/>
                <w:szCs w:val="18"/>
                <w:color w:val="auto"/>
                <w:w w:val="93"/>
              </w:rPr>
              <w:t>A copy of the Comptroller of the Currency Certificate of Corporate Existence for Wells Fargo Bank, National Association, dated</w:t>
            </w: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rPr>
              <w:t>June 27, 2012.**</w:t>
            </w:r>
          </w:p>
        </w:tc>
      </w:tr>
      <w:tr>
        <w:trPr>
          <w:trHeight w:val="310"/>
        </w:trPr>
        <w:tc>
          <w:tcPr>
            <w:tcW w:w="1860" w:type="dxa"/>
            <w:vAlign w:val="bottom"/>
            <w:gridSpan w:val="3"/>
          </w:tcPr>
          <w:p>
            <w:pPr>
              <w:ind w:left="460"/>
              <w:spacing w:after="0"/>
              <w:rPr>
                <w:sz w:val="20"/>
                <w:szCs w:val="20"/>
                <w:color w:val="auto"/>
              </w:rPr>
            </w:pPr>
            <w:r>
              <w:rPr>
                <w:rFonts w:ascii="Arial" w:cs="Arial" w:eastAsia="Arial" w:hAnsi="Arial"/>
                <w:sz w:val="18"/>
                <w:szCs w:val="18"/>
                <w:color w:val="auto"/>
              </w:rPr>
              <w:t>Exhibit 3.</w:t>
            </w:r>
          </w:p>
        </w:tc>
        <w:tc>
          <w:tcPr>
            <w:tcW w:w="9460" w:type="dxa"/>
            <w:vAlign w:val="bottom"/>
          </w:tcPr>
          <w:p>
            <w:pPr>
              <w:ind w:left="40"/>
              <w:spacing w:after="0"/>
              <w:rPr>
                <w:sz w:val="20"/>
                <w:szCs w:val="20"/>
                <w:color w:val="auto"/>
              </w:rPr>
            </w:pPr>
            <w:r>
              <w:rPr>
                <w:rFonts w:ascii="Arial" w:cs="Arial" w:eastAsia="Arial" w:hAnsi="Arial"/>
                <w:sz w:val="18"/>
                <w:szCs w:val="18"/>
                <w:color w:val="auto"/>
                <w:w w:val="94"/>
              </w:rPr>
              <w:t>A copy of the Comptroller of the Currency Certification of Fiduciary Powers for Wells Fargo Bank, National Association, dated</w:t>
            </w: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rPr>
              <w:t>December 21, 2011.**</w:t>
            </w:r>
          </w:p>
        </w:tc>
      </w:tr>
      <w:tr>
        <w:trPr>
          <w:trHeight w:val="324"/>
        </w:trPr>
        <w:tc>
          <w:tcPr>
            <w:tcW w:w="1860" w:type="dxa"/>
            <w:vAlign w:val="bottom"/>
            <w:gridSpan w:val="3"/>
          </w:tcPr>
          <w:p>
            <w:pPr>
              <w:ind w:left="460"/>
              <w:spacing w:after="0"/>
              <w:rPr>
                <w:sz w:val="20"/>
                <w:szCs w:val="20"/>
                <w:color w:val="auto"/>
              </w:rPr>
            </w:pPr>
            <w:r>
              <w:rPr>
                <w:rFonts w:ascii="Arial" w:cs="Arial" w:eastAsia="Arial" w:hAnsi="Arial"/>
                <w:sz w:val="18"/>
                <w:szCs w:val="18"/>
                <w:color w:val="auto"/>
              </w:rPr>
              <w:t>Exhibit 4.</w:t>
            </w:r>
          </w:p>
        </w:tc>
        <w:tc>
          <w:tcPr>
            <w:tcW w:w="9460" w:type="dxa"/>
            <w:vAlign w:val="bottom"/>
          </w:tcPr>
          <w:p>
            <w:pPr>
              <w:ind w:left="40"/>
              <w:spacing w:after="0"/>
              <w:rPr>
                <w:sz w:val="20"/>
                <w:szCs w:val="20"/>
                <w:color w:val="auto"/>
              </w:rPr>
            </w:pPr>
            <w:r>
              <w:rPr>
                <w:rFonts w:ascii="Arial" w:cs="Arial" w:eastAsia="Arial" w:hAnsi="Arial"/>
                <w:sz w:val="18"/>
                <w:szCs w:val="18"/>
                <w:color w:val="auto"/>
              </w:rPr>
              <w:t>Copy of By-laws of the trustee as now in effect.***</w:t>
            </w:r>
          </w:p>
        </w:tc>
      </w:tr>
      <w:tr>
        <w:trPr>
          <w:trHeight w:val="324"/>
        </w:trPr>
        <w:tc>
          <w:tcPr>
            <w:tcW w:w="1860" w:type="dxa"/>
            <w:vAlign w:val="bottom"/>
            <w:gridSpan w:val="3"/>
          </w:tcPr>
          <w:p>
            <w:pPr>
              <w:ind w:left="460"/>
              <w:spacing w:after="0"/>
              <w:rPr>
                <w:sz w:val="20"/>
                <w:szCs w:val="20"/>
                <w:color w:val="auto"/>
              </w:rPr>
            </w:pPr>
            <w:r>
              <w:rPr>
                <w:rFonts w:ascii="Arial" w:cs="Arial" w:eastAsia="Arial" w:hAnsi="Arial"/>
                <w:sz w:val="18"/>
                <w:szCs w:val="18"/>
                <w:color w:val="auto"/>
              </w:rPr>
              <w:t>Exhibit 5.</w:t>
            </w:r>
          </w:p>
        </w:tc>
        <w:tc>
          <w:tcPr>
            <w:tcW w:w="9460" w:type="dxa"/>
            <w:vAlign w:val="bottom"/>
          </w:tcPr>
          <w:p>
            <w:pPr>
              <w:ind w:left="40"/>
              <w:spacing w:after="0"/>
              <w:rPr>
                <w:sz w:val="20"/>
                <w:szCs w:val="20"/>
                <w:color w:val="auto"/>
              </w:rPr>
            </w:pPr>
            <w:r>
              <w:rPr>
                <w:rFonts w:ascii="Arial" w:cs="Arial" w:eastAsia="Arial" w:hAnsi="Arial"/>
                <w:sz w:val="18"/>
                <w:szCs w:val="18"/>
                <w:color w:val="auto"/>
              </w:rPr>
              <w:t>Not applicable.</w:t>
            </w:r>
          </w:p>
        </w:tc>
      </w:tr>
      <w:tr>
        <w:trPr>
          <w:trHeight w:val="324"/>
        </w:trPr>
        <w:tc>
          <w:tcPr>
            <w:tcW w:w="1860" w:type="dxa"/>
            <w:vAlign w:val="bottom"/>
            <w:gridSpan w:val="3"/>
          </w:tcPr>
          <w:p>
            <w:pPr>
              <w:ind w:left="460"/>
              <w:spacing w:after="0"/>
              <w:rPr>
                <w:sz w:val="20"/>
                <w:szCs w:val="20"/>
                <w:color w:val="auto"/>
              </w:rPr>
            </w:pPr>
            <w:r>
              <w:rPr>
                <w:rFonts w:ascii="Arial" w:cs="Arial" w:eastAsia="Arial" w:hAnsi="Arial"/>
                <w:sz w:val="18"/>
                <w:szCs w:val="18"/>
                <w:color w:val="auto"/>
              </w:rPr>
              <w:t>Exhibit 6.</w:t>
            </w:r>
          </w:p>
        </w:tc>
        <w:tc>
          <w:tcPr>
            <w:tcW w:w="9460" w:type="dxa"/>
            <w:vAlign w:val="bottom"/>
          </w:tcPr>
          <w:p>
            <w:pPr>
              <w:ind w:left="4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310"/>
        </w:trPr>
        <w:tc>
          <w:tcPr>
            <w:tcW w:w="1860" w:type="dxa"/>
            <w:vAlign w:val="bottom"/>
            <w:gridSpan w:val="3"/>
          </w:tcPr>
          <w:p>
            <w:pPr>
              <w:ind w:left="460"/>
              <w:spacing w:after="0"/>
              <w:rPr>
                <w:sz w:val="20"/>
                <w:szCs w:val="20"/>
                <w:color w:val="auto"/>
              </w:rPr>
            </w:pPr>
            <w:r>
              <w:rPr>
                <w:rFonts w:ascii="Arial" w:cs="Arial" w:eastAsia="Arial" w:hAnsi="Arial"/>
                <w:sz w:val="18"/>
                <w:szCs w:val="18"/>
                <w:color w:val="auto"/>
              </w:rPr>
              <w:t>Exhibit 7.</w:t>
            </w:r>
          </w:p>
        </w:tc>
        <w:tc>
          <w:tcPr>
            <w:tcW w:w="9460" w:type="dxa"/>
            <w:vAlign w:val="bottom"/>
          </w:tcPr>
          <w:p>
            <w:pPr>
              <w:ind w:left="40"/>
              <w:spacing w:after="0"/>
              <w:rPr>
                <w:sz w:val="20"/>
                <w:szCs w:val="20"/>
                <w:color w:val="auto"/>
              </w:rPr>
            </w:pPr>
            <w:r>
              <w:rPr>
                <w:rFonts w:ascii="Arial" w:cs="Arial" w:eastAsia="Arial" w:hAnsi="Arial"/>
                <w:sz w:val="18"/>
                <w:szCs w:val="18"/>
                <w:color w:val="auto"/>
                <w:w w:val="91"/>
              </w:rPr>
              <w:t>A copy of the latest report of condition of the trustee published pursuant to law or the requirements of its supervising or examining</w:t>
            </w: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rPr>
              <w:t>authority.</w:t>
            </w:r>
          </w:p>
        </w:tc>
      </w:tr>
      <w:tr>
        <w:trPr>
          <w:trHeight w:val="324"/>
        </w:trPr>
        <w:tc>
          <w:tcPr>
            <w:tcW w:w="1860" w:type="dxa"/>
            <w:vAlign w:val="bottom"/>
            <w:gridSpan w:val="3"/>
          </w:tcPr>
          <w:p>
            <w:pPr>
              <w:ind w:left="460"/>
              <w:spacing w:after="0"/>
              <w:rPr>
                <w:sz w:val="20"/>
                <w:szCs w:val="20"/>
                <w:color w:val="auto"/>
              </w:rPr>
            </w:pPr>
            <w:r>
              <w:rPr>
                <w:rFonts w:ascii="Arial" w:cs="Arial" w:eastAsia="Arial" w:hAnsi="Arial"/>
                <w:sz w:val="18"/>
                <w:szCs w:val="18"/>
                <w:color w:val="auto"/>
              </w:rPr>
              <w:t>Exhibit 8.</w:t>
            </w:r>
          </w:p>
        </w:tc>
        <w:tc>
          <w:tcPr>
            <w:tcW w:w="9460" w:type="dxa"/>
            <w:vAlign w:val="bottom"/>
          </w:tcPr>
          <w:p>
            <w:pPr>
              <w:ind w:left="40"/>
              <w:spacing w:after="0"/>
              <w:rPr>
                <w:sz w:val="20"/>
                <w:szCs w:val="20"/>
                <w:color w:val="auto"/>
              </w:rPr>
            </w:pPr>
            <w:r>
              <w:rPr>
                <w:rFonts w:ascii="Arial" w:cs="Arial" w:eastAsia="Arial" w:hAnsi="Arial"/>
                <w:sz w:val="18"/>
                <w:szCs w:val="18"/>
                <w:color w:val="auto"/>
              </w:rPr>
              <w:t>Not applicable.</w:t>
            </w:r>
          </w:p>
        </w:tc>
      </w:tr>
      <w:tr>
        <w:trPr>
          <w:trHeight w:val="324"/>
        </w:trPr>
        <w:tc>
          <w:tcPr>
            <w:tcW w:w="1860" w:type="dxa"/>
            <w:vAlign w:val="bottom"/>
            <w:gridSpan w:val="3"/>
          </w:tcPr>
          <w:p>
            <w:pPr>
              <w:ind w:left="460"/>
              <w:spacing w:after="0"/>
              <w:rPr>
                <w:sz w:val="20"/>
                <w:szCs w:val="20"/>
                <w:color w:val="auto"/>
              </w:rPr>
            </w:pPr>
            <w:r>
              <w:rPr>
                <w:rFonts w:ascii="Arial" w:cs="Arial" w:eastAsia="Arial" w:hAnsi="Arial"/>
                <w:sz w:val="18"/>
                <w:szCs w:val="18"/>
                <w:color w:val="auto"/>
              </w:rPr>
              <w:t>Exhibit 9.</w:t>
            </w:r>
          </w:p>
        </w:tc>
        <w:tc>
          <w:tcPr>
            <w:tcW w:w="9460" w:type="dxa"/>
            <w:vAlign w:val="bottom"/>
          </w:tcPr>
          <w:p>
            <w:pPr>
              <w:ind w:left="40"/>
              <w:spacing w:after="0"/>
              <w:rPr>
                <w:sz w:val="20"/>
                <w:szCs w:val="20"/>
                <w:color w:val="auto"/>
              </w:rPr>
            </w:pPr>
            <w:r>
              <w:rPr>
                <w:rFonts w:ascii="Arial" w:cs="Arial" w:eastAsia="Arial" w:hAnsi="Arial"/>
                <w:sz w:val="18"/>
                <w:szCs w:val="18"/>
                <w:color w:val="auto"/>
              </w:rPr>
              <w:t>Not applicable.</w:t>
            </w:r>
          </w:p>
        </w:tc>
      </w:tr>
    </w:tbl>
    <w:p>
      <w:pPr>
        <w:spacing w:after="0" w:line="229"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Incorporated by reference to the exhibit of the same number to the trustee’s Form T-1 filed as exhibit 25 to the Form S-4 dated December 30, 2005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file number 333-130784.</w:t>
      </w:r>
    </w:p>
    <w:p>
      <w:pPr>
        <w:spacing w:after="0" w:line="9" w:lineRule="exact"/>
        <w:rPr>
          <w:sz w:val="20"/>
          <w:szCs w:val="20"/>
          <w:color w:val="auto"/>
        </w:rPr>
      </w:pPr>
    </w:p>
    <w:p>
      <w:pPr>
        <w:ind w:left="460" w:right="20" w:hanging="452"/>
        <w:spacing w:after="0" w:line="250" w:lineRule="auto"/>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S-3 dated January 23, 2013 of file number 333-186155.</w:t>
      </w:r>
    </w:p>
    <w:p>
      <w:pPr>
        <w:ind w:left="460" w:right="240" w:hanging="452"/>
        <w:spacing w:after="0" w:line="261"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May 26, 2005 of file number 333-125274.</w:t>
      </w:r>
    </w:p>
    <w:p>
      <w:pPr>
        <w:sectPr>
          <w:pgSz w:w="11900" w:h="16838" w:orient="portrait"/>
          <w:cols w:equalWidth="0" w:num="1">
            <w:col w:w="11320"/>
          </w:cols>
          <w:pgMar w:left="240" w:top="274" w:right="339" w:bottom="1440" w:gutter="0" w:footer="0" w:header="0"/>
        </w:sectPr>
      </w:pPr>
    </w:p>
    <w:bookmarkStart w:id="245" w:name="page246"/>
    <w:bookmarkEnd w:id="245"/>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New York and State of New York on the 6th day of April,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Tina 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Tina D. Gonzalez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180"/>
          </w:cols>
          <w:pgMar w:left="240" w:top="274" w:right="479" w:bottom="1440" w:gutter="0" w:footer="0" w:header="0"/>
        </w:sectPr>
      </w:pPr>
    </w:p>
    <w:bookmarkStart w:id="246" w:name="page247"/>
    <w:bookmarkEnd w:id="246"/>
    <w:p>
      <w:pPr>
        <w:jc w:val="center"/>
        <w:ind w:right="-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Tina 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Tina D. Gonzalez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0920"/>
          </w:cols>
          <w:pgMar w:left="240" w:top="274" w:right="7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December 31, 2016, filed in accordance with 12 U.S.C. §161 for National Banks.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balances and currency and coin</w:t>
            </w:r>
          </w:p>
        </w:tc>
        <w:tc>
          <w:tcPr>
            <w:tcW w:w="29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Interest-bearing balances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Held-to-maturity securities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99,478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 in domestic offices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Securities purchased under agreements to resell</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Loans and leases held for sale</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w:t>
            </w:r>
          </w:p>
        </w:tc>
        <w:tc>
          <w:tcPr>
            <w:tcW w:w="2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924,819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LESS: Allowance for loan and lease losses</w:t>
            </w:r>
          </w:p>
        </w:tc>
        <w:tc>
          <w:tcPr>
            <w:tcW w:w="2840" w:type="dxa"/>
            <w:vAlign w:val="bottom"/>
          </w:tcPr>
          <w:p>
            <w:pPr>
              <w:jc w:val="right"/>
              <w:ind w:right="290"/>
              <w:spacing w:after="0"/>
              <w:rPr>
                <w:sz w:val="20"/>
                <w:szCs w:val="20"/>
                <w:color w:val="auto"/>
              </w:rPr>
            </w:pPr>
            <w:r>
              <w:rPr>
                <w:rFonts w:ascii="Arial" w:cs="Arial" w:eastAsia="Arial" w:hAnsi="Arial"/>
                <w:sz w:val="18"/>
                <w:szCs w:val="18"/>
                <w:color w:val="auto"/>
              </w:rPr>
              <w:t>10,502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 and allowance</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Trading Assets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assets</w:t>
            </w:r>
          </w:p>
        </w:tc>
        <w:tc>
          <w:tcPr>
            <w:tcW w:w="2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6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In domestic offices</w:t>
            </w:r>
          </w:p>
        </w:tc>
        <w:tc>
          <w:tcPr>
            <w:tcW w:w="2960" w:type="dxa"/>
            <w:vAlign w:val="bottom"/>
            <w:gridSpan w:val="2"/>
          </w:tcPr>
          <w:p>
            <w:pPr>
              <w:ind w:left="28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1,218,766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Noninterest-bearing</w:t>
            </w:r>
          </w:p>
        </w:tc>
        <w:tc>
          <w:tcPr>
            <w:tcW w:w="2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407,266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60"/>
              <w:spacing w:after="0"/>
              <w:rPr>
                <w:sz w:val="20"/>
                <w:szCs w:val="20"/>
                <w:color w:val="auto"/>
              </w:rPr>
            </w:pPr>
            <w:r>
              <w:rPr>
                <w:rFonts w:ascii="Arial" w:cs="Arial" w:eastAsia="Arial" w:hAnsi="Arial"/>
                <w:sz w:val="18"/>
                <w:szCs w:val="18"/>
                <w:color w:val="auto"/>
              </w:rPr>
              <w:t>Interest-bearing</w:t>
            </w:r>
          </w:p>
        </w:tc>
        <w:tc>
          <w:tcPr>
            <w:tcW w:w="2840" w:type="dxa"/>
            <w:vAlign w:val="bottom"/>
          </w:tcPr>
          <w:p>
            <w:pPr>
              <w:jc w:val="right"/>
              <w:ind w:right="290"/>
              <w:spacing w:after="0"/>
              <w:rPr>
                <w:sz w:val="20"/>
                <w:szCs w:val="20"/>
                <w:color w:val="auto"/>
              </w:rPr>
            </w:pPr>
            <w:r>
              <w:rPr>
                <w:rFonts w:ascii="Arial" w:cs="Arial" w:eastAsia="Arial" w:hAnsi="Arial"/>
                <w:sz w:val="18"/>
                <w:szCs w:val="18"/>
                <w:color w:val="auto"/>
              </w:rPr>
              <w:t>811,500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foreign offices, Edge and Agreement subsidiaries, and IBFs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60"/>
              <w:spacing w:after="0"/>
              <w:rPr>
                <w:sz w:val="20"/>
                <w:szCs w:val="20"/>
                <w:color w:val="auto"/>
              </w:rPr>
            </w:pPr>
            <w:r>
              <w:rPr>
                <w:rFonts w:ascii="Arial" w:cs="Arial" w:eastAsia="Arial" w:hAnsi="Arial"/>
                <w:sz w:val="18"/>
                <w:szCs w:val="18"/>
                <w:color w:val="auto"/>
              </w:rPr>
              <w:t>Noninterest-bearing</w:t>
            </w:r>
          </w:p>
        </w:tc>
        <w:tc>
          <w:tcPr>
            <w:tcW w:w="2840" w:type="dxa"/>
            <w:vAlign w:val="bottom"/>
          </w:tcPr>
          <w:p>
            <w:pPr>
              <w:jc w:val="right"/>
              <w:ind w:right="290"/>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Interest-bearing</w:t>
            </w:r>
          </w:p>
        </w:tc>
        <w:tc>
          <w:tcPr>
            <w:tcW w:w="2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119,509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purchased in domestic offices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borrowed money</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29,006</w:t>
            </w:r>
          </w:p>
        </w:tc>
        <w:tc>
          <w:tcPr>
            <w:tcW w:w="0" w:type="dxa"/>
            <w:vAlign w:val="bottom"/>
          </w:tcPr>
          <w:p>
            <w:pPr>
              <w:spacing w:after="0"/>
              <w:rPr>
                <w:sz w:val="1"/>
                <w:szCs w:val="1"/>
                <w:color w:val="auto"/>
              </w:rPr>
            </w:pPr>
          </w:p>
        </w:tc>
      </w:tr>
      <w:tr>
        <w:trPr>
          <w:trHeight w:val="224"/>
        </w:trPr>
        <w:tc>
          <w:tcPr>
            <w:tcW w:w="7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8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8" w:name="page249"/>
    <w:bookmarkEnd w:id="2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4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EQUITY CAPITAL</w:t>
            </w: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106,705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940" w:type="dxa"/>
            <w:vAlign w:val="bottom"/>
            <w:gridSpan w:val="3"/>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Total bank equity capital</w:t>
            </w:r>
          </w:p>
        </w:tc>
        <w:tc>
          <w:tcPr>
            <w:tcW w:w="29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29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480" w:type="dxa"/>
            <w:vAlign w:val="bottom"/>
            <w:gridSpan w:val="2"/>
          </w:tcPr>
          <w:p>
            <w:pPr>
              <w:spacing w:after="0"/>
              <w:rPr>
                <w:sz w:val="20"/>
                <w:szCs w:val="20"/>
                <w:color w:val="auto"/>
              </w:rPr>
            </w:pPr>
            <w:r>
              <w:rPr>
                <w:rFonts w:ascii="Arial" w:cs="Arial" w:eastAsia="Arial" w:hAnsi="Arial"/>
                <w:sz w:val="18"/>
                <w:szCs w:val="18"/>
                <w:color w:val="auto"/>
              </w:rPr>
              <w:t>Total equity capital</w:t>
            </w:r>
          </w:p>
        </w:tc>
        <w:tc>
          <w:tcPr>
            <w:tcW w:w="290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1,727,235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I, John R. Shrewsberry, Sr.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395"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John R. Shrewsberry</w:t>
      </w:r>
    </w:p>
    <w:p>
      <w:pPr>
        <w:spacing w:after="0" w:line="46"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Sr. EVP &amp; CFO</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James Quigley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Enrique Hernandez, Jr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Cynthia Milligan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4800"/>
        <w:spacing w:after="0"/>
        <w:rPr>
          <w:sz w:val="20"/>
          <w:szCs w:val="20"/>
          <w:color w:val="auto"/>
        </w:rPr>
      </w:pPr>
      <w:r>
        <w:rPr>
          <w:rFonts w:ascii="Arial" w:cs="Arial" w:eastAsia="Arial" w:hAnsi="Arial"/>
          <w:sz w:val="16"/>
          <w:szCs w:val="16"/>
          <w:color w:val="auto"/>
        </w:rPr>
        <w:t>Directors</w:t>
      </w:r>
    </w:p>
    <w:p>
      <w:pPr>
        <w:sectPr>
          <w:pgSz w:w="11900" w:h="16838" w:orient="portrait"/>
          <w:cols w:equalWidth="0" w:num="2">
            <w:col w:w="5240" w:space="720"/>
            <w:col w:w="5460"/>
          </w:cols>
          <w:pgMar w:left="240" w:top="257" w:right="239" w:bottom="1440" w:gutter="0" w:footer="0" w:header="0"/>
          <w:type w:val="continuous"/>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0751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885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to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a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on Form N-2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relating to the offering by the Company from time to time, together or separately and in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series (if applicable), of up to an aggregate offering price of $750,000,000 of (a) shares of the Company’s common stock, par value $0.01 per share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(b) shares of the Company’s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(c) debt securities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Securities</w:t>
      </w:r>
      <w:r>
        <w:rPr>
          <w:rFonts w:ascii="Arial" w:cs="Arial" w:eastAsia="Arial" w:hAnsi="Arial"/>
          <w:sz w:val="16"/>
          <w:szCs w:val="16"/>
          <w:color w:val="auto"/>
        </w:rPr>
        <w:t>”); (d) subscription rights to purchase shares of the Company’s common stock (the “</w:t>
      </w:r>
      <w:r>
        <w:rPr>
          <w:rFonts w:ascii="Arial" w:cs="Arial" w:eastAsia="Arial" w:hAnsi="Arial"/>
          <w:sz w:val="16"/>
          <w:szCs w:val="16"/>
          <w:u w:val="single" w:color="auto"/>
          <w:color w:val="auto"/>
        </w:rPr>
        <w:t>Rights</w:t>
      </w:r>
      <w:r>
        <w:rPr>
          <w:rFonts w:ascii="Arial" w:cs="Arial" w:eastAsia="Arial" w:hAnsi="Arial"/>
          <w:sz w:val="16"/>
          <w:szCs w:val="16"/>
          <w:color w:val="auto"/>
        </w:rPr>
        <w:t>”); and (e) warrants to purchase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Common Stock or other securities, property or assets or other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The Common Stock, Preferred Stock, Debt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Rights and Warrants are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Securities being registered under the Registration Statement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offered on a continuous or delayed basis pursuant to the provisions of Rule 415 under the Securities Act.</w:t>
      </w:r>
    </w:p>
    <w:p>
      <w:pPr>
        <w:spacing w:after="0" w:line="21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terms of the Preferred Stock are to be established in one or more certificates of designation, rights and preferences filed with the Secretary of State of the State of Delaware (each, a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The Debt Securities are to be issued under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to be entered into between the Company and the trustee to be named therein. The Rights are to be issued under one or more rights agreements (each, a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the Company and the rights agent to be named therein. The Warrants are to be issued under one or more warrant agreements (each, a “</w:t>
      </w:r>
      <w:r>
        <w:rPr>
          <w:rFonts w:ascii="Arial" w:cs="Arial" w:eastAsia="Arial" w:hAnsi="Arial"/>
          <w:sz w:val="17"/>
          <w:szCs w:val="17"/>
          <w:u w:val="single" w:color="auto"/>
          <w:color w:val="auto"/>
        </w:rPr>
        <w:t>Warrant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to be entered into between the Company and the warrant agent to be named therein.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131" w:lineRule="exact"/>
        <w:rPr>
          <w:sz w:val="20"/>
          <w:szCs w:val="20"/>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form of Certificate of Common Stock included as Exhibit (d)(2)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form of Indenture included as Exhibit (d)(7)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383540</wp:posOffset>
            </wp:positionV>
            <wp:extent cx="3773170" cy="946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773170" cy="9461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2</w:t>
      </w:r>
    </w:p>
    <w:p>
      <w:pPr>
        <w:spacing w:after="0" w:line="158" w:lineRule="exact"/>
        <w:rPr>
          <w:sz w:val="20"/>
          <w:szCs w:val="20"/>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form of Subscription Certificate included as Exhibit (d)(9) to the Registration Statement; and</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and Certificate of Amendment to the Amended and Restated Certificate of Incorporation, each certified by the Secretary of State of the State of Delaware, and Bylaws, certified by the corporate secretary of the Company.</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2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rendering the opinions expressed below, we have assumed the authenticity of all documents submitted to us as originals and the conformity to the originals of all documents submitted to us as copies.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w:t>
      </w:r>
    </w:p>
    <w:p>
      <w:pPr>
        <w:spacing w:after="0" w:line="131" w:lineRule="exact"/>
        <w:rPr>
          <w:sz w:val="20"/>
          <w:szCs w:val="20"/>
          <w:color w:val="auto"/>
        </w:rPr>
      </w:pPr>
    </w:p>
    <w:p>
      <w:pPr>
        <w:ind w:left="900" w:right="200" w:hanging="446"/>
        <w:spacing w:after="0" w:line="277"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Common Stock, including Common Stock to be issued upon conversion, exchange or exercise of any other Security in accordance with its terms, will be validly issued by the Company, fully paid and nonassessable.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Preferred Stock will be validly issued by the Company, fully paid and nonassessable.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Debt Securities will be the valid, binding and enforceable obligations of the Company, entitled to the benefits of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Rights will be the valid, binding and enforceable obligations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Warrants will be the valid, binding and enforceable obligations of the Company.</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Insofar as the foregoing opinions relate to the validity, binding effect or enforceability of any agreement or obligation of the Company, (x) we have assumed that the Company and each other party to such agreement or obligation has satisfied or, prior to the issuance of the Securities, will satisfy, those legal requirements that are applicable to it to the extent necessary to make such agreement or obligation enforceable against it and (y) such opinions are subject to applicable bankruptcy, insolvency and similar laws affecting creditors’ rights generally and to general principles of equity.</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rendering the opinions expressed above, we have further assumed that (i) prior to the issuance of the Securities, the Company will authorize the offering and issuance of the Securities and will duly authorize, approve and establish the final terms and conditions thereof, which terms will conform to the descriptions thereof in the Registration Statement and the related prospectus supplements, the terms of any agreement governing those Securities and, in the case of Preferred Stock, the provisions of the Company’s Amended and Restated Certificate of Incorporation, as amended, and will not violate any applicable law, conflict with any matter of public policy, result in a default under or breach of any agreement or instrument binding upon the Company or violate any requirement or restriction imposed by any court or governmental body having jurisdiction over the Company; (ii) prior to the issuance of the Securities, the Company will duly authorize, execute and deliver any applicable Indenture, Rights Agreement and Warrant Agreement and any other agreement governing the Securities or otherwise necessary with respect to the Securities or contemplated by the Securities or the Registration Statement and will take any other appropriate or necessary corporate action, including the filing of any Certificate of Designation with the Secretary of State of the State of Delaware; (iii) any agreement governing the Securities and any instruments evidencing the Securities will be governed by New York law; (iv) the Indenture and the Subscription Certificate, as applicable, will conform to the forms thereof filed as exhibits to the Registration Statement; (v) the Securities will be offered, issued, sold and delivered in compliance with applicable law and any requirements therefor set forth in any corporate action authorizing such Securities and any agreement governing such Securities and in the manner contemplated by the Registration Statement and the related prospectus supplements describing the Securities and the offering thereof; (vi) the Securities will be offered, sold and delivered to, and paid for by, the purchasers thereof at the price specified in, and in accordance with the terms of, an agreement or agreements duly authorized, executed and delivered by the parties thereto,</w:t>
      </w:r>
    </w:p>
    <w:p>
      <w:pPr>
        <w:sectPr>
          <w:pgSz w:w="11900" w:h="16838" w:orient="portrait"/>
          <w:cols w:equalWidth="0" w:num="1">
            <w:col w:w="11400"/>
          </w:cols>
          <w:pgMar w:left="240" w:top="274" w:right="2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3</w:t>
      </w:r>
    </w:p>
    <w:p>
      <w:pPr>
        <w:spacing w:after="0" w:line="15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which price, in the case of Common Stock or Preferred Stock, shall not be less than the respective par value thereof; and (vii) if issued in certificated form, certificates representing the Securities will be duly executed and delivered and, to the extent required by any applicable agreement, duly authenticated or countersigned, and if issued in book-entry form, the Securities will be duly registered to the extent required by any applicable agreement.</w:t>
      </w:r>
    </w:p>
    <w:p>
      <w:pPr>
        <w:spacing w:after="0" w:line="14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 rendering the opinions expressed in paragraph 3 above, we have assumed that each series of Debt Securities will be issued with an original aggregate principal amount (or in the case of Debt Securities issued at an original issue discount, an aggregate issue price) of $2,500,000 or more.</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note that any designation in the Securities or any applicable agreement governing those Securities of the U.S. federal courts sitting in New York City as the venue for actions or proceedings relating to such Securities is (notwithstanding any waiver thereof) subject to the power of such courts to transfer actions pursuant to 28 U.S.C. §1404(a) or to dismiss such actions or proceedings on the grounds that such a federal court is an inconvenient forum for such an action or proceeding.</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note that by statute New York provides that a judgment or decree rendered in a currency other than the currency of the United States shall be converted into U.S. dollars at the rate of exchange prevailing on the date of entry of the judgment or decree. There is no corresponding federal statute and no controlling federal court decision on this issue. Accordingly, we express no opinion as to whether a federal court would award a judgment in a currency other than U.S. dollars or, if it did so, whether it would order conversion of the judgment into U.S. dollars. In addition, to the extent that any Securities or applicable agreement governing those Securities includes a provision relating to indemnification against any loss in obtaining currency due from a court judgment in another currency, we express no opinion as to the enforceability of such provision.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opinions are limited to the law of the State of New York and the General Corporation Law of the State of Delaware.</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hereby consent to the use of our name in the prospectus constituting a part of the Registration Statement under the heading “Legal Matters” and in any prospectus supplement related thereto as counsel for the Company that has passed on the validity of the Securities, and to the use of this opinion as a part (Exhibit (l)) of the Registration Statement. In giving this consent, we do not thereby admit that we are within the category of persons whose consent is required under Section 7 of the Securities Act or the rules and regulations of the Commission thereunder. The opinions expressed herein are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860"/>
        <w:spacing w:after="0"/>
        <w:tabs>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Adam E. Fleisher, a Partner</w:t>
      </w:r>
    </w:p>
    <w:p>
      <w:pPr>
        <w:sectPr>
          <w:pgSz w:w="11900" w:h="16838" w:orient="portrait"/>
          <w:cols w:equalWidth="0" w:num="1">
            <w:col w:w="11420"/>
          </w:cols>
          <w:pgMar w:left="240" w:top="274"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consent to the use of our report dated February 22, 2017, with respect to the consolidated balance sheets of TPG Specialty Lending, Inc. (and subsidiaries) (the Company), including the consolidated schedules of investments, as of December 31, 2016 and 2015, and the related consolidated statements of operations, changes in net assets and cash flows for each of the years in the three-year period ended December 31, 2016, and the effectiveness of internal control over financial reporting as of December 31, 2016, and our report dated April 7, 2017 on the consolidated senior securities schedule of the Company, included herein, and to the references to our firm under the headings “Senior Securities”, and “Experts” in the prospectus.</w:t>
      </w:r>
    </w:p>
    <w:p>
      <w:pPr>
        <w:spacing w:after="0" w:line="158"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2017</w:t>
      </w:r>
    </w:p>
    <w:p>
      <w:pPr>
        <w:sectPr>
          <w:pgSz w:w="11900" w:h="16838" w:orient="portrait"/>
          <w:cols w:equalWidth="0" w:num="1">
            <w:col w:w="11420"/>
          </w:cols>
          <w:pgMar w:left="240" w:top="121"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(n)(3)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date of February 22, 2017, we reported on the consolidated balance sheets of TPG Specialty Lending, Inc. (and subsidiaries) (the Company), including the consolidated schedules of investments, as of December 31, 2016 and 2015, and the related consolidated statements of operations, changes in net assets and cash flows for each of the years in the three-year period ended December 31, 2016, which are included in the prospectus. In connection with our audits of the aforementioned consolidated financial statements, we also audited the related consolidated financial statement schedule in the prospectus, under the caption “Senior Securities”. This financial statement schedule is the responsibility of the Company’s management. Our responsibility is to express an opinion on this financial statement schedule based on our audit.</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2017</w:t>
      </w:r>
    </w:p>
    <w:p>
      <w:pPr>
        <w:sectPr>
          <w:pgSz w:w="11900" w:h="16838" w:orient="portrait"/>
          <w:cols w:equalWidth="0" w:num="1">
            <w:col w:w="11420"/>
          </w:cols>
          <w:pgMar w:left="240" w:top="121" w:right="239" w:bottom="1440" w:gutter="0" w:footer="0" w:header="0"/>
        </w:sectPr>
      </w:pPr>
    </w:p>
    <w:bookmarkStart w:id="254" w:name="page255"/>
    <w:bookmarkEnd w:id="2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48630" cy="21437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554863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7,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N-2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on April 7,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Williamson:</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we hereby respectfully request that the staff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afford the Company’s shelf registration statement on Form N-2, filed pursuant to the Securities Act of 1933, as amended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with the Commission on April 7, 2017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 selective review in accordance with Securities Act Release No. 6510 (February 15, 1984). The Registration Statement, upon effectiveness, is intended to replace the Company’s shelf registration statement on Form N-2 (File No. 333-210524) (the “</w:t>
      </w:r>
      <w:r>
        <w:rPr>
          <w:rFonts w:ascii="Arial" w:cs="Arial" w:eastAsia="Arial" w:hAnsi="Arial"/>
          <w:sz w:val="18"/>
          <w:szCs w:val="18"/>
          <w:u w:val="single" w:color="auto"/>
          <w:color w:val="auto"/>
        </w:rPr>
        <w:t>Prior Registration Statement</w:t>
      </w:r>
      <w:r>
        <w:rPr>
          <w:rFonts w:ascii="Arial" w:cs="Arial" w:eastAsia="Arial" w:hAnsi="Arial"/>
          <w:sz w:val="18"/>
          <w:szCs w:val="18"/>
          <w:color w:val="auto"/>
        </w:rPr>
        <w:t>”).</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disclosure contained in the Registration Statement is substantially similar to the disclosure included in the Prior Registration Statement, except for revisions reflecting material developments relating to the Company since the effective date of the Prior Registration Statement and the inclusion of audited financial statements and related financial data for the period ended December 31, 2016, together with disclosure relating thereto.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such, the Company hereby requests selective review of its Registration Statement.</w:t>
      </w:r>
    </w:p>
    <w:p>
      <w:pPr>
        <w:spacing w:after="0" w:line="225" w:lineRule="exact"/>
        <w:rPr>
          <w:sz w:val="20"/>
          <w:szCs w:val="20"/>
          <w:color w:val="auto"/>
        </w:rPr>
      </w:pPr>
    </w:p>
    <w:p>
      <w:pPr>
        <w:ind w:left="5020"/>
        <w:spacing w:after="0"/>
        <w:tabs>
          <w:tab w:leader="none" w:pos="562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15240</wp:posOffset>
            </wp:positionV>
            <wp:extent cx="3773170" cy="946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773170" cy="9461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p. 2</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 have any questions or comments concerning the foregoing, please contact Adam Fleisher at (212) 225-2286 or Helena Grannis at (212) 225-2376.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E. Fleisher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E. Fleisher</w:t>
      </w:r>
    </w:p>
    <w:p>
      <w:pPr>
        <w:spacing w:after="0" w:line="238"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Vincent J. DiStefano</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Helena K. Grannis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Cleary Gottlieb Steen &amp; Hamilton LLP</w:t>
      </w:r>
    </w:p>
    <w:sectPr>
      <w:pgSz w:w="11900" w:h="16838" w:orient="portrait"/>
      <w:cols w:equalWidth="0" w:num="1">
        <w:col w:w="10240"/>
      </w:cols>
      <w:pgMar w:left="240" w:top="27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1)"/>
      <w:numFmt w:val="decimal"/>
      <w:start w:val="1"/>
    </w:lvl>
  </w:abstractNum>
  <w:abstractNum w:abstractNumId="2">
    <w:nsid w:val="7672BD23"/>
    <w:multiLevelType w:val="hybridMultilevel"/>
    <w:lvl w:ilvl="0">
      <w:lvlJc w:val="left"/>
      <w:lvlText w:val="%1"/>
      <w:numFmt w:val="decimal"/>
      <w:start w:val="13"/>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lvl w:ilvl="1">
      <w:lvlJc w:val="left"/>
      <w:lvlText w:val="•"/>
      <w:numFmt w:val="bullet"/>
      <w:start w:val="1"/>
    </w:lvl>
  </w:abstractNum>
  <w:abstractNum w:abstractNumId="5">
    <w:nsid w:val="7D5E18F8"/>
    <w:multiLevelType w:val="hybridMultilevel"/>
    <w:lvl w:ilvl="0">
      <w:lvlJc w:val="left"/>
      <w:lvlText w:val="•"/>
      <w:numFmt w:val="bullet"/>
      <w:start w:val="1"/>
    </w:lvl>
    <w:lvl w:ilvl="1">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1)"/>
      <w:numFmt w:val="decimal"/>
      <w:start w:val="817"/>
    </w:lvl>
  </w:abstractNum>
  <w:abstractNum w:abstractNumId="10">
    <w:nsid w:val="3FA62ACA"/>
    <w:multiLevelType w:val="hybridMultilevel"/>
    <w:lvl w:ilvl="0">
      <w:lvlJc w:val="left"/>
      <w:lvlText w:val="(%1)"/>
      <w:numFmt w:val="lowerLetter"/>
      <w:start w:val="2"/>
    </w:lvl>
  </w:abstractNum>
  <w:abstractNum w:abstractNumId="11">
    <w:nsid w:val="14FCE74E"/>
    <w:multiLevelType w:val="hybridMultilevel"/>
    <w:lvl w:ilvl="0">
      <w:lvlJc w:val="left"/>
      <w:lvlText w:val="(%1)"/>
      <w:numFmt w:val="decimal"/>
      <w:start w:val="1"/>
    </w:lvl>
  </w:abstractNum>
  <w:abstractNum w:abstractNumId="12">
    <w:nsid w:val="6A3DD3E8"/>
    <w:multiLevelType w:val="hybridMultilevel"/>
    <w:lvl w:ilvl="0">
      <w:lvlJc w:val="left"/>
      <w:lvlText w:val="(%1)"/>
      <w:numFmt w:val="decimal"/>
      <w:start w:val="6"/>
    </w:lvl>
  </w:abstractNum>
  <w:abstractNum w:abstractNumId="13">
    <w:nsid w:val="71C91298"/>
    <w:multiLevelType w:val="hybridMultilevel"/>
    <w:lvl w:ilvl="0">
      <w:lvlJc w:val="left"/>
      <w:lvlText w:val="(%1)"/>
      <w:numFmt w:val="decimal"/>
      <w:start w:val="1"/>
    </w:lvl>
  </w:abstractNum>
  <w:abstractNum w:abstractNumId="14">
    <w:nsid w:val="9DAF632"/>
    <w:multiLevelType w:val="hybridMultilevel"/>
    <w:lvl w:ilvl="0">
      <w:lvlJc w:val="left"/>
      <w:lvlText w:val="(%1)"/>
      <w:numFmt w:val="decimal"/>
      <w:start w:val="1"/>
    </w:lvl>
  </w:abstractNum>
  <w:abstractNum w:abstractNumId="15">
    <w:nsid w:val="53299938"/>
    <w:multiLevelType w:val="hybridMultilevel"/>
    <w:lvl w:ilvl="0">
      <w:lvlJc w:val="left"/>
      <w:lvlText w:val="(%1)"/>
      <w:numFmt w:val="decimal"/>
      <w:start w:val="1"/>
    </w:lvl>
  </w:abstractNum>
  <w:abstractNum w:abstractNumId="16">
    <w:nsid w:val="1FBFE8E0"/>
    <w:multiLevelType w:val="hybridMultilevel"/>
    <w:lvl w:ilvl="0">
      <w:lvlJc w:val="left"/>
      <w:lvlText w:val="•"/>
      <w:numFmt w:val="bullet"/>
      <w:start w:val="1"/>
    </w:lvl>
    <w:lvl w:ilvl="1">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1)"/>
      <w:numFmt w:val="upperLetter"/>
      <w:start w:val="2"/>
    </w:lvl>
  </w:abstractNum>
  <w:abstractNum w:abstractNumId="29">
    <w:nsid w:val="23D86AAC"/>
    <w:multiLevelType w:val="hybridMultilevel"/>
    <w:lvl w:ilvl="0">
      <w:lvlJc w:val="left"/>
      <w:lvlText w:val="(%1)"/>
      <w:numFmt w:val="decimal"/>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1)"/>
      <w:numFmt w:val="decimal"/>
      <w:start w:val="1"/>
    </w:lvl>
  </w:abstractNum>
  <w:abstractNum w:abstractNumId="36">
    <w:nsid w:val="39B7AAA2"/>
    <w:multiLevelType w:val="hybridMultilevel"/>
    <w:lvl w:ilvl="0">
      <w:lvlJc w:val="left"/>
      <w:lvlText w:val="(%1)"/>
      <w:numFmt w:val="decimal"/>
      <w:start w:val="2"/>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1)"/>
      <w:numFmt w:val="decimal"/>
      <w:start w:val="1"/>
    </w:lvl>
  </w:abstractNum>
  <w:abstractNum w:abstractNumId="42">
    <w:nsid w:val="4C9B0904"/>
    <w:multiLevelType w:val="hybridMultilevel"/>
    <w:lvl w:ilvl="0">
      <w:lvlJc w:val="left"/>
      <w:lvlText w:val="(%1)"/>
      <w:numFmt w:val="decimal"/>
      <w:start w:val="1"/>
    </w:lvl>
  </w:abstractNum>
  <w:abstractNum w:abstractNumId="43">
    <w:nsid w:val="6AA7B75C"/>
    <w:multiLevelType w:val="hybridMultilevel"/>
    <w:lvl w:ilvl="0">
      <w:lvlJc w:val="left"/>
      <w:lvlText w:val="•"/>
      <w:numFmt w:val="bullet"/>
      <w:start w:val="1"/>
    </w:lvl>
    <w:lvl w:ilvl="1">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
      <w:numFmt w:val="bullet"/>
      <w:start w:val="1"/>
    </w:lvl>
    <w:lvl w:ilvl="1">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1)"/>
      <w:numFmt w:val="decimal"/>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
      <w:numFmt w:val="bullet"/>
      <w:start w:val="1"/>
    </w:lvl>
  </w:abstractNum>
  <w:abstractNum w:abstractNumId="55">
    <w:nsid w:val="56438D15"/>
    <w:multiLevelType w:val="hybridMultilevel"/>
    <w:lvl w:ilvl="0">
      <w:lvlJc w:val="left"/>
      <w:lvlText w:val="•"/>
      <w:numFmt w:val="bullet"/>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1)"/>
      <w:numFmt w:val="decimal"/>
      <w:start w:val="1"/>
    </w:lvl>
  </w:abstractNum>
  <w:abstractNum w:abstractNumId="59">
    <w:nsid w:val="4DF72E4E"/>
    <w:multiLevelType w:val="hybridMultilevel"/>
    <w:lvl w:ilvl="0">
      <w:lvlJc w:val="left"/>
      <w:lvlText w:val="•"/>
      <w:numFmt w:val="bullet"/>
      <w:start w:val="1"/>
    </w:lvl>
    <w:lvl w:ilvl="1">
      <w:lvlJc w:val="left"/>
      <w:lvlText w:val="•"/>
      <w:numFmt w:val="bullet"/>
      <w:start w:val="1"/>
    </w:lvl>
  </w:abstractNum>
  <w:abstractNum w:abstractNumId="60">
    <w:nsid w:val="5046B5A9"/>
    <w:multiLevelType w:val="hybridMultilevel"/>
    <w:lvl w:ilvl="0">
      <w:lvlJc w:val="left"/>
      <w:lvlText w:val="•"/>
      <w:numFmt w:val="bullet"/>
      <w:start w:val="1"/>
    </w:lvl>
    <w:lvl w:ilvl="1">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
      <w:numFmt w:val="bullet"/>
      <w:start w:val="1"/>
    </w:lvl>
  </w:abstractNum>
  <w:abstractNum w:abstractNumId="67">
    <w:nsid w:val="5399C654"/>
    <w:multiLevelType w:val="hybridMultilevel"/>
    <w:lvl w:ilvl="0">
      <w:lvlJc w:val="left"/>
      <w:lvlText w:val="•"/>
      <w:numFmt w:val="bullet"/>
      <w:start w:val="1"/>
    </w:lvl>
  </w:abstractNum>
  <w:abstractNum w:abstractNumId="68">
    <w:nsid w:val="20EE1348"/>
    <w:multiLevelType w:val="hybridMultilevel"/>
    <w:lvl w:ilvl="0">
      <w:lvlJc w:val="left"/>
      <w:lvlText w:val="•"/>
      <w:numFmt w:val="bullet"/>
      <w:start w:val="1"/>
    </w:lvl>
    <w:lvl w:ilvl="1">
      <w:lvlJc w:val="left"/>
      <w:lvlText w:val="•"/>
      <w:numFmt w:val="bullet"/>
      <w:start w:val="1"/>
    </w:lvl>
  </w:abstractNum>
  <w:abstractNum w:abstractNumId="69">
    <w:nsid w:val="4427069A"/>
    <w:multiLevelType w:val="hybridMultilevel"/>
    <w:lvl w:ilvl="0">
      <w:lvlJc w:val="left"/>
      <w:lvlText w:val="•"/>
      <w:numFmt w:val="bullet"/>
      <w:start w:val="1"/>
    </w:lvl>
    <w:lvl w:ilvl="1">
      <w:lvlJc w:val="left"/>
      <w:lvlText w:val="•"/>
      <w:numFmt w:val="bullet"/>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1)"/>
      <w:numFmt w:val="decimal"/>
      <w:start w:val="1"/>
    </w:lvl>
  </w:abstractNum>
  <w:abstractNum w:abstractNumId="72">
    <w:nsid w:val="704E1DD5"/>
    <w:multiLevelType w:val="hybridMultilevel"/>
    <w:lvl w:ilvl="0">
      <w:lvlJc w:val="left"/>
      <w:lvlText w:val="(%1)"/>
      <w:numFmt w:val="decimal"/>
      <w:start w:val="1"/>
    </w:lvl>
  </w:abstractNum>
  <w:abstractNum w:abstractNumId="73">
    <w:nsid w:val="57D2F10E"/>
    <w:multiLevelType w:val="hybridMultilevel"/>
    <w:lvl w:ilvl="0">
      <w:lvlJc w:val="left"/>
      <w:lvlText w:val="(%1)"/>
      <w:numFmt w:val="decimal"/>
      <w:start w:val="7"/>
    </w:lvl>
  </w:abstractNum>
  <w:abstractNum w:abstractNumId="74">
    <w:nsid w:val="BFFAE18"/>
    <w:multiLevelType w:val="hybridMultilevel"/>
    <w:lvl w:ilvl="0">
      <w:lvlJc w:val="left"/>
      <w:lvlText w:val="%1"/>
      <w:numFmt w:val="decimal"/>
      <w:start w:val="1"/>
    </w:lvl>
    <w:lvl w:ilvl="1">
      <w:lvlJc w:val="left"/>
      <w:lvlText w:val="(%2)"/>
      <w:numFmt w:val="lowerLetter"/>
      <w:start w:val="1"/>
    </w:lvl>
  </w:abstractNum>
  <w:abstractNum w:abstractNumId="75">
    <w:nsid w:val="E3E47A8"/>
    <w:multiLevelType w:val="hybridMultilevel"/>
    <w:lvl w:ilvl="0">
      <w:lvlJc w:val="left"/>
      <w:lvlText w:val="(%1)"/>
      <w:numFmt w:val="decimal"/>
      <w:start w:val="8"/>
    </w:lvl>
    <w:lvl w:ilvl="1">
      <w:lvlJc w:val="left"/>
      <w:lvlText w:val="%2"/>
      <w:numFmt w:val="lowerLetter"/>
      <w:start w:val="1"/>
    </w:lvl>
  </w:abstractNum>
  <w:abstractNum w:abstractNumId="76">
    <w:nsid w:val="2E48F044"/>
    <w:multiLevelType w:val="hybridMultilevel"/>
    <w:lvl w:ilvl="0">
      <w:lvlJc w:val="left"/>
      <w:lvlText w:val="•"/>
      <w:numFmt w:val="bullet"/>
      <w:start w:val="1"/>
    </w:lvl>
  </w:abstractNum>
  <w:abstractNum w:abstractNumId="77">
    <w:nsid w:val="49D0FEAC"/>
    <w:multiLevelType w:val="hybridMultilevel"/>
    <w:lvl w:ilvl="0">
      <w:lvlJc w:val="left"/>
      <w:lvlText w:val="•"/>
      <w:numFmt w:val="bullet"/>
      <w:start w:val="1"/>
    </w:lvl>
  </w:abstractNum>
  <w:abstractNum w:abstractNumId="78">
    <w:nsid w:val="4BEE5A5B"/>
    <w:multiLevelType w:val="hybridMultilevel"/>
    <w:lvl w:ilvl="0">
      <w:lvlJc w:val="left"/>
      <w:lvlText w:val="•"/>
      <w:numFmt w:val="bullet"/>
      <w:start w:val="1"/>
    </w:lvl>
  </w:abstractNum>
  <w:abstractNum w:abstractNumId="79">
    <w:nsid w:val="5551B9F3"/>
    <w:multiLevelType w:val="hybridMultilevel"/>
    <w:lvl w:ilvl="0">
      <w:lvlJc w:val="left"/>
      <w:lvlText w:val="•"/>
      <w:numFmt w:val="bullet"/>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
      <w:numFmt w:val="bullet"/>
      <w:start w:val="1"/>
    </w:lvl>
  </w:abstractNum>
  <w:abstractNum w:abstractNumId="82">
    <w:nsid w:val="24E99DD7"/>
    <w:multiLevelType w:val="hybridMultilevel"/>
    <w:lvl w:ilvl="0">
      <w:lvlJc w:val="left"/>
      <w:lvlText w:val="•"/>
      <w:numFmt w:val="bullet"/>
      <w:start w:val="1"/>
    </w:lvl>
  </w:abstractNum>
  <w:abstractNum w:abstractNumId="83">
    <w:nsid w:val="2A31B62D"/>
    <w:multiLevelType w:val="hybridMultilevel"/>
    <w:lvl w:ilvl="0">
      <w:lvlJc w:val="left"/>
      <w:lvlText w:val="•"/>
      <w:numFmt w:val="bullet"/>
      <w:start w:val="1"/>
    </w:lvl>
  </w:abstractNum>
  <w:abstractNum w:abstractNumId="84">
    <w:nsid w:val="1849C29B"/>
    <w:multiLevelType w:val="hybridMultilevel"/>
    <w:lvl w:ilvl="0">
      <w:lvlJc w:val="left"/>
      <w:lvlText w:val="•"/>
      <w:numFmt w:val="bullet"/>
      <w:start w:val="1"/>
    </w:lvl>
  </w:abstractNum>
  <w:abstractNum w:abstractNumId="85">
    <w:nsid w:val="7DFF9D09"/>
    <w:multiLevelType w:val="hybridMultilevel"/>
    <w:lvl w:ilvl="0">
      <w:lvlJc w:val="left"/>
      <w:lvlText w:val="(%1)"/>
      <w:numFmt w:val="lowerRoman"/>
      <w:start w:val="1"/>
    </w:lvl>
  </w:abstractNum>
  <w:abstractNum w:abstractNumId="86">
    <w:nsid w:val="754342"/>
    <w:multiLevelType w:val="hybridMultilevel"/>
    <w:lvl w:ilvl="0">
      <w:lvlJc w:val="left"/>
      <w:lvlText w:val="(%1)"/>
      <w:numFmt w:val="lowerRoman"/>
      <w:start w:val="2"/>
    </w:lvl>
  </w:abstractNum>
  <w:abstractNum w:abstractNumId="87">
    <w:nsid w:val="69E7F3E5"/>
    <w:multiLevelType w:val="hybridMultilevel"/>
    <w:lvl w:ilvl="0">
      <w:lvlJc w:val="left"/>
      <w:lvlText w:val="="/>
      <w:numFmt w:val="bullet"/>
      <w:start w:val="1"/>
    </w:lvl>
  </w:abstractNum>
  <w:abstractNum w:abstractNumId="88">
    <w:nsid w:val="2A6DE806"/>
    <w:multiLevelType w:val="hybridMultilevel"/>
    <w:lvl w:ilvl="0">
      <w:lvlJc w:val="left"/>
      <w:lvlText w:val="(%1)"/>
      <w:numFmt w:val="decimal"/>
    </w:lvl>
    <w:lvl w:ilvl="1">
      <w:lvlJc w:val="left"/>
      <w:lvlText w:val="="/>
      <w:numFmt w:val="bullet"/>
      <w:start w:val="1"/>
    </w:lvl>
  </w:abstractNum>
  <w:abstractNum w:abstractNumId="89">
    <w:nsid w:val="1816F8C4"/>
    <w:multiLevelType w:val="hybridMultilevel"/>
    <w:lvl w:ilvl="0">
      <w:lvlJc w:val="left"/>
      <w:lvlText w:val="(%1)"/>
      <w:numFmt w:val="decimal"/>
      <w:start w:val="4"/>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
      <w:numFmt w:val="bullet"/>
      <w:start w:val="1"/>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
      <w:numFmt w:val="bullet"/>
      <w:start w:val="1"/>
    </w:lvl>
  </w:abstractNum>
  <w:abstractNum w:abstractNumId="94">
    <w:nsid w:val="597B4D84"/>
    <w:multiLevelType w:val="hybridMultilevel"/>
    <w:lvl w:ilvl="0">
      <w:lvlJc w:val="left"/>
      <w:lvlText w:val="•"/>
      <w:numFmt w:val="bullet"/>
      <w:start w:val="1"/>
    </w:lvl>
  </w:abstractNum>
  <w:abstractNum w:abstractNumId="95">
    <w:nsid w:val="F819E7F"/>
    <w:multiLevelType w:val="hybridMultilevel"/>
    <w:lvl w:ilvl="0">
      <w:lvlJc w:val="left"/>
      <w:lvlText w:val="•"/>
      <w:numFmt w:val="bullet"/>
      <w:start w:val="1"/>
    </w:lvl>
  </w:abstractNum>
  <w:abstractNum w:abstractNumId="96">
    <w:nsid w:val="57C7D42D"/>
    <w:multiLevelType w:val="hybridMultilevel"/>
    <w:lvl w:ilvl="0">
      <w:lvlJc w:val="left"/>
      <w:lvlText w:val="•"/>
      <w:numFmt w:val="bullet"/>
      <w:start w:val="1"/>
    </w:lvl>
  </w:abstractNum>
  <w:abstractNum w:abstractNumId="97">
    <w:nsid w:val="312167AD"/>
    <w:multiLevelType w:val="hybridMultilevel"/>
    <w:lvl w:ilvl="0">
      <w:lvlJc w:val="left"/>
      <w:lvlText w:val="•"/>
      <w:numFmt w:val="bullet"/>
      <w:start w:val="1"/>
    </w:lvl>
  </w:abstractNum>
  <w:abstractNum w:abstractNumId="98">
    <w:nsid w:val="631B64D4"/>
    <w:multiLevelType w:val="hybridMultilevel"/>
    <w:lvl w:ilvl="0">
      <w:lvlJc w:val="left"/>
      <w:lvlText w:val="•"/>
      <w:numFmt w:val="bullet"/>
      <w:start w:val="1"/>
    </w:lvl>
  </w:abstractNum>
  <w:abstractNum w:abstractNumId="99">
    <w:nsid w:val="78B5E776"/>
    <w:multiLevelType w:val="hybridMultilevel"/>
    <w:lvl w:ilvl="0">
      <w:lvlJc w:val="left"/>
      <w:lvlText w:val="•"/>
      <w:numFmt w:val="bullet"/>
      <w:start w:val="1"/>
    </w:lvl>
  </w:abstractNum>
  <w:abstractNum w:abstractNumId="100">
    <w:nsid w:val="75486E47"/>
    <w:multiLevelType w:val="hybridMultilevel"/>
    <w:lvl w:ilvl="0">
      <w:lvlJc w:val="left"/>
      <w:lvlText w:val="•"/>
      <w:numFmt w:val="bullet"/>
      <w:start w:val="1"/>
    </w:lvl>
  </w:abstractNum>
  <w:abstractNum w:abstractNumId="101">
    <w:nsid w:val="6E534CDE"/>
    <w:multiLevelType w:val="hybridMultilevel"/>
    <w:lvl w:ilvl="0">
      <w:lvlJc w:val="left"/>
      <w:lvlText w:val="•"/>
      <w:numFmt w:val="bullet"/>
      <w:start w:val="1"/>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1)"/>
      <w:numFmt w:val="decimal"/>
      <w:start w:val="1"/>
    </w:lvl>
  </w:abstractNum>
  <w:abstractNum w:abstractNumId="104">
    <w:nsid w:val="46263DEC"/>
    <w:multiLevelType w:val="hybridMultilevel"/>
    <w:lvl w:ilvl="0">
      <w:lvlJc w:val="left"/>
      <w:lvlText w:val="(%1)"/>
      <w:numFmt w:val="decimal"/>
      <w:start w:val="2"/>
    </w:lvl>
  </w:abstractNum>
  <w:abstractNum w:abstractNumId="105">
    <w:nsid w:val="260D8C4A"/>
    <w:multiLevelType w:val="hybridMultilevel"/>
    <w:lvl w:ilvl="0">
      <w:lvlJc w:val="left"/>
      <w:lvlText w:val="(%1)"/>
      <w:numFmt w:val="decimal"/>
      <w:start w:val="1"/>
    </w:lvl>
  </w:abstractNum>
  <w:abstractNum w:abstractNumId="106">
    <w:nsid w:val="73D4D3C4"/>
    <w:multiLevelType w:val="hybridMultilevel"/>
    <w:lvl w:ilvl="0">
      <w:lvlJc w:val="left"/>
      <w:lvlText w:val="•"/>
      <w:numFmt w:val="bullet"/>
      <w:start w:val="1"/>
    </w:lvl>
  </w:abstractNum>
  <w:abstractNum w:abstractNumId="107">
    <w:nsid w:val="746F2E30"/>
    <w:multiLevelType w:val="hybridMultilevel"/>
    <w:lvl w:ilvl="0">
      <w:lvlJc w:val="left"/>
      <w:lvlText w:val="•"/>
      <w:numFmt w:val="bullet"/>
      <w:start w:val="1"/>
    </w:lvl>
  </w:abstractNum>
  <w:abstractNum w:abstractNumId="108">
    <w:nsid w:val="6FDE8AF6"/>
    <w:multiLevelType w:val="hybridMultilevel"/>
    <w:lvl w:ilvl="0">
      <w:lvlJc w:val="left"/>
      <w:lvlText w:val="•"/>
      <w:numFmt w:val="bullet"/>
      <w:start w:val="1"/>
    </w:lvl>
  </w:abstractNum>
  <w:abstractNum w:abstractNumId="109">
    <w:nsid w:val="3FC32E20"/>
    <w:multiLevelType w:val="hybridMultilevel"/>
    <w:lvl w:ilvl="0">
      <w:lvlJc w:val="left"/>
      <w:lvlText w:val="•"/>
      <w:numFmt w:val="bullet"/>
      <w:start w:val="1"/>
    </w:lvl>
  </w:abstractNum>
  <w:abstractNum w:abstractNumId="110">
    <w:nsid w:val="49C0E823"/>
    <w:multiLevelType w:val="hybridMultilevel"/>
    <w:lvl w:ilvl="0">
      <w:lvlJc w:val="left"/>
      <w:lvlText w:val="•"/>
      <w:numFmt w:val="bullet"/>
      <w:start w:val="1"/>
    </w:lvl>
  </w:abstractNum>
  <w:abstractNum w:abstractNumId="111">
    <w:nsid w:val="14D53685"/>
    <w:multiLevelType w:val="hybridMultilevel"/>
    <w:lvl w:ilvl="0">
      <w:lvlJc w:val="left"/>
      <w:lvlText w:val="(%1)"/>
      <w:numFmt w:val="lowerLetter"/>
      <w:start w:val="1"/>
    </w:lvl>
  </w:abstractNum>
  <w:abstractNum w:abstractNumId="112">
    <w:nsid w:val="230F856C"/>
    <w:multiLevelType w:val="hybridMultilevel"/>
    <w:lvl w:ilvl="0">
      <w:lvlJc w:val="left"/>
      <w:lvlText w:val="•"/>
      <w:numFmt w:val="bullet"/>
      <w:start w:val="1"/>
    </w:lvl>
  </w:abstractNum>
  <w:abstractNum w:abstractNumId="113">
    <w:nsid w:val="6EAA85FB"/>
    <w:multiLevelType w:val="hybridMultilevel"/>
    <w:lvl w:ilvl="0">
      <w:lvlJc w:val="left"/>
      <w:lvlText w:val="•"/>
      <w:numFmt w:val="bullet"/>
      <w:start w:val="1"/>
    </w:lvl>
    <w:lvl w:ilvl="1">
      <w:lvlJc w:val="left"/>
      <w:lvlText w:val="•"/>
      <w:numFmt w:val="bullet"/>
      <w:start w:val="1"/>
    </w:lvl>
  </w:abstractNum>
  <w:abstractNum w:abstractNumId="114">
    <w:nsid w:val="3F06ECB2"/>
    <w:multiLevelType w:val="hybridMultilevel"/>
    <w:lvl w:ilvl="0">
      <w:lvlJc w:val="left"/>
      <w:lvlText w:val="•"/>
      <w:numFmt w:val="bullet"/>
      <w:start w:val="1"/>
    </w:lvl>
  </w:abstractNum>
  <w:abstractNum w:abstractNumId="115">
    <w:nsid w:val="3B594807"/>
    <w:multiLevelType w:val="hybridMultilevel"/>
    <w:lvl w:ilvl="0">
      <w:lvlJc w:val="left"/>
      <w:lvlText w:val="•"/>
      <w:numFmt w:val="bullet"/>
      <w:start w:val="1"/>
    </w:lvl>
  </w:abstractNum>
  <w:abstractNum w:abstractNumId="116">
    <w:nsid w:val="6CAA2304"/>
    <w:multiLevelType w:val="hybridMultilevel"/>
    <w:lvl w:ilvl="0">
      <w:lvlJc w:val="left"/>
      <w:lvlText w:val="•"/>
      <w:numFmt w:val="bullet"/>
      <w:start w:val="1"/>
    </w:lvl>
  </w:abstractNum>
  <w:abstractNum w:abstractNumId="117">
    <w:nsid w:val="3F7C2FF4"/>
    <w:multiLevelType w:val="hybridMultilevel"/>
    <w:lvl w:ilvl="0">
      <w:lvlJc w:val="left"/>
      <w:lvlText w:val="(%1)"/>
      <w:numFmt w:val="lowerRoman"/>
      <w:start w:val="1"/>
    </w:lvl>
  </w:abstractNum>
  <w:abstractNum w:abstractNumId="118">
    <w:nsid w:val="25413BEC"/>
    <w:multiLevelType w:val="hybridMultilevel"/>
    <w:lvl w:ilvl="0">
      <w:lvlJc w:val="left"/>
      <w:lvlText w:val="(%1)"/>
      <w:numFmt w:val="lowerRoman"/>
      <w:start w:val="3"/>
    </w:lvl>
  </w:abstractNum>
  <w:abstractNum w:abstractNumId="119">
    <w:nsid w:val="17180B0B"/>
    <w:multiLevelType w:val="hybridMultilevel"/>
    <w:lvl w:ilvl="0">
      <w:lvlJc w:val="left"/>
      <w:lvlText w:val="(%1)"/>
      <w:numFmt w:val="lowerRoman"/>
      <w:start w:val="1"/>
    </w:lvl>
  </w:abstractNum>
  <w:abstractNum w:abstractNumId="120">
    <w:nsid w:val="579328B9"/>
    <w:multiLevelType w:val="hybridMultilevel"/>
    <w:lvl w:ilvl="0">
      <w:lvlJc w:val="left"/>
      <w:lvlText w:val="•"/>
      <w:numFmt w:val="bullet"/>
      <w:start w:val="1"/>
    </w:lvl>
  </w:abstractNum>
  <w:abstractNum w:abstractNumId="121">
    <w:nsid w:val="5D205E20"/>
    <w:multiLevelType w:val="hybridMultilevel"/>
    <w:lvl w:ilvl="0">
      <w:lvlJc w:val="left"/>
      <w:lvlText w:val="•"/>
      <w:numFmt w:val="bullet"/>
      <w:start w:val="1"/>
    </w:lvl>
  </w:abstractNum>
  <w:abstractNum w:abstractNumId="122">
    <w:nsid w:val="11CCA8BA"/>
    <w:multiLevelType w:val="hybridMultilevel"/>
    <w:lvl w:ilvl="0">
      <w:lvlJc w:val="left"/>
      <w:lvlText w:val="•"/>
      <w:numFmt w:val="bullet"/>
      <w:start w:val="1"/>
    </w:lvl>
  </w:abstractNum>
  <w:abstractNum w:abstractNumId="123">
    <w:nsid w:val="4D32AB86"/>
    <w:multiLevelType w:val="hybridMultilevel"/>
    <w:lvl w:ilvl="0">
      <w:lvlJc w:val="left"/>
      <w:lvlText w:val="•"/>
      <w:numFmt w:val="bullet"/>
      <w:start w:val="1"/>
    </w:lvl>
  </w:abstractNum>
  <w:abstractNum w:abstractNumId="124">
    <w:nsid w:val="3F07ACC3"/>
    <w:multiLevelType w:val="hybridMultilevel"/>
    <w:lvl w:ilvl="0">
      <w:lvlJc w:val="left"/>
      <w:lvlText w:val="•"/>
      <w:numFmt w:val="bullet"/>
      <w:start w:val="1"/>
    </w:lvl>
  </w:abstractNum>
  <w:abstractNum w:abstractNumId="125">
    <w:nsid w:val="6B47F63E"/>
    <w:multiLevelType w:val="hybridMultilevel"/>
    <w:lvl w:ilvl="0">
      <w:lvlJc w:val="left"/>
      <w:lvlText w:val="•"/>
      <w:numFmt w:val="bullet"/>
      <w:start w:val="1"/>
    </w:lvl>
  </w:abstractNum>
  <w:abstractNum w:abstractNumId="126">
    <w:nsid w:val="5CB44A05"/>
    <w:multiLevelType w:val="hybridMultilevel"/>
    <w:lvl w:ilvl="0">
      <w:lvlJc w:val="left"/>
      <w:lvlText w:val="•"/>
      <w:numFmt w:val="bullet"/>
      <w:start w:val="1"/>
    </w:lvl>
  </w:abstractNum>
  <w:abstractNum w:abstractNumId="127">
    <w:nsid w:val="16CF80F1"/>
    <w:multiLevelType w:val="hybridMultilevel"/>
    <w:lvl w:ilvl="0">
      <w:lvlJc w:val="left"/>
      <w:lvlText w:val="•"/>
      <w:numFmt w:val="bullet"/>
      <w:start w:val="1"/>
    </w:lvl>
  </w:abstractNum>
  <w:abstractNum w:abstractNumId="128">
    <w:nsid w:val="1C695DEC"/>
    <w:multiLevelType w:val="hybridMultilevel"/>
    <w:lvl w:ilvl="0">
      <w:lvlJc w:val="left"/>
      <w:lvlText w:val="•"/>
      <w:numFmt w:val="bullet"/>
      <w:start w:val="1"/>
    </w:lvl>
  </w:abstractNum>
  <w:abstractNum w:abstractNumId="129">
    <w:nsid w:val="3FCFAED9"/>
    <w:multiLevelType w:val="hybridMultilevel"/>
    <w:lvl w:ilvl="0">
      <w:lvlJc w:val="left"/>
      <w:lvlText w:val="•"/>
      <w:numFmt w:val="bullet"/>
      <w:start w:val="1"/>
    </w:lvl>
  </w:abstractNum>
  <w:abstractNum w:abstractNumId="130">
    <w:nsid w:val="F856867"/>
    <w:multiLevelType w:val="hybridMultilevel"/>
    <w:lvl w:ilvl="0">
      <w:lvlJc w:val="left"/>
      <w:lvlText w:val="•"/>
      <w:numFmt w:val="bullet"/>
      <w:start w:val="1"/>
    </w:lvl>
  </w:abstractNum>
  <w:abstractNum w:abstractNumId="131">
    <w:nsid w:val="11B1CC33"/>
    <w:multiLevelType w:val="hybridMultilevel"/>
    <w:lvl w:ilvl="0">
      <w:lvlJc w:val="left"/>
      <w:lvlText w:val="•"/>
      <w:numFmt w:val="bullet"/>
      <w:start w:val="1"/>
    </w:lvl>
  </w:abstractNum>
  <w:abstractNum w:abstractNumId="132">
    <w:nsid w:val="2E22FBB7"/>
    <w:multiLevelType w:val="hybridMultilevel"/>
    <w:lvl w:ilvl="0">
      <w:lvlJc w:val="left"/>
      <w:lvlText w:val="•"/>
      <w:numFmt w:val="bullet"/>
      <w:start w:val="1"/>
    </w:lvl>
  </w:abstractNum>
  <w:abstractNum w:abstractNumId="133">
    <w:nsid w:val="29934699"/>
    <w:multiLevelType w:val="hybridMultilevel"/>
    <w:lvl w:ilvl="0">
      <w:lvlJc w:val="left"/>
      <w:lvlText w:val="•"/>
      <w:numFmt w:val="bullet"/>
      <w:start w:val="1"/>
    </w:lvl>
  </w:abstractNum>
  <w:abstractNum w:abstractNumId="134">
    <w:nsid w:val="77485850"/>
    <w:multiLevelType w:val="hybridMultilevel"/>
    <w:lvl w:ilvl="0">
      <w:lvlJc w:val="left"/>
      <w:lvlText w:val="•"/>
      <w:numFmt w:val="bullet"/>
      <w:start w:val="1"/>
    </w:lvl>
  </w:abstractNum>
  <w:abstractNum w:abstractNumId="135">
    <w:nsid w:val="744939A3"/>
    <w:multiLevelType w:val="hybridMultilevel"/>
    <w:lvl w:ilvl="0">
      <w:lvlJc w:val="left"/>
      <w:lvlText w:val="•"/>
      <w:numFmt w:val="bullet"/>
      <w:start w:val="1"/>
    </w:lvl>
  </w:abstractNum>
  <w:abstractNum w:abstractNumId="136">
    <w:nsid w:val="4FA0D2E3"/>
    <w:multiLevelType w:val="hybridMultilevel"/>
    <w:lvl w:ilvl="0">
      <w:lvlJc w:val="left"/>
      <w:lvlText w:val="•"/>
      <w:numFmt w:val="bullet"/>
      <w:start w:val="1"/>
    </w:lvl>
  </w:abstractNum>
  <w:abstractNum w:abstractNumId="137">
    <w:nsid w:val="6B1D2C14"/>
    <w:multiLevelType w:val="hybridMultilevel"/>
    <w:lvl w:ilvl="0">
      <w:lvlJc w:val="left"/>
      <w:lvlText w:val="•"/>
      <w:numFmt w:val="bullet"/>
      <w:start w:val="1"/>
    </w:lvl>
  </w:abstractNum>
  <w:abstractNum w:abstractNumId="138">
    <w:nsid w:val="68B867D3"/>
    <w:multiLevelType w:val="hybridMultilevel"/>
    <w:lvl w:ilvl="0">
      <w:lvlJc w:val="left"/>
      <w:lvlText w:val="•"/>
      <w:numFmt w:val="bullet"/>
      <w:start w:val="1"/>
    </w:lvl>
  </w:abstractNum>
  <w:abstractNum w:abstractNumId="139">
    <w:nsid w:val="3F7F5DD9"/>
    <w:multiLevelType w:val="hybridMultilevel"/>
    <w:lvl w:ilvl="0">
      <w:lvlJc w:val="left"/>
      <w:lvlText w:val="•"/>
      <w:numFmt w:val="bullet"/>
      <w:start w:val="1"/>
    </w:lvl>
  </w:abstractNum>
  <w:abstractNum w:abstractNumId="140">
    <w:nsid w:val="2AE05A34"/>
    <w:multiLevelType w:val="hybridMultilevel"/>
    <w:lvl w:ilvl="0">
      <w:lvlJc w:val="left"/>
      <w:lvlText w:val="•"/>
      <w:numFmt w:val="bullet"/>
      <w:start w:val="1"/>
    </w:lvl>
  </w:abstractNum>
  <w:abstractNum w:abstractNumId="141">
    <w:nsid w:val="32794FF7"/>
    <w:multiLevelType w:val="hybridMultilevel"/>
    <w:lvl w:ilvl="0">
      <w:lvlJc w:val="left"/>
      <w:lvlText w:val="•"/>
      <w:numFmt w:val="bullet"/>
      <w:start w:val="1"/>
    </w:lvl>
  </w:abstractNum>
  <w:abstractNum w:abstractNumId="142">
    <w:nsid w:val="5454945E"/>
    <w:multiLevelType w:val="hybridMultilevel"/>
    <w:lvl w:ilvl="0">
      <w:lvlJc w:val="left"/>
      <w:lvlText w:val="•"/>
      <w:numFmt w:val="bullet"/>
      <w:start w:val="1"/>
    </w:lvl>
    <w:lvl w:ilvl="1">
      <w:lvlJc w:val="left"/>
      <w:lvlText w:val="•"/>
      <w:numFmt w:val="bullet"/>
      <w:start w:val="1"/>
    </w:lvl>
  </w:abstractNum>
  <w:abstractNum w:abstractNumId="143">
    <w:nsid w:val="4DEFDFA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4">
    <w:nsid w:val="2123D5F2"/>
    <w:multiLevelType w:val="hybridMultilevel"/>
    <w:lvl w:ilvl="0">
      <w:lvlJc w:val="left"/>
      <w:lvlText w:val="•"/>
      <w:numFmt w:val="bullet"/>
      <w:start w:val="1"/>
    </w:lvl>
  </w:abstractNum>
  <w:abstractNum w:abstractNumId="145">
    <w:nsid w:val="135B8110"/>
    <w:multiLevelType w:val="hybridMultilevel"/>
    <w:lvl w:ilvl="0">
      <w:lvlJc w:val="left"/>
      <w:lvlText w:val="(%1)"/>
      <w:numFmt w:val="decimal"/>
      <w:start w:val="1"/>
    </w:lvl>
  </w:abstractNum>
  <w:abstractNum w:abstractNumId="146">
    <w:nsid w:val="94927A8"/>
    <w:multiLevelType w:val="hybridMultilevel"/>
    <w:lvl w:ilvl="0">
      <w:lvlJc w:val="left"/>
      <w:lvlText w:val="%1"/>
      <w:numFmt w:val="decimal"/>
      <w:start w:val="1"/>
    </w:lvl>
    <w:lvl w:ilvl="1">
      <w:lvlJc w:val="left"/>
      <w:lvlText w:val="(%2)"/>
      <w:numFmt w:val="lowerLetter"/>
      <w:start w:val="1"/>
    </w:lvl>
  </w:abstractNum>
  <w:abstractNum w:abstractNumId="147">
    <w:nsid w:val="DCDF8F6"/>
    <w:multiLevelType w:val="hybridMultilevel"/>
    <w:lvl w:ilvl="0">
      <w:lvlJc w:val="left"/>
      <w:lvlText w:val="(%1)"/>
      <w:numFmt w:val="decimal"/>
      <w:start w:val="8"/>
    </w:lvl>
    <w:lvl w:ilvl="1">
      <w:lvlJc w:val="left"/>
      <w:lvlText w:val="%2"/>
      <w:numFmt w:val="lowerLetter"/>
      <w:start w:val="1"/>
    </w:lvl>
  </w:abstractNum>
  <w:abstractNum w:abstractNumId="148">
    <w:nsid w:val="52D7B105"/>
    <w:multiLevelType w:val="hybridMultilevel"/>
    <w:lvl w:ilvl="0">
      <w:lvlJc w:val="left"/>
      <w:lvlText w:val="(%1)"/>
      <w:numFmt w:val="decimal"/>
      <w:start w:val="1"/>
    </w:lvl>
  </w:abstractNum>
  <w:abstractNum w:abstractNumId="149">
    <w:nsid w:val="2E8A6394"/>
    <w:multiLevelType w:val="hybridMultilevel"/>
    <w:lvl w:ilvl="0">
      <w:lvlJc w:val="left"/>
      <w:lvlText w:val="%1"/>
      <w:numFmt w:val="decimal"/>
      <w:start w:val="1"/>
    </w:lvl>
    <w:lvl w:ilvl="1">
      <w:lvlJc w:val="left"/>
      <w:lvlText w:val="(%2)"/>
      <w:numFmt w:val="lowerLetter"/>
      <w:start w:val="1"/>
    </w:lvl>
  </w:abstractNum>
  <w:abstractNum w:abstractNumId="150">
    <w:nsid w:val="24E60401"/>
    <w:multiLevelType w:val="hybridMultilevel"/>
    <w:lvl w:ilvl="0">
      <w:lvlJc w:val="left"/>
      <w:lvlText w:val="(%1)"/>
      <w:numFmt w:val="decimal"/>
      <w:start w:val="8"/>
    </w:lvl>
    <w:lvl w:ilvl="1">
      <w:lvlJc w:val="left"/>
      <w:lvlText w:val="%2"/>
      <w:numFmt w:val="lowerLetter"/>
      <w:start w:val="1"/>
    </w:lvl>
  </w:abstractNum>
  <w:abstractNum w:abstractNumId="151">
    <w:nsid w:val="2A6AD9BE"/>
    <w:multiLevelType w:val="hybridMultilevel"/>
    <w:lvl w:ilvl="0">
      <w:lvlJc w:val="left"/>
      <w:lvlText w:val="•"/>
      <w:numFmt w:val="bullet"/>
      <w:start w:val="1"/>
    </w:lvl>
  </w:abstractNum>
  <w:abstractNum w:abstractNumId="152">
    <w:nsid w:val="BAAC1B4"/>
    <w:multiLevelType w:val="hybridMultilevel"/>
    <w:lvl w:ilvl="0">
      <w:lvlJc w:val="left"/>
      <w:lvlText w:val="•"/>
      <w:numFmt w:val="bullet"/>
      <w:start w:val="1"/>
    </w:lvl>
  </w:abstractNum>
  <w:abstractNum w:abstractNumId="153">
    <w:nsid w:val="36B2ACBC"/>
    <w:multiLevelType w:val="hybridMultilevel"/>
    <w:lvl w:ilvl="0">
      <w:lvlJc w:val="left"/>
      <w:lvlText w:val="•"/>
      <w:numFmt w:val="bullet"/>
      <w:start w:val="1"/>
    </w:lvl>
  </w:abstractNum>
  <w:abstractNum w:abstractNumId="154">
    <w:nsid w:val="779D8544"/>
    <w:multiLevelType w:val="hybridMultilevel"/>
    <w:lvl w:ilvl="0">
      <w:lvlJc w:val="left"/>
      <w:lvlText w:val="(%1)"/>
      <w:numFmt w:val="lowerRoman"/>
      <w:start w:val="1"/>
    </w:lvl>
  </w:abstractNum>
  <w:abstractNum w:abstractNumId="155">
    <w:nsid w:val="4AB26E78"/>
    <w:multiLevelType w:val="hybridMultilevel"/>
    <w:lvl w:ilvl="0">
      <w:lvlJc w:val="left"/>
      <w:lvlText w:val="(%1)"/>
      <w:numFmt w:val="lowerRoman"/>
      <w:start w:val="1"/>
    </w:lvl>
  </w:abstractNum>
  <w:abstractNum w:abstractNumId="156">
    <w:nsid w:val="21FAA2FA"/>
    <w:multiLevelType w:val="hybridMultilevel"/>
    <w:lvl w:ilvl="0">
      <w:lvlJc w:val="left"/>
      <w:lvlText w:val="(%1)"/>
      <w:numFmt w:val="lowerRoman"/>
      <w:start w:val="2"/>
    </w:lvl>
  </w:abstractNum>
  <w:abstractNum w:abstractNumId="157">
    <w:nsid w:val="5451CF49"/>
    <w:multiLevelType w:val="hybridMultilevel"/>
    <w:lvl w:ilvl="0">
      <w:lvlJc w:val="left"/>
      <w:lvlText w:val="•"/>
      <w:numFmt w:val="bullet"/>
      <w:start w:val="1"/>
    </w:lvl>
  </w:abstractNum>
  <w:abstractNum w:abstractNumId="158">
    <w:nsid w:val="6181EF69"/>
    <w:multiLevelType w:val="hybridMultilevel"/>
    <w:lvl w:ilvl="0">
      <w:lvlJc w:val="left"/>
      <w:lvlText w:val="(%1)"/>
      <w:numFmt w:val="decimal"/>
      <w:start w:val="1"/>
    </w:lvl>
  </w:abstractNum>
  <w:abstractNum w:abstractNumId="159">
    <w:nsid w:val="3E6400E6"/>
    <w:multiLevelType w:val="hybridMultilevel"/>
    <w:lvl w:ilvl="0">
      <w:lvlJc w:val="left"/>
      <w:lvlText w:val="(%1)"/>
      <w:numFmt w:val="decimal"/>
      <w:start w:val="1"/>
    </w:lvl>
  </w:abstractNum>
  <w:abstractNum w:abstractNumId="160">
    <w:nsid w:val="14217E23"/>
    <w:multiLevelType w:val="hybridMultilevel"/>
    <w:lvl w:ilvl="0">
      <w:lvlJc w:val="left"/>
      <w:lvlText w:val="(%1)"/>
      <w:numFmt w:val="decimal"/>
      <w:start w:val="1"/>
    </w:lvl>
  </w:abstractNum>
  <w:abstractNum w:abstractNumId="161">
    <w:nsid w:val="710757D0"/>
    <w:multiLevelType w:val="hybridMultilevel"/>
    <w:lvl w:ilvl="0">
      <w:lvlJc w:val="left"/>
      <w:lvlText w:val="(%1)"/>
      <w:numFmt w:val="decimal"/>
      <w:start w:val="1"/>
    </w:lvl>
  </w:abstractNum>
  <w:abstractNum w:abstractNumId="162">
    <w:nsid w:val="5015CD1A"/>
    <w:multiLevelType w:val="hybridMultilevel"/>
    <w:lvl w:ilvl="0">
      <w:lvlJc w:val="left"/>
      <w:lvlText w:val="(%1)"/>
      <w:numFmt w:val="decimal"/>
      <w:start w:val="1"/>
    </w:lvl>
  </w:abstractNum>
  <w:abstractNum w:abstractNumId="163">
    <w:nsid w:val="424479DA"/>
    <w:multiLevelType w:val="hybridMultilevel"/>
    <w:lvl w:ilvl="0">
      <w:lvlJc w:val="left"/>
      <w:lvlText w:val="(%1)"/>
      <w:numFmt w:val="decimal"/>
      <w:start w:val="1"/>
    </w:lvl>
  </w:abstractNum>
  <w:abstractNum w:abstractNumId="164">
    <w:nsid w:val="1A9A9E69"/>
    <w:multiLevelType w:val="hybridMultilevel"/>
    <w:lvl w:ilvl="0">
      <w:lvlJc w:val="left"/>
      <w:lvlText w:val="(%1)"/>
      <w:numFmt w:val="decimal"/>
      <w:start w:val="1"/>
    </w:lvl>
  </w:abstractNum>
  <w:abstractNum w:abstractNumId="165">
    <w:nsid w:val="475E256A"/>
    <w:multiLevelType w:val="hybridMultilevel"/>
    <w:lvl w:ilvl="0">
      <w:lvlJc w:val="left"/>
      <w:lvlText w:val="•"/>
      <w:numFmt w:val="bullet"/>
      <w:start w:val="1"/>
    </w:lvl>
  </w:abstractNum>
  <w:abstractNum w:abstractNumId="166">
    <w:nsid w:val="368DB37E"/>
    <w:multiLevelType w:val="hybridMultilevel"/>
    <w:lvl w:ilvl="0">
      <w:lvlJc w:val="left"/>
      <w:lvlText w:val="•"/>
      <w:numFmt w:val="bullet"/>
      <w:start w:val="1"/>
    </w:lvl>
    <w:lvl w:ilvl="1">
      <w:lvlJc w:val="left"/>
      <w:lvlText w:val="•"/>
      <w:numFmt w:val="bullet"/>
      <w:start w:val="1"/>
    </w:lvl>
  </w:abstractNum>
  <w:abstractNum w:abstractNumId="167">
    <w:nsid w:val="6A3B714C"/>
    <w:multiLevelType w:val="hybridMultilevel"/>
    <w:lvl w:ilvl="0">
      <w:lvlJc w:val="left"/>
      <w:lvlText w:val="•"/>
      <w:numFmt w:val="bullet"/>
      <w:start w:val="1"/>
    </w:lvl>
  </w:abstractNum>
  <w:abstractNum w:abstractNumId="168">
    <w:nsid w:val="327B517E"/>
    <w:multiLevelType w:val="hybridMultilevel"/>
    <w:lvl w:ilvl="0">
      <w:lvlJc w:val="left"/>
      <w:lvlText w:val="•"/>
      <w:numFmt w:val="bullet"/>
      <w:start w:val="1"/>
    </w:lvl>
  </w:abstractNum>
  <w:abstractNum w:abstractNumId="169">
    <w:nsid w:val="1F461B51"/>
    <w:multiLevelType w:val="hybridMultilevel"/>
    <w:lvl w:ilvl="0">
      <w:lvlJc w:val="left"/>
      <w:lvlText w:val="•"/>
      <w:numFmt w:val="bullet"/>
      <w:start w:val="1"/>
    </w:lvl>
    <w:lvl w:ilvl="1">
      <w:lvlJc w:val="left"/>
      <w:lvlText w:val="•"/>
      <w:numFmt w:val="bullet"/>
      <w:start w:val="1"/>
    </w:lvl>
  </w:abstractNum>
  <w:abstractNum w:abstractNumId="170">
    <w:nsid w:val="29BACF25"/>
    <w:multiLevelType w:val="hybridMultilevel"/>
    <w:lvl w:ilvl="0">
      <w:lvlJc w:val="left"/>
      <w:lvlText w:val="•"/>
      <w:numFmt w:val="bullet"/>
      <w:start w:val="1"/>
    </w:lvl>
  </w:abstractNum>
  <w:abstractNum w:abstractNumId="171">
    <w:nsid w:val="5D5BABB3"/>
    <w:multiLevelType w:val="hybridMultilevel"/>
    <w:lvl w:ilvl="0">
      <w:lvlJc w:val="left"/>
      <w:lvlText w:val="(%1)"/>
      <w:numFmt w:val="decimal"/>
      <w:start w:val="1"/>
    </w:lvl>
  </w:abstractNum>
  <w:abstractNum w:abstractNumId="172">
    <w:nsid w:val="51BF6B48"/>
    <w:multiLevelType w:val="hybridMultilevel"/>
    <w:lvl w:ilvl="0">
      <w:lvlJc w:val="left"/>
      <w:lvlText w:val="(%1)"/>
      <w:numFmt w:val="decimal"/>
      <w:start w:val="1"/>
    </w:lvl>
  </w:abstractNum>
  <w:abstractNum w:abstractNumId="173">
    <w:nsid w:val="7E0F6384"/>
    <w:multiLevelType w:val="hybridMultilevel"/>
    <w:lvl w:ilvl="0">
      <w:lvlJc w:val="left"/>
      <w:lvlText w:val="(%1)"/>
      <w:numFmt w:val="decimal"/>
      <w:start w:val="1"/>
    </w:lvl>
  </w:abstractNum>
  <w:abstractNum w:abstractNumId="174">
    <w:nsid w:val="2B4B8B53"/>
    <w:multiLevelType w:val="hybridMultilevel"/>
    <w:lvl w:ilvl="0">
      <w:lvlJc w:val="left"/>
      <w:lvlText w:val="(%1)"/>
      <w:numFmt w:val="decimal"/>
      <w:start w:val="5"/>
    </w:lvl>
  </w:abstractNum>
  <w:abstractNum w:abstractNumId="175">
    <w:nsid w:val="72E3413A"/>
    <w:multiLevelType w:val="hybridMultilevel"/>
    <w:lvl w:ilvl="0">
      <w:lvlJc w:val="left"/>
      <w:lvlText w:val="(%1)"/>
      <w:numFmt w:val="lowerLetter"/>
      <w:start w:val="2"/>
    </w:lvl>
  </w:abstractNum>
  <w:abstractNum w:abstractNumId="176">
    <w:nsid w:val="116AE494"/>
    <w:multiLevelType w:val="hybridMultilevel"/>
    <w:lvl w:ilvl="0">
      <w:lvlJc w:val="left"/>
      <w:lvlText w:val="(%1)"/>
      <w:numFmt w:val="lowerLetter"/>
      <w:start w:val="5"/>
    </w:lvl>
  </w:abstractNum>
  <w:abstractNum w:abstractNumId="177">
    <w:nsid w:val="3494B2FB"/>
    <w:multiLevelType w:val="hybridMultilevel"/>
    <w:lvl w:ilvl="0">
      <w:lvlJc w:val="left"/>
      <w:lvlText w:val="(%1)"/>
      <w:numFmt w:val="lowerLetter"/>
      <w:start w:val="9"/>
    </w:lvl>
  </w:abstractNum>
  <w:abstractNum w:abstractNumId="178">
    <w:nsid w:val="B13A31"/>
    <w:multiLevelType w:val="hybridMultilevel"/>
    <w:lvl w:ilvl="0">
      <w:lvlJc w:val="left"/>
      <w:lvlText w:val="(%1)"/>
      <w:numFmt w:val="lowerLetter"/>
      <w:start w:val="12"/>
    </w:lvl>
  </w:abstractNum>
  <w:abstractNum w:abstractNumId="179">
    <w:nsid w:val="64429599"/>
    <w:multiLevelType w:val="hybridMultilevel"/>
    <w:lvl w:ilvl="0">
      <w:lvlJc w:val="left"/>
      <w:lvlText w:val="(%1)"/>
      <w:numFmt w:val="lowerLetter"/>
      <w:start w:val="15"/>
    </w:lvl>
  </w:abstractNum>
  <w:abstractNum w:abstractNumId="180">
    <w:nsid w:val="631F1690"/>
    <w:multiLevelType w:val="hybridMultilevel"/>
    <w:lvl w:ilvl="0">
      <w:lvlJc w:val="left"/>
      <w:lvlText w:val="(%1)"/>
      <w:numFmt w:val="decimal"/>
      <w:start w:val="1"/>
    </w:lvl>
  </w:abstractNum>
  <w:abstractNum w:abstractNumId="181">
    <w:nsid w:val="25973E32"/>
    <w:multiLevelType w:val="hybridMultilevel"/>
    <w:lvl w:ilvl="0">
      <w:lvlJc w:val="left"/>
      <w:lvlText w:val="*"/>
      <w:numFmt w:val="bullet"/>
      <w:start w:val="1"/>
    </w:lvl>
  </w:abstractNum>
  <w:abstractNum w:abstractNumId="182">
    <w:nsid w:val="EAD6F57"/>
    <w:multiLevelType w:val="hybridMultilevel"/>
    <w:lvl w:ilvl="0">
      <w:lvlJc w:val="left"/>
      <w:lvlText w:val="(%1)"/>
      <w:numFmt w:val="decimal"/>
      <w:start w:val="1"/>
    </w:lvl>
  </w:abstractNum>
  <w:abstractNum w:abstractNumId="183">
    <w:nsid w:val="6EC9D8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4">
    <w:nsid w:val="5C49EAE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5">
    <w:nsid w:val="64AF49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6">
    <w:nsid w:val="397C46BC"/>
    <w:multiLevelType w:val="hybridMultilevel"/>
    <w:lvl w:ilvl="0">
      <w:lvlJc w:val="left"/>
      <w:lvlText w:val="☐"/>
      <w:numFmt w:val="bullet"/>
      <w:start w:val="1"/>
    </w:lvl>
  </w:abstractNum>
  <w:abstractNum w:abstractNumId="187">
    <w:nsid w:val="7E448DE9"/>
    <w:multiLevelType w:val="hybridMultilevel"/>
    <w:lvl w:ilvl="0">
      <w:lvlJc w:val="left"/>
      <w:lvlText w:val="(%1)"/>
      <w:numFmt w:val="lowerLetter"/>
      <w:start w:val="1"/>
    </w:lvl>
  </w:abstractNum>
  <w:abstractNum w:abstractNumId="188">
    <w:nsid w:val="5A9CC3E5"/>
    <w:multiLevelType w:val="hybridMultilevel"/>
    <w:lvl w:ilvl="0">
      <w:lvlJc w:val="left"/>
      <w:lvlText w:val="*"/>
      <w:numFmt w:val="bullet"/>
      <w:start w:val="1"/>
    </w:lvl>
  </w:abstractNum>
  <w:abstractNum w:abstractNumId="189">
    <w:nsid w:val="1AFE3625"/>
    <w:multiLevelType w:val="hybridMultilevel"/>
    <w:lvl w:ilvl="0">
      <w:lvlJc w:val="left"/>
      <w:lvlText w:val="**"/>
      <w:numFmt w:val="bullet"/>
      <w:start w:val="1"/>
    </w:lvl>
  </w:abstractNum>
  <w:abstractNum w:abstractNumId="190">
    <w:nsid w:val="3CA88ECF"/>
    <w:multiLevelType w:val="hybridMultilevel"/>
    <w:lvl w:ilvl="0">
      <w:lvlJc w:val="left"/>
      <w:lvlText w:val="***"/>
      <w:numFmt w:val="bullet"/>
      <w:start w:val="1"/>
    </w:lvl>
  </w:abstractNum>
  <w:abstractNum w:abstractNumId="191">
    <w:nsid w:val="6EBE4208"/>
    <w:multiLevelType w:val="hybridMultilevel"/>
    <w:lvl w:ilvl="0">
      <w:lvlJc w:val="left"/>
      <w:lvlText w:val="(%1)"/>
      <w:numFmt w:val="lowerLetter"/>
      <w:start w:val="1"/>
    </w:lvl>
  </w:abstractNum>
  <w:abstractNum w:abstractNumId="192">
    <w:nsid w:val="C058DF5"/>
    <w:multiLevelType w:val="hybridMultilevel"/>
    <w:lvl w:ilvl="0">
      <w:lvlJc w:val="left"/>
      <w:lvlText w:val="(%1)"/>
      <w:numFmt w:val="lowerLetter"/>
      <w:start w:val="4"/>
    </w:lvl>
  </w:abstractNum>
  <w:abstractNum w:abstractNumId="193">
    <w:nsid w:val="CBE5BE9"/>
    <w:multiLevelType w:val="hybridMultilevel"/>
    <w:lvl w:ilvl="0">
      <w:lvlJc w:val="left"/>
      <w:lvlText w:val="%1."/>
      <w:numFmt w:val="decimal"/>
      <w:start w:val="1"/>
    </w:lvl>
  </w:abstractNum>
  <w:abstractNum w:abstractNumId="194">
    <w:nsid w:val="3102BBE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2019-12-07T14:08:00Z</dcterms:created>
  <dcterms:modified xsi:type="dcterms:W3CDTF">2019-12-07T14:08:00Z</dcterms:modified>
</cp:coreProperties>
</file>