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Filed Pursuant to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333-276252</w:t>
      </w:r>
    </w:p>
    <w:p>
      <w:pPr>
        <w:sectPr>
          <w:pgSz w:w="11900" w:h="16838" w:orient="portrait"/>
          <w:cols w:equalWidth="0" w:num="1">
            <w:col w:w="11140"/>
          </w:cols>
          <w:pgMar w:left="320" w:top="225" w:right="439" w:bottom="1440" w:gutter="0" w:footer="0" w:header="0"/>
        </w:sectPr>
      </w:pP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52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has been filed with and declared effective</w:t>
            </w:r>
          </w:p>
        </w:tc>
        <w:tc>
          <w:tcPr>
            <w:tcW w:w="30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rPr>
              <w:t>securities and are not soliciting an offer</w:t>
            </w:r>
          </w:p>
        </w:tc>
      </w:tr>
      <w:tr>
        <w:trPr>
          <w:trHeight w:val="911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 information in this preliminary prospectus supplement is not complete and may be changed. A registration statement relating to these securities</w:t>
            </w:r>
          </w:p>
        </w:tc>
        <w:tc>
          <w:tcPr>
            <w:tcW w:w="300" w:type="dxa"/>
            <w:vAlign w:val="bottom"/>
            <w:textDirection w:val="btLr"/>
          </w:tcPr>
          <w:p>
            <w:pPr>
              <w:ind w:left="151"/>
              <w:spacing w:after="0"/>
              <w:rPr>
                <w:sz w:val="20"/>
                <w:szCs w:val="20"/>
                <w:color w:val="auto"/>
              </w:rPr>
            </w:pPr>
            <w:r>
              <w:rPr>
                <w:rFonts w:ascii="Times New Roman" w:cs="Times New Roman" w:eastAsia="Times New Roman" w:hAnsi="Times New Roman"/>
                <w:sz w:val="13"/>
                <w:szCs w:val="13"/>
                <w:b w:val="1"/>
                <w:bCs w:val="1"/>
                <w:color w:val="FF4338"/>
                <w:w w:val="74"/>
              </w:rPr>
              <w:t>by the Securities and Exchange Commission. This preliminary prospectus supplement and the accompanying prospectus are not an offer to sell thesetobuythesesecuritiesinanyjurisdictionwheretheofferorsaleisnotpermitted.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FF4338"/>
        </w:rPr>
        <w:t>Subject to Completion</w:t>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FF4338"/>
        </w:rPr>
        <w:t>Preliminary Prospectus Supplement dated May 7, 2026</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p>
      <w:pPr>
        <w:spacing w:after="0" w:line="1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2228850</wp:posOffset>
            </wp:positionH>
            <wp:positionV relativeFrom="paragraph">
              <wp:posOffset>67310</wp:posOffset>
            </wp:positionV>
            <wp:extent cx="144018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36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w w:val="79"/>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 </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 Notes due</w:t>
            </w:r>
          </w:p>
        </w:tc>
      </w:tr>
      <w:tr>
        <w:trPr>
          <w:trHeight w:val="183"/>
        </w:trPr>
        <w:tc>
          <w:tcPr>
            <w:tcW w:w="3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520" w:type="dxa"/>
            <w:vAlign w:val="bottom"/>
          </w:tcPr>
          <w:p>
            <w:pPr>
              <w:spacing w:after="0"/>
              <w:rPr>
                <w:sz w:val="15"/>
                <w:szCs w:val="15"/>
                <w:color w:val="auto"/>
              </w:rPr>
            </w:pPr>
          </w:p>
        </w:tc>
      </w:tr>
      <w:tr>
        <w:trPr>
          <w:trHeight w:val="173"/>
        </w:trPr>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We are offering $            in aggregate principal amount of 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notes due            , which we refer to as the Notes. The Notes will mature</w:t>
            </w:r>
          </w:p>
        </w:tc>
      </w:tr>
      <w:tr>
        <w:trPr>
          <w:trHeight w:val="165"/>
        </w:trPr>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on            ,            . We will pay interest on the Notes on        </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4"/>
              </w:rPr>
              <w:t>and  </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of each year, beginning on          , 2026. We may redeem the Notes in whole</w:t>
            </w:r>
          </w:p>
        </w:tc>
      </w:tr>
    </w:tbl>
    <w:p>
      <w:pPr>
        <w:ind w:right="900"/>
        <w:spacing w:after="0" w:line="233" w:lineRule="auto"/>
        <w:rPr>
          <w:sz w:val="20"/>
          <w:szCs w:val="20"/>
          <w:color w:val="auto"/>
        </w:rPr>
      </w:pPr>
      <w:r>
        <w:rPr>
          <w:rFonts w:ascii="Times New Roman" w:cs="Times New Roman" w:eastAsia="Times New Roman" w:hAnsi="Times New Roman"/>
          <w:sz w:val="14"/>
          <w:szCs w:val="14"/>
          <w:color w:val="auto"/>
        </w:rPr>
        <w:t>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5" w:lineRule="exact"/>
        <w:rPr>
          <w:sz w:val="24"/>
          <w:szCs w:val="24"/>
          <w:color w:val="auto"/>
        </w:rPr>
      </w:pPr>
    </w:p>
    <w:p>
      <w:pPr>
        <w:ind w:right="1000" w:firstLine="371"/>
        <w:spacing w:after="0" w:line="233" w:lineRule="auto"/>
        <w:rPr>
          <w:sz w:val="20"/>
          <w:szCs w:val="20"/>
          <w:color w:val="auto"/>
        </w:rPr>
      </w:pPr>
      <w:r>
        <w:rPr>
          <w:rFonts w:ascii="Times New Roman" w:cs="Times New Roman" w:eastAsia="Times New Roman" w:hAnsi="Times New Roman"/>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in U.S.-domiciled middle market companies through direct originations of senior secured loans and, to a lesser extent, originations of mezzanine and unsecured loans and investments in corporate bonds, equity securities and other instruments.</w:t>
      </w:r>
    </w:p>
    <w:p>
      <w:pPr>
        <w:spacing w:after="0" w:line="15" w:lineRule="exact"/>
        <w:rPr>
          <w:sz w:val="24"/>
          <w:szCs w:val="24"/>
          <w:color w:val="auto"/>
        </w:rPr>
      </w:pPr>
    </w:p>
    <w:p>
      <w:pPr>
        <w:jc w:val="both"/>
        <w:ind w:right="1040" w:firstLine="371"/>
        <w:spacing w:after="0" w:line="241" w:lineRule="auto"/>
        <w:rPr>
          <w:sz w:val="20"/>
          <w:szCs w:val="20"/>
          <w:color w:val="auto"/>
        </w:rPr>
      </w:pPr>
      <w:r>
        <w:rPr>
          <w:rFonts w:ascii="Times New Roman" w:cs="Times New Roman" w:eastAsia="Times New Roman" w:hAnsi="Times New Roman"/>
          <w:sz w:val="14"/>
          <w:szCs w:val="14"/>
          <w:color w:val="auto"/>
        </w:rPr>
        <w:t>As of March 31, 2026, our investment portfolio consisted of investments in 143 portfolio companies (including 36 structured credit investments, which include each series of collateralized loan obligation as a separate portfolio company investment) with an aggregate fair value of $3,313.4 million. We intend to continue to pursue an investment strategy focused primarily on direct origination of loans to middle-market companies domiciled in the United States.</w:t>
      </w:r>
    </w:p>
    <w:p>
      <w:pPr>
        <w:spacing w:after="0" w:line="15" w:lineRule="exact"/>
        <w:rPr>
          <w:sz w:val="24"/>
          <w:szCs w:val="24"/>
          <w:color w:val="auto"/>
        </w:rPr>
      </w:pPr>
    </w:p>
    <w:p>
      <w:pPr>
        <w:ind w:right="1280" w:firstLine="371"/>
        <w:spacing w:after="0" w:line="24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$130 billion in assets under management as of March 31, 2026.</w:t>
      </w:r>
    </w:p>
    <w:p>
      <w:pPr>
        <w:spacing w:after="0" w:line="15" w:lineRule="exact"/>
        <w:rPr>
          <w:sz w:val="24"/>
          <w:szCs w:val="24"/>
          <w:color w:val="auto"/>
        </w:rPr>
      </w:pPr>
    </w:p>
    <w:p>
      <w:pPr>
        <w:ind w:right="880" w:firstLine="371"/>
        <w:spacing w:after="0" w:line="233"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 w:lineRule="exact"/>
        <w:rPr>
          <w:sz w:val="24"/>
          <w:szCs w:val="24"/>
          <w:color w:val="auto"/>
        </w:rPr>
      </w:pPr>
    </w:p>
    <w:p>
      <w:pPr>
        <w:jc w:val="both"/>
        <w:ind w:right="1000" w:firstLine="371"/>
        <w:spacing w:after="0" w:line="236"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100965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2" w:lineRule="exact"/>
        <w:rPr>
          <w:sz w:val="24"/>
          <w:szCs w:val="24"/>
          <w:color w:val="auto"/>
        </w:rPr>
      </w:pPr>
    </w:p>
    <w:p>
      <w:pPr>
        <w:ind w:right="880" w:firstLine="371"/>
        <w:spacing w:after="0" w:line="243" w:lineRule="auto"/>
        <w:rPr>
          <w:sz w:val="20"/>
          <w:szCs w:val="20"/>
          <w:color w:val="auto"/>
        </w:rPr>
      </w:pPr>
      <w:r>
        <w:rPr>
          <w:rFonts w:ascii="Times New Roman" w:cs="Times New Roman" w:eastAsia="Times New Roman" w:hAnsi="Times New Roman"/>
          <w:sz w:val="14"/>
          <w:szCs w:val="14"/>
          <w:b w:val="1"/>
          <w:bCs w:val="1"/>
          <w:color w:val="auto"/>
        </w:rPr>
        <w:t>Investing in the Notes involves risks, including the risk of leverage, that are described in the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section beginning on page S-10 of this prospectus supplement and page 24 of the accompanying prospectus and the matters discussed in the documents incorporated or deemed to be incorporated by reference in this prospectus supplement and the accompanying prospectus.</w:t>
      </w:r>
    </w:p>
    <w:p>
      <w:pPr>
        <w:spacing w:after="0" w:line="13" w:lineRule="exact"/>
        <w:rPr>
          <w:sz w:val="24"/>
          <w:szCs w:val="24"/>
          <w:color w:val="auto"/>
        </w:rPr>
      </w:pPr>
    </w:p>
    <w:p>
      <w:pPr>
        <w:ind w:right="940" w:firstLine="371"/>
        <w:spacing w:after="0" w:line="227"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2100 McKinney Avenue, Suite 1500, Dallas, TX 75201,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36" w:lineRule="exact"/>
        <w:rPr>
          <w:sz w:val="24"/>
          <w:szCs w:val="24"/>
          <w:color w:val="auto"/>
        </w:rPr>
      </w:pPr>
    </w:p>
    <w:tbl>
      <w:tblPr>
        <w:tblLayout w:type="fixed"/>
        <w:tblInd w:w="112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0"/>
              </w:rPr>
              <w:t>Per Note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Public offering price </w:t>
            </w:r>
            <w:r>
              <w:rPr>
                <w:rFonts w:ascii="Times New Roman" w:cs="Times New Roman" w:eastAsia="Times New Roman" w:hAnsi="Times New Roman"/>
                <w:sz w:val="10"/>
                <w:szCs w:val="10"/>
                <w:color w:val="auto"/>
              </w:rPr>
              <w:t>(1)</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73"/>
              </w:rPr>
              <w:t>  </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Proceeds to us, before expenses </w:t>
            </w:r>
            <w:r>
              <w:rPr>
                <w:rFonts w:ascii="Times New Roman" w:cs="Times New Roman" w:eastAsia="Times New Roman" w:hAnsi="Times New Roman"/>
                <w:sz w:val="10"/>
                <w:szCs w:val="10"/>
                <w:color w:val="auto"/>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5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46" w:lineRule="exact"/>
        <w:rPr>
          <w:sz w:val="24"/>
          <w:szCs w:val="24"/>
          <w:color w:val="auto"/>
        </w:rPr>
      </w:pPr>
    </w:p>
    <w:p>
      <w:pPr>
        <w:ind w:left="360" w:right="1200" w:hanging="360"/>
        <w:spacing w:after="0" w:line="233" w:lineRule="auto"/>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set forth above does not include accrued interest, if any. Interest on the Notes must be paid by the purchaser if the Notes are delivered after        , 2026.</w:t>
      </w:r>
    </w:p>
    <w:p>
      <w:pPr>
        <w:spacing w:after="0"/>
        <w:tabs>
          <w:tab w:leader="none" w:pos="340" w:val="left"/>
          <w:tab w:leader="none" w:pos="5520" w:val="left"/>
        </w:tabs>
        <w:rPr>
          <w:sz w:val="20"/>
          <w:szCs w:val="20"/>
          <w:color w:val="auto"/>
        </w:rPr>
      </w:pPr>
      <w:r>
        <w:rPr>
          <w:rFonts w:ascii="Times New Roman" w:cs="Times New Roman" w:eastAsia="Times New Roman" w:hAnsi="Times New Roman"/>
          <w:sz w:val="14"/>
          <w:szCs w:val="14"/>
          <w:color w:val="auto"/>
        </w:rPr>
        <w:t>(2)</w:t>
        <w:tab/>
        <w:t xml:space="preserve">Before deducting expenses payable by us related to this offering, estimated at $          </w:t>
        <w:tab/>
        <w:t>.</w:t>
      </w:r>
    </w:p>
    <w:p>
      <w:pPr>
        <w:spacing w:after="0" w:line="24" w:lineRule="exact"/>
        <w:rPr>
          <w:sz w:val="24"/>
          <w:szCs w:val="24"/>
          <w:color w:val="auto"/>
        </w:rPr>
      </w:pPr>
    </w:p>
    <w:p>
      <w:pPr>
        <w:ind w:right="1160" w:firstLine="371"/>
        <w:spacing w:after="0" w:line="264"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99695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9" w:lineRule="exact"/>
        <w:rPr>
          <w:sz w:val="24"/>
          <w:szCs w:val="24"/>
          <w:color w:val="auto"/>
        </w:rPr>
      </w:pPr>
    </w:p>
    <w:p>
      <w:pPr>
        <w:ind w:right="900" w:firstLine="371"/>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ind w:left="380"/>
        <w:spacing w:after="0"/>
        <w:rPr>
          <w:sz w:val="20"/>
          <w:szCs w:val="20"/>
          <w:color w:val="auto"/>
        </w:rPr>
      </w:pPr>
      <w:r>
        <w:rPr>
          <w:rFonts w:ascii="Times New Roman" w:cs="Times New Roman" w:eastAsia="Times New Roman" w:hAnsi="Times New Roman"/>
          <w:sz w:val="14"/>
          <w:szCs w:val="14"/>
          <w:color w:val="auto"/>
        </w:rPr>
        <w:t>Delivery of the Notes in book-entry form only through The Depository Trust Company will be made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118110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50" w:lineRule="exact"/>
        <w:rPr>
          <w:sz w:val="24"/>
          <w:szCs w:val="24"/>
          <w:color w:val="auto"/>
        </w:rPr>
      </w:pPr>
    </w:p>
    <w:p>
      <w:pPr>
        <w:spacing w:after="0"/>
        <w:tabs>
          <w:tab w:leader="none" w:pos="2320" w:val="left"/>
          <w:tab w:leader="none" w:pos="4640" w:val="left"/>
          <w:tab w:leader="none" w:pos="706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      HSBC</w:t>
      </w:r>
      <w:r>
        <w:rPr>
          <w:sz w:val="20"/>
          <w:szCs w:val="20"/>
          <w:color w:val="auto"/>
        </w:rPr>
        <w:tab/>
      </w:r>
      <w:r>
        <w:rPr>
          <w:rFonts w:ascii="Times New Roman" w:cs="Times New Roman" w:eastAsia="Times New Roman" w:hAnsi="Times New Roman"/>
          <w:sz w:val="22"/>
          <w:szCs w:val="22"/>
          <w:b w:val="1"/>
          <w:bCs w:val="1"/>
          <w:color w:val="auto"/>
        </w:rPr>
        <w:t>SMBC Nikko</w:t>
      </w:r>
      <w:r>
        <w:rPr>
          <w:sz w:val="20"/>
          <w:szCs w:val="20"/>
          <w:color w:val="auto"/>
        </w:rPr>
        <w:tab/>
      </w:r>
      <w:r>
        <w:rPr>
          <w:rFonts w:ascii="Times New Roman" w:cs="Times New Roman" w:eastAsia="Times New Roman" w:hAnsi="Times New Roman"/>
          <w:sz w:val="21"/>
          <w:szCs w:val="21"/>
          <w:b w:val="1"/>
          <w:bCs w:val="1"/>
          <w:color w:val="auto"/>
        </w:rPr>
        <w:t>Wells Fargo Securities</w:t>
      </w:r>
    </w:p>
    <w:p>
      <w:pPr>
        <w:spacing w:after="0" w:line="5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 2026.</w:t>
      </w:r>
    </w:p>
    <w:p>
      <w:pPr>
        <w:sectPr>
          <w:pgSz w:w="11900" w:h="16838" w:orient="portrait"/>
          <w:cols w:equalWidth="0" w:num="2">
            <w:col w:w="540" w:space="440"/>
            <w:col w:w="1016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0"/>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TERMS OF THE NOTES AND THE OFFERING</w:t>
            </w:r>
          </w:p>
        </w:tc>
        <w:tc>
          <w:tcPr>
            <w:tcW w:w="610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26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CONSEQUENCES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98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S-45</w:t>
            </w:r>
          </w:p>
        </w:tc>
        <w:tc>
          <w:tcPr>
            <w:tcW w:w="0" w:type="dxa"/>
            <w:vAlign w:val="bottom"/>
          </w:tcPr>
          <w:p>
            <w:pPr>
              <w:spacing w:after="0"/>
              <w:rPr>
                <w:sz w:val="1"/>
                <w:szCs w:val="1"/>
                <w:color w:val="auto"/>
              </w:rPr>
            </w:pPr>
          </w:p>
        </w:tc>
      </w:tr>
      <w:tr>
        <w:trPr>
          <w:trHeight w:val="668"/>
        </w:trPr>
        <w:tc>
          <w:tcPr>
            <w:tcW w:w="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5"/>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1"/>
          </w:tcPr>
          <w:p>
            <w:pPr>
              <w:spacing w:after="0"/>
              <w:rPr>
                <w:sz w:val="17"/>
                <w:szCs w:val="17"/>
                <w:color w:val="auto"/>
              </w:rPr>
            </w:pPr>
          </w:p>
        </w:tc>
        <w:tc>
          <w:tcPr>
            <w:tcW w:w="834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6"/>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 w:type="dxa"/>
            <w:vAlign w:val="bottom"/>
            <w:tcBorders>
              <w:top w:val="single" w:sz="8" w:color="0000EE"/>
            </w:tcBorders>
            <w:gridSpan w:val="6"/>
          </w:tcPr>
          <w:p>
            <w:pPr>
              <w:spacing w:after="0"/>
              <w:rPr>
                <w:sz w:val="17"/>
                <w:szCs w:val="17"/>
                <w:color w:val="auto"/>
              </w:rPr>
            </w:pPr>
          </w:p>
        </w:tc>
        <w:tc>
          <w:tcPr>
            <w:tcW w:w="85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820" w:type="dxa"/>
            <w:vAlign w:val="bottom"/>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9"/>
          </w:tcPr>
          <w:p>
            <w:pPr>
              <w:spacing w:after="0"/>
              <w:rPr>
                <w:sz w:val="17"/>
                <w:szCs w:val="17"/>
                <w:color w:val="auto"/>
              </w:rPr>
            </w:pPr>
          </w:p>
        </w:tc>
        <w:tc>
          <w:tcPr>
            <w:tcW w:w="570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280" w:type="dxa"/>
            <w:vAlign w:val="bottom"/>
            <w:gridSpan w:val="1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60" w:type="dxa"/>
            <w:vAlign w:val="bottom"/>
            <w:gridSpan w:val="11"/>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67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tcPr>
          <w:p>
            <w:pPr>
              <w:spacing w:after="0"/>
              <w:rPr>
                <w:sz w:val="17"/>
                <w:szCs w:val="17"/>
                <w:color w:val="auto"/>
              </w:rPr>
            </w:pPr>
          </w:p>
        </w:tc>
        <w:tc>
          <w:tcPr>
            <w:tcW w:w="4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60" w:type="dxa"/>
            <w:vAlign w:val="bottom"/>
            <w:gridSpan w:val="4"/>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including the effects of trade policies, government regulation and geopolitical conflicts;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risks, uncertainties and other factors we identify in the section entitled “Risk Factors” in this prospectus supplement, the accompanying prospectus and in Part I, Item 1A of our </w:t>
      </w:r>
      <w:hyperlink r:id="rId1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(the “2025 Annual Report”), Part II, Item 1A of our Quarterly Report on Form 10-Q for the quarter ended March 31, 2026 (the “1Q 2026 Quarterly Report”), any subsequent Quarterly Reports on Form 10-Q or Current Reports on Form 8-K we file after the date of this prospectus supplement, and those discussed in other documents we file with the SEC.</w:t>
      </w:r>
    </w:p>
    <w:p>
      <w:pPr>
        <w:spacing w:after="0" w:line="183" w:lineRule="exact"/>
        <w:rPr>
          <w:sz w:val="20"/>
          <w:szCs w:val="20"/>
          <w:color w:val="auto"/>
        </w:rPr>
      </w:pPr>
    </w:p>
    <w:p>
      <w:pPr>
        <w:ind w:left="120" w:right="20" w:firstLine="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w:t>
      </w:r>
      <w:hyperlink r:id="rId16">
        <w:r>
          <w:rPr>
            <w:rFonts w:ascii="Times New Roman" w:cs="Times New Roman" w:eastAsia="Times New Roman" w:hAnsi="Times New Roman"/>
            <w:sz w:val="18"/>
            <w:szCs w:val="18"/>
            <w:u w:val="single" w:color="auto"/>
            <w:color w:val="0000EE"/>
          </w:rPr>
          <w:t>2025 Annual Report</w:t>
        </w:r>
      </w:hyperlink>
      <w:r>
        <w:rPr>
          <w:rFonts w:ascii="Times New Roman" w:cs="Times New Roman" w:eastAsia="Times New Roman" w:hAnsi="Times New Roman"/>
          <w:sz w:val="18"/>
          <w:szCs w:val="18"/>
          <w:color w:val="auto"/>
        </w:rPr>
        <w:t>, in Part II, Item 1A of our 1Q 2026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2026, we have originated approximately $55.2 billion aggregate principal amount of investments and retained approximately $11.9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2026, our core portfolio companies, which exclude certain investments that fall outside of our typical borrower profile and represent 87.8% of our total investments based on fair value, had weighted average annual revenue of $425.1 million and weighted average annual EBITDA of $126.8 million. As of March 31, 2026, our core portfolio companies had a median annual revenue of $174.4 million and a median annual EBITDA of $53.5 million.</w:t>
      </w:r>
    </w:p>
    <w:p>
      <w:pPr>
        <w:spacing w:after="0" w:line="187"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As of March 31, 2026, our portfolio based on fair value consisted of 89.3% first-lien debt investments, 1.0% second-lien debt investments, 1.9% mezzanine debt investments, 4.6% equity investments, 2.8% structured credit investments and 0.4% joint venture investments. As of March 31, 2026, 96.3%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As of March 31, 2026, we had investments in 143 portfolio companies (including 36 structured credit investments, which include each series of collateralized loan obligation as a separate portfolio company investment) with an aggregate fair value of $3,313.4 million. For the three months ended March 31, 2026, the principal amount of new investments funded was $134.8 million in three new portfolio companies and four existing portfolio companies. For this period, we had $113.0 million aggregate principal amount in exits and repayments.</w:t>
      </w:r>
    </w:p>
    <w:p>
      <w:pPr>
        <w:spacing w:after="0" w:line="180"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As of March 31, 2026, the largest single investment based on fair value represented 2.4% of our total investment portfolio. As of March 31, 2026, the average investment size in each of our portfolio companies was approximately $23.2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$30.1 million based on fair value as of March 31, 2026. As of March 31, 2026, the largest industry represented 18.3% of our total investment portfolio based on fair value.</w:t>
      </w:r>
    </w:p>
    <w:p>
      <w:pPr>
        <w:spacing w:after="0" w:line="18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March 31, 2026, weighted by capital invested, our exited investments have generated an average realized gross internal rate of return to us of 16.8% (based on total capital invested of $9.3 billion and total proceeds from these exited investments of $11.9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1Q 2026 Quarterly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w:t>
      </w:r>
      <w:hyperlink r:id="rId16">
        <w:r>
          <w:rPr>
            <w:rFonts w:ascii="Times New Roman" w:cs="Times New Roman" w:eastAsia="Times New Roman" w:hAnsi="Times New Roman"/>
            <w:sz w:val="18"/>
            <w:szCs w:val="18"/>
            <w:u w:val="single" w:color="auto"/>
            <w:color w:val="0000EE"/>
          </w:rPr>
          <w:t>2025 Annual Report</w:t>
        </w:r>
      </w:hyperlink>
      <w:r>
        <w:rPr>
          <w:rFonts w:ascii="Times New Roman" w:cs="Times New Roman" w:eastAsia="Times New Roman" w:hAnsi="Times New Roman"/>
          <w:sz w:val="18"/>
          <w:szCs w:val="18"/>
          <w:color w:val="auto"/>
        </w:rPr>
        <w:t>, which is incorporated herein by reference,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$130 billion of assets under management as of March 31, 2026.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March 31, 2026, seventy-three (73) of these personnel are dedicated to direct lending, including fifty-nine (59) investment professionals.</w:t>
      </w:r>
    </w:p>
    <w:p>
      <w:pPr>
        <w:spacing w:after="0" w:line="19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74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852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8970" cy="852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36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SPECIFIC TERMS OF THE NOTES AND THE OFFERING</w:t>
      </w:r>
    </w:p>
    <w:p>
      <w:pPr>
        <w:spacing w:after="0" w:line="227" w:lineRule="exact"/>
        <w:rPr>
          <w:sz w:val="20"/>
          <w:szCs w:val="20"/>
          <w:color w:val="auto"/>
        </w:rPr>
      </w:pPr>
    </w:p>
    <w:p>
      <w:pPr>
        <w:ind w:left="300" w:right="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Sixth Street Specialty Lending, Inc., a Delaware corporation</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Title of the Securities</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Notes due</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Aggregate Principal Amount Being Offered</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of the aggregate principal amount of Notes</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2026</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 Date</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2026</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 commencing         , 2026</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Ranking of Notes</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The Notes will be our direct, general unsecured obligations and will rank:</w:t>
            </w:r>
          </w:p>
        </w:tc>
      </w:tr>
    </w:tbl>
    <w:p>
      <w:pPr>
        <w:spacing w:after="0" w:line="238" w:lineRule="exact"/>
        <w:rPr>
          <w:sz w:val="20"/>
          <w:szCs w:val="20"/>
          <w:color w:val="auto"/>
        </w:rPr>
      </w:pPr>
    </w:p>
    <w:p>
      <w:pPr>
        <w:ind w:left="4840" w:right="80" w:hanging="279"/>
        <w:spacing w:after="0" w:line="282" w:lineRule="auto"/>
        <w:tabs>
          <w:tab w:leader="none" w:pos="4820" w:val="left"/>
        </w:tabs>
        <w:rPr>
          <w:sz w:val="20"/>
          <w:szCs w:val="20"/>
          <w:color w:val="auto"/>
        </w:rPr>
      </w:pPr>
      <w:r>
        <w:rPr>
          <w:rFonts w:ascii="Times New Roman" w:cs="Times New Roman" w:eastAsia="Times New Roman" w:hAnsi="Times New Roman"/>
          <w:sz w:val="18"/>
          <w:szCs w:val="18"/>
          <w:color w:val="auto"/>
        </w:rPr>
        <w:t>•</w:t>
        <w:tab/>
        <w:t>Senior in right of payment to all of our future indebtedness or other obligations that are expressly subordinated, or junior, in right of payment to the Notes;</w:t>
      </w:r>
    </w:p>
    <w:p>
      <w:pPr>
        <w:spacing w:after="0" w:line="67" w:lineRule="exact"/>
        <w:rPr>
          <w:sz w:val="20"/>
          <w:szCs w:val="20"/>
          <w:color w:val="auto"/>
        </w:rPr>
      </w:pPr>
    </w:p>
    <w:p>
      <w:pPr>
        <w:ind w:left="4840" w:hanging="279"/>
        <w:spacing w:after="0" w:line="254" w:lineRule="auto"/>
        <w:tabs>
          <w:tab w:leader="none" w:pos="4820" w:val="left"/>
        </w:tabs>
        <w:rPr>
          <w:sz w:val="20"/>
          <w:szCs w:val="20"/>
          <w:color w:val="auto"/>
        </w:rPr>
      </w:pPr>
      <w:r>
        <w:rPr>
          <w:rFonts w:ascii="Times New Roman" w:cs="Times New Roman" w:eastAsia="Times New Roman" w:hAnsi="Times New Roman"/>
          <w:sz w:val="18"/>
          <w:szCs w:val="18"/>
          <w:color w:val="auto"/>
        </w:rPr>
        <w:t>•</w:t>
        <w:tab/>
        <w:t>Pari passu, or equal, in right of payment with all of our existing and future indebtedness or other obligations that are not so subordinated, or junior, including, without limitation, as of March 31, 2026, approximately $300.0 million aggregate principal amount of outstanding indebtedness under our unsecured notes due August 2026, which we refer to as the 2026 Notes, approximately $300.0 million aggregate principal amount of outstanding indebtedness under our unsecured notes due August 2028, which we refer to as the 2028 Notes, approximately $350.0 million aggregate principal amount of outstanding indebtedness under our unsecured notes due March</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60" w:right="100"/>
        <w:spacing w:after="0" w:line="266" w:lineRule="auto"/>
        <w:rPr>
          <w:sz w:val="20"/>
          <w:szCs w:val="20"/>
          <w:color w:val="auto"/>
        </w:rPr>
      </w:pPr>
      <w:r>
        <w:rPr>
          <w:rFonts w:ascii="Times New Roman" w:cs="Times New Roman" w:eastAsia="Times New Roman" w:hAnsi="Times New Roman"/>
          <w:sz w:val="18"/>
          <w:szCs w:val="18"/>
          <w:color w:val="auto"/>
        </w:rPr>
        <w:t>2029, which we refer to as the 2029 Notes, and approximately $300.0 million aggregate principal amount of outstanding indebtedness under our unsecured notes due August 2030, which we refer to as the 2030 Notes;</w:t>
      </w:r>
    </w:p>
    <w:p>
      <w:pPr>
        <w:spacing w:after="0" w:line="81" w:lineRule="exact"/>
        <w:rPr>
          <w:sz w:val="20"/>
          <w:szCs w:val="20"/>
          <w:color w:val="auto"/>
        </w:rPr>
      </w:pPr>
    </w:p>
    <w:p>
      <w:pPr>
        <w:ind w:left="4840" w:right="20" w:hanging="289"/>
        <w:spacing w:after="0" w:line="255" w:lineRule="auto"/>
        <w:tabs>
          <w:tab w:leader="none" w:pos="4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$577.4 million aggregate principal amount of outstanding indebtedness as of March 31, 2026 under our Senior Secured Revolving Credit Agreement, dated August 23, 2012, as amended, which we refer to as the Revolving Credit Facility; and</w:t>
      </w:r>
    </w:p>
    <w:p>
      <w:pPr>
        <w:spacing w:after="0" w:line="94" w:lineRule="exact"/>
        <w:rPr>
          <w:rFonts w:ascii="Times New Roman" w:cs="Times New Roman" w:eastAsia="Times New Roman" w:hAnsi="Times New Roman"/>
          <w:sz w:val="18"/>
          <w:szCs w:val="18"/>
          <w:color w:val="auto"/>
        </w:rPr>
      </w:pPr>
    </w:p>
    <w:p>
      <w:pPr>
        <w:ind w:left="4840" w:hanging="289"/>
        <w:spacing w:after="0" w:line="266" w:lineRule="auto"/>
        <w:tabs>
          <w:tab w:leader="none" w:pos="4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As of March 31, 2026, our total consolidated indebtedness was approximately</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$1,827.4 million aggregate principal amount outstanding, of which approximately</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$577.4 million was secured indebtedness at the TSLX level and none of which was</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indebtedness of our subsidiaries. After giving effect to the issuance of the Notes, and</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assuming the net proceeds therefrom are used to repay outstanding borrowings under the</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Revolving Credit Facility, our total consolidated indebtedness would have been</w:t>
            </w:r>
          </w:p>
        </w:tc>
      </w:tr>
      <w:tr>
        <w:trPr>
          <w:trHeight w:val="216"/>
        </w:trPr>
        <w:tc>
          <w:tcPr>
            <w:tcW w:w="2800" w:type="dxa"/>
            <w:vAlign w:val="bottom"/>
          </w:tcPr>
          <w:p>
            <w:pPr>
              <w:spacing w:after="0"/>
              <w:rPr>
                <w:sz w:val="18"/>
                <w:szCs w:val="18"/>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million aggregate principal amount outstanding as of March 31,</w:t>
            </w:r>
          </w:p>
        </w:tc>
      </w:tr>
      <w:tr>
        <w:trPr>
          <w:trHeight w:val="234"/>
        </w:trPr>
        <w:tc>
          <w:tcPr>
            <w:tcW w:w="2800" w:type="dxa"/>
            <w:vAlign w:val="bottom"/>
          </w:tcPr>
          <w:p>
            <w:pPr>
              <w:spacing w:after="0"/>
              <w:rPr>
                <w:sz w:val="20"/>
                <w:szCs w:val="20"/>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2026. See “Capitalization”.</w:t>
            </w:r>
          </w:p>
        </w:tc>
      </w:tr>
      <w:tr>
        <w:trPr>
          <w:trHeight w:val="44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2800" w:type="dxa"/>
            <w:vAlign w:val="bottom"/>
          </w:tcPr>
          <w:p>
            <w:pPr>
              <w:spacing w:after="0"/>
              <w:rPr>
                <w:sz w:val="20"/>
                <w:szCs w:val="20"/>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excess thereof.</w:t>
            </w:r>
          </w:p>
        </w:tc>
        <w:tc>
          <w:tcPr>
            <w:tcW w:w="2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We may redeem some or all of the Notes, in whole or in part, at any time, or from time to</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w w:val="99"/>
              </w:rPr>
              <w:t>time, at a redemption price, prior to Par Call Date, equal to the greater of (1) (a) the sum of</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w:t>
            </w:r>
          </w:p>
        </w:tc>
      </w:tr>
      <w:tr>
        <w:trPr>
          <w:trHeight w:val="216"/>
        </w:trPr>
        <w:tc>
          <w:tcPr>
            <w:tcW w:w="2800" w:type="dxa"/>
            <w:vAlign w:val="bottom"/>
          </w:tcPr>
          <w:p>
            <w:pPr>
              <w:spacing w:after="0"/>
              <w:rPr>
                <w:sz w:val="18"/>
                <w:szCs w:val="18"/>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r>
      <w:tr>
        <w:trPr>
          <w:trHeight w:val="234"/>
        </w:trPr>
        <w:tc>
          <w:tcPr>
            <w:tcW w:w="2800" w:type="dxa"/>
            <w:vAlign w:val="bottom"/>
          </w:tcPr>
          <w:p>
            <w:pPr>
              <w:spacing w:after="0"/>
              <w:rPr>
                <w:sz w:val="20"/>
                <w:szCs w:val="20"/>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2"/>
              </w:rPr>
              <w:t>Treasury Rate plus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basis points less (b) interest accrued to the date of redemption,</w:t>
            </w:r>
          </w:p>
        </w:tc>
      </w:tr>
    </w:tbl>
    <w:p>
      <w:pPr>
        <w:ind w:left="4340" w:right="100"/>
        <w:spacing w:after="0" w:line="252" w:lineRule="auto"/>
        <w:rPr>
          <w:sz w:val="20"/>
          <w:szCs w:val="20"/>
          <w:color w:val="auto"/>
        </w:rPr>
      </w:pPr>
      <w:r>
        <w:rPr>
          <w:rFonts w:ascii="Times New Roman" w:cs="Times New Roman" w:eastAsia="Times New Roman" w:hAnsi="Times New Roman"/>
          <w:sz w:val="18"/>
          <w:szCs w:val="18"/>
          <w:color w:val="auto"/>
        </w:rPr>
        <w:t xml:space="preserve">and (2) 100% of the principal amount of the Notes to be redeemed, plus, in either case, accrued and unpaid interest thereon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 any Notes on or after the Par Call Date, the redemption price for the Notes will be equal to 100% of the principal amount of the Notes to be redeemed plus accrued and unpaid interest thereon to the redemption date. Any exercise of our option to redeem the Notes will be done in compliance with the 1940 Act.</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72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will not be subject to any sinking fund. A sinking fund is a reserve fund</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over a period of time for the retirement of debt.</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 to Purchase upon a Change of Control</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w:t>
            </w:r>
          </w:p>
        </w:tc>
      </w:tr>
      <w:tr>
        <w:trPr>
          <w:trHeight w:val="216"/>
        </w:trPr>
        <w:tc>
          <w:tcPr>
            <w:tcW w:w="37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Repurchase Event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exercised our right to redeem the Notes in full, holders will have the right, at their option,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require us to repurchase for cash some or all of the Notes at a repurchase price equal to</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100% of the principal amount of the Notes being repurchased, plus accrued and unpaid</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legal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can legally release ourselves from all</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payment and other obligations on the Notes.</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covenant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will be released from some of the restrictive</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covenants in the indenture.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name of The Depository Trust Company, or DTC, or its nominee. This means that,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except in limited circumstances, you will not receive certificates for the Notes. Beneficial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Investors may elect to hold interests in the Notes through either DTC, if they are a</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participant, or indirectly through organizations that are participants in DTC.</w:t>
            </w:r>
          </w:p>
        </w:tc>
      </w:tr>
      <w:tr>
        <w:trPr>
          <w:trHeight w:val="459"/>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an event of default (as described under “Description of Notes”) on the Notes occurs, the</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amount of the Notes, plus accrued and</w:t>
            </w:r>
          </w:p>
        </w:tc>
      </w:tr>
      <w:tr>
        <w:trPr>
          <w:trHeight w:val="172"/>
        </w:trPr>
        <w:tc>
          <w:tcPr>
            <w:tcW w:w="3780" w:type="dxa"/>
            <w:vAlign w:val="bottom"/>
            <w:tcBorders>
              <w:left w:val="single" w:sz="8" w:color="auto"/>
              <w:bottom w:val="single" w:sz="8" w:color="auto"/>
            </w:tcBorders>
          </w:tcPr>
          <w:p>
            <w:pPr>
              <w:spacing w:after="0"/>
              <w:rPr>
                <w:sz w:val="14"/>
                <w:szCs w:val="14"/>
                <w:color w:val="auto"/>
              </w:rPr>
            </w:pPr>
          </w:p>
        </w:tc>
        <w:tc>
          <w:tcPr>
            <w:tcW w:w="7240" w:type="dxa"/>
            <w:vAlign w:val="bottom"/>
            <w:tcBorders>
              <w:bottom w:val="single" w:sz="8" w:color="auto"/>
              <w:right w:val="single" w:sz="8" w:color="auto"/>
            </w:tcBorders>
          </w:tcPr>
          <w:p>
            <w:pPr>
              <w:spacing w:after="0"/>
              <w:rPr>
                <w:sz w:val="14"/>
                <w:szCs w:val="14"/>
                <w:color w:val="auto"/>
              </w:rPr>
            </w:pPr>
          </w:p>
        </w:tc>
      </w:tr>
      <w:tr>
        <w:trPr>
          <w:trHeight w:val="361"/>
        </w:trPr>
        <w:tc>
          <w:tcPr>
            <w:tcW w:w="3780" w:type="dxa"/>
            <w:vAlign w:val="bottom"/>
          </w:tcPr>
          <w:p>
            <w:pPr>
              <w:spacing w:after="0"/>
              <w:rPr>
                <w:sz w:val="24"/>
                <w:szCs w:val="24"/>
                <w:color w:val="auto"/>
              </w:rPr>
            </w:pPr>
          </w:p>
        </w:tc>
        <w:tc>
          <w:tcPr>
            <w:tcW w:w="72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260"/>
        <w:spacing w:after="0" w:line="266" w:lineRule="auto"/>
        <w:rPr>
          <w:sz w:val="20"/>
          <w:szCs w:val="20"/>
          <w:color w:val="auto"/>
        </w:rPr>
      </w:pPr>
      <w:r>
        <w:rPr>
          <w:rFonts w:ascii="Times New Roman" w:cs="Times New Roman" w:eastAsia="Times New Roman" w:hAnsi="Times New Roman"/>
          <w:sz w:val="18"/>
          <w:szCs w:val="18"/>
          <w:color w:val="auto"/>
        </w:rPr>
        <w:t>unpaid interest, may be declared immediately due and payable, subject to conditions set forth in the indenture. These amounts automatically become due and payable in the case of certain types of bankruptcy or insolvency events involving us.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 addition to the covenants described in the accompanying prospectus, the following</w:t>
            </w:r>
          </w:p>
        </w:tc>
      </w:tr>
      <w:tr>
        <w:trPr>
          <w:trHeight w:val="234"/>
        </w:trPr>
        <w:tc>
          <w:tcPr>
            <w:tcW w:w="3800" w:type="dxa"/>
            <w:vAlign w:val="bottom"/>
          </w:tcPr>
          <w:p>
            <w:pPr>
              <w:spacing w:after="0"/>
              <w:rPr>
                <w:sz w:val="20"/>
                <w:szCs w:val="20"/>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covenants shall apply to the Notes:</w:t>
            </w:r>
          </w:p>
        </w:tc>
      </w:tr>
      <w:tr>
        <w:trPr>
          <w:trHeight w:val="319"/>
        </w:trPr>
        <w:tc>
          <w:tcPr>
            <w:tcW w:w="380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agree that for the period of time during which the Notes are outstanding, we will</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violate, whether or not we are subject thereto, Section 18(a)(1)(A) as modified</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Section 61(a) of the 1940 Act or any successor provisions, but giving effect, in</w:t>
            </w:r>
          </w:p>
        </w:tc>
      </w:tr>
      <w:tr>
        <w:trPr>
          <w:trHeight w:val="234"/>
        </w:trPr>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either case, to any exemptive relief granted to us by the SEC.</w:t>
            </w:r>
          </w:p>
        </w:tc>
      </w:tr>
      <w:tr>
        <w:trPr>
          <w:trHeight w:val="319"/>
        </w:trPr>
        <w:tc>
          <w:tcPr>
            <w:tcW w:w="380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15(d) of the Exchange Act to file any periodic reports with the SEC, we agree to</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to holders of the Notes and the trustee, for the period of time during which</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Notes are outstanding, our audited annual consolidated financial statements,</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90 days of our fiscal year end, and unaudited interim consolidated financial</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within 45 days of our fiscal quarter end (other than our fourth fiscal</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 All such financial statements will be prepared, in all material respects, in</w:t>
            </w: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accordance with applicable United States generally accepted accounting principles,</w:t>
            </w:r>
          </w:p>
        </w:tc>
      </w:tr>
      <w:tr>
        <w:trPr>
          <w:trHeight w:val="234"/>
        </w:trPr>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GAAP.</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not be listed on any securities exchange or quoted on any automated dealer quotation</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system. Although certain of the underwriters have informed us that they currently intend to</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make a market in the Notes, as permitted by applicable laws and regulations, they are not</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obligated to do so and may discontinue any such market making activities at any time</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without notice. See “Underwriting.” Accordingly, we cannot assure you that a liquid</w:t>
            </w:r>
          </w:p>
        </w:tc>
      </w:tr>
      <w:tr>
        <w:trPr>
          <w:trHeight w:val="234"/>
        </w:trPr>
        <w:tc>
          <w:tcPr>
            <w:tcW w:w="3800" w:type="dxa"/>
            <w:vAlign w:val="bottom"/>
          </w:tcPr>
          <w:p>
            <w:pPr>
              <w:spacing w:after="0"/>
              <w:rPr>
                <w:sz w:val="20"/>
                <w:szCs w:val="20"/>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 for the Notes will develop or be maintained.</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or liability for the performance by DTC or its</w:t>
            </w:r>
          </w:p>
        </w:tc>
      </w:tr>
      <w:tr>
        <w:trPr>
          <w:trHeight w:val="216"/>
        </w:trPr>
        <w:tc>
          <w:tcPr>
            <w:tcW w:w="380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participants or indirect participants of their respective obligations under the rules and</w:t>
            </w:r>
          </w:p>
        </w:tc>
      </w:tr>
      <w:tr>
        <w:trPr>
          <w:trHeight w:val="234"/>
        </w:trPr>
        <w:tc>
          <w:tcPr>
            <w:tcW w:w="3800" w:type="dxa"/>
            <w:vAlign w:val="bottom"/>
          </w:tcPr>
          <w:p>
            <w:pPr>
              <w:spacing w:after="0"/>
              <w:rPr>
                <w:sz w:val="20"/>
                <w:szCs w:val="20"/>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procedures governing their operations.</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w:t>
            </w:r>
          </w:p>
        </w:tc>
      </w:tr>
      <w:tr>
        <w:trPr>
          <w:trHeight w:val="234"/>
        </w:trPr>
        <w:tc>
          <w:tcPr>
            <w:tcW w:w="3800" w:type="dxa"/>
            <w:vAlign w:val="bottom"/>
          </w:tcPr>
          <w:p>
            <w:pPr>
              <w:spacing w:after="0"/>
              <w:rPr>
                <w:sz w:val="20"/>
                <w:szCs w:val="20"/>
                <w:color w:val="auto"/>
              </w:rPr>
            </w:pPr>
          </w:p>
        </w:tc>
        <w:tc>
          <w:tcPr>
            <w:tcW w:w="7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State of New York.</w:t>
            </w:r>
          </w:p>
        </w:tc>
      </w:tr>
      <w:tr>
        <w:trPr>
          <w:trHeight w:val="172"/>
        </w:trPr>
        <w:tc>
          <w:tcPr>
            <w:tcW w:w="3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r>
      <w:tr>
        <w:trPr>
          <w:trHeight w:val="361"/>
        </w:trPr>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40" w:firstLine="44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our securities involves a number of significant risks. You should carefully consider the risks set out below and the risk factors incorporated by reference in Part I, Item 1A, “Risk Factors,” in our </w:t>
      </w:r>
      <w:hyperlink r:id="rId16">
        <w:r>
          <w:rPr>
            <w:rFonts w:ascii="Times New Roman" w:cs="Times New Roman" w:eastAsia="Times New Roman" w:hAnsi="Times New Roman"/>
            <w:sz w:val="18"/>
            <w:szCs w:val="18"/>
            <w:i w:val="1"/>
            <w:iCs w:val="1"/>
            <w:u w:val="single" w:color="auto"/>
            <w:color w:val="0000EE"/>
          </w:rPr>
          <w:t>2025 Annual Report</w:t>
        </w:r>
      </w:hyperlink>
      <w:r>
        <w:rPr>
          <w:rFonts w:ascii="Times New Roman" w:cs="Times New Roman" w:eastAsia="Times New Roman" w:hAnsi="Times New Roman"/>
          <w:sz w:val="18"/>
          <w:szCs w:val="18"/>
          <w:i w:val="1"/>
          <w:iCs w:val="1"/>
          <w:color w:val="auto"/>
        </w:rPr>
        <w:t xml:space="preserve">, Part II, Item 1A, “Risk Factors,” in our 1Q 2026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w:t>
      </w:r>
      <w:hyperlink r:id="rId16">
        <w:r>
          <w:rPr>
            <w:rFonts w:ascii="Times New Roman" w:cs="Times New Roman" w:eastAsia="Times New Roman" w:hAnsi="Times New Roman"/>
            <w:sz w:val="18"/>
            <w:szCs w:val="18"/>
            <w:i w:val="1"/>
            <w:iCs w:val="1"/>
            <w:u w:val="single" w:color="auto"/>
            <w:color w:val="0000EE"/>
          </w:rPr>
          <w:t>2025 Annual Report</w:t>
        </w:r>
      </w:hyperlink>
      <w:r>
        <w:rPr>
          <w:rFonts w:ascii="Times New Roman" w:cs="Times New Roman" w:eastAsia="Times New Roman" w:hAnsi="Times New Roman"/>
          <w:sz w:val="18"/>
          <w:szCs w:val="18"/>
          <w:i w:val="1"/>
          <w:iCs w:val="1"/>
          <w:color w:val="auto"/>
        </w:rPr>
        <w:t>, our 1Q 2026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March 31, 2026, we had approximately $577.4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w:t>
      </w:r>
    </w:p>
    <w:p>
      <w:pPr>
        <w:spacing w:after="0" w:line="17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5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our total consolidated indebtedness was approximately $1,827.4 million aggregate principal amount outstanding, of which approximately $577.4 million was secured indebtedness at the TSLX level and none of which was indebtedness of our subsidiaries, and approximately $1,250 million aggregate principal amount was unsecured indebtedness.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indebtedness;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85" w:lineRule="exact"/>
        <w:rPr>
          <w:sz w:val="20"/>
          <w:szCs w:val="20"/>
          <w:color w:val="auto"/>
        </w:rPr>
      </w:pPr>
    </w:p>
    <w:p>
      <w:pPr>
        <w:ind w:left="1080" w:right="340" w:hanging="424"/>
        <w:spacing w:after="0" w:line="25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under the 2026 Notes, 2028 Notes, 2029 Notes or 2030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could proceed against the collateral securing the debt. Because our Revolving Credit Facility, 2026 Notes, 2028 Notes, 2029 Notes and 2030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Repurchase Event.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2026 Notes, 2028 Notes, 2029 Notes and 2030 Notes each contain a provision that would require us to offer to purchase the respective 2026 Notes, 2028 Notes, 2029 Notes and 2030 Notes upon the occurrence of a fundamental change.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that an active trading market will be maintained for the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    million aggregate principal amount of Notes in this offering will be approximately $    million, after deducting the underwriting discounts and commissions and estimated offering expenses payable by us.</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on the Revolving Credit Facility on or about the date of the closing of this offering and for general corporate purposes, including making new investments in accordance with our investment objective and strategies described in this prospectus supplement and the accompanying prospectus. We anticipate that it will take us less than three months after the completion of this offering for us to substantially invest the net proceeds from this offering for the above purposes, depending on the availability of appropriate investment opportunities consistent with our investment objectives, market conditions and the amounts raised. We cannot assure you that we will achieve our targeted investment pace. As of March 31, 2026, aggregate commitments under the facility were $1,675 million. However, through reborrowing under the Revolving Credit Facility, we intend to make new investments in accordance with our investment objective and strategies described in this prospectus supplement and the accompanying prospectus. Pursuant to the Seventeenth Amendment to the Revolving Credit Facility dated May 1, 2026, with respect to $1.525 billion of commitments, the revolving period, during which period we, subject to certain conditions, may make borrowings under the Revolving Credit Facility, was extended to May 1, 2030 and the stated maturity was extended to May 1, 2031. 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See “Management’s Discussion and Analysis of Financial Condition and Results of Operations—Financial Condition, Liquidity and Capital Resources— Revolving Credit Facility” in Part II, Item 2 of our 1Q 2026 Quarterly Report.</w:t>
      </w:r>
    </w:p>
    <w:p>
      <w:pPr>
        <w:spacing w:after="0" w:line="19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March 31, 2026. You should read this table together with “Use of Proceeds” described in this prospectus supplement and our most recent balance sheet included in our 1Q 2026 Quarterly Report incorporated by reference in this prospectus supplement.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90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42"/>
        </w:trPr>
        <w:tc>
          <w:tcPr>
            <w:tcW w:w="9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25"/>
                <w:szCs w:val="25"/>
                <w:b w:val="1"/>
                <w:bCs w:val="1"/>
                <w:color w:val="auto"/>
                <w:vertAlign w:val="superscript"/>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95,683,850 shares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95,019,600 shares outstanding</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3,370,105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hanging="424"/>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March 31, 2026. Outstanding indebtedness under the Revolving Credit Facility was $603.0 million as of May 5, 2026. The net proceeds from the sale of the Notes in this offering are expected to be used to pay down outstanding indebtedness under the Revolving Credit Facility. See “Use of Proceeds” in this prospectus supplement.</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(including preferred stock, debt securities and other indebtedness) as of the end of the last ten fiscal years is shown in Part II, Item 5 of our </w:t>
      </w:r>
      <w:hyperlink r:id="rId1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and is incorporated herein by reference. Information about our senior securities is shown in the following table as of March 31, 2026 (unaudited). The “—” indicates information that the SEC expressly does not require to be disclosed for certain types of senior securities.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w w:val="97"/>
              </w:rPr>
              <w:t>Total Amount</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2"/>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3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0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3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3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0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60"/>
        </w:trPr>
        <w:tc>
          <w:tcPr>
            <w:tcW w:w="3340" w:type="dxa"/>
            <w:vAlign w:val="bottom"/>
            <w:gridSpan w:val="5"/>
            <w:vMerge w:val="continue"/>
          </w:tcPr>
          <w:p>
            <w:pPr>
              <w:spacing w:after="0"/>
              <w:rPr>
                <w:sz w:val="13"/>
                <w:szCs w:val="13"/>
                <w:color w:val="auto"/>
              </w:rPr>
            </w:pPr>
          </w:p>
        </w:tc>
        <w:tc>
          <w:tcPr>
            <w:tcW w:w="2140" w:type="dxa"/>
            <w:vAlign w:val="bottom"/>
            <w:gridSpan w:val="3"/>
          </w:tcPr>
          <w:p>
            <w:pPr>
              <w:ind w:left="130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in millions)</w:t>
            </w:r>
          </w:p>
        </w:tc>
        <w:tc>
          <w:tcPr>
            <w:tcW w:w="62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2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00" w:type="dxa"/>
            <w:vAlign w:val="bottom"/>
          </w:tcPr>
          <w:p>
            <w:pPr>
              <w:spacing w:after="0"/>
              <w:rPr>
                <w:sz w:val="13"/>
                <w:szCs w:val="13"/>
                <w:color w:val="auto"/>
              </w:rPr>
            </w:pPr>
          </w:p>
        </w:tc>
        <w:tc>
          <w:tcPr>
            <w:tcW w:w="5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3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240" w:type="dxa"/>
            <w:vAlign w:val="bottom"/>
            <w:tcBorders>
              <w:top w:val="single" w:sz="8" w:color="CCEEFF"/>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$1,847.0</w:t>
            </w:r>
          </w:p>
        </w:tc>
        <w:tc>
          <w:tcPr>
            <w:tcW w:w="6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$1,914.9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$1,824.7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$1,815.9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$1,885.7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$2,053.6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$2,045.4</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$2,004.1</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$2,705.2</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$2,355.3</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$2,376.6</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00" w:type="dxa"/>
            <w:vAlign w:val="bottom"/>
            <w:tcBorders>
              <w:bottom w:val="single" w:sz="8" w:color="CCEEFF"/>
            </w:tcBorders>
            <w:gridSpan w:val="3"/>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$1,847.0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$1,914.9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$1,824.7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$1,815.9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$1,885.7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$2,053.6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2028 Notes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$1,847.0</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$1,914.9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$1,824.7</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$1,815.9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2029 Notes</w:t>
            </w:r>
          </w:p>
        </w:tc>
        <w:tc>
          <w:tcPr>
            <w:tcW w:w="2500" w:type="dxa"/>
            <w:vAlign w:val="bottom"/>
            <w:tcBorders>
              <w:bottom w:val="single" w:sz="8" w:color="CCEEFF"/>
            </w:tcBorders>
            <w:gridSpan w:val="3"/>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$1,847.0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$1,914.9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$1,824.7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2030 Notes</w:t>
            </w:r>
          </w:p>
        </w:tc>
        <w:tc>
          <w:tcPr>
            <w:tcW w:w="2500" w:type="dxa"/>
            <w:vAlign w:val="bottom"/>
            <w:tcBorders>
              <w:bottom w:val="single" w:sz="8" w:color="CCEEFF"/>
            </w:tcBorders>
            <w:gridSpan w:val="3"/>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$1,847.0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$1,914.9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20" w:hanging="424"/>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80"/>
          </w:cols>
          <w:pgMar w:left="320" w:top="455" w:right="5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relating to our 2025 Annual Meeting of Stockholders and in our 2025 Annual Report, as well as subsequent filings with the SEC, which are incorporated by reference herein, for information relating to the management of the Company and for information relating to the Adviser.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Robert (Bo) Stanley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in such capacity.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the dollar range of common stock beneficially owned by our portfolio manager as of December 31, 2025:</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Company</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320" w:hanging="424"/>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Robert (Bo) Stanley managed, or was a member of the management team for, the following client accounts: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Assets Subject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a</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9"/>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Account</w:t>
            </w: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15.66 billion</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15.66 billion</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center"/>
        <w:ind w:left="5460" w:right="880" w:hanging="5344"/>
        <w:spacing w:after="0" w:line="454" w:lineRule="auto"/>
        <w:tabs>
          <w:tab w:leader="none" w:pos="5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particular terms of the        % Notes due        supplements and, to the extent inconsistent therewith, replaces the description of the general terms and provisions of the debt securities set forth in the accompanying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Notes under a base indenture dated as of January 16, 2024, between us and U.S. Bank Trust Company, National Association, as trustee (the “trustee”), as supplemented by a separate supplemental indenture, dated as of the settlement date of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be issued in an aggregate principal amount of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ectPr>
          <w:pgSz w:w="11900" w:h="16838" w:orient="portrait"/>
          <w:cols w:equalWidth="0" w:num="6">
            <w:col w:w="720" w:space="360"/>
            <w:col w:w="3780" w:space="140"/>
            <w:col w:w="40" w:space="140"/>
            <w:col w:w="40" w:space="140"/>
            <w:col w:w="40" w:space="140"/>
            <w:col w:w="556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will mature on 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unless earlier redeemed or repurchased, as discussed below;</w:t>
      </w:r>
    </w:p>
    <w:p>
      <w:pPr>
        <w:spacing w:after="0" w:line="142" w:lineRule="exact"/>
        <w:rPr>
          <w:sz w:val="20"/>
          <w:szCs w:val="20"/>
          <w:color w:val="auto"/>
        </w:rPr>
      </w:pPr>
    </w:p>
    <w:p>
      <w:pPr>
        <w:sectPr>
          <w:pgSz w:w="11900" w:h="16838" w:orient="portrait"/>
          <w:cols w:equalWidth="0" w:num="9">
            <w:col w:w="720" w:space="360"/>
            <w:col w:w="1100" w:space="140"/>
            <w:col w:w="40" w:space="140"/>
            <w:col w:w="40" w:space="140"/>
            <w:col w:w="40" w:space="140"/>
            <w:col w:w="80" w:space="140"/>
            <w:col w:w="220" w:space="140"/>
            <w:col w:w="40" w:space="140"/>
            <w:col w:w="7480"/>
          </w:cols>
          <w:pgMar w:left="320" w:top="455" w:right="479" w:bottom="1440" w:gutter="0" w:footer="0" w:header="0"/>
          <w:type w:val="continuous"/>
        </w:sect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cash interest from            , 2026 at an annual rate of            % payable semi-annually            and            of each year,</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beginning on            , 2026;</w:t>
      </w:r>
    </w:p>
    <w:p>
      <w:pPr>
        <w:spacing w:after="0" w:line="112"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“—Optional Redemption;”</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“—Book-Entry, Settlement and Clearance.”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rating as the result of a takeover, recapitalization, highly leveraged transaction or similar restructuring involving us that could adversely affect such holders.</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be part of the same issue as the Notes for U.S. federal income tax purposes.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Notes bear cash interest at a rate of        % per year until maturity. Interest on the Notes will accrue from        , 2026 or from the most recent date on which interest has been paid or duly provided for.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is payable semiannually in arrears on            and            of each year, beginning on            ,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Interest will be paid to the person in whose name a Note is registered at 5:00 p.m. New York City time (the “close of business”) on          </w:t>
      </w:r>
    </w:p>
    <w:p>
      <w:pPr>
        <w:spacing w:after="0" w:line="27"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or        (whether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a Note falls on a day that is not a business day,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our direct, general unsecured obligations that rank:</w:t>
      </w:r>
    </w:p>
    <w:p>
      <w:pPr>
        <w:spacing w:after="0" w:line="131" w:lineRule="exact"/>
        <w:rPr>
          <w:sz w:val="20"/>
          <w:szCs w:val="20"/>
          <w:color w:val="auto"/>
        </w:rPr>
      </w:pPr>
    </w:p>
    <w:p>
      <w:pPr>
        <w:ind w:left="1080" w:right="5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March 31, 2026, approximately $300.0 million aggregate principal amount of outstanding indebtedness under our 2026 Notes, approximately $300.0 million aggregate principal amount of outstanding indebtedness under our 2028 Notes, approximately $350.0 million aggregate principal amount of outstanding indebtedness under our 2029 Notes, and approximately $300.0 million aggregate principal amount of outstanding indebtedness under our 2030 Notes;</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$577.4 million aggregate principal amount of outstanding indebtedness as of March 31, 2026 under the Revolving Credit Facility;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2026, our total consolidated indebtedness was approximately $1,827.4 million aggregate principal amount outstanding, of which approximately $577.4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        million aggregate principal amount outstanding as of March 31, 2026. See “Capitalization.”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Prior to        ,        (        month(s)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w:t>
      </w:r>
    </w:p>
    <w:p>
      <w:pPr>
        <w:spacing w:after="0" w:line="27" w:lineRule="exact"/>
        <w:rPr>
          <w:sz w:val="20"/>
          <w:szCs w:val="20"/>
          <w:color w:val="auto"/>
        </w:rPr>
      </w:pPr>
    </w:p>
    <w:p>
      <w:pPr>
        <w:ind w:left="1080" w:right="400"/>
        <w:spacing w:after="0" w:line="260" w:lineRule="auto"/>
        <w:rPr>
          <w:sz w:val="20"/>
          <w:szCs w:val="20"/>
          <w:color w:val="auto"/>
        </w:rPr>
      </w:pPr>
      <w:r>
        <w:rPr>
          <w:rFonts w:ascii="Times New Roman" w:cs="Times New Roman" w:eastAsia="Times New Roman" w:hAnsi="Times New Roman"/>
          <w:sz w:val="18"/>
          <w:szCs w:val="18"/>
          <w:color w:val="auto"/>
        </w:rPr>
        <w:t>date (assuming the Notes matured on the Par Call Date) on a semi-annual basis (assuming a 360-day year consisting of twelve 30-day months) at the Treasury Rate plus        basis points less (b) interest accrued to the date of redemption, and</w:t>
      </w:r>
    </w:p>
    <w:p>
      <w:pPr>
        <w:spacing w:after="0" w:line="87" w:lineRule="exact"/>
        <w:rPr>
          <w:sz w:val="20"/>
          <w:szCs w:val="20"/>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100% of the principal amount of the Notes to be redeemed, plus, in either case, accrued and unpaid interest thereon to the redemption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2026 Notes, 2028 Notes, 2029 Notes and 2030 Notes each contains a provision that would require us to offer to purchase the respective 2026 Notes, 2028 Notes, 2029 Notes and 2030 Notes upon the occurrence of a fundamental change. A failure to purchase any tendered 2026 Notes, 2028 Notes, 2029 Notes and 2030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1Q 2026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9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right="12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Controlled Subsidiaries shall not be deemed to be any such sale, lease, transfer, conveyance or disposition;</w:t>
      </w:r>
    </w:p>
    <w:p>
      <w:pPr>
        <w:spacing w:after="0" w:line="131" w:lineRule="exact"/>
        <w:rPr>
          <w:sz w:val="20"/>
          <w:szCs w:val="20"/>
          <w:color w:val="auto"/>
        </w:rPr>
      </w:pPr>
    </w:p>
    <w:p>
      <w:pPr>
        <w:jc w:val="both"/>
        <w:ind w:left="1080" w:right="140" w:hanging="532"/>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Ratings, Inc., also known as Fitch Ratings, or any successor thereto.</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1080" w:right="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right="3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1" w:lineRule="exact"/>
        <w:rPr>
          <w:rFonts w:ascii="Times New Roman" w:cs="Times New Roman" w:eastAsia="Times New Roman" w:hAnsi="Times New Roman"/>
          <w:sz w:val="18"/>
          <w:szCs w:val="18"/>
          <w:color w:val="auto"/>
        </w:rPr>
      </w:pPr>
    </w:p>
    <w:p>
      <w:pPr>
        <w:ind w:left="1080" w:right="280" w:hanging="532"/>
        <w:spacing w:after="0" w:line="276"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0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is not consolidated with TSLX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99" w:lineRule="exact"/>
        <w:rPr>
          <w:rFonts w:ascii="Times New Roman" w:cs="Times New Roman" w:eastAsia="Times New Roman" w:hAnsi="Times New Roman"/>
          <w:sz w:val="17"/>
          <w:szCs w:val="17"/>
          <w:color w:val="auto"/>
        </w:rPr>
      </w:pPr>
    </w:p>
    <w:p>
      <w:pPr>
        <w:ind w:left="1080" w:right="4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hanging="4"/>
        <w:spacing w:after="0" w:line="289" w:lineRule="auto"/>
        <w:tabs>
          <w:tab w:leader="none" w:pos="3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5"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purchase, ownership and disposition of the Notes. This summary deals only with Notes that are held as capital assets (within the meaning of Section 1221 of the Code) by a person who purchases the Notes upon original issuance at their “issue price” (the first price at which a substantial amount of the Notes is sold for money to investors, excluding sales to bond houses, brokers or similar persons or organizations acting in the capacity of underwriter, placement agent or wholesaler).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“non-U.S. holder” means a beneficial owner of the Notes (other than an entity or arrangement treated as a partnership for U.S. federal income tax purposes) that is not a U.S. holder.</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Notes, the tax treatment of a partner generally will depend upon the status of the partner and the activities of the partnership. If you are a partnership or a partner in a partnership considering an investment in the Notes, you should consult your own tax advisors.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U.S. federal income tax consequences applicable to you if you are a person subject to special tax treatment under the U.S. federal income tax laws, including, without limitation:</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(or an investor in such an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U.S. Treasury Regulations, administrative rulings and judicial decisions thereunder as of the date hereof. Those authorities may be changed, possibly on a retroactive basis, so as to result in U.S. federal income tax consequences different from those summarized below. We have not and will not seek any rulings from the IRS regarding the matters discussed below. There can be no assurance that the IRS will not take positions concerning the tax consequences of the purchase, ownership or disposition of the Notes that are different from those discussed below.</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It is not intended to be, and should not be construed to be, legal or tax advice to any particular purchaser of Notes.</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the Notes, you should consult your own tax advisors concerning the particular U.S. federal income tax consequences to you of the purchase, ownership and disposition of the Notes,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that will apply to U.S. holders of the Notes.</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Stated Interest</w:t>
      </w:r>
      <w:r>
        <w:rPr>
          <w:rFonts w:ascii="Times New Roman" w:cs="Times New Roman" w:eastAsia="Times New Roman" w:hAnsi="Times New Roman"/>
          <w:sz w:val="18"/>
          <w:szCs w:val="18"/>
          <w:color w:val="auto"/>
        </w:rPr>
        <w:t>. Stated interest on the Notes generally will be taxable to you as ordinary income at the time it is received or accrued, depending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regular method of accounting for U.S. federal income tax purposes.</w:t>
      </w:r>
    </w:p>
    <w:p>
      <w:pPr>
        <w:spacing w:after="0" w:line="15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r>
        <w:rPr>
          <w:rFonts w:ascii="Times New Roman" w:cs="Times New Roman" w:eastAsia="Times New Roman" w:hAnsi="Times New Roman"/>
          <w:sz w:val="18"/>
          <w:szCs w:val="18"/>
          <w:color w:val="auto"/>
        </w:rPr>
        <w:t>. Upon the sale, exchange, retirement, redemption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disposition of a Note, you generally will recognize gain or loss equal to the difference, if any, between the amount realized upon the sale, exchange, retirement, redemption or other taxable disposition (less any amount attributable to accrued and unpaid stated interest, which will be taxable as interest income to the extent not previously included in income) and your adjusted tax basis in the Note. Your adjusted tax basis in a Note will generally be your cost for that Note. Any gain or loss you recognize will generally be capital gain or loss and will generally be long-term capital gain or loss if you have held the Note for more than one year. Long-term capital gains of non-corporate U.S. holders (including individuals) are eligible for reduced rates of taxation. The deductibility of capital losses is subject to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Non-U.S. Holders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Withholding Tax. </w:t>
      </w:r>
      <w:r>
        <w:rPr>
          <w:rFonts w:ascii="Times New Roman" w:cs="Times New Roman" w:eastAsia="Times New Roman" w:hAnsi="Times New Roman"/>
          <w:sz w:val="18"/>
          <w:szCs w:val="18"/>
          <w:color w:val="auto"/>
        </w:rPr>
        <w:t>Subject to the discussions of backup withholding and FATCA below, U.S. federal withholding tax will not apply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payment of interest on the Notes under the “portfolio interest rule,” provided that:</w:t>
      </w:r>
    </w:p>
    <w:p>
      <w:pPr>
        <w:spacing w:after="0" w:line="6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voting stock within the meaning of the Code and applicable U.S. Treasury regulations;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actually or constructively related to us through stock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described in Section 881(c)(3)(A) of the Code;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U.S. federal withholding tax, unless you provide the applicable withholding agent with a properly executed:</w:t>
      </w:r>
    </w:p>
    <w:p>
      <w:pPr>
        <w:spacing w:after="0" w:line="67" w:lineRule="exact"/>
        <w:rPr>
          <w:sz w:val="20"/>
          <w:szCs w:val="20"/>
          <w:color w:val="auto"/>
        </w:rPr>
      </w:pPr>
    </w:p>
    <w:p>
      <w:pPr>
        <w:ind w:left="1080" w:right="3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Form W-8BEN-E (or other applicable form) claiming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not subject to withholding tax because it is effectively connected with your conduct of a trade or business in the United States (as discussed below under “—U.S. Federal Income Tax”).</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30% U.S. federal withholding tax generally will not apply to any payment of principal or gain that you realize on the sale, exchange, retirement or other taxable disposition of a Note.</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w:t>
      </w:r>
      <w:r>
        <w:rPr>
          <w:rFonts w:ascii="Times New Roman" w:cs="Times New Roman" w:eastAsia="Times New Roman" w:hAnsi="Times New Roman"/>
          <w:sz w:val="18"/>
          <w:szCs w:val="18"/>
          <w:color w:val="auto"/>
        </w:rPr>
        <w:t>If you are engaged in a trade or business in the United States and interest on the Notes is effectively connected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 of that trade or business (and, if required by an applicable income tax treaty, is attributable to a U.S. permanent establishment), then you generally will be subject to U.S. federal income tax on that interest on a net income basis in the same manner as if you were a United States person as defined under the Code (although you will be exempt from the 30% U.S. federal withholding tax described above, provided the certification requirements discussed above in “—U.S. Federal Withholding Tax” are satisfied). In addition, if you are a foreign corporation, you may be subject to a branch profits tax equal to 30% (or lower applicable income tax treaty rate) of your effectively connected earnings and profits, subject to adjustments.</w:t>
      </w:r>
    </w:p>
    <w:p>
      <w:pPr>
        <w:spacing w:after="0" w:line="18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on the sale, exchange, retirement or other taxable disposition of a Note generally will not be subject to U.S. federal income tax unless:</w:t>
      </w:r>
    </w:p>
    <w:p>
      <w:pPr>
        <w:spacing w:after="0" w:line="67" w:lineRule="exact"/>
        <w:rPr>
          <w:sz w:val="20"/>
          <w:szCs w:val="20"/>
          <w:color w:val="auto"/>
        </w:rPr>
      </w:pPr>
    </w:p>
    <w:p>
      <w:pPr>
        <w:jc w:val="both"/>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if required by an applicable income tax treaty, is attributable to a U.S. permanent establishment), in which case such gain generally will be subject to U.S. federal income tax (and possibly branch profits tax) in the same manner as effectively connected interest as described above;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that disposition and certain other conditions are met, in which case, unless an applicable income tax treaty provides otherwise, you generally will be subject to a 30% U.S. federal income tax on any gain recognized, which may be offset by certain U.S. source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w:t>
      </w:r>
      <w:r>
        <w:rPr>
          <w:rFonts w:ascii="Times New Roman" w:cs="Times New Roman" w:eastAsia="Times New Roman" w:hAnsi="Times New Roman"/>
          <w:sz w:val="18"/>
          <w:szCs w:val="18"/>
          <w:color w:val="auto"/>
        </w:rPr>
        <w:t>. In general, information reporting requirements will apply to payments of stated interest on the Notes and the proceeds from a sale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taxable disposition (including a retirement or redemption) of a Note paid to you (unless you establish that you are an exempt recipient). Backup withholding may apply to any payments described in the preceding sentence if you fail to provide a taxpayer identification number and a certification that you are not subject to backup withholding or if you fail to report in full dividend and interest income.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58"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Non-U.S. Holders</w:t>
      </w:r>
      <w:r>
        <w:rPr>
          <w:rFonts w:ascii="Times New Roman" w:cs="Times New Roman" w:eastAsia="Times New Roman" w:hAnsi="Times New Roman"/>
          <w:sz w:val="18"/>
          <w:szCs w:val="18"/>
          <w:color w:val="auto"/>
        </w:rPr>
        <w:t>. Generally, the amount of interest paid to you and the amount of tax, if any, withheld with respect to those payments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to the IRS. Copies of the information returns reporting such interest payments and any withholding may also be made available to the tax authorities in the country in which you reside under the provisions of an applicable income tax treaty.</w:t>
      </w:r>
    </w:p>
    <w:p>
      <w:pPr>
        <w:spacing w:after="0" w:line="175"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“—Certain Tax Consequences to Non-U.S. Holders —U.S. Federal Withholding Tax.”</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taxable disposition (including a retirement or redemption) of Notes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w:t>
      </w:r>
    </w:p>
    <w:p>
      <w:pPr>
        <w:spacing w:after="0" w:line="2" w:lineRule="exact"/>
        <w:rPr>
          <w:sz w:val="20"/>
          <w:szCs w:val="20"/>
          <w:color w:val="auto"/>
        </w:rPr>
      </w:pPr>
    </w:p>
    <w:p>
      <w:pPr>
        <w:ind w:left="120" w:right="60" w:hanging="4"/>
        <w:spacing w:after="0" w:line="251" w:lineRule="auto"/>
        <w:tabs>
          <w:tab w:leader="none" w:pos="3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“—Certain Tax Consequences to Non-U.S. Holders—U.S.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8"/>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w:t>
            </w: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w:t>
      </w:r>
    </w:p>
    <w:p>
      <w:pPr>
        <w:spacing w:after="0" w:line="1" w:lineRule="exact"/>
        <w:rPr>
          <w:sz w:val="20"/>
          <w:szCs w:val="20"/>
          <w:color w:val="auto"/>
        </w:rPr>
      </w:pPr>
    </w:p>
    <w:p>
      <w:pPr>
        <w:ind w:left="120" w:right="360"/>
        <w:spacing w:after="0" w:line="250" w:lineRule="auto"/>
        <w:rPr>
          <w:sz w:val="20"/>
          <w:szCs w:val="20"/>
          <w:color w:val="auto"/>
        </w:rPr>
      </w:pPr>
      <w:r>
        <w:rPr>
          <w:rFonts w:ascii="Times New Roman" w:cs="Times New Roman" w:eastAsia="Times New Roman" w:hAnsi="Times New Roman"/>
          <w:sz w:val="18"/>
          <w:szCs w:val="18"/>
          <w:color w:val="auto"/>
        </w:rPr>
        <w:t>concession not in excess of        % of the aggregate principal amount of the Notes. The underwriters may allow, and the dealers may reallow, a discount not in excess of        % of the aggregate principal amount of the Notes. After the initial offering of the Notes to the public, the public</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offering price and such concessions may be changed. No such change shall change the amount of proceeds to be received by us as set forth on the cover page of this prospectus supplement.</w:t>
      </w:r>
    </w:p>
    <w:p>
      <w:pPr>
        <w:spacing w:after="0" w:line="181" w:lineRule="exact"/>
        <w:rPr>
          <w:sz w:val="20"/>
          <w:szCs w:val="20"/>
          <w:color w:val="auto"/>
        </w:rPr>
      </w:pPr>
    </w:p>
    <w:p>
      <w:pPr>
        <w:ind w:left="5460" w:right="1280" w:hanging="4897"/>
        <w:spacing w:after="0" w:line="454"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million and are payable by us. S-37</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Certain funds or accounts managed by affiliates of the Adviser may purchase Notes in the transaction through the underwriters at the public offering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2026, which will be the        business day following the date hereof. Under Rule 15c6-1 under the Exchange Act,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T+        ,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BofA Securities is One Bryant Park, New York, NY 10036. The principal business address of HSBC Securities (USA) Inc. is 66 Hudson Boulevard, New York, NY 10001. The principal business address of SMBC Nikko Securities America, Inc. is 277 Park Avenue, New York, NY 10172. The principal business address of Wells Fargo Securities, LLC is 550 South Tyron Street, Charlotte, North Carolina 28202.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the Conduct of Business Sourcebook of the handbook of rules and guidance adopted by the U.K.’s Financial Conduct Authority (“FCA Handbook”), rule 3.4.1;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paragraph 15 of Schedule 1 to The Public Offers and Admissions to Trading Regulations 2024 (the “POAT Regulations”).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investor in the UK may be unlawful under the UK PRIIPs Regulation. This prospectus supplement has been prepared on the basis that any offer of Notes in the UK will be made pursuant to an exemption under the POAT Regulations from the requirement to publish a prospectus for offers of Notes. This prospectus supplement is not a prospectus for the purposes of the POAT Regulations or the Admission to Trading on a Regulated Market Sourcebook of the FCA Handbook, has not been approved by the U.K.’s Financial Conduct Authority and should not be relied on and should not be construed as an offer (or any other form of marketing).</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or, in Ontario, as such term is defined in 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and (iii) a “permitted client”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0840"/>
          </w:cols>
          <w:pgMar w:left="320" w:top="455"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12, 2026 (the “2025 Annual Report”);</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0">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2026, filed with the SEC on May 5, 2026 (the “1Q 2026 Quarterly Report”)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23, 2026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May 5, 2026</w:t>
        </w:r>
      </w:hyperlink>
      <w:hyperlink r:id="rId71">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w:t>
      </w:r>
      <w:hyperlink r:id="rId1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with the SEC on February 12, 2026 from our Definitive Proxy Statement on </w:t>
      </w:r>
      <w:hyperlink r:id="rId7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2026 Annual Meeting of Stockholders, filed with the SEC on April 9, 2026.</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173990</wp:posOffset>
            </wp:positionV>
            <wp:extent cx="1757045"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left="120"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24 of this prospectus and in the documents incorporated by reference herein.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1100"/>
          </w:cols>
          <w:pgMar w:left="320" w:top="455" w:right="4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7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6"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1240" w:right="360" w:hanging="523"/>
        <w:spacing w:after="0" w:line="282"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1240" w:right="120" w:hanging="523"/>
        <w:spacing w:after="0" w:line="266"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left="300"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300"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940"/>
        <w:spacing w:after="0" w:line="282" w:lineRule="auto"/>
        <w:rPr>
          <w:sz w:val="20"/>
          <w:szCs w:val="20"/>
          <w:color w:val="auto"/>
        </w:rPr>
      </w:pPr>
      <w:r>
        <w:rPr>
          <w:rFonts w:ascii="Times New Roman" w:cs="Times New Roman" w:eastAsia="Times New Roman" w:hAnsi="Times New Roman"/>
          <w:sz w:val="18"/>
          <w:szCs w:val="18"/>
          <w:color w:val="auto"/>
        </w:rPr>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1240" w:right="340" w:hanging="523"/>
        <w:spacing w:after="0" w:line="284"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1240" w:right="180" w:hanging="523"/>
        <w:spacing w:after="0" w:line="258"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240" w:right="320" w:hanging="523"/>
        <w:spacing w:after="0" w:line="284"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240" w:right="160" w:hanging="523"/>
        <w:spacing w:after="0" w:line="258"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1240" w:right="100" w:hanging="523"/>
        <w:spacing w:after="0" w:line="25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1240" w:hanging="523"/>
        <w:spacing w:after="0" w:line="26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1240" w:right="400" w:hanging="523"/>
        <w:spacing w:after="0" w:line="26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240" w:right="180" w:hanging="523"/>
        <w:spacing w:after="0" w:line="26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07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left="300"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left="300"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00"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40" w:right="120" w:hanging="523"/>
        <w:spacing w:after="0" w:line="257"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1240" w:right="180" w:hanging="523"/>
        <w:spacing w:after="0" w:line="290"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240" w:right="80" w:hanging="523"/>
        <w:spacing w:after="0" w:line="312"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40" w:right="80" w:hanging="523"/>
        <w:spacing w:after="0" w:line="267"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left="300"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0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0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998970" cy="6570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40" w:right="56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40" w:right="140" w:hanging="523"/>
        <w:spacing w:after="0" w:line="312"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240" w:right="52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1240" w:right="500" w:hanging="523"/>
        <w:spacing w:after="0" w:line="282"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38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1240" w:right="180" w:hanging="523"/>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40" w:right="200" w:hanging="523"/>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240" w:right="80" w:hanging="523"/>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240" w:right="360" w:hanging="523"/>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hanging="52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240" w:right="320" w:hanging="523"/>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1240" w:right="160" w:hanging="523"/>
        <w:spacing w:after="0" w:line="266"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1240" w:right="420" w:hanging="523"/>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300" w:right="380" w:hanging="2"/>
        <w:spacing w:after="0" w:line="255" w:lineRule="auto"/>
        <w:tabs>
          <w:tab w:leader="none" w:pos="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72"/>
        </w:trPr>
        <w:tc>
          <w:tcPr>
            <w:tcW w:w="286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04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To maintain our tax treatment as a RIC, we must make certain distributions. See “Material U.S.</w:t>
      </w:r>
    </w:p>
    <w:p>
      <w:pPr>
        <w:spacing w:after="0" w:line="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940"/>
          </w:cols>
          <w:pgMar w:left="320" w:top="455" w:right="63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spacing w:after="0" w:line="3" w:lineRule="exact"/>
        <w:rPr>
          <w:sz w:val="20"/>
          <w:szCs w:val="20"/>
          <w:color w:val="auto"/>
        </w:rPr>
      </w:pPr>
    </w:p>
    <w:p>
      <w:pPr>
        <w:ind w:left="40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940"/>
          </w:cols>
          <w:pgMar w:left="320" w:top="455" w:right="639" w:bottom="1440" w:gutter="0" w:footer="0" w:header="0"/>
          <w:type w:val="continuous"/>
        </w:sectPr>
      </w:pP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1240" w:hanging="523"/>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left="300"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left="300"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300"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332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41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20" w:right="280" w:hanging="422"/>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720" w:right="460" w:hanging="422"/>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720" w:right="180" w:hanging="422"/>
        <w:spacing w:after="0" w:line="258"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720" w:right="440" w:hanging="422"/>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720" w:right="40" w:hanging="422"/>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76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2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720"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720" w:hanging="422"/>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720"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7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720"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720" w:right="260" w:firstLine="4"/>
        <w:spacing w:after="0" w:line="266" w:lineRule="auto"/>
        <w:tabs>
          <w:tab w:leader="none" w:pos="9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40"/>
        <w:spacing w:after="0" w:line="254" w:lineRule="auto"/>
        <w:rPr>
          <w:sz w:val="20"/>
          <w:szCs w:val="20"/>
          <w:color w:val="auto"/>
        </w:rPr>
      </w:pPr>
      <w:r>
        <w:rPr>
          <w:rFonts w:ascii="Times New Roman" w:cs="Times New Roman" w:eastAsia="Times New Roman" w:hAnsi="Times New Roman"/>
          <w:sz w:val="18"/>
          <w:szCs w:val="18"/>
          <w:color w:val="auto"/>
        </w:rPr>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720"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720"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720"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720" w:right="60" w:hanging="422"/>
        <w:spacing w:after="0" w:line="268" w:lineRule="auto"/>
        <w:tabs>
          <w:tab w:leader="none" w:pos="7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98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998970" cy="45986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hanging="422"/>
        <w:spacing w:after="0" w:line="261"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center"/>
              <w:ind w:left="348"/>
              <w:spacing w:after="0" w:line="155" w:lineRule="exact"/>
              <w:rPr>
                <w:sz w:val="20"/>
                <w:szCs w:val="20"/>
                <w:color w:val="auto"/>
              </w:rPr>
            </w:pPr>
            <w:r>
              <w:rPr>
                <w:rFonts w:ascii="Times New Roman" w:cs="Times New Roman" w:eastAsia="Times New Roman" w:hAnsi="Times New Roman"/>
                <w:sz w:val="14"/>
                <w:szCs w:val="14"/>
                <w:color w:val="auto"/>
                <w:w w:val="97"/>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w w:val="97"/>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left="268"/>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540" w:right="4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40" w:right="6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540" w:right="3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5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5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4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2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540" w:right="54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2023 and years ended December 31, 2022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55" w:right="9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60"/>
          </w:cols>
          <w:pgMar w:left="320" w:top="455" w:right="12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($31,475 par, due</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 Iselin,</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2016-6A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0" w:type="dxa"/>
            <w:vAlign w:val="bottom"/>
          </w:tcPr>
          <w:p>
            <w:pPr>
              <w:spacing w:after="0"/>
              <w:rPr>
                <w:sz w:val="14"/>
                <w:szCs w:val="14"/>
                <w:color w:val="auto"/>
              </w:rPr>
            </w:pPr>
          </w:p>
        </w:tc>
        <w:tc>
          <w:tcPr>
            <w:tcW w:w="8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Signal Peak CLO LLC, Series</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280 Park Avenue, 40 West</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Southwick Park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10154</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Stewart Park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10154</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230 Park Ave, United States</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20" w:type="dxa"/>
            <w:vAlign w:val="bottom"/>
            <w:vMerge w:val="restart"/>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52,718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195,009</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204,175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3,113,277</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540" w:right="18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540" w:right="260" w:hanging="424"/>
        <w:spacing w:after="0" w:line="258"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6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540" w:right="460" w:hanging="424"/>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540" w:right="100" w:hanging="424"/>
        <w:spacing w:after="0" w:line="267"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8"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980"/>
          </w:cols>
          <w:pgMar w:left="320" w:top="455" w:right="5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80" w:right="12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439"/>
        <w:spacing w:after="0" w:line="261"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439"/>
        <w:spacing w:after="0" w:line="266"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1080" w:right="20" w:hanging="532"/>
        <w:spacing w:after="0" w:line="25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80" w:right="26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8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312"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right="14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80" w:right="34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54"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1080" w:right="8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532"/>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80" w:right="16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60" w:hanging="532"/>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532"/>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1080" w:right="200" w:hanging="532"/>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200">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0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201">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202">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203">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82" w:lineRule="auto"/>
        <w:tabs>
          <w:tab w:leader="none" w:pos="1080" w:val="left"/>
        </w:tabs>
        <w:numPr>
          <w:ilvl w:val="0"/>
          <w:numId w:val="10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205">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11">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2">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60" w:hanging="532"/>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21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23"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0" w:lineRule="exact"/>
        <w:rPr>
          <w:rFonts w:ascii="Times New Roman" w:cs="Times New Roman" w:eastAsia="Times New Roman" w:hAnsi="Times New Roman"/>
          <w:sz w:val="18"/>
          <w:szCs w:val="18"/>
          <w:color w:val="0000EE"/>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344170</wp:posOffset>
            </wp:positionV>
            <wp:extent cx="1457325"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4573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1913890</wp:posOffset>
            </wp:positionV>
            <wp:extent cx="1474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HSBC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SMBC Nikko</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2"/>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lowerRoman"/>
      <w:start w:val="1"/>
    </w:lvl>
  </w:abstractNum>
  <w:abstractNum w:abstractNumId="24">
    <w:nsid w:val="1DBABF00"/>
    <w:multiLevelType w:val="hybridMultilevel"/>
    <w:lvl w:ilvl="0">
      <w:lvlJc w:val="left"/>
      <w:lvlText w:val="(%1)"/>
      <w:numFmt w:val="lowerRoman"/>
      <w:start w:val="2"/>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1)"/>
      <w:numFmt w:val="lowerRoman"/>
      <w:start w:val="10"/>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lowerLetter"/>
      <w:start w:val="2"/>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6"/>
    </w:lvl>
  </w:abstractNum>
  <w:abstractNum w:abstractNumId="54">
    <w:nsid w:val="60B6DF70"/>
    <w:multiLevelType w:val="hybridMultilevel"/>
    <w:lvl w:ilvl="0">
      <w:lvlJc w:val="left"/>
      <w:lvlText w:val="(%1)"/>
      <w:numFmt w:val="lowerRoman"/>
      <w:start w:val="2"/>
    </w:lvl>
  </w:abstractNum>
  <w:abstractNum w:abstractNumId="55">
    <w:nsid w:val="6A5EE64"/>
    <w:multiLevelType w:val="hybridMultilevel"/>
    <w:lvl w:ilvl="0">
      <w:lvlJc w:val="left"/>
      <w:lvlText w:val="(%1)"/>
      <w:numFmt w:val="decimal"/>
      <w:start w:val="7"/>
    </w:lvl>
  </w:abstractNum>
  <w:abstractNum w:abstractNumId="56">
    <w:nsid w:val="14330624"/>
    <w:multiLevelType w:val="hybridMultilevel"/>
    <w:lvl w:ilvl="0">
      <w:lvlJc w:val="left"/>
      <w:lvlText w:val="(%1)"/>
      <w:numFmt w:val="decimal"/>
      <w:start w:val="8"/>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5"/>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decimal"/>
      <w:start w:val="7"/>
    </w:lvl>
  </w:abstractNum>
  <w:abstractNum w:abstractNumId="67">
    <w:nsid w:val="4C04A8AF"/>
    <w:multiLevelType w:val="hybridMultilevel"/>
    <w:lvl w:ilvl="0">
      <w:lvlJc w:val="left"/>
      <w:lvlText w:val="(%1)"/>
      <w:numFmt w:val="decimal"/>
      <w:start w:val="15"/>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lvl w:ilvl="1">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lowerRoman"/>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jpe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204"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jpe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16" Type="http://schemas.openxmlformats.org/officeDocument/2006/relationships/hyperlink" Target="http://www.sec.gov/ix?doc=/Archives/edgar/data/0001508655/000119312526048664/tslx-20251231.htm" TargetMode="External"/><Relationship Id="rId70" Type="http://schemas.openxmlformats.org/officeDocument/2006/relationships/hyperlink" Target="http://www.sec.gov/ix?doc=/Archives/edgar/data/0001508655/000119312526206313/tslx-20260331.htm" TargetMode="External"/><Relationship Id="rId71" Type="http://schemas.openxmlformats.org/officeDocument/2006/relationships/hyperlink" Target="http://www.sec.gov/ix?doc=/Archives/edgar/data/0001508655/000119312526063983/d53156d8k.htm" TargetMode="External"/><Relationship Id="rId72" Type="http://schemas.openxmlformats.org/officeDocument/2006/relationships/hyperlink" Target="http://www.sec.gov/ix?doc=/Archives/edgar/data/0001508655/000119312526206354/tslx-20260505.htm" TargetMode="External"/><Relationship Id="rId73" Type="http://schemas.openxmlformats.org/officeDocument/2006/relationships/hyperlink" Target="http://www.sec.gov/ix?doc=/Archives/edgar/data/1508655/000119312526149696/d15396ddef14a.htm" TargetMode="External"/><Relationship Id="rId199" Type="http://schemas.openxmlformats.org/officeDocument/2006/relationships/hyperlink" Target="http://www.sec.gov/ix?doc=/Archives/edgar/data/1508655/000095017023003042/tslx-20221231.htm" TargetMode="External"/><Relationship Id="rId200" Type="http://schemas.openxmlformats.org/officeDocument/2006/relationships/hyperlink" Target="http://www.sec.gov/Archives/edgar/data/1508655/000119312523100535/d393322ddef14a.htm" TargetMode="External"/><Relationship Id="rId201" Type="http://schemas.openxmlformats.org/officeDocument/2006/relationships/hyperlink" Target="http://www.sec.gov/ix?doc=/Archives/edgar/data/1508655/000095017023018777/tslx-20230331.htm" TargetMode="External"/><Relationship Id="rId202" Type="http://schemas.openxmlformats.org/officeDocument/2006/relationships/hyperlink" Target="http://www.sec.gov/ix?doc=/Archives/edgar/data/1508655/000095017023038066/tslx-20230630.htm" TargetMode="External"/><Relationship Id="rId203" Type="http://schemas.openxmlformats.org/officeDocument/2006/relationships/hyperlink" Target="http://www.sec.gov/ix?doc=/Archives/edgar/data/1508655/000095017023058321/tslx-20230930.htm" TargetMode="External"/><Relationship Id="rId205" Type="http://schemas.openxmlformats.org/officeDocument/2006/relationships/hyperlink" Target="http://www.sec.gov/ix?doc=/Archives/edgar/data/1508655/000119312523144982/d509627d8k.htm" TargetMode="External"/><Relationship Id="rId206" Type="http://schemas.openxmlformats.org/officeDocument/2006/relationships/hyperlink" Target="http://www.sec.gov/ix?doc=/Archives/edgar/data/1508655/000119312523155431/d495066d8k.htm" TargetMode="External"/><Relationship Id="rId207" Type="http://schemas.openxmlformats.org/officeDocument/2006/relationships/hyperlink" Target="http://www.sec.gov/ix?doc=/Archives/edgar/data/1508655/000119312523165276/d509708d8k.htm" TargetMode="External"/><Relationship Id="rId208" Type="http://schemas.openxmlformats.org/officeDocument/2006/relationships/hyperlink" Target="http://www.sec.gov/ix?doc=/Archives/edgar/data/1508655/000119312523165451/d509555d8k.htm" TargetMode="External"/><Relationship Id="rId209" Type="http://schemas.openxmlformats.org/officeDocument/2006/relationships/hyperlink" Target="http://www.sec.gov/ix?doc=/Archives/edgar/data/1508655/000119312523187256/d513136d8k.htm" TargetMode="External"/><Relationship Id="rId210" Type="http://schemas.openxmlformats.org/officeDocument/2006/relationships/hyperlink" Target="http://www.sec.gov/ix?doc=/Archives/edgar/data/1508655/000119312523188221/d534568d8ka.htm" TargetMode="External"/><Relationship Id="rId211" Type="http://schemas.openxmlformats.org/officeDocument/2006/relationships/hyperlink" Target="http://www.sec.gov/ix?doc=/Archives/edgar/data/1508655/000119312523209093/d513738d8k.htm" TargetMode="External"/><Relationship Id="rId212" Type="http://schemas.openxmlformats.org/officeDocument/2006/relationships/hyperlink" Target="http://www.sec.gov/ix?doc=/Archives/edgar/data/1508655/000119312523212327/d480136d8k.htm" TargetMode="External"/><Relationship Id="rId213"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2026-05-07T07:45:22Z</dcterms:created>
  <dcterms:modified xsi:type="dcterms:W3CDTF">2026-05-07T07:45:22Z</dcterms:modified>
</cp:coreProperties>
</file>