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158750</wp:posOffset>
            </wp:positionV>
            <wp:extent cx="16459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31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161290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0"/>
          <w:szCs w:val="20"/>
          <w:b w:val="1"/>
          <w:bCs w:val="1"/>
          <w:color w:val="auto"/>
        </w:rPr>
        <w:t>Pursuant to Section 13 or 15(d)</w:t>
      </w:r>
    </w:p>
    <w:p>
      <w:pPr>
        <w:jc w:val="center"/>
        <w:ind w:right="-1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Date of Report (Date of earliest event reported): February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88265</wp:posOffset>
            </wp:positionV>
            <wp:extent cx="16459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05"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Sixth Street Specialty Lending, Inc.</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90170</wp:posOffset>
            </wp:positionV>
            <wp:extent cx="16459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53" w:lineRule="exact"/>
        <w:rPr>
          <w:sz w:val="24"/>
          <w:szCs w:val="24"/>
          <w:color w:val="auto"/>
        </w:rPr>
      </w:pPr>
    </w:p>
    <w:tbl>
      <w:tblPr>
        <w:tblLayout w:type="fixed"/>
        <w:tblInd w:w="840" w:type="dxa"/>
        <w:tblCellMar>
          <w:top w:w="0" w:type="dxa"/>
          <w:left w:w="0" w:type="dxa"/>
          <w:bottom w:w="0" w:type="dxa"/>
          <w:right w:w="0" w:type="dxa"/>
        </w:tblCellMar>
      </w:tblPr>
      <w:tr>
        <w:trPr>
          <w:trHeight w:val="212"/>
        </w:trPr>
        <w:tc>
          <w:tcPr>
            <w:tcW w:w="3560" w:type="dxa"/>
            <w:vAlign w:val="bottom"/>
          </w:tcPr>
          <w:p>
            <w:pPr>
              <w:jc w:val="center"/>
              <w:ind w:right="759"/>
              <w:spacing w:after="0"/>
              <w:rPr>
                <w:sz w:val="20"/>
                <w:szCs w:val="20"/>
                <w:color w:val="auto"/>
              </w:rPr>
            </w:pPr>
            <w:r>
              <w:rPr>
                <w:rFonts w:ascii="Arial" w:cs="Arial" w:eastAsia="Arial" w:hAnsi="Arial"/>
                <w:sz w:val="18"/>
                <w:szCs w:val="18"/>
                <w:b w:val="1"/>
                <w:bCs w:val="1"/>
                <w:color w:val="auto"/>
                <w:w w:val="91"/>
              </w:rPr>
              <w:t>Delaware</w:t>
            </w:r>
          </w:p>
        </w:tc>
        <w:tc>
          <w:tcPr>
            <w:tcW w:w="2880" w:type="dxa"/>
            <w:vAlign w:val="bottom"/>
          </w:tcPr>
          <w:p>
            <w:pPr>
              <w:ind w:left="840"/>
              <w:spacing w:after="0"/>
              <w:rPr>
                <w:sz w:val="20"/>
                <w:szCs w:val="20"/>
                <w:color w:val="auto"/>
              </w:rPr>
            </w:pPr>
            <w:r>
              <w:rPr>
                <w:rFonts w:ascii="Arial" w:cs="Arial" w:eastAsia="Arial" w:hAnsi="Arial"/>
                <w:sz w:val="18"/>
                <w:szCs w:val="18"/>
                <w:b w:val="1"/>
                <w:bCs w:val="1"/>
                <w:color w:val="auto"/>
              </w:rPr>
              <w:t>001-36364</w:t>
            </w:r>
          </w:p>
        </w:tc>
        <w:tc>
          <w:tcPr>
            <w:tcW w:w="2340" w:type="dxa"/>
            <w:vAlign w:val="bottom"/>
          </w:tcPr>
          <w:p>
            <w:pPr>
              <w:jc w:val="right"/>
              <w:ind w:right="61"/>
              <w:spacing w:after="0"/>
              <w:rPr>
                <w:sz w:val="20"/>
                <w:szCs w:val="20"/>
                <w:color w:val="auto"/>
              </w:rPr>
            </w:pPr>
            <w:r>
              <w:rPr>
                <w:rFonts w:ascii="Arial" w:cs="Arial" w:eastAsia="Arial" w:hAnsi="Arial"/>
                <w:sz w:val="18"/>
                <w:szCs w:val="18"/>
                <w:b w:val="1"/>
                <w:bCs w:val="1"/>
                <w:color w:val="auto"/>
              </w:rPr>
              <w:t>27-3380000</w:t>
            </w:r>
          </w:p>
        </w:tc>
      </w:tr>
      <w:tr>
        <w:trPr>
          <w:trHeight w:val="148"/>
        </w:trPr>
        <w:tc>
          <w:tcPr>
            <w:tcW w:w="3560" w:type="dxa"/>
            <w:vAlign w:val="bottom"/>
          </w:tcPr>
          <w:p>
            <w:pPr>
              <w:jc w:val="center"/>
              <w:ind w:right="759"/>
              <w:spacing w:after="0" w:line="149" w:lineRule="exact"/>
              <w:rPr>
                <w:sz w:val="20"/>
                <w:szCs w:val="20"/>
                <w:color w:val="auto"/>
              </w:rPr>
            </w:pPr>
            <w:r>
              <w:rPr>
                <w:rFonts w:ascii="Arial" w:cs="Arial" w:eastAsia="Arial" w:hAnsi="Arial"/>
                <w:sz w:val="14"/>
                <w:szCs w:val="14"/>
                <w:b w:val="1"/>
                <w:bCs w:val="1"/>
                <w:color w:val="auto"/>
                <w:w w:val="94"/>
              </w:rPr>
              <w:t>(State or Other Jurisdiction</w:t>
            </w:r>
          </w:p>
        </w:tc>
        <w:tc>
          <w:tcPr>
            <w:tcW w:w="2880" w:type="dxa"/>
            <w:vAlign w:val="bottom"/>
          </w:tcPr>
          <w:p>
            <w:pPr>
              <w:ind w:left="840"/>
              <w:spacing w:after="0" w:line="149" w:lineRule="exact"/>
              <w:rPr>
                <w:sz w:val="20"/>
                <w:szCs w:val="20"/>
                <w:color w:val="auto"/>
              </w:rPr>
            </w:pPr>
            <w:r>
              <w:rPr>
                <w:rFonts w:ascii="Arial" w:cs="Arial" w:eastAsia="Arial" w:hAnsi="Arial"/>
                <w:sz w:val="14"/>
                <w:szCs w:val="14"/>
                <w:b w:val="1"/>
                <w:bCs w:val="1"/>
                <w:color w:val="auto"/>
              </w:rPr>
              <w:t>(Commission</w:t>
            </w:r>
          </w:p>
        </w:tc>
        <w:tc>
          <w:tcPr>
            <w:tcW w:w="2340" w:type="dxa"/>
            <w:vAlign w:val="bottom"/>
          </w:tcPr>
          <w:p>
            <w:pPr>
              <w:jc w:val="center"/>
              <w:ind w:left="1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560" w:type="dxa"/>
            <w:vAlign w:val="bottom"/>
          </w:tcPr>
          <w:p>
            <w:pPr>
              <w:jc w:val="center"/>
              <w:ind w:right="759"/>
              <w:spacing w:after="0"/>
              <w:rPr>
                <w:sz w:val="20"/>
                <w:szCs w:val="20"/>
                <w:color w:val="auto"/>
              </w:rPr>
            </w:pPr>
            <w:r>
              <w:rPr>
                <w:rFonts w:ascii="Arial" w:cs="Arial" w:eastAsia="Arial" w:hAnsi="Arial"/>
                <w:sz w:val="14"/>
                <w:szCs w:val="14"/>
                <w:b w:val="1"/>
                <w:bCs w:val="1"/>
                <w:color w:val="auto"/>
                <w:w w:val="96"/>
              </w:rPr>
              <w:t>of Incorporation)</w:t>
            </w:r>
          </w:p>
        </w:tc>
        <w:tc>
          <w:tcPr>
            <w:tcW w:w="2880" w:type="dxa"/>
            <w:vAlign w:val="bottom"/>
          </w:tcPr>
          <w:p>
            <w:pPr>
              <w:ind w:left="820"/>
              <w:spacing w:after="0"/>
              <w:rPr>
                <w:sz w:val="20"/>
                <w:szCs w:val="20"/>
                <w:color w:val="auto"/>
              </w:rPr>
            </w:pPr>
            <w:r>
              <w:rPr>
                <w:rFonts w:ascii="Arial" w:cs="Arial" w:eastAsia="Arial" w:hAnsi="Arial"/>
                <w:sz w:val="14"/>
                <w:szCs w:val="14"/>
                <w:b w:val="1"/>
                <w:bCs w:val="1"/>
                <w:color w:val="auto"/>
              </w:rPr>
              <w:t>File Number)</w:t>
            </w:r>
          </w:p>
        </w:tc>
        <w:tc>
          <w:tcPr>
            <w:tcW w:w="2340" w:type="dxa"/>
            <w:vAlign w:val="bottom"/>
          </w:tcPr>
          <w:p>
            <w:pPr>
              <w:jc w:val="center"/>
              <w:ind w:left="1121"/>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3560" w:type="dxa"/>
            <w:vAlign w:val="bottom"/>
          </w:tcPr>
          <w:p>
            <w:pPr>
              <w:jc w:val="center"/>
              <w:ind w:right="759"/>
              <w:spacing w:after="0"/>
              <w:rPr>
                <w:sz w:val="20"/>
                <w:szCs w:val="20"/>
                <w:color w:val="auto"/>
              </w:rPr>
            </w:pPr>
            <w:r>
              <w:rPr>
                <w:rFonts w:ascii="Arial" w:cs="Arial" w:eastAsia="Arial" w:hAnsi="Arial"/>
                <w:sz w:val="18"/>
                <w:szCs w:val="18"/>
                <w:b w:val="1"/>
                <w:bCs w:val="1"/>
                <w:color w:val="auto"/>
                <w:w w:val="90"/>
              </w:rPr>
              <w:t>2100 McKinney Avenue, Suite 1500</w:t>
            </w:r>
          </w:p>
        </w:tc>
        <w:tc>
          <w:tcPr>
            <w:tcW w:w="28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2"/>
        </w:trPr>
        <w:tc>
          <w:tcPr>
            <w:tcW w:w="3560" w:type="dxa"/>
            <w:vAlign w:val="bottom"/>
          </w:tcPr>
          <w:p>
            <w:pPr>
              <w:jc w:val="center"/>
              <w:ind w:right="739"/>
              <w:spacing w:after="0"/>
              <w:rPr>
                <w:sz w:val="20"/>
                <w:szCs w:val="20"/>
                <w:color w:val="auto"/>
              </w:rPr>
            </w:pPr>
            <w:r>
              <w:rPr>
                <w:rFonts w:ascii="Arial" w:cs="Arial" w:eastAsia="Arial" w:hAnsi="Arial"/>
                <w:sz w:val="18"/>
                <w:szCs w:val="18"/>
                <w:b w:val="1"/>
                <w:bCs w:val="1"/>
                <w:color w:val="auto"/>
                <w:w w:val="95"/>
              </w:rPr>
              <w:t>Dallas, TX</w:t>
            </w:r>
          </w:p>
        </w:tc>
        <w:tc>
          <w:tcPr>
            <w:tcW w:w="2880" w:type="dxa"/>
            <w:vAlign w:val="bottom"/>
          </w:tcPr>
          <w:p>
            <w:pPr>
              <w:spacing w:after="0"/>
              <w:rPr>
                <w:sz w:val="18"/>
                <w:szCs w:val="18"/>
                <w:color w:val="auto"/>
              </w:rPr>
            </w:pPr>
          </w:p>
        </w:tc>
        <w:tc>
          <w:tcPr>
            <w:tcW w:w="2340" w:type="dxa"/>
            <w:vAlign w:val="bottom"/>
          </w:tcPr>
          <w:p>
            <w:pPr>
              <w:jc w:val="right"/>
              <w:ind w:right="261"/>
              <w:spacing w:after="0"/>
              <w:rPr>
                <w:sz w:val="20"/>
                <w:szCs w:val="20"/>
                <w:color w:val="auto"/>
              </w:rPr>
            </w:pPr>
            <w:r>
              <w:rPr>
                <w:rFonts w:ascii="Arial" w:cs="Arial" w:eastAsia="Arial" w:hAnsi="Arial"/>
                <w:sz w:val="18"/>
                <w:szCs w:val="18"/>
                <w:b w:val="1"/>
                <w:bCs w:val="1"/>
                <w:color w:val="auto"/>
              </w:rPr>
              <w:t>75201</w:t>
            </w:r>
          </w:p>
        </w:tc>
      </w:tr>
      <w:tr>
        <w:trPr>
          <w:trHeight w:val="186"/>
        </w:trPr>
        <w:tc>
          <w:tcPr>
            <w:tcW w:w="3560" w:type="dxa"/>
            <w:vAlign w:val="bottom"/>
          </w:tcPr>
          <w:p>
            <w:pPr>
              <w:jc w:val="center"/>
              <w:ind w:right="73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880" w:type="dxa"/>
            <w:vAlign w:val="bottom"/>
          </w:tcPr>
          <w:p>
            <w:pPr>
              <w:spacing w:after="0"/>
              <w:rPr>
                <w:sz w:val="16"/>
                <w:szCs w:val="16"/>
                <w:color w:val="auto"/>
              </w:rPr>
            </w:pPr>
          </w:p>
        </w:tc>
        <w:tc>
          <w:tcPr>
            <w:tcW w:w="2340" w:type="dxa"/>
            <w:vAlign w:val="bottom"/>
          </w:tcPr>
          <w:p>
            <w:pPr>
              <w:jc w:val="center"/>
              <w:ind w:left="1141"/>
              <w:spacing w:after="0"/>
              <w:rPr>
                <w:sz w:val="20"/>
                <w:szCs w:val="20"/>
                <w:color w:val="auto"/>
              </w:rPr>
            </w:pPr>
            <w:r>
              <w:rPr>
                <w:rFonts w:ascii="Arial" w:cs="Arial" w:eastAsia="Arial" w:hAnsi="Arial"/>
                <w:sz w:val="14"/>
                <w:szCs w:val="14"/>
                <w:b w:val="1"/>
                <w:bCs w:val="1"/>
                <w:color w:val="auto"/>
                <w:w w:val="91"/>
              </w:rPr>
              <w:t>(zip code)</w:t>
            </w:r>
          </w:p>
        </w:tc>
      </w:tr>
    </w:tbl>
    <w:p>
      <w:pPr>
        <w:spacing w:after="0" w:line="183"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Registrant’s telephone number, including area code: (469) 621-3001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68580</wp:posOffset>
            </wp:positionV>
            <wp:extent cx="1645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15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23"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141" w:lineRule="exact"/>
        <w:rPr>
          <w:sz w:val="24"/>
          <w:szCs w:val="24"/>
          <w:color w:val="auto"/>
        </w:rPr>
      </w:pPr>
    </w:p>
    <w:tbl>
      <w:tblPr>
        <w:tblLayout w:type="fixed"/>
        <w:tblInd w:w="600" w:type="dxa"/>
        <w:tblCellMar>
          <w:top w:w="0" w:type="dxa"/>
          <w:left w:w="0" w:type="dxa"/>
          <w:bottom w:w="0" w:type="dxa"/>
          <w:right w:w="0" w:type="dxa"/>
        </w:tblCellMar>
      </w:tblPr>
      <w:tr>
        <w:trPr>
          <w:trHeight w:val="162"/>
        </w:trPr>
        <w:tc>
          <w:tcPr>
            <w:tcW w:w="3520" w:type="dxa"/>
            <w:vAlign w:val="bottom"/>
          </w:tcPr>
          <w:p>
            <w:pPr>
              <w:jc w:val="center"/>
              <w:ind w:right="848"/>
              <w:spacing w:after="0"/>
              <w:rPr>
                <w:sz w:val="20"/>
                <w:szCs w:val="20"/>
                <w:color w:val="auto"/>
              </w:rPr>
            </w:pPr>
            <w:r>
              <w:rPr>
                <w:rFonts w:ascii="Arial" w:cs="Arial" w:eastAsia="Arial" w:hAnsi="Arial"/>
                <w:sz w:val="14"/>
                <w:szCs w:val="14"/>
                <w:b w:val="1"/>
                <w:bCs w:val="1"/>
                <w:color w:val="auto"/>
                <w:w w:val="89"/>
              </w:rPr>
              <w:t>Title of each class</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6"/>
        </w:trPr>
        <w:tc>
          <w:tcPr>
            <w:tcW w:w="3520" w:type="dxa"/>
            <w:vAlign w:val="bottom"/>
          </w:tcPr>
          <w:p>
            <w:pPr>
              <w:jc w:val="center"/>
              <w:ind w:right="868"/>
              <w:spacing w:after="0"/>
              <w:rPr>
                <w:sz w:val="20"/>
                <w:szCs w:val="20"/>
                <w:color w:val="auto"/>
              </w:rPr>
            </w:pPr>
            <w:r>
              <w:rPr>
                <w:rFonts w:ascii="Arial" w:cs="Arial" w:eastAsia="Arial" w:hAnsi="Arial"/>
                <w:sz w:val="14"/>
                <w:szCs w:val="14"/>
                <w:b w:val="1"/>
                <w:bCs w:val="1"/>
                <w:color w:val="auto"/>
                <w:w w:val="92"/>
              </w:rPr>
              <w:t>Common Stock, par value $0.01 per share</w:t>
            </w:r>
          </w:p>
        </w:tc>
        <w:tc>
          <w:tcPr>
            <w:tcW w:w="3000" w:type="dxa"/>
            <w:vAlign w:val="bottom"/>
          </w:tcPr>
          <w:p>
            <w:pPr>
              <w:jc w:val="center"/>
              <w:spacing w:after="0"/>
              <w:rPr>
                <w:sz w:val="20"/>
                <w:szCs w:val="20"/>
                <w:color w:val="auto"/>
              </w:rPr>
            </w:pPr>
            <w:r>
              <w:rPr>
                <w:rFonts w:ascii="Arial" w:cs="Arial" w:eastAsia="Arial" w:hAnsi="Arial"/>
                <w:sz w:val="14"/>
                <w:szCs w:val="14"/>
                <w:b w:val="1"/>
                <w:bCs w:val="1"/>
                <w:color w:val="auto"/>
              </w:rPr>
              <w:t>TSLX</w:t>
            </w:r>
          </w:p>
        </w:tc>
        <w:tc>
          <w:tcPr>
            <w:tcW w:w="3580" w:type="dxa"/>
            <w:vAlign w:val="bottom"/>
          </w:tcPr>
          <w:p>
            <w:pPr>
              <w:jc w:val="center"/>
              <w:ind w:left="848"/>
              <w:spacing w:after="0"/>
              <w:rPr>
                <w:sz w:val="20"/>
                <w:szCs w:val="20"/>
                <w:color w:val="auto"/>
              </w:rPr>
            </w:pPr>
            <w:r>
              <w:rPr>
                <w:rFonts w:ascii="Arial" w:cs="Arial" w:eastAsia="Arial" w:hAnsi="Arial"/>
                <w:sz w:val="14"/>
                <w:szCs w:val="14"/>
                <w:b w:val="1"/>
                <w:bCs w:val="1"/>
                <w:color w:val="auto"/>
                <w:w w:val="92"/>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2146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86" w:lineRule="exact"/>
        <w:rPr>
          <w:sz w:val="24"/>
          <w:szCs w:val="24"/>
          <w:color w:val="auto"/>
        </w:rPr>
      </w:pPr>
    </w:p>
    <w:p>
      <w:pPr>
        <w:jc w:val="both"/>
        <w:ind w:right="3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472440</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80"/>
          </w:cols>
          <w:pgMar w:left="320" w:top="665" w:right="49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On February 17, 2022, the registrant issued a press release announcing its financial results for the quarter ended December 31, 2021. The text of the press release is included as Exhibit 99.1 to this Form 8-K.</w:t>
      </w:r>
    </w:p>
    <w:p>
      <w:pPr>
        <w:spacing w:after="0" w:line="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On February 17, 2022, the registrant issued a press release, included herewith as Exhibit 99.1, announcing the declaration of a first quarter 2022 base dividend per share of $0.41 to shareholders of record as of March 15, 2022, payable on April 18, 2022, a fourth quarter 2021 supplemental dividend per share of $0.11 to shareholders of record as of February 28, 2022, payable on March 31, 2022.</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ind w:left="2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60"/>
        <w:spacing w:after="0"/>
        <w:tabs>
          <w:tab w:leader="none" w:pos="11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1" w:lineRule="exact"/>
        <w:rPr>
          <w:sz w:val="20"/>
          <w:szCs w:val="20"/>
          <w:color w:val="auto"/>
        </w:rPr>
      </w:pPr>
    </w:p>
    <w:p>
      <w:pPr>
        <w:spacing w:after="0"/>
        <w:tabs>
          <w:tab w:leader="none" w:pos="11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February 17,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36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SIXTH STREET SPECIALTY LENDING, INC.</w:t>
            </w:r>
          </w:p>
        </w:tc>
      </w:tr>
      <w:tr>
        <w:trPr>
          <w:trHeight w:val="230"/>
        </w:trPr>
        <w:tc>
          <w:tcPr>
            <w:tcW w:w="3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(Registrant)</w:t>
            </w:r>
          </w:p>
        </w:tc>
      </w:tr>
      <w:tr>
        <w:trPr>
          <w:trHeight w:val="432"/>
        </w:trPr>
        <w:tc>
          <w:tcPr>
            <w:tcW w:w="3680" w:type="dxa"/>
            <w:vAlign w:val="bottom"/>
          </w:tcPr>
          <w:p>
            <w:pPr>
              <w:spacing w:after="0"/>
              <w:rPr>
                <w:sz w:val="20"/>
                <w:szCs w:val="20"/>
                <w:color w:val="auto"/>
              </w:rPr>
            </w:pPr>
            <w:r>
              <w:rPr>
                <w:rFonts w:ascii="Arial" w:cs="Arial" w:eastAsia="Arial" w:hAnsi="Arial"/>
                <w:sz w:val="18"/>
                <w:szCs w:val="18"/>
                <w:color w:val="auto"/>
              </w:rPr>
              <w:t>Date: February 17, 2022</w:t>
            </w:r>
          </w:p>
        </w:tc>
        <w:tc>
          <w:tcPr>
            <w:tcW w:w="7540" w:type="dxa"/>
            <w:vAlign w:val="bottom"/>
            <w:gridSpan w:val="2"/>
          </w:tcPr>
          <w:p>
            <w:pPr>
              <w:ind w:left="1940"/>
              <w:spacing w:after="0"/>
              <w:rPr>
                <w:sz w:val="20"/>
                <w:szCs w:val="20"/>
                <w:color w:val="auto"/>
              </w:rPr>
            </w:pPr>
            <w:r>
              <w:rPr>
                <w:rFonts w:ascii="Arial" w:cs="Arial" w:eastAsia="Arial" w:hAnsi="Arial"/>
                <w:sz w:val="18"/>
                <w:szCs w:val="18"/>
                <w:color w:val="auto"/>
              </w:rPr>
              <w:t>By: /s/ Ian Simmonds</w:t>
            </w:r>
          </w:p>
        </w:tc>
      </w:tr>
      <w:tr>
        <w:trPr>
          <w:trHeight w:val="195"/>
        </w:trPr>
        <w:tc>
          <w:tcPr>
            <w:tcW w:w="36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6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571" w:right="33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371600" cy="402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FULL YEAR AND FOURTH QUARTER 2021 EARNINGS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Sixth Street Specialty Lending, Inc. Reports Full Year and Fourth Quarter 2021 Earnings Results; Declares a First Quarter Base Dividend Per Share of $0.41, and a Fourth Quarter Supplemental Dividend Per Share of $0.11</w:t>
      </w:r>
    </w:p>
    <w:p>
      <w:pPr>
        <w:sectPr>
          <w:pgSz w:w="11900" w:h="16838" w:orient="portrait"/>
          <w:cols w:equalWidth="0" w:num="1">
            <w:col w:w="11260"/>
          </w:cols>
          <w:pgMar w:left="320" w:top="121" w:right="319" w:bottom="1440" w:gutter="0" w:footer="0" w:header="0"/>
        </w:sectPr>
      </w:pPr>
    </w:p>
    <w:p>
      <w:pPr>
        <w:spacing w:after="0" w:line="9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NEW YORK—February 17, 2022— Sixth Street Specialty Lending, Inc. (NYSE: TSLX, or the “Company”) today reported adjusted net investment income of $2.16 per share and adjusted net income of $3.12 per share for the year ended December 31, 2021. For the quarter ended December 31, 2021, adjusted net investment income per share was $0.63 and adjusted net income per share was $0.57. Return on equity (ROE) for the full year 2021 was 13.6% and 19.7% on an adjusted net investment income and an adjusted net income basis, respectively. Annualized ROE for the fourth quarter 2021 was 14.6% and 13.2% on an adjusted net investment income and an adjusted net income basis, respectively.</w:t>
      </w:r>
    </w:p>
    <w:p>
      <w:pPr>
        <w:spacing w:after="0" w:line="9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Both adjusted net investment income per share and adjusted net income per share for the year exclude approximately $0.19 per share of capital gains incentive fee expenses that were accrued, but not paid or payable, related to cumulative gains in excess of cumulative losses less capital gains incentive fees paid inception-to-date. Including the impact of the capital gains incentive fee expenses accrued this year, the Company’s net investment income and net income for the year ended December 31, 2021 were $1.97 and $2.93, respectively. For the quarter ended December 31, 2021 net investment income and net income per share were $0.63 and $0.57, respectively. The Company’s net investment income in the fourth quarter was driven by higher fees from elevated repayment activity, as well as a robust level of interest income from the strength in the core earnings power of the portfolio.</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FFFFFF"/>
        </w:rPr>
        <w:t>Net Investment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-144780</wp:posOffset>
            </wp:positionV>
            <wp:extent cx="2134235" cy="2057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34235" cy="205740"/>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gridSpan w:val="2"/>
          </w:tcPr>
          <w:p>
            <w:pPr>
              <w:ind w:left="60"/>
              <w:spacing w:after="0"/>
              <w:rPr>
                <w:sz w:val="20"/>
                <w:szCs w:val="20"/>
                <w:color w:val="auto"/>
              </w:rPr>
            </w:pPr>
            <w:r>
              <w:rPr>
                <w:rFonts w:ascii="Arial" w:cs="Arial" w:eastAsia="Arial" w:hAnsi="Arial"/>
                <w:sz w:val="18"/>
                <w:szCs w:val="18"/>
                <w:b w:val="1"/>
                <w:bCs w:val="1"/>
                <w:color w:val="auto"/>
              </w:rPr>
              <w:t>2021 (adjusted):</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$2.16</w:t>
            </w:r>
          </w:p>
        </w:tc>
      </w:t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2380" w:type="dxa"/>
            <w:vAlign w:val="bottom"/>
          </w:tcPr>
          <w:p>
            <w:pPr>
              <w:ind w:left="20"/>
              <w:spacing w:after="0"/>
              <w:rPr>
                <w:sz w:val="20"/>
                <w:szCs w:val="20"/>
                <w:color w:val="auto"/>
              </w:rPr>
            </w:pPr>
            <w:r>
              <w:rPr>
                <w:rFonts w:ascii="Arial" w:cs="Arial" w:eastAsia="Arial" w:hAnsi="Arial"/>
                <w:sz w:val="18"/>
                <w:szCs w:val="18"/>
                <w:b w:val="1"/>
                <w:bCs w:val="1"/>
                <w:color w:val="auto"/>
              </w:rPr>
              <w:t>2021 (adjusted):</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$0.63</w:t>
            </w:r>
          </w:p>
        </w:tc>
      </w:tr>
      <w:tr>
        <w:trPr>
          <w:trHeight w:val="81"/>
        </w:trPr>
        <w:tc>
          <w:tcPr>
            <w:tcW w:w="2700" w:type="dxa"/>
            <w:vAlign w:val="bottom"/>
            <w:tcBorders>
              <w:bottom w:val="single" w:sz="8" w:color="D9DDE1"/>
            </w:tcBorders>
            <w:gridSpan w:val="2"/>
          </w:tcPr>
          <w:p>
            <w:pPr>
              <w:spacing w:after="0"/>
              <w:rPr>
                <w:sz w:val="7"/>
                <w:szCs w:val="7"/>
                <w:color w:val="auto"/>
              </w:rPr>
            </w:pPr>
          </w:p>
        </w:tc>
        <w:tc>
          <w:tcPr>
            <w:tcW w:w="660" w:type="dxa"/>
            <w:vAlign w:val="bottom"/>
            <w:tcBorders>
              <w:bottom w:val="single" w:sz="8" w:color="D9DDE1"/>
            </w:tcBorders>
          </w:tcPr>
          <w:p>
            <w:pPr>
              <w:spacing w:after="0"/>
              <w:rPr>
                <w:sz w:val="7"/>
                <w:szCs w:val="7"/>
                <w:color w:val="auto"/>
              </w:rPr>
            </w:pPr>
          </w:p>
        </w:tc>
      </w:tr>
      <w:tr>
        <w:trPr>
          <w:trHeight w:val="218"/>
        </w:trPr>
        <w:tc>
          <w:tcPr>
            <w:tcW w:w="2700" w:type="dxa"/>
            <w:vAlign w:val="bottom"/>
            <w:gridSpan w:val="2"/>
          </w:tcPr>
          <w:p>
            <w:pPr>
              <w:ind w:left="60"/>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$1.97</w:t>
            </w:r>
          </w:p>
        </w:tc>
      </w:t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2380" w:type="dxa"/>
            <w:vAlign w:val="bottom"/>
          </w:tcPr>
          <w:p>
            <w:pPr>
              <w:ind w:left="20"/>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$0.63</w:t>
            </w:r>
          </w:p>
        </w:tc>
      </w:tr>
      <w:tr>
        <w:trPr>
          <w:trHeight w:val="283"/>
        </w:trPr>
        <w:tc>
          <w:tcPr>
            <w:tcW w:w="3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11"/>
        </w:trPr>
        <w:tc>
          <w:tcPr>
            <w:tcW w:w="320" w:type="dxa"/>
            <w:vAlign w:val="bottom"/>
            <w:shd w:val="clear" w:color="auto" w:fill="0F2F50"/>
          </w:tcPr>
          <w:p>
            <w:pPr>
              <w:spacing w:after="0"/>
              <w:rPr>
                <w:sz w:val="24"/>
                <w:szCs w:val="24"/>
                <w:color w:val="auto"/>
              </w:rPr>
            </w:pPr>
          </w:p>
        </w:tc>
        <w:tc>
          <w:tcPr>
            <w:tcW w:w="2380" w:type="dxa"/>
            <w:vAlign w:val="bottom"/>
            <w:shd w:val="clear" w:color="auto" w:fill="0F2F50"/>
          </w:tcPr>
          <w:p>
            <w:pPr>
              <w:ind w:left="520"/>
              <w:spacing w:after="0"/>
              <w:rPr>
                <w:sz w:val="20"/>
                <w:szCs w:val="20"/>
                <w:color w:val="auto"/>
              </w:rPr>
            </w:pPr>
            <w:r>
              <w:rPr>
                <w:rFonts w:ascii="Arial" w:cs="Arial" w:eastAsia="Arial" w:hAnsi="Arial"/>
                <w:sz w:val="18"/>
                <w:szCs w:val="18"/>
                <w:b w:val="1"/>
                <w:bCs w:val="1"/>
                <w:color w:val="FFFFFF"/>
                <w:w w:val="98"/>
              </w:rPr>
              <w:t>Net Income Per Share</w:t>
            </w:r>
          </w:p>
        </w:tc>
        <w:tc>
          <w:tcPr>
            <w:tcW w:w="660" w:type="dxa"/>
            <w:vAlign w:val="bottom"/>
            <w:shd w:val="clear" w:color="auto" w:fill="0F2F50"/>
          </w:tcPr>
          <w:p>
            <w:pPr>
              <w:spacing w:after="0"/>
              <w:rPr>
                <w:sz w:val="24"/>
                <w:szCs w:val="24"/>
                <w:color w:val="auto"/>
              </w:rPr>
            </w:pPr>
          </w:p>
        </w:tc>
      </w:tr>
      <w:tr>
        <w:trPr>
          <w:trHeight w:val="108"/>
        </w:trPr>
        <w:tc>
          <w:tcPr>
            <w:tcW w:w="2700" w:type="dxa"/>
            <w:vAlign w:val="bottom"/>
            <w:gridSpan w:val="2"/>
            <w:shd w:val="clear" w:color="auto" w:fill="0F2F50"/>
          </w:tcPr>
          <w:p>
            <w:pPr>
              <w:spacing w:after="0"/>
              <w:rPr>
                <w:sz w:val="9"/>
                <w:szCs w:val="9"/>
                <w:color w:val="auto"/>
              </w:rPr>
            </w:pPr>
          </w:p>
        </w:tc>
        <w:tc>
          <w:tcPr>
            <w:tcW w:w="660" w:type="dxa"/>
            <w:vAlign w:val="bottom"/>
            <w:shd w:val="clear" w:color="auto" w:fill="0F2F50"/>
          </w:tcPr>
          <w:p>
            <w:pPr>
              <w:spacing w:after="0"/>
              <w:rPr>
                <w:sz w:val="9"/>
                <w:szCs w:val="9"/>
                <w:color w:val="auto"/>
              </w:rPr>
            </w:pPr>
          </w:p>
        </w:tc>
      </w:tr>
      <w:tr>
        <w:trPr>
          <w:trHeight w:val="360"/>
        </w:trPr>
        <w:tc>
          <w:tcPr>
            <w:tcW w:w="2700" w:type="dxa"/>
            <w:vAlign w:val="bottom"/>
            <w:gridSpan w:val="2"/>
          </w:tcPr>
          <w:p>
            <w:pPr>
              <w:ind w:left="60"/>
              <w:spacing w:after="0"/>
              <w:rPr>
                <w:sz w:val="20"/>
                <w:szCs w:val="20"/>
                <w:color w:val="auto"/>
              </w:rPr>
            </w:pPr>
            <w:r>
              <w:rPr>
                <w:rFonts w:ascii="Arial" w:cs="Arial" w:eastAsia="Arial" w:hAnsi="Arial"/>
                <w:sz w:val="18"/>
                <w:szCs w:val="18"/>
                <w:b w:val="1"/>
                <w:bCs w:val="1"/>
                <w:color w:val="auto"/>
              </w:rPr>
              <w:t>2021 (adjusted):</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$3.12</w:t>
            </w:r>
          </w:p>
        </w:tc>
      </w:t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2380" w:type="dxa"/>
            <w:vAlign w:val="bottom"/>
          </w:tcPr>
          <w:p>
            <w:pPr>
              <w:ind w:left="20"/>
              <w:spacing w:after="0"/>
              <w:rPr>
                <w:sz w:val="20"/>
                <w:szCs w:val="20"/>
                <w:color w:val="auto"/>
              </w:rPr>
            </w:pPr>
            <w:r>
              <w:rPr>
                <w:rFonts w:ascii="Arial" w:cs="Arial" w:eastAsia="Arial" w:hAnsi="Arial"/>
                <w:sz w:val="18"/>
                <w:szCs w:val="18"/>
                <w:b w:val="1"/>
                <w:bCs w:val="1"/>
                <w:color w:val="auto"/>
              </w:rPr>
              <w:t>2021 (adjusted):</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$0.57</w:t>
            </w:r>
          </w:p>
        </w:tc>
      </w:tr>
      <w:tr>
        <w:trPr>
          <w:trHeight w:val="162"/>
        </w:trPr>
        <w:tc>
          <w:tcPr>
            <w:tcW w:w="2700" w:type="dxa"/>
            <w:vAlign w:val="bottom"/>
            <w:tcBorders>
              <w:bottom w:val="single" w:sz="8" w:color="D9DDE1"/>
            </w:tcBorders>
            <w:gridSpan w:val="2"/>
          </w:tcPr>
          <w:p>
            <w:pPr>
              <w:spacing w:after="0"/>
              <w:rPr>
                <w:sz w:val="14"/>
                <w:szCs w:val="14"/>
                <w:color w:val="auto"/>
              </w:rPr>
            </w:pPr>
          </w:p>
        </w:tc>
        <w:tc>
          <w:tcPr>
            <w:tcW w:w="660" w:type="dxa"/>
            <w:vAlign w:val="bottom"/>
            <w:tcBorders>
              <w:bottom w:val="single" w:sz="8" w:color="D9DDE1"/>
            </w:tcBorders>
          </w:tcPr>
          <w:p>
            <w:pPr>
              <w:spacing w:after="0"/>
              <w:rPr>
                <w:sz w:val="14"/>
                <w:szCs w:val="14"/>
                <w:color w:val="auto"/>
              </w:rPr>
            </w:pPr>
          </w:p>
        </w:tc>
      </w:tr>
      <w:tr>
        <w:trPr>
          <w:trHeight w:val="218"/>
        </w:trPr>
        <w:tc>
          <w:tcPr>
            <w:tcW w:w="2700" w:type="dxa"/>
            <w:vAlign w:val="bottom"/>
            <w:gridSpan w:val="2"/>
          </w:tcPr>
          <w:p>
            <w:pPr>
              <w:ind w:left="60"/>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$2.93</w:t>
            </w:r>
          </w:p>
        </w:tc>
      </w:t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2380" w:type="dxa"/>
            <w:vAlign w:val="bottom"/>
          </w:tcPr>
          <w:p>
            <w:pPr>
              <w:ind w:left="20"/>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$0.57</w:t>
            </w:r>
          </w:p>
        </w:tc>
      </w:tr>
    </w:tbl>
    <w:p>
      <w:pPr>
        <w:spacing w:after="0" w:line="431" w:lineRule="exact"/>
        <w:rPr>
          <w:sz w:val="20"/>
          <w:szCs w:val="20"/>
          <w:color w:val="auto"/>
        </w:rPr>
      </w:pPr>
    </w:p>
    <w:p>
      <w:pPr>
        <w:sectPr>
          <w:pgSz w:w="11900" w:h="16838" w:orient="portrait"/>
          <w:cols w:equalWidth="0" w:num="2">
            <w:col w:w="7640" w:space="240"/>
            <w:col w:w="3380"/>
          </w:cols>
          <w:pgMar w:left="320" w:top="121" w:right="319" w:bottom="1440" w:gutter="0" w:footer="0" w:header="0"/>
          <w:type w:val="continuous"/>
        </w:sectPr>
      </w:pPr>
    </w:p>
    <w:p>
      <w:pPr>
        <w:jc w:val="both"/>
        <w:spacing w:after="0" w:line="270" w:lineRule="auto"/>
        <w:rPr>
          <w:sz w:val="20"/>
          <w:szCs w:val="20"/>
          <w:color w:val="auto"/>
        </w:rPr>
      </w:pPr>
      <w:r>
        <w:rPr>
          <w:rFonts w:ascii="Arial" w:cs="Arial" w:eastAsia="Arial" w:hAnsi="Arial"/>
          <w:sz w:val="17"/>
          <w:szCs w:val="17"/>
          <w:color w:val="auto"/>
        </w:rPr>
        <w:t>Reported net asset value (NAV) per share was $16.84 at December 31, 2021 as compared to $17.18 at September 30, 2021. The Company announced that its Board of Directors has declared a first quarter 2022 base dividend of $0.41 per share to shareholders of record as of March 15, 2022, payable on April 18, 2022, and a fourth quarter supplemental dividend of $0.11 per share to shareholders of record as of February 28, 2022, payable on March 31, 2022. Adjusted for the impact of the supplemental dividend, the Company’s fourth quarter pro forma NAV per share was $16.73 as compared to pro forma NAV per share of $15.86 at December 31, 2020. The primary drivers of this year’s NAV per share growth were the over-earning of our base dividend through net investment income, accretive capital markets transactions, and realized and unrealized gains on investments.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FFFFFF"/>
        </w:rPr>
        <w:t>Return On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-136525</wp:posOffset>
            </wp:positionV>
            <wp:extent cx="213423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34235" cy="171450"/>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2021</w:t>
            </w: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(Adj. NII):</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13.6%</w:t>
            </w:r>
          </w:p>
        </w:tc>
      </w:tr>
      <w:tr>
        <w:trPr>
          <w:trHeight w:val="234"/>
        </w:trPr>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Q4 2021</w:t>
            </w:r>
          </w:p>
        </w:tc>
        <w:tc>
          <w:tcPr>
            <w:tcW w:w="1440" w:type="dxa"/>
            <w:vAlign w:val="bottom"/>
          </w:tcPr>
          <w:p>
            <w:pPr>
              <w:ind w:left="20"/>
              <w:spacing w:after="0"/>
              <w:rPr>
                <w:sz w:val="20"/>
                <w:szCs w:val="20"/>
                <w:color w:val="auto"/>
              </w:rPr>
            </w:pPr>
            <w:r>
              <w:rPr>
                <w:rFonts w:ascii="Arial" w:cs="Arial" w:eastAsia="Arial" w:hAnsi="Arial"/>
                <w:sz w:val="18"/>
                <w:szCs w:val="18"/>
                <w:b w:val="1"/>
                <w:bCs w:val="1"/>
                <w:color w:val="auto"/>
              </w:rPr>
              <w:t>(Adj NII):</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14.6%</w:t>
            </w:r>
          </w:p>
        </w:tc>
      </w:tr>
      <w:tr>
        <w:trPr>
          <w:trHeight w:val="27"/>
        </w:trPr>
        <w:tc>
          <w:tcPr>
            <w:tcW w:w="440" w:type="dxa"/>
            <w:vAlign w:val="bottom"/>
            <w:tcBorders>
              <w:bottom w:val="single" w:sz="8" w:color="D9DDE1"/>
            </w:tcBorders>
          </w:tcPr>
          <w:p>
            <w:pPr>
              <w:spacing w:after="0"/>
              <w:rPr>
                <w:sz w:val="2"/>
                <w:szCs w:val="2"/>
                <w:color w:val="auto"/>
              </w:rPr>
            </w:pPr>
          </w:p>
        </w:tc>
        <w:tc>
          <w:tcPr>
            <w:tcW w:w="1720" w:type="dxa"/>
            <w:vAlign w:val="bottom"/>
            <w:tcBorders>
              <w:bottom w:val="single" w:sz="8" w:color="D9DDE1"/>
            </w:tcBorders>
            <w:gridSpan w:val="2"/>
          </w:tcPr>
          <w:p>
            <w:pPr>
              <w:spacing w:after="0"/>
              <w:rPr>
                <w:sz w:val="2"/>
                <w:szCs w:val="2"/>
                <w:color w:val="auto"/>
              </w:rPr>
            </w:pPr>
          </w:p>
        </w:tc>
        <w:tc>
          <w:tcPr>
            <w:tcW w:w="1200" w:type="dxa"/>
            <w:vAlign w:val="bottom"/>
            <w:tcBorders>
              <w:bottom w:val="single" w:sz="8" w:color="D9DDE1"/>
            </w:tcBorders>
          </w:tcPr>
          <w:p>
            <w:pPr>
              <w:spacing w:after="0"/>
              <w:rPr>
                <w:sz w:val="2"/>
                <w:szCs w:val="2"/>
                <w:color w:val="auto"/>
              </w:rPr>
            </w:pPr>
          </w:p>
        </w:tc>
      </w:tr>
      <w:tr>
        <w:trPr>
          <w:trHeight w:val="218"/>
        </w:trPr>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2021</w:t>
            </w: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(Adj. NI):</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19.7%</w:t>
            </w:r>
          </w:p>
        </w:tc>
      </w:tr>
      <w:tr>
        <w:trPr>
          <w:trHeight w:val="234"/>
        </w:trPr>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Q4 2021</w:t>
            </w:r>
          </w:p>
        </w:tc>
        <w:tc>
          <w:tcPr>
            <w:tcW w:w="1440" w:type="dxa"/>
            <w:vAlign w:val="bottom"/>
          </w:tcPr>
          <w:p>
            <w:pPr>
              <w:ind w:left="20"/>
              <w:spacing w:after="0"/>
              <w:rPr>
                <w:sz w:val="20"/>
                <w:szCs w:val="20"/>
                <w:color w:val="auto"/>
              </w:rPr>
            </w:pPr>
            <w:r>
              <w:rPr>
                <w:rFonts w:ascii="Arial" w:cs="Arial" w:eastAsia="Arial" w:hAnsi="Arial"/>
                <w:sz w:val="18"/>
                <w:szCs w:val="18"/>
                <w:b w:val="1"/>
                <w:bCs w:val="1"/>
                <w:color w:val="auto"/>
              </w:rPr>
              <w:t>(Adj NI):</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13.2%</w:t>
            </w:r>
          </w:p>
        </w:tc>
      </w:tr>
      <w:tr>
        <w:trPr>
          <w:trHeight w:val="27"/>
        </w:trPr>
        <w:tc>
          <w:tcPr>
            <w:tcW w:w="440" w:type="dxa"/>
            <w:vAlign w:val="bottom"/>
            <w:tcBorders>
              <w:bottom w:val="single" w:sz="8" w:color="D9DDE1"/>
            </w:tcBorders>
          </w:tcPr>
          <w:p>
            <w:pPr>
              <w:spacing w:after="0"/>
              <w:rPr>
                <w:sz w:val="2"/>
                <w:szCs w:val="2"/>
                <w:color w:val="auto"/>
              </w:rPr>
            </w:pPr>
          </w:p>
        </w:tc>
        <w:tc>
          <w:tcPr>
            <w:tcW w:w="1720" w:type="dxa"/>
            <w:vAlign w:val="bottom"/>
            <w:tcBorders>
              <w:bottom w:val="single" w:sz="8" w:color="D9DDE1"/>
            </w:tcBorders>
            <w:gridSpan w:val="2"/>
          </w:tcPr>
          <w:p>
            <w:pPr>
              <w:spacing w:after="0"/>
              <w:rPr>
                <w:sz w:val="2"/>
                <w:szCs w:val="2"/>
                <w:color w:val="auto"/>
              </w:rPr>
            </w:pPr>
          </w:p>
        </w:tc>
        <w:tc>
          <w:tcPr>
            <w:tcW w:w="1200" w:type="dxa"/>
            <w:vAlign w:val="bottom"/>
            <w:tcBorders>
              <w:bottom w:val="single" w:sz="8" w:color="D9DDE1"/>
            </w:tcBorders>
          </w:tcPr>
          <w:p>
            <w:pPr>
              <w:spacing w:after="0"/>
              <w:rPr>
                <w:sz w:val="2"/>
                <w:szCs w:val="2"/>
                <w:color w:val="auto"/>
              </w:rPr>
            </w:pPr>
          </w:p>
        </w:tc>
      </w:tr>
      <w:tr>
        <w:trPr>
          <w:trHeight w:val="218"/>
        </w:trPr>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2021</w:t>
            </w: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(NII):</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12.4%</w:t>
            </w:r>
          </w:p>
        </w:tc>
      </w:tr>
      <w:tr>
        <w:trPr>
          <w:trHeight w:val="234"/>
        </w:trPr>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Q4 2021</w:t>
            </w:r>
          </w:p>
        </w:tc>
        <w:tc>
          <w:tcPr>
            <w:tcW w:w="1440" w:type="dxa"/>
            <w:vAlign w:val="bottom"/>
          </w:tcPr>
          <w:p>
            <w:pPr>
              <w:ind w:left="20"/>
              <w:spacing w:after="0"/>
              <w:rPr>
                <w:sz w:val="20"/>
                <w:szCs w:val="20"/>
                <w:color w:val="auto"/>
              </w:rPr>
            </w:pPr>
            <w:r>
              <w:rPr>
                <w:rFonts w:ascii="Arial" w:cs="Arial" w:eastAsia="Arial" w:hAnsi="Arial"/>
                <w:sz w:val="18"/>
                <w:szCs w:val="18"/>
                <w:b w:val="1"/>
                <w:bCs w:val="1"/>
                <w:color w:val="auto"/>
              </w:rPr>
              <w:t>(NII):</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14.6%</w:t>
            </w:r>
          </w:p>
        </w:tc>
      </w:tr>
      <w:tr>
        <w:trPr>
          <w:trHeight w:val="27"/>
        </w:trPr>
        <w:tc>
          <w:tcPr>
            <w:tcW w:w="440" w:type="dxa"/>
            <w:vAlign w:val="bottom"/>
            <w:tcBorders>
              <w:bottom w:val="single" w:sz="8" w:color="D9DDE1"/>
            </w:tcBorders>
          </w:tcPr>
          <w:p>
            <w:pPr>
              <w:spacing w:after="0"/>
              <w:rPr>
                <w:sz w:val="2"/>
                <w:szCs w:val="2"/>
                <w:color w:val="auto"/>
              </w:rPr>
            </w:pPr>
          </w:p>
        </w:tc>
        <w:tc>
          <w:tcPr>
            <w:tcW w:w="1720" w:type="dxa"/>
            <w:vAlign w:val="bottom"/>
            <w:tcBorders>
              <w:bottom w:val="single" w:sz="8" w:color="D9DDE1"/>
            </w:tcBorders>
            <w:gridSpan w:val="2"/>
          </w:tcPr>
          <w:p>
            <w:pPr>
              <w:spacing w:after="0"/>
              <w:rPr>
                <w:sz w:val="2"/>
                <w:szCs w:val="2"/>
                <w:color w:val="auto"/>
              </w:rPr>
            </w:pPr>
          </w:p>
        </w:tc>
        <w:tc>
          <w:tcPr>
            <w:tcW w:w="1200" w:type="dxa"/>
            <w:vAlign w:val="bottom"/>
            <w:tcBorders>
              <w:bottom w:val="single" w:sz="8" w:color="D9DDE1"/>
            </w:tcBorders>
          </w:tcPr>
          <w:p>
            <w:pPr>
              <w:spacing w:after="0"/>
              <w:rPr>
                <w:sz w:val="2"/>
                <w:szCs w:val="2"/>
                <w:color w:val="auto"/>
              </w:rPr>
            </w:pPr>
          </w:p>
        </w:tc>
      </w:tr>
      <w:tr>
        <w:trPr>
          <w:trHeight w:val="218"/>
        </w:trPr>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2021</w:t>
            </w:r>
          </w:p>
        </w:tc>
        <w:tc>
          <w:tcPr>
            <w:tcW w:w="1720" w:type="dxa"/>
            <w:vAlign w:val="bottom"/>
            <w:gridSpan w:val="2"/>
          </w:tcPr>
          <w:p>
            <w:pPr>
              <w:ind w:left="20"/>
              <w:spacing w:after="0"/>
              <w:rPr>
                <w:sz w:val="20"/>
                <w:szCs w:val="20"/>
                <w:color w:val="auto"/>
              </w:rPr>
            </w:pPr>
            <w:r>
              <w:rPr>
                <w:rFonts w:ascii="Arial" w:cs="Arial" w:eastAsia="Arial" w:hAnsi="Arial"/>
                <w:sz w:val="18"/>
                <w:szCs w:val="18"/>
                <w:b w:val="1"/>
                <w:bCs w:val="1"/>
                <w:color w:val="auto"/>
              </w:rPr>
              <w:t>(NI):</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18.5%</w:t>
            </w:r>
          </w:p>
        </w:tc>
      </w:tr>
      <w:tr>
        <w:trPr>
          <w:trHeight w:val="234"/>
        </w:trPr>
        <w:tc>
          <w:tcPr>
            <w:tcW w:w="720" w:type="dxa"/>
            <w:vAlign w:val="bottom"/>
            <w:gridSpan w:val="2"/>
          </w:tcPr>
          <w:p>
            <w:pPr>
              <w:ind w:left="60"/>
              <w:spacing w:after="0"/>
              <w:rPr>
                <w:sz w:val="20"/>
                <w:szCs w:val="20"/>
                <w:color w:val="auto"/>
              </w:rPr>
            </w:pPr>
            <w:r>
              <w:rPr>
                <w:rFonts w:ascii="Arial" w:cs="Arial" w:eastAsia="Arial" w:hAnsi="Arial"/>
                <w:sz w:val="18"/>
                <w:szCs w:val="18"/>
                <w:b w:val="1"/>
                <w:bCs w:val="1"/>
                <w:color w:val="auto"/>
                <w:w w:val="92"/>
              </w:rPr>
              <w:t>Q4 2021</w:t>
            </w:r>
          </w:p>
        </w:tc>
        <w:tc>
          <w:tcPr>
            <w:tcW w:w="1440" w:type="dxa"/>
            <w:vAlign w:val="bottom"/>
          </w:tcPr>
          <w:p>
            <w:pPr>
              <w:ind w:left="20"/>
              <w:spacing w:after="0"/>
              <w:rPr>
                <w:sz w:val="20"/>
                <w:szCs w:val="20"/>
                <w:color w:val="auto"/>
              </w:rPr>
            </w:pPr>
            <w:r>
              <w:rPr>
                <w:rFonts w:ascii="Arial" w:cs="Arial" w:eastAsia="Arial" w:hAnsi="Arial"/>
                <w:sz w:val="18"/>
                <w:szCs w:val="18"/>
                <w:b w:val="1"/>
                <w:bCs w:val="1"/>
                <w:color w:val="auto"/>
              </w:rPr>
              <w:t>(NI):</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13.2%</w:t>
            </w:r>
          </w:p>
        </w:tc>
      </w:tr>
    </w:tbl>
    <w:p>
      <w:pPr>
        <w:spacing w:after="0" w:line="161" w:lineRule="exact"/>
        <w:rPr>
          <w:sz w:val="20"/>
          <w:szCs w:val="20"/>
          <w:color w:val="auto"/>
        </w:rPr>
      </w:pPr>
    </w:p>
    <w:p>
      <w:pPr>
        <w:sectPr>
          <w:pgSz w:w="11900" w:h="16838" w:orient="portrait"/>
          <w:cols w:equalWidth="0" w:num="2">
            <w:col w:w="7640" w:space="240"/>
            <w:col w:w="3380"/>
          </w:cols>
          <w:pgMar w:left="320" w:top="121" w:right="319" w:bottom="1440" w:gutter="0" w:footer="0" w:header="0"/>
          <w:type w:val="continuous"/>
        </w:sectPr>
      </w:pPr>
    </w:p>
    <w:p>
      <w:pPr>
        <w:jc w:val="both"/>
        <w:spacing w:after="0" w:line="255" w:lineRule="auto"/>
        <w:rPr>
          <w:sz w:val="20"/>
          <w:szCs w:val="20"/>
          <w:color w:val="auto"/>
        </w:rPr>
      </w:pPr>
      <w:r>
        <w:rPr>
          <w:rFonts w:ascii="Arial" w:cs="Arial" w:eastAsia="Arial" w:hAnsi="Arial"/>
          <w:sz w:val="18"/>
          <w:szCs w:val="18"/>
          <w:color w:val="auto"/>
        </w:rPr>
        <w:t>The Company has approximately $100 million remaining principal value of 2022 convertible notes that will mature in August of this year. Similar to the method of settlement on the early conversion of a portion of these notes last year, in accordance with the requirements under the Indenture, the Company announced to holders earlier this year that the 2022 convertible notes will be settled with primarily stock and a small portion of cash, which will result in an equity issuance in Q3’22 related to the remaining principal outstanding.</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FFFFFF"/>
        </w:rPr>
        <w:t>Net Asset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-153670</wp:posOffset>
            </wp:positionV>
            <wp:extent cx="2134235"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34235" cy="22288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2021</w:t>
            </w:r>
          </w:p>
        </w:tc>
        <w:tc>
          <w:tcPr>
            <w:tcW w:w="1580" w:type="dxa"/>
            <w:vAlign w:val="bottom"/>
          </w:tcPr>
          <w:p>
            <w:pPr>
              <w:ind w:left="20"/>
              <w:spacing w:after="0"/>
              <w:rPr>
                <w:sz w:val="20"/>
                <w:szCs w:val="20"/>
                <w:color w:val="auto"/>
              </w:rPr>
            </w:pPr>
            <w:r>
              <w:rPr>
                <w:rFonts w:ascii="Arial" w:cs="Arial" w:eastAsia="Arial" w:hAnsi="Arial"/>
                <w:sz w:val="18"/>
                <w:szCs w:val="18"/>
                <w:b w:val="1"/>
                <w:bCs w:val="1"/>
                <w:color w:val="auto"/>
              </w:rPr>
              <w:t>($MM):</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$1,275.8</w:t>
            </w:r>
          </w:p>
        </w:tc>
      </w:tr>
      <w:tr>
        <w:trPr>
          <w:trHeight w:val="67"/>
        </w:trPr>
        <w:tc>
          <w:tcPr>
            <w:tcW w:w="320" w:type="dxa"/>
            <w:vAlign w:val="bottom"/>
            <w:tcBorders>
              <w:bottom w:val="single" w:sz="8" w:color="D9DDE1"/>
            </w:tcBorders>
          </w:tcPr>
          <w:p>
            <w:pPr>
              <w:spacing w:after="0"/>
              <w:rPr>
                <w:sz w:val="5"/>
                <w:szCs w:val="5"/>
                <w:color w:val="auto"/>
              </w:rPr>
            </w:pPr>
          </w:p>
        </w:tc>
        <w:tc>
          <w:tcPr>
            <w:tcW w:w="400" w:type="dxa"/>
            <w:vAlign w:val="bottom"/>
            <w:tcBorders>
              <w:bottom w:val="single" w:sz="8" w:color="D9DDE1"/>
            </w:tcBorders>
          </w:tcPr>
          <w:p>
            <w:pPr>
              <w:spacing w:after="0"/>
              <w:rPr>
                <w:sz w:val="5"/>
                <w:szCs w:val="5"/>
                <w:color w:val="auto"/>
              </w:rPr>
            </w:pPr>
          </w:p>
        </w:tc>
        <w:tc>
          <w:tcPr>
            <w:tcW w:w="1580" w:type="dxa"/>
            <w:vAlign w:val="bottom"/>
            <w:tcBorders>
              <w:bottom w:val="single" w:sz="8" w:color="D9DDE1"/>
            </w:tcBorders>
          </w:tcPr>
          <w:p>
            <w:pPr>
              <w:spacing w:after="0"/>
              <w:rPr>
                <w:sz w:val="5"/>
                <w:szCs w:val="5"/>
                <w:color w:val="auto"/>
              </w:rPr>
            </w:pPr>
          </w:p>
        </w:tc>
        <w:tc>
          <w:tcPr>
            <w:tcW w:w="1060" w:type="dxa"/>
            <w:vAlign w:val="bottom"/>
            <w:tcBorders>
              <w:bottom w:val="single" w:sz="8" w:color="D9DDE1"/>
            </w:tcBorders>
          </w:tcPr>
          <w:p>
            <w:pPr>
              <w:spacing w:after="0"/>
              <w:rPr>
                <w:sz w:val="5"/>
                <w:szCs w:val="5"/>
                <w:color w:val="auto"/>
              </w:rPr>
            </w:pPr>
          </w:p>
        </w:tc>
      </w:tr>
      <w:tr>
        <w:trPr>
          <w:trHeight w:val="264"/>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2021</w:t>
            </w:r>
          </w:p>
        </w:tc>
        <w:tc>
          <w:tcPr>
            <w:tcW w:w="1580" w:type="dxa"/>
            <w:vAlign w:val="bottom"/>
          </w:tcPr>
          <w:p>
            <w:pPr>
              <w:ind w:left="20"/>
              <w:spacing w:after="0"/>
              <w:rPr>
                <w:sz w:val="20"/>
                <w:szCs w:val="20"/>
                <w:color w:val="auto"/>
              </w:rPr>
            </w:pPr>
            <w:r>
              <w:rPr>
                <w:rFonts w:ascii="Arial" w:cs="Arial" w:eastAsia="Arial" w:hAnsi="Arial"/>
                <w:sz w:val="18"/>
                <w:szCs w:val="18"/>
                <w:b w:val="1"/>
                <w:bCs w:val="1"/>
                <w:color w:val="auto"/>
              </w:rPr>
              <w:t>(per share):</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$16.84</w:t>
            </w:r>
          </w:p>
        </w:tc>
      </w:tr>
      <w:tr>
        <w:trPr>
          <w:trHeight w:val="68"/>
        </w:trPr>
        <w:tc>
          <w:tcPr>
            <w:tcW w:w="320" w:type="dxa"/>
            <w:vAlign w:val="bottom"/>
            <w:tcBorders>
              <w:bottom w:val="single" w:sz="8" w:color="D9DDE1"/>
            </w:tcBorders>
          </w:tcPr>
          <w:p>
            <w:pPr>
              <w:spacing w:after="0"/>
              <w:rPr>
                <w:sz w:val="5"/>
                <w:szCs w:val="5"/>
                <w:color w:val="auto"/>
              </w:rPr>
            </w:pPr>
          </w:p>
        </w:tc>
        <w:tc>
          <w:tcPr>
            <w:tcW w:w="400" w:type="dxa"/>
            <w:vAlign w:val="bottom"/>
            <w:tcBorders>
              <w:bottom w:val="single" w:sz="8" w:color="D9DDE1"/>
            </w:tcBorders>
          </w:tcPr>
          <w:p>
            <w:pPr>
              <w:spacing w:after="0"/>
              <w:rPr>
                <w:sz w:val="5"/>
                <w:szCs w:val="5"/>
                <w:color w:val="auto"/>
              </w:rPr>
            </w:pPr>
          </w:p>
        </w:tc>
        <w:tc>
          <w:tcPr>
            <w:tcW w:w="1580" w:type="dxa"/>
            <w:vAlign w:val="bottom"/>
            <w:tcBorders>
              <w:bottom w:val="single" w:sz="8" w:color="D9DDE1"/>
            </w:tcBorders>
          </w:tcPr>
          <w:p>
            <w:pPr>
              <w:spacing w:after="0"/>
              <w:rPr>
                <w:sz w:val="5"/>
                <w:szCs w:val="5"/>
                <w:color w:val="auto"/>
              </w:rPr>
            </w:pPr>
          </w:p>
        </w:tc>
        <w:tc>
          <w:tcPr>
            <w:tcW w:w="1060" w:type="dxa"/>
            <w:vAlign w:val="bottom"/>
            <w:tcBorders>
              <w:bottom w:val="single" w:sz="8" w:color="D9DDE1"/>
            </w:tcBorders>
          </w:tcPr>
          <w:p>
            <w:pPr>
              <w:spacing w:after="0"/>
              <w:rPr>
                <w:sz w:val="5"/>
                <w:szCs w:val="5"/>
                <w:color w:val="auto"/>
              </w:rPr>
            </w:pPr>
          </w:p>
        </w:tc>
      </w:tr>
      <w:tr>
        <w:trPr>
          <w:trHeight w:val="237"/>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9"/>
              </w:rPr>
              <w:t>2021</w:t>
            </w:r>
          </w:p>
        </w:tc>
        <w:tc>
          <w:tcPr>
            <w:tcW w:w="1580" w:type="dxa"/>
            <w:vAlign w:val="bottom"/>
          </w:tcPr>
          <w:p>
            <w:pPr>
              <w:ind w:left="20"/>
              <w:spacing w:after="0"/>
              <w:rPr>
                <w:sz w:val="20"/>
                <w:szCs w:val="20"/>
                <w:color w:val="auto"/>
              </w:rPr>
            </w:pPr>
            <w:r>
              <w:rPr>
                <w:rFonts w:ascii="Arial" w:cs="Arial" w:eastAsia="Arial" w:hAnsi="Arial"/>
                <w:sz w:val="18"/>
                <w:szCs w:val="18"/>
                <w:b w:val="1"/>
                <w:bCs w:val="1"/>
                <w:color w:val="auto"/>
              </w:rPr>
              <w:t>(per share, PF):</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162560</wp:posOffset>
            </wp:positionV>
            <wp:extent cx="213423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34235" cy="1714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7640" w:space="240"/>
            <w:col w:w="3380"/>
          </w:cols>
          <w:pgMar w:left="320" w:top="121" w:right="319" w:bottom="1440" w:gutter="0" w:footer="0" w:header="0"/>
          <w:type w:val="continuous"/>
        </w:sectPr>
      </w:pPr>
    </w:p>
    <w:p>
      <w:pPr>
        <w:spacing w:after="0" w:line="56" w:lineRule="exact"/>
        <w:rPr>
          <w:sz w:val="20"/>
          <w:szCs w:val="20"/>
          <w:color w:val="auto"/>
        </w:rPr>
      </w:pPr>
    </w:p>
    <w:p>
      <w:pPr>
        <w:ind w:left="8740"/>
        <w:spacing w:after="0"/>
        <w:rPr>
          <w:sz w:val="20"/>
          <w:szCs w:val="20"/>
          <w:color w:val="auto"/>
        </w:rPr>
      </w:pPr>
      <w:r>
        <w:rPr>
          <w:rFonts w:ascii="Arial" w:cs="Arial" w:eastAsia="Arial" w:hAnsi="Arial"/>
          <w:sz w:val="18"/>
          <w:szCs w:val="18"/>
          <w:b w:val="1"/>
          <w:bCs w:val="1"/>
          <w:color w:val="FFFFFF"/>
        </w:rPr>
        <w:t>Dividends (per share)</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2260" w:type="dxa"/>
            <w:vAlign w:val="bottom"/>
            <w:gridSpan w:val="2"/>
          </w:tcPr>
          <w:p>
            <w:pPr>
              <w:ind w:left="60"/>
              <w:spacing w:after="0"/>
              <w:rPr>
                <w:sz w:val="20"/>
                <w:szCs w:val="20"/>
                <w:color w:val="auto"/>
              </w:rPr>
            </w:pPr>
            <w:r>
              <w:rPr>
                <w:rFonts w:ascii="Arial" w:cs="Arial" w:eastAsia="Arial" w:hAnsi="Arial"/>
                <w:sz w:val="18"/>
                <w:szCs w:val="18"/>
                <w:b w:val="1"/>
                <w:bCs w:val="1"/>
                <w:color w:val="auto"/>
              </w:rPr>
              <w:t>Q4 2021 (Base):</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$0.41</w:t>
            </w:r>
          </w:p>
        </w:tc>
        <w:tc>
          <w:tcPr>
            <w:tcW w:w="20" w:type="dxa"/>
            <w:vAlign w:val="bottom"/>
          </w:tcPr>
          <w:p>
            <w:pPr>
              <w:spacing w:after="0"/>
              <w:rPr>
                <w:sz w:val="20"/>
                <w:szCs w:val="20"/>
                <w:color w:val="auto"/>
              </w:rPr>
            </w:pPr>
          </w:p>
        </w:tc>
      </w:tr>
      <w:tr>
        <w:trPr>
          <w:trHeight w:val="27"/>
        </w:trPr>
        <w:tc>
          <w:tcPr>
            <w:tcW w:w="7880" w:type="dxa"/>
            <w:vAlign w:val="bottom"/>
          </w:tcPr>
          <w:p>
            <w:pPr>
              <w:spacing w:after="0"/>
              <w:rPr>
                <w:sz w:val="2"/>
                <w:szCs w:val="2"/>
                <w:color w:val="auto"/>
              </w:rPr>
            </w:pPr>
          </w:p>
        </w:tc>
        <w:tc>
          <w:tcPr>
            <w:tcW w:w="440" w:type="dxa"/>
            <w:vAlign w:val="bottom"/>
            <w:tcBorders>
              <w:bottom w:val="single" w:sz="8" w:color="D9DDE1"/>
            </w:tcBorders>
          </w:tcPr>
          <w:p>
            <w:pPr>
              <w:spacing w:after="0"/>
              <w:rPr>
                <w:sz w:val="2"/>
                <w:szCs w:val="2"/>
                <w:color w:val="auto"/>
              </w:rPr>
            </w:pPr>
          </w:p>
        </w:tc>
        <w:tc>
          <w:tcPr>
            <w:tcW w:w="1820" w:type="dxa"/>
            <w:vAlign w:val="bottom"/>
            <w:tcBorders>
              <w:bottom w:val="single" w:sz="8" w:color="D9DDE1"/>
            </w:tcBorders>
          </w:tcPr>
          <w:p>
            <w:pPr>
              <w:spacing w:after="0"/>
              <w:rPr>
                <w:sz w:val="2"/>
                <w:szCs w:val="2"/>
                <w:color w:val="auto"/>
              </w:rPr>
            </w:pPr>
          </w:p>
        </w:tc>
        <w:tc>
          <w:tcPr>
            <w:tcW w:w="1100" w:type="dxa"/>
            <w:vAlign w:val="bottom"/>
            <w:tcBorders>
              <w:bottom w:val="single" w:sz="8" w:color="D9DDE1"/>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880" w:type="dxa"/>
            <w:vAlign w:val="bottom"/>
          </w:tcPr>
          <w:p>
            <w:pPr>
              <w:spacing w:after="0"/>
              <w:rPr>
                <w:sz w:val="20"/>
                <w:szCs w:val="20"/>
                <w:color w:val="auto"/>
              </w:rPr>
            </w:pPr>
          </w:p>
        </w:tc>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2021</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(Base):</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$1.64</w:t>
            </w:r>
          </w:p>
        </w:tc>
        <w:tc>
          <w:tcPr>
            <w:tcW w:w="20" w:type="dxa"/>
            <w:vAlign w:val="bottom"/>
          </w:tcPr>
          <w:p>
            <w:pPr>
              <w:spacing w:after="0"/>
              <w:rPr>
                <w:sz w:val="20"/>
                <w:szCs w:val="20"/>
                <w:color w:val="auto"/>
              </w:rPr>
            </w:pPr>
          </w:p>
        </w:tc>
      </w:tr>
      <w:tr>
        <w:trPr>
          <w:trHeight w:val="27"/>
        </w:trPr>
        <w:tc>
          <w:tcPr>
            <w:tcW w:w="7880" w:type="dxa"/>
            <w:vAlign w:val="bottom"/>
          </w:tcPr>
          <w:p>
            <w:pPr>
              <w:spacing w:after="0"/>
              <w:rPr>
                <w:sz w:val="2"/>
                <w:szCs w:val="2"/>
                <w:color w:val="auto"/>
              </w:rPr>
            </w:pPr>
          </w:p>
        </w:tc>
        <w:tc>
          <w:tcPr>
            <w:tcW w:w="440" w:type="dxa"/>
            <w:vAlign w:val="bottom"/>
            <w:tcBorders>
              <w:bottom w:val="single" w:sz="8" w:color="D9DDE1"/>
            </w:tcBorders>
          </w:tcPr>
          <w:p>
            <w:pPr>
              <w:spacing w:after="0"/>
              <w:rPr>
                <w:sz w:val="2"/>
                <w:szCs w:val="2"/>
                <w:color w:val="auto"/>
              </w:rPr>
            </w:pPr>
          </w:p>
        </w:tc>
        <w:tc>
          <w:tcPr>
            <w:tcW w:w="1820" w:type="dxa"/>
            <w:vAlign w:val="bottom"/>
            <w:tcBorders>
              <w:bottom w:val="single" w:sz="8" w:color="D9DDE1"/>
            </w:tcBorders>
          </w:tcPr>
          <w:p>
            <w:pPr>
              <w:spacing w:after="0"/>
              <w:rPr>
                <w:sz w:val="2"/>
                <w:szCs w:val="2"/>
                <w:color w:val="auto"/>
              </w:rPr>
            </w:pPr>
          </w:p>
        </w:tc>
        <w:tc>
          <w:tcPr>
            <w:tcW w:w="1100" w:type="dxa"/>
            <w:vAlign w:val="bottom"/>
            <w:tcBorders>
              <w:bottom w:val="single" w:sz="8" w:color="D9DDE1"/>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880" w:type="dxa"/>
            <w:vAlign w:val="bottom"/>
          </w:tcPr>
          <w:p>
            <w:pPr>
              <w:spacing w:after="0"/>
              <w:rPr>
                <w:sz w:val="20"/>
                <w:szCs w:val="20"/>
                <w:color w:val="auto"/>
              </w:rPr>
            </w:pPr>
          </w:p>
        </w:tc>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2021</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(Supp/Special):</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$2.01</w:t>
            </w:r>
          </w:p>
        </w:tc>
        <w:tc>
          <w:tcPr>
            <w:tcW w:w="20" w:type="dxa"/>
            <w:vAlign w:val="bottom"/>
          </w:tcPr>
          <w:p>
            <w:pPr>
              <w:spacing w:after="0"/>
              <w:rPr>
                <w:sz w:val="20"/>
                <w:szCs w:val="20"/>
                <w:color w:val="auto"/>
              </w:rPr>
            </w:pPr>
          </w:p>
        </w:tc>
      </w:tr>
      <w:tr>
        <w:trPr>
          <w:trHeight w:val="27"/>
        </w:trPr>
        <w:tc>
          <w:tcPr>
            <w:tcW w:w="7880" w:type="dxa"/>
            <w:vAlign w:val="bottom"/>
          </w:tcPr>
          <w:p>
            <w:pPr>
              <w:spacing w:after="0"/>
              <w:rPr>
                <w:sz w:val="2"/>
                <w:szCs w:val="2"/>
                <w:color w:val="auto"/>
              </w:rPr>
            </w:pPr>
          </w:p>
        </w:tc>
        <w:tc>
          <w:tcPr>
            <w:tcW w:w="440" w:type="dxa"/>
            <w:vAlign w:val="bottom"/>
            <w:tcBorders>
              <w:bottom w:val="single" w:sz="8" w:color="D9DDE1"/>
            </w:tcBorders>
          </w:tcPr>
          <w:p>
            <w:pPr>
              <w:spacing w:after="0"/>
              <w:rPr>
                <w:sz w:val="2"/>
                <w:szCs w:val="2"/>
                <w:color w:val="auto"/>
              </w:rPr>
            </w:pPr>
          </w:p>
        </w:tc>
        <w:tc>
          <w:tcPr>
            <w:tcW w:w="1820" w:type="dxa"/>
            <w:vAlign w:val="bottom"/>
            <w:tcBorders>
              <w:bottom w:val="single" w:sz="8" w:color="D9DDE1"/>
            </w:tcBorders>
          </w:tcPr>
          <w:p>
            <w:pPr>
              <w:spacing w:after="0"/>
              <w:rPr>
                <w:sz w:val="2"/>
                <w:szCs w:val="2"/>
                <w:color w:val="auto"/>
              </w:rPr>
            </w:pPr>
          </w:p>
        </w:tc>
        <w:tc>
          <w:tcPr>
            <w:tcW w:w="1100" w:type="dxa"/>
            <w:vAlign w:val="bottom"/>
            <w:tcBorders>
              <w:bottom w:val="single" w:sz="8" w:color="D9DDE1"/>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7880" w:type="dxa"/>
            <w:vAlign w:val="bottom"/>
          </w:tcPr>
          <w:p>
            <w:pPr>
              <w:spacing w:after="0"/>
              <w:rPr>
                <w:sz w:val="20"/>
                <w:szCs w:val="20"/>
                <w:color w:val="auto"/>
              </w:rPr>
            </w:pPr>
          </w:p>
        </w:tc>
        <w:tc>
          <w:tcPr>
            <w:tcW w:w="440" w:type="dxa"/>
            <w:vAlign w:val="bottom"/>
          </w:tcPr>
          <w:p>
            <w:pPr>
              <w:ind w:left="60"/>
              <w:spacing w:after="0"/>
              <w:rPr>
                <w:sz w:val="20"/>
                <w:szCs w:val="20"/>
                <w:color w:val="auto"/>
              </w:rPr>
            </w:pPr>
            <w:r>
              <w:rPr>
                <w:rFonts w:ascii="Arial" w:cs="Arial" w:eastAsia="Arial" w:hAnsi="Arial"/>
                <w:sz w:val="18"/>
                <w:szCs w:val="18"/>
                <w:b w:val="1"/>
                <w:bCs w:val="1"/>
                <w:color w:val="auto"/>
                <w:w w:val="89"/>
              </w:rPr>
              <w:t>2021</w:t>
            </w:r>
          </w:p>
        </w:tc>
        <w:tc>
          <w:tcPr>
            <w:tcW w:w="182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$3.65</w:t>
            </w:r>
          </w:p>
        </w:tc>
        <w:tc>
          <w:tcPr>
            <w:tcW w:w="20" w:type="dxa"/>
            <w:vAlign w:val="bottom"/>
          </w:tcPr>
          <w:p>
            <w:pPr>
              <w:spacing w:after="0"/>
              <w:rPr>
                <w:sz w:val="20"/>
                <w:szCs w:val="20"/>
                <w:color w:val="auto"/>
              </w:rPr>
            </w:pPr>
          </w:p>
        </w:tc>
      </w:tr>
      <w:tr>
        <w:trPr>
          <w:trHeight w:val="958"/>
        </w:trPr>
        <w:tc>
          <w:tcPr>
            <w:tcW w:w="7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r>
      <w:tr>
        <w:trPr>
          <w:trHeight w:val="115"/>
        </w:trPr>
        <w:tc>
          <w:tcPr>
            <w:tcW w:w="78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PORTFOLIO AND INVESTMENT ACTIVITY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w:t>
      </w:r>
    </w:p>
    <w:p>
      <w:pPr>
        <w:spacing w:after="0" w:line="13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year ended December 31, 2021, new investment commitments totaled $1,389.1 million. This compares to $1,184.7 million for the year ended December 31, 2020.</w:t>
      </w:r>
    </w:p>
    <w:p>
      <w:pPr>
        <w:spacing w:after="0" w:line="6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For the year ended December 31, 2021, the principal amount of new investments funded was $1,117.4 million in 25 new portfolio companies and 26 existing portfolio companies. For this period, the Company had $1,004.5 million aggregate principal amount in exits and repayments.</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year ended December 31, 2020, the principal amount of new investments funded was $939.0 million in 31 new portfolio companies and 27 existing portfolio companies. For this period, the Company had $941.3 million aggregate principal amount in exits and repayments.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quarter ended December 31, 2021, new investment commitments totaled $835.2 million. This compares to $105.4 million for the quarter ended September 30, 2021.</w:t>
      </w:r>
    </w:p>
    <w:p>
      <w:pPr>
        <w:spacing w:after="0" w:line="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quarter ended December 31, 2021, the principal amount of new investments funded was $656.3 million across 15 new portfolio companies and 4 existing portfolio companies. For this period, the Company had $527.8 million aggregate principal amount in exits and repayments. For the quarter ended September 30, 2021, the principal amount of new investments funded was $65.4 million across five portfolio companies. For this period, the Company had $283.7 million aggregate principal amount in exits and repayments.</w:t>
      </w:r>
    </w:p>
    <w:p>
      <w:pPr>
        <w:spacing w:after="0" w:line="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2021 and September 30, 2021, the Company had investments in 72 and 67 portfolio companies, respectively, with an aggregate fair value of $2,521.6 million and $2,406.5 million, respectively. As of December 31, 2021, the average investment size in each portfolio company was $35.0 million based on fair value.</w:t>
      </w:r>
    </w:p>
    <w:p>
      <w:pPr>
        <w:spacing w:after="0" w:line="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2021, the Company’s portfolio based on fair value consisted of 91.2% first-lien debt investments, 1.7% second-lien debt investments, 0.7% mezzanine debt investments, and 6.4% equity and other investments. As of September 30, 2021, the Company’s portfolio based on fair value consisted of 92.5% first-lien debt investments, 0.7% mezzanine debt investments, and 6.8% equity and other investments.</w:t>
      </w:r>
    </w:p>
    <w:p>
      <w:pPr>
        <w:spacing w:after="0" w:line="93"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As of December 31, 2021, 98.9% of debt investments based on fair value in the portfolio bore interest at floating rates (when including investment specific hedges), with 99.4% of these subject to LIBOR floors. The Company’s credit facilities also bear interest at floating rates. In connection with the Company’s Convertible Notes and other Notes, which bear interest at fixed rates, the Company has entered into fixed-to-floating interest rate swaps in order to align the nature of the interest rates of its liabilities with its investment portfolio.</w:t>
      </w:r>
    </w:p>
    <w:p>
      <w:pPr>
        <w:spacing w:after="0" w:line="84"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For the period ended December 31, 2021 and September 30, 2021, the weighted average total yield of debt and income-producing securities at fair value (which includes interest income and amortization of fees and discounts) was 10.0% and 9.9%, respectively, and the weighted average total yield of debt and income-producing securities at amortized cost (which includes interest income and amortization of fees and discounts) was 10.2% for both periods.</w:t>
      </w:r>
    </w:p>
    <w:p>
      <w:pPr>
        <w:spacing w:after="0" w:line="8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December 31, 2021, 100.0% of the portfolio at fair value was meeting all payment and covenant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FFFFFF"/>
        </w:rPr>
        <w:t>2021 Origination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217741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77415" cy="17970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820" w:type="dxa"/>
            <w:vAlign w:val="bottom"/>
          </w:tcPr>
          <w:p>
            <w:pPr>
              <w:ind w:left="60"/>
              <w:spacing w:after="0"/>
              <w:rPr>
                <w:sz w:val="20"/>
                <w:szCs w:val="20"/>
                <w:color w:val="auto"/>
              </w:rPr>
            </w:pPr>
            <w:r>
              <w:rPr>
                <w:rFonts w:ascii="Arial" w:cs="Arial" w:eastAsia="Arial" w:hAnsi="Arial"/>
                <w:sz w:val="18"/>
                <w:szCs w:val="18"/>
                <w:b w:val="1"/>
                <w:bCs w:val="1"/>
                <w:color w:val="auto"/>
              </w:rPr>
              <w:t>Commitments: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$1,389.1MM</w:t>
            </w:r>
          </w:p>
        </w:tc>
      </w:tr>
      <w:tr>
        <w:trPr>
          <w:trHeight w:val="41"/>
        </w:trPr>
        <w:tc>
          <w:tcPr>
            <w:tcW w:w="1820" w:type="dxa"/>
            <w:vAlign w:val="bottom"/>
            <w:tcBorders>
              <w:bottom w:val="single" w:sz="8" w:color="E7E6E6"/>
            </w:tcBorders>
          </w:tcPr>
          <w:p>
            <w:pPr>
              <w:spacing w:after="0"/>
              <w:rPr>
                <w:sz w:val="3"/>
                <w:szCs w:val="3"/>
                <w:color w:val="auto"/>
              </w:rPr>
            </w:pPr>
          </w:p>
        </w:tc>
        <w:tc>
          <w:tcPr>
            <w:tcW w:w="1600" w:type="dxa"/>
            <w:vAlign w:val="bottom"/>
            <w:tcBorders>
              <w:bottom w:val="single" w:sz="8" w:color="E7E6E6"/>
            </w:tcBorders>
          </w:tcPr>
          <w:p>
            <w:pPr>
              <w:spacing w:after="0"/>
              <w:rPr>
                <w:sz w:val="3"/>
                <w:szCs w:val="3"/>
                <w:color w:val="auto"/>
              </w:rPr>
            </w:pPr>
          </w:p>
        </w:tc>
      </w:tr>
      <w:tr>
        <w:trPr>
          <w:trHeight w:val="237"/>
        </w:trPr>
        <w:tc>
          <w:tcPr>
            <w:tcW w:w="1820" w:type="dxa"/>
            <w:vAlign w:val="bottom"/>
          </w:tcPr>
          <w:p>
            <w:pPr>
              <w:ind w:left="60"/>
              <w:spacing w:after="0"/>
              <w:rPr>
                <w:sz w:val="20"/>
                <w:szCs w:val="20"/>
                <w:color w:val="auto"/>
              </w:rPr>
            </w:pPr>
            <w:r>
              <w:rPr>
                <w:rFonts w:ascii="Arial" w:cs="Arial" w:eastAsia="Arial" w:hAnsi="Arial"/>
                <w:sz w:val="18"/>
                <w:szCs w:val="18"/>
                <w:b w:val="1"/>
                <w:bCs w:val="1"/>
                <w:color w:val="auto"/>
              </w:rPr>
              <w:t>Fundings: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$1,117.4MM</w:t>
            </w:r>
          </w:p>
        </w:tc>
      </w:tr>
      <w:tr>
        <w:trPr>
          <w:trHeight w:val="54"/>
        </w:trPr>
        <w:tc>
          <w:tcPr>
            <w:tcW w:w="1820" w:type="dxa"/>
            <w:vAlign w:val="bottom"/>
            <w:tcBorders>
              <w:bottom w:val="single" w:sz="8" w:color="E7E6E6"/>
            </w:tcBorders>
          </w:tcPr>
          <w:p>
            <w:pPr>
              <w:spacing w:after="0"/>
              <w:rPr>
                <w:sz w:val="4"/>
                <w:szCs w:val="4"/>
                <w:color w:val="auto"/>
              </w:rPr>
            </w:pPr>
          </w:p>
        </w:tc>
        <w:tc>
          <w:tcPr>
            <w:tcW w:w="1600" w:type="dxa"/>
            <w:vAlign w:val="bottom"/>
            <w:tcBorders>
              <w:bottom w:val="single" w:sz="8" w:color="E7E6E6"/>
            </w:tcBorders>
          </w:tcPr>
          <w:p>
            <w:pPr>
              <w:spacing w:after="0"/>
              <w:rPr>
                <w:sz w:val="4"/>
                <w:szCs w:val="4"/>
                <w:color w:val="auto"/>
              </w:rPr>
            </w:pPr>
          </w:p>
        </w:tc>
      </w:tr>
      <w:tr>
        <w:trPr>
          <w:trHeight w:val="237"/>
        </w:trPr>
        <w:tc>
          <w:tcPr>
            <w:tcW w:w="1820" w:type="dxa"/>
            <w:vAlign w:val="bottom"/>
          </w:tcPr>
          <w:p>
            <w:pPr>
              <w:ind w:left="60"/>
              <w:spacing w:after="0"/>
              <w:rPr>
                <w:sz w:val="20"/>
                <w:szCs w:val="20"/>
                <w:color w:val="auto"/>
              </w:rPr>
            </w:pPr>
            <w:r>
              <w:rPr>
                <w:rFonts w:ascii="Arial" w:cs="Arial" w:eastAsia="Arial" w:hAnsi="Arial"/>
                <w:sz w:val="18"/>
                <w:szCs w:val="18"/>
                <w:b w:val="1"/>
                <w:bCs w:val="1"/>
                <w:color w:val="auto"/>
              </w:rPr>
              <w:t>Net Fundings:</w:t>
            </w:r>
          </w:p>
        </w:tc>
        <w:tc>
          <w:tcPr>
            <w:tcW w:w="1600" w:type="dxa"/>
            <w:vAlign w:val="bottom"/>
          </w:tcPr>
          <w:p>
            <w:pPr>
              <w:jc w:val="right"/>
              <w:spacing w:after="0"/>
              <w:rPr>
                <w:sz w:val="20"/>
                <w:szCs w:val="20"/>
                <w:color w:val="auto"/>
              </w:rPr>
            </w:pPr>
            <w:r>
              <w:rPr>
                <w:rFonts w:ascii="Arial" w:cs="Arial" w:eastAsia="Arial" w:hAnsi="Arial"/>
                <w:sz w:val="18"/>
                <w:szCs w:val="18"/>
                <w:b w:val="1"/>
                <w:bCs w:val="1"/>
                <w:color w:val="auto"/>
              </w:rPr>
              <w:t>$112.8MM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111760</wp:posOffset>
            </wp:positionV>
            <wp:extent cx="2134235" cy="231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34235" cy="231140"/>
                    </a:xfrm>
                    <a:prstGeom prst="rect">
                      <a:avLst/>
                    </a:prstGeom>
                    <a:noFill/>
                  </pic:spPr>
                </pic:pic>
              </a:graphicData>
            </a:graphic>
          </wp:anchor>
        </w:drawing>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FFFFFF"/>
        </w:rPr>
        <w:t>Q4 2021 Origination Activity</w:t>
      </w:r>
    </w:p>
    <w:p>
      <w:pPr>
        <w:spacing w:after="0" w:line="90" w:lineRule="exact"/>
        <w:rPr>
          <w:sz w:val="20"/>
          <w:szCs w:val="20"/>
          <w:color w:val="auto"/>
        </w:rPr>
      </w:pPr>
    </w:p>
    <w:p>
      <w:pPr>
        <w:ind w:left="120"/>
        <w:spacing w:after="0"/>
        <w:tabs>
          <w:tab w:leader="none" w:pos="2560" w:val="left"/>
        </w:tabs>
        <w:rPr>
          <w:sz w:val="20"/>
          <w:szCs w:val="20"/>
          <w:color w:val="auto"/>
        </w:rPr>
      </w:pPr>
      <w:r>
        <w:rPr>
          <w:rFonts w:ascii="Arial" w:cs="Arial" w:eastAsia="Arial" w:hAnsi="Arial"/>
          <w:sz w:val="17"/>
          <w:szCs w:val="17"/>
          <w:b w:val="1"/>
          <w:bCs w:val="1"/>
          <w:color w:val="auto"/>
        </w:rPr>
        <w:t>Commitments:</w:t>
      </w:r>
      <w:r>
        <w:rPr>
          <w:sz w:val="20"/>
          <w:szCs w:val="20"/>
          <w:color w:val="auto"/>
        </w:rPr>
        <w:tab/>
      </w:r>
      <w:r>
        <w:rPr>
          <w:rFonts w:ascii="Arial" w:cs="Arial" w:eastAsia="Arial" w:hAnsi="Arial"/>
          <w:sz w:val="17"/>
          <w:szCs w:val="17"/>
          <w:b w:val="1"/>
          <w:bCs w:val="1"/>
          <w:color w:val="auto"/>
        </w:rPr>
        <w:t>$835.2MM</w:t>
      </w:r>
    </w:p>
    <w:p>
      <w:pPr>
        <w:spacing w:after="0" w:line="183" w:lineRule="exact"/>
        <w:rPr>
          <w:sz w:val="20"/>
          <w:szCs w:val="20"/>
          <w:color w:val="auto"/>
        </w:rPr>
      </w:pPr>
    </w:p>
    <w:p>
      <w:pPr>
        <w:ind w:left="120"/>
        <w:spacing w:after="0"/>
        <w:tabs>
          <w:tab w:leader="none" w:pos="2560" w:val="left"/>
        </w:tabs>
        <w:rPr>
          <w:sz w:val="20"/>
          <w:szCs w:val="20"/>
          <w:color w:val="auto"/>
        </w:rPr>
      </w:pPr>
      <w:r>
        <w:rPr>
          <w:rFonts w:ascii="Arial" w:cs="Arial" w:eastAsia="Arial" w:hAnsi="Arial"/>
          <w:sz w:val="17"/>
          <w:szCs w:val="17"/>
          <w:b w:val="1"/>
          <w:bCs w:val="1"/>
          <w:color w:val="auto"/>
        </w:rPr>
        <w:t>Fundings:</w:t>
      </w:r>
      <w:r>
        <w:rPr>
          <w:sz w:val="20"/>
          <w:szCs w:val="20"/>
          <w:color w:val="auto"/>
        </w:rPr>
        <w:tab/>
      </w:r>
      <w:r>
        <w:rPr>
          <w:rFonts w:ascii="Arial" w:cs="Arial" w:eastAsia="Arial" w:hAnsi="Arial"/>
          <w:sz w:val="17"/>
          <w:szCs w:val="17"/>
          <w:b w:val="1"/>
          <w:bCs w:val="1"/>
          <w:color w:val="auto"/>
        </w:rPr>
        <w:t>$656.3MM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-120650</wp:posOffset>
            </wp:positionV>
            <wp:extent cx="21342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161" w:lineRule="exact"/>
        <w:rPr>
          <w:sz w:val="20"/>
          <w:szCs w:val="20"/>
          <w:color w:val="auto"/>
        </w:rPr>
      </w:pPr>
    </w:p>
    <w:tbl>
      <w:tblPr>
        <w:tblLayout w:type="fixed"/>
        <w:tblInd w:w="60" w:type="dxa"/>
        <w:tblCellMar>
          <w:top w:w="0" w:type="dxa"/>
          <w:left w:w="0" w:type="dxa"/>
          <w:bottom w:w="0" w:type="dxa"/>
          <w:right w:w="0" w:type="dxa"/>
        </w:tblCellMar>
      </w:tblPr>
      <w:tr>
        <w:trPr>
          <w:trHeight w:val="257"/>
        </w:trPr>
        <w:tc>
          <w:tcPr>
            <w:tcW w:w="1840" w:type="dxa"/>
            <w:vAlign w:val="bottom"/>
            <w:tcBorders>
              <w:top w:val="single" w:sz="8" w:color="E7E6E6"/>
            </w:tcBorders>
          </w:tcPr>
          <w:p>
            <w:pPr>
              <w:ind w:left="60"/>
              <w:spacing w:after="0"/>
              <w:rPr>
                <w:sz w:val="20"/>
                <w:szCs w:val="20"/>
                <w:color w:val="auto"/>
              </w:rPr>
            </w:pPr>
            <w:r>
              <w:rPr>
                <w:rFonts w:ascii="Arial" w:cs="Arial" w:eastAsia="Arial" w:hAnsi="Arial"/>
                <w:sz w:val="18"/>
                <w:szCs w:val="18"/>
                <w:b w:val="1"/>
                <w:bCs w:val="1"/>
                <w:color w:val="auto"/>
              </w:rPr>
              <w:t>Net Fundings:</w:t>
            </w:r>
          </w:p>
        </w:tc>
        <w:tc>
          <w:tcPr>
            <w:tcW w:w="1520" w:type="dxa"/>
            <w:vAlign w:val="bottom"/>
            <w:tcBorders>
              <w:top w:val="single" w:sz="8" w:color="E7E6E6"/>
            </w:tcBorders>
          </w:tcPr>
          <w:p>
            <w:pPr>
              <w:ind w:left="680"/>
              <w:spacing w:after="0"/>
              <w:rPr>
                <w:sz w:val="20"/>
                <w:szCs w:val="20"/>
                <w:color w:val="auto"/>
              </w:rPr>
            </w:pPr>
            <w:r>
              <w:rPr>
                <w:rFonts w:ascii="Arial" w:cs="Arial" w:eastAsia="Arial" w:hAnsi="Arial"/>
                <w:sz w:val="18"/>
                <w:szCs w:val="18"/>
                <w:b w:val="1"/>
                <w:bCs w:val="1"/>
                <w:color w:val="auto"/>
                <w:w w:val="96"/>
              </w:rPr>
              <w:t>$128.5MM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163195</wp:posOffset>
            </wp:positionV>
            <wp:extent cx="2134235" cy="291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34235" cy="291465"/>
                    </a:xfrm>
                    <a:prstGeom prst="rect">
                      <a:avLst/>
                    </a:prstGeom>
                    <a:noFill/>
                  </pic:spPr>
                </pic:pic>
              </a:graphicData>
            </a:graphic>
          </wp:anchor>
        </w:drawing>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Average Investment Size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$35.0MM</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(1.4%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323215</wp:posOffset>
            </wp:positionV>
            <wp:extent cx="2134235"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134235" cy="27432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First Lien Debt Investments (% FV)</w:t>
      </w:r>
    </w:p>
    <w:p>
      <w:pPr>
        <w:spacing w:after="0" w:line="144"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91.2%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wp:posOffset>
            </wp:positionH>
            <wp:positionV relativeFrom="paragraph">
              <wp:posOffset>214630</wp:posOffset>
            </wp:positionV>
            <wp:extent cx="2134235" cy="3771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34235" cy="377190"/>
                    </a:xfrm>
                    <a:prstGeom prst="rect">
                      <a:avLst/>
                    </a:prstGeom>
                    <a:noFill/>
                  </pic:spPr>
                </pic:pic>
              </a:graphicData>
            </a:graphic>
          </wp:anchor>
        </w:drawing>
      </w: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Floating Rate Debt Investments</w:t>
      </w:r>
      <w:r>
        <w:rPr>
          <w:rFonts w:ascii="Arial" w:cs="Arial" w:eastAsia="Arial" w:hAnsi="Arial"/>
          <w:sz w:val="15"/>
          <w:szCs w:val="15"/>
          <w:b w:val="1"/>
          <w:bCs w:val="1"/>
          <w:color w:val="FFFFFF"/>
        </w:rPr>
        <w:t>1</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FFFFFF"/>
        </w:rPr>
        <w:t>(% FV)</w:t>
      </w:r>
    </w:p>
    <w:p>
      <w:pPr>
        <w:spacing w:after="0" w:line="99"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248920</wp:posOffset>
            </wp:positionV>
            <wp:extent cx="2168525" cy="660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852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Weighted Average Yield of Debt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Incoming-Producing Securities</w:t>
      </w:r>
    </w:p>
    <w:p>
      <w:pPr>
        <w:spacing w:after="0" w:line="2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Yield at Fair Value:</w:t>
      </w:r>
    </w:p>
    <w:p>
      <w:pPr>
        <w:ind w:left="2920"/>
        <w:spacing w:after="0"/>
        <w:rPr>
          <w:sz w:val="20"/>
          <w:szCs w:val="20"/>
          <w:color w:val="auto"/>
        </w:rPr>
      </w:pPr>
      <w:r>
        <w:rPr>
          <w:rFonts w:ascii="Arial" w:cs="Arial" w:eastAsia="Arial" w:hAnsi="Arial"/>
          <w:sz w:val="17"/>
          <w:szCs w:val="17"/>
          <w:b w:val="1"/>
          <w:bCs w:val="1"/>
          <w:color w:val="auto"/>
        </w:rPr>
        <w:t>10.0%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2460" w:type="dxa"/>
            <w:vAlign w:val="bottom"/>
            <w:tcBorders>
              <w:top w:val="single" w:sz="8" w:color="E7E6E6"/>
            </w:tcBorders>
          </w:tcPr>
          <w:p>
            <w:pPr>
              <w:ind w:left="60"/>
              <w:spacing w:after="0"/>
              <w:rPr>
                <w:sz w:val="20"/>
                <w:szCs w:val="20"/>
                <w:color w:val="auto"/>
              </w:rPr>
            </w:pPr>
            <w:r>
              <w:rPr>
                <w:rFonts w:ascii="Arial" w:cs="Arial" w:eastAsia="Arial" w:hAnsi="Arial"/>
                <w:sz w:val="18"/>
                <w:szCs w:val="18"/>
                <w:b w:val="1"/>
                <w:bCs w:val="1"/>
                <w:color w:val="auto"/>
              </w:rPr>
              <w:t>Yield at Amortized Cost:</w:t>
            </w:r>
          </w:p>
        </w:tc>
        <w:tc>
          <w:tcPr>
            <w:tcW w:w="960" w:type="dxa"/>
            <w:vAlign w:val="bottom"/>
            <w:tcBorders>
              <w:top w:val="single" w:sz="8" w:color="E7E6E6"/>
            </w:tcBorders>
          </w:tcPr>
          <w:p>
            <w:pPr>
              <w:jc w:val="right"/>
              <w:spacing w:after="0"/>
              <w:rPr>
                <w:sz w:val="20"/>
                <w:szCs w:val="20"/>
                <w:color w:val="auto"/>
              </w:rPr>
            </w:pPr>
            <w:r>
              <w:rPr>
                <w:rFonts w:ascii="Arial" w:cs="Arial" w:eastAsia="Arial" w:hAnsi="Arial"/>
                <w:sz w:val="18"/>
                <w:szCs w:val="18"/>
                <w:b w:val="1"/>
                <w:bCs w:val="1"/>
                <w:color w:val="auto"/>
              </w:rPr>
              <w:t>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222885</wp:posOffset>
            </wp:positionV>
            <wp:extent cx="21685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353" w:lineRule="exact"/>
        <w:rPr>
          <w:sz w:val="20"/>
          <w:szCs w:val="20"/>
          <w:color w:val="auto"/>
        </w:rPr>
      </w:pPr>
    </w:p>
    <w:p>
      <w:pPr>
        <w:ind w:left="400" w:right="600" w:hanging="331"/>
        <w:spacing w:after="0" w:line="253" w:lineRule="auto"/>
        <w:tabs>
          <w:tab w:leader="none" w:pos="436" w:val="left"/>
        </w:tabs>
        <w:numPr>
          <w:ilvl w:val="0"/>
          <w:numId w:val="2"/>
        </w:numPr>
        <w:rPr>
          <w:rFonts w:ascii="Arial" w:cs="Arial" w:eastAsia="Arial" w:hAnsi="Arial"/>
          <w:sz w:val="14"/>
          <w:szCs w:val="14"/>
          <w:color w:val="auto"/>
        </w:rPr>
      </w:pPr>
      <w:r>
        <w:rPr>
          <w:rFonts w:ascii="Arial" w:cs="Arial" w:eastAsia="Arial" w:hAnsi="Arial"/>
          <w:sz w:val="14"/>
          <w:szCs w:val="14"/>
          <w:color w:val="auto"/>
        </w:rPr>
        <w:t>Calculation includes income earning debt investments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640" w:space="180"/>
            <w:col w:w="3420"/>
          </w:cols>
          <w:pgMar w:left="320" w:top="1435" w:right="33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RESULTS OF OPERATIONS FOR THE FULL YEAR AND THREE MONTHS ENDED DECEMBER 31, 2021</w:t>
      </w:r>
    </w:p>
    <w:p>
      <w:pPr>
        <w:sectPr>
          <w:pgSz w:w="11900" w:h="16838" w:orient="portrait"/>
          <w:cols w:equalWidth="0" w:num="1">
            <w:col w:w="11240"/>
          </w:cols>
          <w:pgMar w:left="320" w:top="1435" w:right="339" w:bottom="1440" w:gutter="0" w:footer="0" w:header="0"/>
        </w:sect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years ended December 31, 2021 and 2020, investment income totaled $278.6 million and $270.0 million, respectively. The increase in investment income was primarily driven by an increase in accelerated amortization of upfront fees and prepayment fees due to a higher number of paydowns, coupled with robust other fee income.</w:t>
      </w:r>
    </w:p>
    <w:p>
      <w:pPr>
        <w:spacing w:after="0" w:line="79"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color w:val="auto"/>
        </w:rPr>
        <w:t>Net expenses totaled $135.8 million and $117.3 million for the years ended December 31, 2021 and 2020, respectively. This increase in net expenses was primarily driven by accrued capital gains incentive fees related to the Company’s cumulative gains in excess of cumulative losses less capital gains incentive fees paid inception</w:t>
      </w:r>
      <w:r>
        <w:rPr>
          <w:rFonts w:ascii="MS PGothic" w:cs="MS PGothic" w:eastAsia="MS PGothic" w:hAnsi="MS PGothic"/>
          <w:sz w:val="16"/>
          <w:szCs w:val="16"/>
          <w:color w:val="auto"/>
        </w:rPr>
        <w:t>‐</w:t>
      </w:r>
      <w:r>
        <w:rPr>
          <w:rFonts w:ascii="Arial" w:cs="Arial" w:eastAsia="Arial" w:hAnsi="Arial"/>
          <w:sz w:val="16"/>
          <w:szCs w:val="16"/>
          <w:color w:val="auto"/>
        </w:rPr>
        <w:t>to-date and higher management fees due to an increase in average assets.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w:t>
      </w:r>
    </w:p>
    <w:p>
      <w:pPr>
        <w:spacing w:after="0" w:line="13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three months ended December 31, 2021 and 2020, total investment income was $78.3 million and $62.2 million, respectively. The increase in total investment income resulted primarily from an increase in total interest from investments and other income.</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expenses totaled $32.5 million and $27.7 million for the three months ended December 31, 2021 and 2020, respectively. The increase in expenses was primarily driven by higher interest expense resulting from an increase in the average debt outstanding and higher incentive fees due to an increase in pre-incentive fee net investment income.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Capital Resources</w:t>
      </w:r>
    </w:p>
    <w:p>
      <w:pPr>
        <w:spacing w:after="0" w:line="1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December 31, 2021, the Company had $16.0 million in cash and cash equivalents (including $14.4 million of restricted cash), total principal value of debt outstanding of $1,213.9 million, and $1,193.6 million of undrawn capacity on its revolving credit facility, subject to borrowing base and other limitations. At year end, aggregate commitments under the Company’s revolving credit facility were $1.51 billion, in accordance with the accordion feature.</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weighted average interest rate on debt outstanding was 2.2% and 2.3% for the three months ended December 31, 2021 and September 30, 2021, respectively. At December 31, 2021, the Company’s debt to equity ratio was 0.95x, compared to 0.90x at September 30, 2021. Average debt to equity was 0.99x and 1.01x during the three months ended December 31, 2021 and September 30, 2021,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1"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FFFFFF"/>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2177415"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77415" cy="300355"/>
                    </a:xfrm>
                    <a:prstGeom prst="rect">
                      <a:avLst/>
                    </a:prstGeom>
                    <a:noFill/>
                  </pic:spPr>
                </pic:pic>
              </a:graphicData>
            </a:graphic>
          </wp:anchor>
        </w:drawing>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080" w:type="dxa"/>
            <w:vAlign w:val="bottom"/>
          </w:tcPr>
          <w:p>
            <w:pPr>
              <w:ind w:left="60"/>
              <w:spacing w:after="0"/>
              <w:rPr>
                <w:sz w:val="20"/>
                <w:szCs w:val="20"/>
                <w:color w:val="auto"/>
              </w:rPr>
            </w:pPr>
            <w:r>
              <w:rPr>
                <w:rFonts w:ascii="Arial" w:cs="Arial" w:eastAsia="Arial" w:hAnsi="Arial"/>
                <w:sz w:val="18"/>
                <w:szCs w:val="18"/>
                <w:b w:val="1"/>
                <w:bCs w:val="1"/>
                <w:color w:val="auto"/>
              </w:rPr>
              <w:t>Investment Income:</w:t>
            </w:r>
          </w:p>
        </w:tc>
        <w:tc>
          <w:tcPr>
            <w:tcW w:w="1340" w:type="dxa"/>
            <w:vAlign w:val="bottom"/>
          </w:tcPr>
          <w:p>
            <w:pPr>
              <w:ind w:left="500"/>
              <w:spacing w:after="0"/>
              <w:rPr>
                <w:sz w:val="20"/>
                <w:szCs w:val="20"/>
                <w:color w:val="auto"/>
              </w:rPr>
            </w:pPr>
            <w:r>
              <w:rPr>
                <w:rFonts w:ascii="Arial" w:cs="Arial" w:eastAsia="Arial" w:hAnsi="Arial"/>
                <w:sz w:val="18"/>
                <w:szCs w:val="18"/>
                <w:b w:val="1"/>
                <w:bCs w:val="1"/>
                <w:color w:val="auto"/>
                <w:w w:val="96"/>
              </w:rPr>
              <w:t>$278.6MM</w:t>
            </w:r>
          </w:p>
        </w:tc>
      </w:tr>
      <w:tr>
        <w:trPr>
          <w:trHeight w:val="229"/>
        </w:trPr>
        <w:tc>
          <w:tcPr>
            <w:tcW w:w="2080" w:type="dxa"/>
            <w:vAlign w:val="bottom"/>
            <w:tcBorders>
              <w:bottom w:val="single" w:sz="8" w:color="E7E6E6"/>
            </w:tcBorders>
          </w:tcPr>
          <w:p>
            <w:pPr>
              <w:spacing w:after="0"/>
              <w:rPr>
                <w:sz w:val="19"/>
                <w:szCs w:val="19"/>
                <w:color w:val="auto"/>
              </w:rPr>
            </w:pPr>
          </w:p>
        </w:tc>
        <w:tc>
          <w:tcPr>
            <w:tcW w:w="1340" w:type="dxa"/>
            <w:vAlign w:val="bottom"/>
            <w:tcBorders>
              <w:bottom w:val="single" w:sz="8" w:color="E7E6E6"/>
            </w:tcBorders>
          </w:tcPr>
          <w:p>
            <w:pPr>
              <w:spacing w:after="0"/>
              <w:rPr>
                <w:sz w:val="19"/>
                <w:szCs w:val="19"/>
                <w:color w:val="auto"/>
              </w:rPr>
            </w:pPr>
          </w:p>
        </w:tc>
      </w:tr>
      <w:tr>
        <w:trPr>
          <w:trHeight w:val="237"/>
        </w:trPr>
        <w:tc>
          <w:tcPr>
            <w:tcW w:w="2080" w:type="dxa"/>
            <w:vAlign w:val="bottom"/>
          </w:tcPr>
          <w:p>
            <w:pPr>
              <w:ind w:left="60"/>
              <w:spacing w:after="0"/>
              <w:rPr>
                <w:sz w:val="20"/>
                <w:szCs w:val="20"/>
                <w:color w:val="auto"/>
              </w:rPr>
            </w:pPr>
            <w:r>
              <w:rPr>
                <w:rFonts w:ascii="Arial" w:cs="Arial" w:eastAsia="Arial" w:hAnsi="Arial"/>
                <w:sz w:val="18"/>
                <w:szCs w:val="18"/>
                <w:b w:val="1"/>
                <w:bCs w:val="1"/>
                <w:color w:val="auto"/>
              </w:rPr>
              <w:t>Net Expenses:</w:t>
            </w:r>
          </w:p>
        </w:tc>
        <w:tc>
          <w:tcPr>
            <w:tcW w:w="1340" w:type="dxa"/>
            <w:vAlign w:val="bottom"/>
          </w:tcPr>
          <w:p>
            <w:pPr>
              <w:ind w:left="500"/>
              <w:spacing w:after="0"/>
              <w:rPr>
                <w:sz w:val="20"/>
                <w:szCs w:val="20"/>
                <w:color w:val="auto"/>
              </w:rPr>
            </w:pPr>
            <w:r>
              <w:rPr>
                <w:rFonts w:ascii="Arial" w:cs="Arial" w:eastAsia="Arial" w:hAnsi="Arial"/>
                <w:sz w:val="18"/>
                <w:szCs w:val="18"/>
                <w:b w:val="1"/>
                <w:bCs w:val="1"/>
                <w:color w:val="auto"/>
                <w:w w:val="96"/>
              </w:rPr>
              <w:t>$135.8MM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763270</wp:posOffset>
            </wp:positionV>
            <wp:extent cx="2168525"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685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FFFFFF"/>
        </w:rPr>
        <w:t>Q4 2021</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140" w:type="dxa"/>
            <w:vAlign w:val="bottom"/>
          </w:tcPr>
          <w:p>
            <w:pPr>
              <w:ind w:left="60"/>
              <w:spacing w:after="0"/>
              <w:rPr>
                <w:sz w:val="20"/>
                <w:szCs w:val="20"/>
                <w:color w:val="auto"/>
              </w:rPr>
            </w:pPr>
            <w:r>
              <w:rPr>
                <w:rFonts w:ascii="Arial" w:cs="Arial" w:eastAsia="Arial" w:hAnsi="Arial"/>
                <w:sz w:val="18"/>
                <w:szCs w:val="18"/>
                <w:b w:val="1"/>
                <w:bCs w:val="1"/>
                <w:color w:val="auto"/>
              </w:rPr>
              <w:t>Investment Income:</w:t>
            </w:r>
          </w:p>
        </w:tc>
        <w:tc>
          <w:tcPr>
            <w:tcW w:w="1280" w:type="dxa"/>
            <w:vAlign w:val="bottom"/>
          </w:tcPr>
          <w:p>
            <w:pPr>
              <w:ind w:left="540"/>
              <w:spacing w:after="0"/>
              <w:rPr>
                <w:sz w:val="20"/>
                <w:szCs w:val="20"/>
                <w:color w:val="auto"/>
              </w:rPr>
            </w:pPr>
            <w:r>
              <w:rPr>
                <w:rFonts w:ascii="Arial" w:cs="Arial" w:eastAsia="Arial" w:hAnsi="Arial"/>
                <w:sz w:val="18"/>
                <w:szCs w:val="18"/>
                <w:b w:val="1"/>
                <w:bCs w:val="1"/>
                <w:color w:val="auto"/>
                <w:w w:val="95"/>
              </w:rPr>
              <w:t>$78.3MM</w:t>
            </w:r>
          </w:p>
        </w:tc>
      </w:tr>
      <w:tr>
        <w:trPr>
          <w:trHeight w:val="27"/>
        </w:trPr>
        <w:tc>
          <w:tcPr>
            <w:tcW w:w="2140" w:type="dxa"/>
            <w:vAlign w:val="bottom"/>
            <w:tcBorders>
              <w:bottom w:val="single" w:sz="8" w:color="E7E6E6"/>
            </w:tcBorders>
          </w:tcPr>
          <w:p>
            <w:pPr>
              <w:spacing w:after="0"/>
              <w:rPr>
                <w:sz w:val="2"/>
                <w:szCs w:val="2"/>
                <w:color w:val="auto"/>
              </w:rPr>
            </w:pPr>
          </w:p>
        </w:tc>
        <w:tc>
          <w:tcPr>
            <w:tcW w:w="1280" w:type="dxa"/>
            <w:vAlign w:val="bottom"/>
            <w:tcBorders>
              <w:bottom w:val="single" w:sz="8" w:color="E7E6E6"/>
            </w:tcBorders>
          </w:tcPr>
          <w:p>
            <w:pPr>
              <w:spacing w:after="0"/>
              <w:rPr>
                <w:sz w:val="2"/>
                <w:szCs w:val="2"/>
                <w:color w:val="auto"/>
              </w:rPr>
            </w:pPr>
          </w:p>
        </w:tc>
      </w:tr>
      <w:tr>
        <w:trPr>
          <w:trHeight w:val="237"/>
        </w:trPr>
        <w:tc>
          <w:tcPr>
            <w:tcW w:w="2140" w:type="dxa"/>
            <w:vAlign w:val="bottom"/>
          </w:tcPr>
          <w:p>
            <w:pPr>
              <w:ind w:left="60"/>
              <w:spacing w:after="0"/>
              <w:rPr>
                <w:sz w:val="20"/>
                <w:szCs w:val="20"/>
                <w:color w:val="auto"/>
              </w:rPr>
            </w:pPr>
            <w:r>
              <w:rPr>
                <w:rFonts w:ascii="Arial" w:cs="Arial" w:eastAsia="Arial" w:hAnsi="Arial"/>
                <w:sz w:val="18"/>
                <w:szCs w:val="18"/>
                <w:b w:val="1"/>
                <w:bCs w:val="1"/>
                <w:color w:val="auto"/>
              </w:rPr>
              <w:t>Net Expenses:</w:t>
            </w:r>
          </w:p>
        </w:tc>
        <w:tc>
          <w:tcPr>
            <w:tcW w:w="1280" w:type="dxa"/>
            <w:vAlign w:val="bottom"/>
          </w:tcPr>
          <w:p>
            <w:pPr>
              <w:ind w:left="540"/>
              <w:spacing w:after="0"/>
              <w:rPr>
                <w:sz w:val="20"/>
                <w:szCs w:val="20"/>
                <w:color w:val="auto"/>
              </w:rPr>
            </w:pPr>
            <w:r>
              <w:rPr>
                <w:rFonts w:ascii="Arial" w:cs="Arial" w:eastAsia="Arial" w:hAnsi="Arial"/>
                <w:sz w:val="18"/>
                <w:szCs w:val="18"/>
                <w:b w:val="1"/>
                <w:bCs w:val="1"/>
                <w:color w:val="auto"/>
                <w:w w:val="95"/>
              </w:rPr>
              <w:t>$32.5MM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2177415"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77415" cy="171450"/>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FFFF"/>
        </w:rPr>
        <w:t>Total Principal Debt Outstanding</w:t>
      </w:r>
    </w:p>
    <w:p>
      <w:pPr>
        <w:spacing w:after="0" w:line="63"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$1,213.9MM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21774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600075</wp:posOffset>
            </wp:positionV>
            <wp:extent cx="2168525"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6852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FFFFFF"/>
        </w:rPr>
        <w:t>Debt-to-Equity Ratio</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2021 Quarter End:</w:t>
            </w:r>
          </w:p>
        </w:tc>
        <w:tc>
          <w:tcPr>
            <w:tcW w:w="1020" w:type="dxa"/>
            <w:vAlign w:val="bottom"/>
          </w:tcPr>
          <w:p>
            <w:pPr>
              <w:ind w:left="620"/>
              <w:spacing w:after="0"/>
              <w:rPr>
                <w:sz w:val="20"/>
                <w:szCs w:val="20"/>
                <w:color w:val="auto"/>
              </w:rPr>
            </w:pPr>
            <w:r>
              <w:rPr>
                <w:rFonts w:ascii="Arial" w:cs="Arial" w:eastAsia="Arial" w:hAnsi="Arial"/>
                <w:sz w:val="18"/>
                <w:szCs w:val="18"/>
                <w:b w:val="1"/>
                <w:bCs w:val="1"/>
                <w:color w:val="auto"/>
                <w:w w:val="84"/>
              </w:rPr>
              <w:t>0.95x</w:t>
            </w:r>
          </w:p>
        </w:tc>
      </w:tr>
      <w:tr>
        <w:trPr>
          <w:trHeight w:val="27"/>
        </w:trPr>
        <w:tc>
          <w:tcPr>
            <w:tcW w:w="2400" w:type="dxa"/>
            <w:vAlign w:val="bottom"/>
            <w:tcBorders>
              <w:bottom w:val="single" w:sz="8" w:color="E7E6E6"/>
            </w:tcBorders>
            <w:gridSpan w:val="2"/>
          </w:tcPr>
          <w:p>
            <w:pPr>
              <w:spacing w:after="0"/>
              <w:rPr>
                <w:sz w:val="2"/>
                <w:szCs w:val="2"/>
                <w:color w:val="auto"/>
              </w:rPr>
            </w:pPr>
          </w:p>
        </w:tc>
        <w:tc>
          <w:tcPr>
            <w:tcW w:w="1020" w:type="dxa"/>
            <w:vAlign w:val="bottom"/>
            <w:tcBorders>
              <w:bottom w:val="single" w:sz="8" w:color="E7E6E6"/>
            </w:tcBorders>
          </w:tcPr>
          <w:p>
            <w:pPr>
              <w:spacing w:after="0"/>
              <w:rPr>
                <w:sz w:val="2"/>
                <w:szCs w:val="2"/>
                <w:color w:val="auto"/>
              </w:rPr>
            </w:pPr>
          </w:p>
        </w:tc>
      </w:tr>
      <w:tr>
        <w:trPr>
          <w:trHeight w:val="237"/>
        </w:trPr>
        <w:tc>
          <w:tcPr>
            <w:tcW w:w="2400" w:type="dxa"/>
            <w:vAlign w:val="bottom"/>
            <w:gridSpan w:val="2"/>
          </w:tcPr>
          <w:p>
            <w:pPr>
              <w:ind w:left="60"/>
              <w:spacing w:after="0"/>
              <w:rPr>
                <w:sz w:val="20"/>
                <w:szCs w:val="20"/>
                <w:color w:val="auto"/>
              </w:rPr>
            </w:pPr>
            <w:r>
              <w:rPr>
                <w:rFonts w:ascii="Arial" w:cs="Arial" w:eastAsia="Arial" w:hAnsi="Arial"/>
                <w:sz w:val="18"/>
                <w:szCs w:val="18"/>
                <w:b w:val="1"/>
                <w:bCs w:val="1"/>
                <w:color w:val="auto"/>
              </w:rPr>
              <w:t>2021 Average</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020" w:type="dxa"/>
            <w:vAlign w:val="bottom"/>
          </w:tcPr>
          <w:p>
            <w:pPr>
              <w:ind w:left="620"/>
              <w:spacing w:after="0"/>
              <w:rPr>
                <w:sz w:val="20"/>
                <w:szCs w:val="20"/>
                <w:color w:val="auto"/>
              </w:rPr>
            </w:pPr>
            <w:r>
              <w:rPr>
                <w:rFonts w:ascii="Arial" w:cs="Arial" w:eastAsia="Arial" w:hAnsi="Arial"/>
                <w:sz w:val="18"/>
                <w:szCs w:val="18"/>
                <w:b w:val="1"/>
                <w:bCs w:val="1"/>
                <w:color w:val="auto"/>
                <w:w w:val="84"/>
              </w:rPr>
              <w:t>1.00x</w:t>
            </w:r>
          </w:p>
        </w:tc>
      </w:tr>
      <w:tr>
        <w:trPr>
          <w:trHeight w:val="27"/>
        </w:trPr>
        <w:tc>
          <w:tcPr>
            <w:tcW w:w="320" w:type="dxa"/>
            <w:vAlign w:val="bottom"/>
            <w:tcBorders>
              <w:bottom w:val="single" w:sz="8" w:color="E7E6E6"/>
            </w:tcBorders>
          </w:tcPr>
          <w:p>
            <w:pPr>
              <w:spacing w:after="0"/>
              <w:rPr>
                <w:sz w:val="2"/>
                <w:szCs w:val="2"/>
                <w:color w:val="auto"/>
              </w:rPr>
            </w:pPr>
          </w:p>
        </w:tc>
        <w:tc>
          <w:tcPr>
            <w:tcW w:w="2080" w:type="dxa"/>
            <w:vAlign w:val="bottom"/>
            <w:tcBorders>
              <w:bottom w:val="single" w:sz="8" w:color="E7E6E6"/>
            </w:tcBorders>
          </w:tcPr>
          <w:p>
            <w:pPr>
              <w:spacing w:after="0"/>
              <w:rPr>
                <w:sz w:val="2"/>
                <w:szCs w:val="2"/>
                <w:color w:val="auto"/>
              </w:rPr>
            </w:pPr>
          </w:p>
        </w:tc>
        <w:tc>
          <w:tcPr>
            <w:tcW w:w="1020" w:type="dxa"/>
            <w:vAlign w:val="bottom"/>
            <w:tcBorders>
              <w:bottom w:val="single" w:sz="8" w:color="E7E6E6"/>
            </w:tcBorders>
          </w:tcPr>
          <w:p>
            <w:pPr>
              <w:spacing w:after="0"/>
              <w:rPr>
                <w:sz w:val="2"/>
                <w:szCs w:val="2"/>
                <w:color w:val="auto"/>
              </w:rPr>
            </w:pPr>
          </w:p>
        </w:tc>
      </w:tr>
      <w:tr>
        <w:trPr>
          <w:trHeight w:val="236"/>
        </w:trPr>
        <w:tc>
          <w:tcPr>
            <w:tcW w:w="320" w:type="dxa"/>
            <w:vAlign w:val="bottom"/>
          </w:tcPr>
          <w:p>
            <w:pPr>
              <w:ind w:left="60"/>
              <w:spacing w:after="0"/>
              <w:rPr>
                <w:sz w:val="20"/>
                <w:szCs w:val="20"/>
                <w:color w:val="auto"/>
              </w:rPr>
            </w:pPr>
            <w:r>
              <w:rPr>
                <w:rFonts w:ascii="Arial" w:cs="Arial" w:eastAsia="Arial" w:hAnsi="Arial"/>
                <w:sz w:val="18"/>
                <w:szCs w:val="18"/>
                <w:b w:val="1"/>
                <w:bCs w:val="1"/>
                <w:color w:val="auto"/>
                <w:w w:val="99"/>
              </w:rPr>
              <w:t>Q4</w:t>
            </w:r>
          </w:p>
        </w:tc>
        <w:tc>
          <w:tcPr>
            <w:tcW w:w="2080" w:type="dxa"/>
            <w:vAlign w:val="bottom"/>
          </w:tcPr>
          <w:p>
            <w:pPr>
              <w:ind w:left="20"/>
              <w:spacing w:after="0"/>
              <w:rPr>
                <w:sz w:val="20"/>
                <w:szCs w:val="20"/>
                <w:color w:val="auto"/>
              </w:rPr>
            </w:pPr>
            <w:r>
              <w:rPr>
                <w:rFonts w:ascii="Arial" w:cs="Arial" w:eastAsia="Arial" w:hAnsi="Arial"/>
                <w:sz w:val="18"/>
                <w:szCs w:val="18"/>
                <w:b w:val="1"/>
                <w:bCs w:val="1"/>
                <w:color w:val="auto"/>
              </w:rPr>
              <w:t>2021 Average</w:t>
            </w:r>
            <w:r>
              <w:rPr>
                <w:rFonts w:ascii="Arial" w:cs="Arial" w:eastAsia="Arial" w:hAnsi="Arial"/>
                <w:sz w:val="15"/>
                <w:szCs w:val="15"/>
                <w:b w:val="1"/>
                <w:bCs w:val="1"/>
                <w:color w:val="auto"/>
              </w:rPr>
              <w:t>1</w:t>
            </w:r>
            <w:r>
              <w:rPr>
                <w:rFonts w:ascii="Arial" w:cs="Arial" w:eastAsia="Arial" w:hAnsi="Arial"/>
                <w:sz w:val="18"/>
                <w:szCs w:val="18"/>
                <w:b w:val="1"/>
                <w:bCs w:val="1"/>
                <w:color w:val="auto"/>
              </w:rPr>
              <w:t>:</w:t>
            </w:r>
          </w:p>
        </w:tc>
        <w:tc>
          <w:tcPr>
            <w:tcW w:w="1020" w:type="dxa"/>
            <w:vAlign w:val="bottom"/>
          </w:tcPr>
          <w:p>
            <w:pPr>
              <w:ind w:left="620"/>
              <w:spacing w:after="0"/>
              <w:rPr>
                <w:sz w:val="20"/>
                <w:szCs w:val="20"/>
                <w:color w:val="auto"/>
              </w:rPr>
            </w:pPr>
            <w:r>
              <w:rPr>
                <w:rFonts w:ascii="Arial" w:cs="Arial" w:eastAsia="Arial" w:hAnsi="Arial"/>
                <w:sz w:val="18"/>
                <w:szCs w:val="18"/>
                <w:b w:val="1"/>
                <w:bCs w:val="1"/>
                <w:color w:val="auto"/>
                <w:w w:val="84"/>
              </w:rPr>
              <w:t>0.99x</w:t>
            </w:r>
          </w:p>
        </w:tc>
      </w:tr>
      <w:tr>
        <w:trPr>
          <w:trHeight w:val="27"/>
        </w:trPr>
        <w:tc>
          <w:tcPr>
            <w:tcW w:w="320" w:type="dxa"/>
            <w:vAlign w:val="bottom"/>
            <w:tcBorders>
              <w:bottom w:val="single" w:sz="8" w:color="E7E6E6"/>
            </w:tcBorders>
          </w:tcPr>
          <w:p>
            <w:pPr>
              <w:spacing w:after="0"/>
              <w:rPr>
                <w:sz w:val="2"/>
                <w:szCs w:val="2"/>
                <w:color w:val="auto"/>
              </w:rPr>
            </w:pPr>
          </w:p>
        </w:tc>
        <w:tc>
          <w:tcPr>
            <w:tcW w:w="2080" w:type="dxa"/>
            <w:vAlign w:val="bottom"/>
            <w:tcBorders>
              <w:bottom w:val="single" w:sz="8" w:color="E7E6E6"/>
            </w:tcBorders>
          </w:tcPr>
          <w:p>
            <w:pPr>
              <w:spacing w:after="0"/>
              <w:rPr>
                <w:sz w:val="2"/>
                <w:szCs w:val="2"/>
                <w:color w:val="auto"/>
              </w:rPr>
            </w:pPr>
          </w:p>
        </w:tc>
        <w:tc>
          <w:tcPr>
            <w:tcW w:w="1020" w:type="dxa"/>
            <w:vAlign w:val="bottom"/>
            <w:tcBorders>
              <w:bottom w:val="single" w:sz="8" w:color="E7E6E6"/>
            </w:tcBorders>
          </w:tcPr>
          <w:p>
            <w:pPr>
              <w:spacing w:after="0"/>
              <w:rPr>
                <w:sz w:val="2"/>
                <w:szCs w:val="2"/>
                <w:color w:val="auto"/>
              </w:rPr>
            </w:pPr>
          </w:p>
        </w:tc>
      </w:tr>
    </w:tbl>
    <w:p>
      <w:pPr>
        <w:spacing w:after="0" w:line="116" w:lineRule="exact"/>
        <w:rPr>
          <w:sz w:val="20"/>
          <w:szCs w:val="20"/>
          <w:color w:val="auto"/>
        </w:rPr>
      </w:pPr>
    </w:p>
    <w:p>
      <w:pPr>
        <w:jc w:val="both"/>
        <w:ind w:left="400" w:right="60" w:hanging="331"/>
        <w:spacing w:after="0" w:line="228" w:lineRule="auto"/>
        <w:tabs>
          <w:tab w:leader="none" w:pos="465" w:val="left"/>
        </w:tabs>
        <w:numPr>
          <w:ilvl w:val="0"/>
          <w:numId w:val="3"/>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r>
        <w:rPr>
          <w:rFonts w:ascii="Arial" w:cs="Arial" w:eastAsia="Arial" w:hAnsi="Arial"/>
          <w:sz w:val="14"/>
          <w:szCs w:val="14"/>
          <w:b w:val="1"/>
          <w:bCs w:val="1"/>
          <w:color w:val="auto"/>
        </w:rPr>
        <w:t>.</w:t>
      </w:r>
    </w:p>
    <w:p>
      <w:pPr>
        <w:spacing w:after="0" w:line="200" w:lineRule="exact"/>
        <w:rPr>
          <w:sz w:val="20"/>
          <w:szCs w:val="20"/>
          <w:color w:val="auto"/>
        </w:rPr>
      </w:pPr>
    </w:p>
    <w:p>
      <w:pPr>
        <w:sectPr>
          <w:pgSz w:w="11900" w:h="16838" w:orient="portrait"/>
          <w:cols w:equalWidth="0" w:num="2">
            <w:col w:w="7620" w:space="200"/>
            <w:col w:w="3420"/>
          </w:cols>
          <w:pgMar w:left="320" w:top="143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116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LIQUIDITY AND FUNDING PROFILE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summarize the Company’s liquidity at December 31, 2021 and changes to unfunded commitments since September 30, 2021.</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440" w:type="dxa"/>
            <w:vAlign w:val="bottom"/>
          </w:tcPr>
          <w:p>
            <w:pPr>
              <w:spacing w:after="0"/>
              <w:rPr>
                <w:sz w:val="20"/>
                <w:szCs w:val="20"/>
                <w:color w:val="auto"/>
              </w:rPr>
            </w:pPr>
            <w:r>
              <w:rPr>
                <w:rFonts w:ascii="Arial" w:cs="Arial" w:eastAsia="Arial" w:hAnsi="Arial"/>
                <w:sz w:val="14"/>
                <w:szCs w:val="14"/>
                <w:color w:val="auto"/>
              </w:rPr>
              <w:t>$ Millions</w:t>
            </w: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50"/>
        </w:trPr>
        <w:tc>
          <w:tcPr>
            <w:tcW w:w="4440" w:type="dxa"/>
            <w:vAlign w:val="bottom"/>
            <w:tcBorders>
              <w:bottom w:val="single" w:sz="8" w:color="0F2F50"/>
            </w:tcBorders>
            <w:shd w:val="clear" w:color="auto" w:fill="0F2F50"/>
          </w:tcPr>
          <w:p>
            <w:pPr>
              <w:ind w:left="1820"/>
              <w:spacing w:after="0"/>
              <w:rPr>
                <w:sz w:val="20"/>
                <w:szCs w:val="20"/>
                <w:color w:val="auto"/>
              </w:rPr>
            </w:pPr>
            <w:r>
              <w:rPr>
                <w:rFonts w:ascii="Arial" w:cs="Arial" w:eastAsia="Arial" w:hAnsi="Arial"/>
                <w:sz w:val="18"/>
                <w:szCs w:val="18"/>
                <w:b w:val="1"/>
                <w:bCs w:val="1"/>
                <w:color w:val="FFFFFF"/>
              </w:rPr>
              <w:t>Revolving Credit Facility</w:t>
            </w:r>
          </w:p>
        </w:tc>
        <w:tc>
          <w:tcPr>
            <w:tcW w:w="1120" w:type="dxa"/>
            <w:vAlign w:val="bottom"/>
            <w:tcBorders>
              <w:bottom w:val="single" w:sz="8" w:color="0F2F50"/>
            </w:tcBorders>
            <w:shd w:val="clear" w:color="auto" w:fill="0F2F50"/>
          </w:tcPr>
          <w:p>
            <w:pPr>
              <w:spacing w:after="0"/>
              <w:rPr>
                <w:sz w:val="21"/>
                <w:szCs w:val="21"/>
                <w:color w:val="auto"/>
              </w:rPr>
            </w:pPr>
          </w:p>
        </w:tc>
        <w:tc>
          <w:tcPr>
            <w:tcW w:w="220" w:type="dxa"/>
            <w:vAlign w:val="bottom"/>
          </w:tcPr>
          <w:p>
            <w:pPr>
              <w:spacing w:after="0"/>
              <w:rPr>
                <w:sz w:val="21"/>
                <w:szCs w:val="21"/>
                <w:color w:val="auto"/>
              </w:rPr>
            </w:pPr>
          </w:p>
        </w:tc>
        <w:tc>
          <w:tcPr>
            <w:tcW w:w="4560" w:type="dxa"/>
            <w:vAlign w:val="bottom"/>
            <w:tcBorders>
              <w:bottom w:val="single" w:sz="8" w:color="0F2F50"/>
            </w:tcBorders>
            <w:shd w:val="clear" w:color="auto" w:fill="0F2F50"/>
          </w:tcPr>
          <w:p>
            <w:pPr>
              <w:ind w:left="1480"/>
              <w:spacing w:after="0"/>
              <w:rPr>
                <w:sz w:val="20"/>
                <w:szCs w:val="20"/>
                <w:color w:val="auto"/>
              </w:rPr>
            </w:pPr>
            <w:r>
              <w:rPr>
                <w:rFonts w:ascii="Arial" w:cs="Arial" w:eastAsia="Arial" w:hAnsi="Arial"/>
                <w:sz w:val="18"/>
                <w:szCs w:val="18"/>
                <w:b w:val="1"/>
                <w:bCs w:val="1"/>
                <w:color w:val="FFFFFF"/>
              </w:rPr>
              <w:t>Unfunded Commitment Activity</w:t>
            </w:r>
          </w:p>
        </w:tc>
        <w:tc>
          <w:tcPr>
            <w:tcW w:w="900" w:type="dxa"/>
            <w:vAlign w:val="bottom"/>
            <w:tcBorders>
              <w:bottom w:val="single" w:sz="8" w:color="0F2F50"/>
            </w:tcBorders>
            <w:shd w:val="clear" w:color="auto" w:fill="0F2F50"/>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6"/>
                <w:szCs w:val="16"/>
                <w:b w:val="1"/>
                <w:bCs w:val="1"/>
                <w:color w:val="auto"/>
              </w:rPr>
              <w:t>Revolver Capacity</w:t>
            </w:r>
          </w:p>
        </w:tc>
        <w:tc>
          <w:tcPr>
            <w:tcW w:w="1120" w:type="dxa"/>
            <w:vAlign w:val="bottom"/>
          </w:tcPr>
          <w:p>
            <w:pPr>
              <w:jc w:val="right"/>
              <w:spacing w:after="0"/>
              <w:rPr>
                <w:sz w:val="20"/>
                <w:szCs w:val="20"/>
                <w:color w:val="auto"/>
              </w:rPr>
            </w:pPr>
            <w:r>
              <w:rPr>
                <w:rFonts w:ascii="Arial" w:cs="Arial" w:eastAsia="Arial" w:hAnsi="Arial"/>
                <w:sz w:val="16"/>
                <w:szCs w:val="16"/>
                <w:b w:val="1"/>
                <w:bCs w:val="1"/>
                <w:color w:val="auto"/>
              </w:rPr>
              <w:t>$1,510</w:t>
            </w:r>
          </w:p>
        </w:tc>
        <w:tc>
          <w:tcPr>
            <w:tcW w:w="220" w:type="dxa"/>
            <w:vAlign w:val="bottom"/>
          </w:tcPr>
          <w:p>
            <w:pPr>
              <w:spacing w:after="0"/>
              <w:rPr>
                <w:sz w:val="17"/>
                <w:szCs w:val="17"/>
                <w:color w:val="auto"/>
              </w:rPr>
            </w:pPr>
          </w:p>
        </w:tc>
        <w:tc>
          <w:tcPr>
            <w:tcW w:w="4560" w:type="dxa"/>
            <w:vAlign w:val="bottom"/>
          </w:tcPr>
          <w:p>
            <w:pPr>
              <w:spacing w:after="0"/>
              <w:rPr>
                <w:sz w:val="20"/>
                <w:szCs w:val="20"/>
                <w:color w:val="auto"/>
              </w:rPr>
            </w:pPr>
            <w:r>
              <w:rPr>
                <w:rFonts w:ascii="Arial" w:cs="Arial" w:eastAsia="Arial" w:hAnsi="Arial"/>
                <w:sz w:val="16"/>
                <w:szCs w:val="16"/>
                <w:b w:val="1"/>
                <w:bCs w:val="1"/>
                <w:color w:val="auto"/>
              </w:rPr>
              <w:t>Unfunded Commitments (See Note 8 in 9/30/21 10-Q)</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$191</w:t>
            </w:r>
          </w:p>
        </w:tc>
        <w:tc>
          <w:tcPr>
            <w:tcW w:w="20" w:type="dxa"/>
            <w:vAlign w:val="bottom"/>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1435" w:right="339" w:bottom="1440" w:gutter="0" w:footer="0" w:header="0"/>
        </w:sectPr>
      </w:pPr>
    </w:p>
    <w:tbl>
      <w:tblPr>
        <w:tblLayout w:type="fixed"/>
        <w:tblInd w:w="0" w:type="dxa"/>
        <w:tblCellMar>
          <w:top w:w="0" w:type="dxa"/>
          <w:left w:w="0" w:type="dxa"/>
          <w:bottom w:w="0" w:type="dxa"/>
          <w:right w:w="0" w:type="dxa"/>
        </w:tblCellMar>
      </w:tblPr>
      <w:tr>
        <w:trPr>
          <w:trHeight w:val="196"/>
        </w:trPr>
        <w:tc>
          <w:tcPr>
            <w:tcW w:w="4500" w:type="dxa"/>
            <w:vAlign w:val="bottom"/>
            <w:tcBorders>
              <w:top w:val="single" w:sz="8" w:color="ECEEF0"/>
              <w:bottom w:val="single" w:sz="8" w:color="ECEEF0"/>
            </w:tcBorders>
          </w:tcPr>
          <w:p>
            <w:pPr>
              <w:ind w:left="20"/>
              <w:spacing w:after="0"/>
              <w:rPr>
                <w:sz w:val="20"/>
                <w:szCs w:val="20"/>
                <w:color w:val="auto"/>
              </w:rPr>
            </w:pPr>
            <w:r>
              <w:rPr>
                <w:rFonts w:ascii="Arial" w:cs="Arial" w:eastAsia="Arial" w:hAnsi="Arial"/>
                <w:sz w:val="16"/>
                <w:szCs w:val="16"/>
                <w:color w:val="auto"/>
              </w:rPr>
              <w:t>Drawn on Revolver</w:t>
            </w:r>
          </w:p>
        </w:tc>
        <w:tc>
          <w:tcPr>
            <w:tcW w:w="106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($316)</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color w:val="auto"/>
              </w:rPr>
              <w:t>Unrestricted Cash Balance</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(Pre-Unfunded Commitments)</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$1,195</w:t>
            </w:r>
          </w:p>
        </w:tc>
      </w:tr>
      <w:tr>
        <w:trPr>
          <w:trHeight w:val="196"/>
        </w:trPr>
        <w:tc>
          <w:tcPr>
            <w:tcW w:w="4500" w:type="dxa"/>
            <w:vAlign w:val="bottom"/>
            <w:tcBorders>
              <w:bottom w:val="single" w:sz="8" w:color="ECEEF0"/>
            </w:tcBorders>
          </w:tcPr>
          <w:p>
            <w:pPr>
              <w:ind w:left="20"/>
              <w:spacing w:after="0" w:line="195" w:lineRule="exact"/>
              <w:rPr>
                <w:sz w:val="20"/>
                <w:szCs w:val="20"/>
                <w:color w:val="auto"/>
              </w:rPr>
            </w:pPr>
            <w:r>
              <w:rPr>
                <w:rFonts w:ascii="Arial" w:cs="Arial" w:eastAsia="Arial" w:hAnsi="Arial"/>
                <w:sz w:val="14"/>
                <w:szCs w:val="14"/>
                <w:color w:val="auto"/>
              </w:rPr>
              <w:t>Available Unfunded Commitments</w:t>
            </w:r>
            <w:r>
              <w:rPr>
                <w:rFonts w:ascii="Arial" w:cs="Arial" w:eastAsia="Arial" w:hAnsi="Arial"/>
                <w:sz w:val="22"/>
                <w:szCs w:val="22"/>
                <w:color w:val="auto"/>
                <w:vertAlign w:val="superscript"/>
              </w:rPr>
              <w:t>1</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($156)</w:t>
            </w:r>
          </w:p>
        </w:tc>
      </w:tr>
      <w:tr>
        <w:trPr>
          <w:trHeight w:val="196"/>
        </w:trPr>
        <w:tc>
          <w:tcPr>
            <w:tcW w:w="4500" w:type="dxa"/>
            <w:vAlign w:val="bottom"/>
            <w:tcBorders>
              <w:bottom w:val="single" w:sz="8" w:color="ECEEF0"/>
            </w:tcBorders>
          </w:tcPr>
          <w:p>
            <w:pPr>
              <w:ind w:left="20"/>
              <w:spacing w:after="0"/>
              <w:rPr>
                <w:sz w:val="20"/>
                <w:szCs w:val="20"/>
                <w:color w:val="auto"/>
              </w:rPr>
            </w:pPr>
            <w:r>
              <w:rPr>
                <w:rFonts w:ascii="Arial" w:cs="Arial" w:eastAsia="Arial" w:hAnsi="Arial"/>
                <w:sz w:val="16"/>
                <w:szCs w:val="16"/>
                <w:b w:val="1"/>
                <w:bCs w:val="1"/>
                <w:color w:val="auto"/>
              </w:rPr>
              <w:t>Total Liquidity (Burdened for Unfunded Commitments)</w:t>
            </w:r>
          </w:p>
        </w:tc>
        <w:tc>
          <w:tcPr>
            <w:tcW w:w="106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$1,039</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Borders>
              <w:top w:val="single" w:sz="8" w:color="ECEEF0"/>
            </w:tcBorders>
          </w:tcPr>
          <w:p>
            <w:pPr>
              <w:spacing w:after="0"/>
              <w:rPr>
                <w:sz w:val="20"/>
                <w:szCs w:val="20"/>
                <w:color w:val="auto"/>
              </w:rPr>
            </w:pPr>
            <w:r>
              <w:rPr>
                <w:rFonts w:ascii="Arial" w:cs="Arial" w:eastAsia="Arial" w:hAnsi="Arial"/>
                <w:sz w:val="16"/>
                <w:szCs w:val="16"/>
                <w:color w:val="auto"/>
              </w:rPr>
              <w:t>Extinguished Unfunded Commitments</w:t>
            </w:r>
          </w:p>
        </w:tc>
        <w:tc>
          <w:tcPr>
            <w:tcW w:w="1560" w:type="dxa"/>
            <w:vAlign w:val="bottom"/>
            <w:tcBorders>
              <w:top w:val="single" w:sz="8" w:color="ECEEF0"/>
            </w:tcBorders>
            <w:gridSpan w:val="2"/>
          </w:tcPr>
          <w:p>
            <w:pPr>
              <w:jc w:val="right"/>
              <w:ind w:right="20"/>
              <w:spacing w:after="0"/>
              <w:rPr>
                <w:sz w:val="20"/>
                <w:szCs w:val="20"/>
                <w:color w:val="auto"/>
              </w:rPr>
            </w:pPr>
            <w:r>
              <w:rPr>
                <w:rFonts w:ascii="Arial" w:cs="Arial" w:eastAsia="Arial" w:hAnsi="Arial"/>
                <w:sz w:val="16"/>
                <w:szCs w:val="16"/>
                <w:color w:val="auto"/>
              </w:rPr>
              <w:t>($29)</w:t>
            </w:r>
          </w:p>
        </w:tc>
      </w:tr>
      <w:tr>
        <w:trPr>
          <w:trHeight w:val="196"/>
        </w:trPr>
        <w:tc>
          <w:tcPr>
            <w:tcW w:w="3920" w:type="dxa"/>
            <w:vAlign w:val="bottom"/>
            <w:tcBorders>
              <w:top w:val="single" w:sz="8" w:color="ECEEF0"/>
              <w:bottom w:val="single" w:sz="8" w:color="ECEEF0"/>
            </w:tcBorders>
          </w:tcPr>
          <w:p>
            <w:pPr>
              <w:spacing w:after="0"/>
              <w:rPr>
                <w:sz w:val="20"/>
                <w:szCs w:val="20"/>
                <w:color w:val="auto"/>
              </w:rPr>
            </w:pPr>
            <w:r>
              <w:rPr>
                <w:rFonts w:ascii="Arial" w:cs="Arial" w:eastAsia="Arial" w:hAnsi="Arial"/>
                <w:sz w:val="16"/>
                <w:szCs w:val="16"/>
                <w:color w:val="auto"/>
              </w:rPr>
              <w:t>New Unfunded Commitments</w:t>
            </w:r>
          </w:p>
        </w:tc>
        <w:tc>
          <w:tcPr>
            <w:tcW w:w="1540" w:type="dxa"/>
            <w:vAlign w:val="bottom"/>
            <w:tcBorders>
              <w:top w:val="single" w:sz="8" w:color="ECEEF0"/>
              <w:bottom w:val="single" w:sz="8" w:color="ECEEF0"/>
            </w:tcBorders>
          </w:tcPr>
          <w:p>
            <w:pPr>
              <w:jc w:val="right"/>
              <w:spacing w:after="0"/>
              <w:rPr>
                <w:sz w:val="20"/>
                <w:szCs w:val="20"/>
                <w:color w:val="auto"/>
              </w:rPr>
            </w:pPr>
            <w:r>
              <w:rPr>
                <w:rFonts w:ascii="Arial" w:cs="Arial" w:eastAsia="Arial" w:hAnsi="Arial"/>
                <w:sz w:val="16"/>
                <w:szCs w:val="16"/>
                <w:color w:val="auto"/>
              </w:rPr>
              <w:t>$184</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color w:val="auto"/>
              </w:rPr>
              <w:t>Net Drawdown of Unfunded Commitments</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rPr>
                <w:sz w:val="20"/>
                <w:szCs w:val="20"/>
                <w:color w:val="auto"/>
              </w:rPr>
            </w:pPr>
            <w:r>
              <w:rPr>
                <w:rFonts w:ascii="Arial" w:cs="Arial" w:eastAsia="Arial" w:hAnsi="Arial"/>
                <w:sz w:val="16"/>
                <w:szCs w:val="16"/>
                <w:b w:val="1"/>
                <w:bCs w:val="1"/>
                <w:color w:val="auto"/>
              </w:rPr>
              <w:t>Total Unfunded Commitments</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b w:val="1"/>
                <w:bCs w:val="1"/>
                <w:color w:val="auto"/>
              </w:rPr>
              <w:t>$332</w:t>
            </w:r>
          </w:p>
        </w:tc>
        <w:tc>
          <w:tcPr>
            <w:tcW w:w="20" w:type="dxa"/>
            <w:vAlign w:val="bottom"/>
          </w:tcPr>
          <w:p>
            <w:pPr>
              <w:spacing w:after="0"/>
              <w:rPr>
                <w:sz w:val="17"/>
                <w:szCs w:val="17"/>
                <w:color w:val="auto"/>
              </w:rPr>
            </w:pPr>
          </w:p>
        </w:tc>
      </w:tr>
      <w:tr>
        <w:trPr>
          <w:trHeight w:val="196"/>
        </w:trPr>
        <w:tc>
          <w:tcPr>
            <w:tcW w:w="3920" w:type="dxa"/>
            <w:vAlign w:val="bottom"/>
            <w:tcBorders>
              <w:bottom w:val="single" w:sz="8" w:color="ECEEF0"/>
            </w:tcBorders>
          </w:tcPr>
          <w:p>
            <w:pPr>
              <w:spacing w:after="0" w:line="195" w:lineRule="exact"/>
              <w:rPr>
                <w:sz w:val="20"/>
                <w:szCs w:val="20"/>
                <w:color w:val="auto"/>
              </w:rPr>
            </w:pPr>
            <w:r>
              <w:rPr>
                <w:rFonts w:ascii="Arial" w:cs="Arial" w:eastAsia="Arial" w:hAnsi="Arial"/>
                <w:sz w:val="14"/>
                <w:szCs w:val="14"/>
                <w:color w:val="auto"/>
              </w:rPr>
              <w:t>Unavailable Unfunded Commitments</w:t>
            </w:r>
            <w:r>
              <w:rPr>
                <w:rFonts w:ascii="Arial" w:cs="Arial" w:eastAsia="Arial" w:hAnsi="Arial"/>
                <w:sz w:val="22"/>
                <w:szCs w:val="22"/>
                <w:color w:val="auto"/>
                <w:vertAlign w:val="superscript"/>
              </w:rPr>
              <w:t>1</w:t>
            </w:r>
          </w:p>
        </w:tc>
        <w:tc>
          <w:tcPr>
            <w:tcW w:w="1540" w:type="dxa"/>
            <w:vAlign w:val="bottom"/>
            <w:tcBorders>
              <w:bottom w:val="single" w:sz="8" w:color="ECEEF0"/>
            </w:tcBorders>
          </w:tcPr>
          <w:p>
            <w:pPr>
              <w:jc w:val="right"/>
              <w:spacing w:after="0"/>
              <w:rPr>
                <w:sz w:val="20"/>
                <w:szCs w:val="20"/>
                <w:color w:val="auto"/>
              </w:rPr>
            </w:pPr>
            <w:r>
              <w:rPr>
                <w:rFonts w:ascii="Arial" w:cs="Arial" w:eastAsia="Arial" w:hAnsi="Arial"/>
                <w:sz w:val="16"/>
                <w:szCs w:val="16"/>
                <w:color w:val="auto"/>
              </w:rPr>
              <w:t>($176)</w:t>
            </w:r>
          </w:p>
        </w:tc>
        <w:tc>
          <w:tcPr>
            <w:tcW w:w="20" w:type="dxa"/>
            <w:vAlign w:val="bottom"/>
          </w:tcPr>
          <w:p>
            <w:pPr>
              <w:spacing w:after="0"/>
              <w:rPr>
                <w:sz w:val="17"/>
                <w:szCs w:val="17"/>
                <w:color w:val="auto"/>
              </w:rPr>
            </w:pPr>
          </w:p>
        </w:tc>
      </w:tr>
      <w:tr>
        <w:trPr>
          <w:trHeight w:val="205"/>
        </w:trPr>
        <w:tc>
          <w:tcPr>
            <w:tcW w:w="3920" w:type="dxa"/>
            <w:vAlign w:val="bottom"/>
          </w:tcPr>
          <w:p>
            <w:pPr>
              <w:spacing w:after="0" w:line="205" w:lineRule="exact"/>
              <w:rPr>
                <w:sz w:val="20"/>
                <w:szCs w:val="20"/>
                <w:color w:val="auto"/>
              </w:rPr>
            </w:pPr>
            <w:r>
              <w:rPr>
                <w:rFonts w:ascii="Arial" w:cs="Arial" w:eastAsia="Arial" w:hAnsi="Arial"/>
                <w:sz w:val="14"/>
                <w:szCs w:val="14"/>
                <w:b w:val="1"/>
                <w:bCs w:val="1"/>
                <w:color w:val="auto"/>
              </w:rPr>
              <w:t>Available Unfunded Commitments</w:t>
            </w:r>
            <w:r>
              <w:rPr>
                <w:rFonts w:ascii="Arial" w:cs="Arial" w:eastAsia="Arial" w:hAnsi="Arial"/>
                <w:sz w:val="23"/>
                <w:szCs w:val="23"/>
                <w:color w:val="auto"/>
                <w:vertAlign w:val="superscript"/>
              </w:rPr>
              <w:t>1</w:t>
            </w:r>
          </w:p>
        </w:tc>
        <w:tc>
          <w:tcPr>
            <w:tcW w:w="1540" w:type="dxa"/>
            <w:vAlign w:val="bottom"/>
          </w:tcPr>
          <w:p>
            <w:pPr>
              <w:jc w:val="right"/>
              <w:spacing w:after="0"/>
              <w:rPr>
                <w:sz w:val="20"/>
                <w:szCs w:val="20"/>
                <w:color w:val="auto"/>
              </w:rPr>
            </w:pPr>
            <w:r>
              <w:rPr>
                <w:rFonts w:ascii="Arial" w:cs="Arial" w:eastAsia="Arial" w:hAnsi="Arial"/>
                <w:sz w:val="16"/>
                <w:szCs w:val="16"/>
                <w:b w:val="1"/>
                <w:bCs w:val="1"/>
                <w:color w:val="auto"/>
              </w:rPr>
              <w:t>$156</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34632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560" w:space="220"/>
            <w:col w:w="5460"/>
          </w:cols>
          <w:pgMar w:left="320" w:top="1435" w:right="339" w:bottom="1440" w:gutter="0" w:footer="0" w:header="0"/>
          <w:type w:val="continuous"/>
        </w:sectPr>
      </w:pPr>
    </w:p>
    <w:p>
      <w:pPr>
        <w:ind w:left="400" w:hanging="392"/>
        <w:spacing w:after="0" w:line="216" w:lineRule="auto"/>
        <w:tabs>
          <w:tab w:leader="none" w:pos="40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Commitments may be subject to limitations on borrowings set forth in the agreements between the Company and the applicable portfolio company. As a result, portfolio companies may not be eligible to borrow the full commitment amount on such date.</w:t>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Note: May not sum due to rounding.</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Profile</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December 31, 2021, the Company’s funding mix was comprised of 74% unsecured and 26% secured debt. As illustrated below, the Company’s nearest debt maturity is in August 2022 at $100 million, and the weighted average remaining life of investments funded with debt was ~2.4 years, compared to a weighted average remaining maturity on debt of ~3.6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74295</wp:posOffset>
            </wp:positionV>
            <wp:extent cx="5812155" cy="28975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812155"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*Includes $25 million of non-extending commitments with a maturity of January 31, 2025 and a revolving period ending January 31, 2024.</w:t>
      </w:r>
    </w:p>
    <w:p>
      <w:pPr>
        <w:spacing w:after="0" w:line="134" w:lineRule="exact"/>
        <w:rPr>
          <w:sz w:val="20"/>
          <w:szCs w:val="20"/>
          <w:color w:val="auto"/>
        </w:rPr>
      </w:pPr>
    </w:p>
    <w:p>
      <w:pPr>
        <w:ind w:left="400" w:hanging="392"/>
        <w:spacing w:after="0" w:line="243" w:lineRule="auto"/>
        <w:tabs>
          <w:tab w:leader="none" w:pos="400" w:val="left"/>
        </w:tabs>
        <w:numPr>
          <w:ilvl w:val="0"/>
          <w:numId w:val="5"/>
        </w:numPr>
        <w:rPr>
          <w:rFonts w:ascii="Arial" w:cs="Arial" w:eastAsia="Arial" w:hAnsi="Arial"/>
          <w:sz w:val="12"/>
          <w:szCs w:val="12"/>
          <w:color w:val="auto"/>
        </w:rPr>
      </w:pPr>
      <w:r>
        <w:rPr>
          <w:rFonts w:ascii="Arial" w:cs="Arial" w:eastAsia="Arial" w:hAnsi="Arial"/>
          <w:sz w:val="12"/>
          <w:szCs w:val="12"/>
          <w:color w:val="auto"/>
        </w:rPr>
        <w:t>Net of Deferred Financing Costs and Interest Rate Fair Value Hedging. Deferred Financing Costs total $17.2M at 12/31/20, $23.7M at 3/31/21, $22.3M at 6/30/21, $20.8M at 9/30/21 and $19.1M at 12/31/21. Fair value hedge on interest rate swaps related to the 2024 and 2026 notes total $16.8M at 12/31/20, $2.2M at 3/31/21, $4.5M at 6/30/21, $2.5M at 9/30/21 and ($5.9M) at 12/31/21.</w:t>
      </w:r>
    </w:p>
    <w:p>
      <w:pPr>
        <w:jc w:val="both"/>
        <w:ind w:left="400" w:hanging="392"/>
        <w:spacing w:after="0" w:line="216"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Weighted by amortized cost of debt investments. Investments are financed by debt and equity capital. This analysis assumes longer-dated investments are currently funded by equity capital (53% of investments) and the remaining (shorter-dated) investments (47% of investments) are currently funded by debt financing. Investments for purposes of this analysis exclude unfunded commitments, and equity capital is defined as 12/31/21 net assets.</w:t>
      </w:r>
    </w:p>
    <w:p>
      <w:pPr>
        <w:spacing w:after="0" w:line="1" w:lineRule="exact"/>
        <w:rPr>
          <w:rFonts w:ascii="Arial" w:cs="Arial" w:eastAsia="Arial" w:hAnsi="Arial"/>
          <w:sz w:val="13"/>
          <w:szCs w:val="13"/>
          <w:color w:val="auto"/>
        </w:rPr>
      </w:pPr>
    </w:p>
    <w:p>
      <w:pPr>
        <w:ind w:left="400" w:hanging="392"/>
        <w:spacing w:after="0" w:line="216" w:lineRule="auto"/>
        <w:tabs>
          <w:tab w:leader="none" w:pos="400" w:val="left"/>
        </w:tabs>
        <w:numPr>
          <w:ilvl w:val="0"/>
          <w:numId w:val="5"/>
        </w:numPr>
        <w:rPr>
          <w:rFonts w:ascii="Arial" w:cs="Arial" w:eastAsia="Arial" w:hAnsi="Arial"/>
          <w:sz w:val="13"/>
          <w:szCs w:val="13"/>
          <w:color w:val="auto"/>
        </w:rPr>
      </w:pPr>
      <w:r>
        <w:rPr>
          <w:rFonts w:ascii="Arial" w:cs="Arial" w:eastAsia="Arial" w:hAnsi="Arial"/>
          <w:sz w:val="13"/>
          <w:szCs w:val="13"/>
          <w:color w:val="auto"/>
        </w:rPr>
        <w:t>Weighted by gross commitment amount.</w:t>
      </w:r>
    </w:p>
    <w:p>
      <w:pPr>
        <w:spacing w:after="0"/>
        <w:rPr>
          <w:sz w:val="20"/>
          <w:szCs w:val="20"/>
          <w:color w:val="auto"/>
        </w:rPr>
      </w:pPr>
      <w:r>
        <w:rPr>
          <w:rFonts w:ascii="Arial" w:cs="Arial" w:eastAsia="Arial" w:hAnsi="Arial"/>
          <w:sz w:val="13"/>
          <w:szCs w:val="13"/>
          <w:color w:val="auto"/>
        </w:rPr>
        <w:t>Note: Numbers may not sum due to rounding.</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CONFERENCE CALL AND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 conference call to discuss the Company’s financial results will be held live at 8:30 a.m. Eastern Time on February 18, 2022. Please visit TSLX’s webcast link located on the Events &amp; Presentations page of the Investor Resources section of TSLX’s website http://www.sixthstreetspecialtylending.com for a slide presentation that complements the Earnings Conference Call. Please visit the website to test your connection before the webcast.</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6069108</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All callers will need to enter the Conference ID followed by the # sign and reference “Sixth Street Specialty Lending” once connected with the operator.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All callers are asked to dial in 10-15 minutes prior to the call so that name and company information can be collected.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An archived replay will be available from approximately 12:00 p.m. Eastern Time on February 18 through February 25 via a webcast link located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 Resources section of TSLX’s website, and via the dial-in numbers listed below:</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6069108</w:t>
      </w: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8" w:name="page9"/>
    <w:bookmarkEnd w:id="8"/>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in millions,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178"/>
        </w:trPr>
        <w:tc>
          <w:tcPr>
            <w:tcW w:w="4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71"/>
        </w:trPr>
        <w:tc>
          <w:tcPr>
            <w:tcW w:w="4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5"/>
              </w:rPr>
              <w:t>December 31, 2021</w:t>
            </w:r>
          </w:p>
        </w:tc>
        <w:tc>
          <w:tcPr>
            <w:tcW w:w="140" w:type="dxa"/>
            <w:vAlign w:val="bottom"/>
          </w:tcPr>
          <w:p>
            <w:pPr>
              <w:spacing w:after="0"/>
              <w:rPr>
                <w:sz w:val="14"/>
                <w:szCs w:val="14"/>
                <w:color w:val="auto"/>
              </w:rPr>
            </w:pPr>
          </w:p>
        </w:tc>
        <w:tc>
          <w:tcPr>
            <w:tcW w:w="21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September 30, 2020</w:t>
            </w:r>
          </w:p>
        </w:tc>
        <w:tc>
          <w:tcPr>
            <w:tcW w:w="160" w:type="dxa"/>
            <w:vAlign w:val="bottom"/>
          </w:tcPr>
          <w:p>
            <w:pPr>
              <w:spacing w:after="0"/>
              <w:rPr>
                <w:sz w:val="14"/>
                <w:szCs w:val="14"/>
                <w:color w:val="auto"/>
              </w:rPr>
            </w:pPr>
          </w:p>
        </w:tc>
        <w:tc>
          <w:tcPr>
            <w:tcW w:w="18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2020</w:t>
            </w:r>
          </w:p>
        </w:tc>
      </w:tr>
      <w:tr>
        <w:trPr>
          <w:trHeight w:val="155"/>
        </w:trPr>
        <w:tc>
          <w:tcPr>
            <w:tcW w:w="4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Investments at Fair Value</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2,521.6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2,406.5</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2,298.9</w:t>
            </w:r>
          </w:p>
        </w:tc>
        <w:tc>
          <w:tcPr>
            <w:tcW w:w="360" w:type="dxa"/>
            <w:vAlign w:val="bottom"/>
            <w:shd w:val="clear" w:color="auto" w:fill="CCEEFF"/>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Total Assets</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2,551.9</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2,438.5</w:t>
            </w:r>
          </w:p>
        </w:tc>
        <w:tc>
          <w:tcPr>
            <w:tcW w:w="60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2,338.6</w:t>
            </w:r>
          </w:p>
        </w:tc>
        <w:tc>
          <w:tcPr>
            <w:tcW w:w="360" w:type="dxa"/>
            <w:vAlign w:val="bottom"/>
          </w:tcPr>
          <w:p>
            <w:pPr>
              <w:spacing w:after="0"/>
              <w:rPr>
                <w:sz w:val="18"/>
                <w:szCs w:val="18"/>
                <w:color w:val="auto"/>
              </w:rPr>
            </w:pPr>
          </w:p>
        </w:tc>
      </w:tr>
      <w:tr>
        <w:trPr>
          <w:trHeight w:val="219"/>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Net Asset Value Per Share</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17.16</w:t>
            </w:r>
          </w:p>
        </w:tc>
        <w:tc>
          <w:tcPr>
            <w:tcW w:w="360" w:type="dxa"/>
            <w:vAlign w:val="bottom"/>
            <w:shd w:val="clear" w:color="auto" w:fill="CCEEFF"/>
          </w:tcPr>
          <w:p>
            <w:pPr>
              <w:spacing w:after="0"/>
              <w:rPr>
                <w:sz w:val="19"/>
                <w:szCs w:val="19"/>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Supplemental Dividend Per Share</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0.11</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0.07</w:t>
            </w:r>
          </w:p>
        </w:tc>
        <w:tc>
          <w:tcPr>
            <w:tcW w:w="60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0.05</w:t>
            </w:r>
          </w:p>
        </w:tc>
        <w:tc>
          <w:tcPr>
            <w:tcW w:w="360" w:type="dxa"/>
            <w:vAlign w:val="bottom"/>
          </w:tcPr>
          <w:p>
            <w:pPr>
              <w:spacing w:after="0"/>
              <w:rPr>
                <w:sz w:val="18"/>
                <w:szCs w:val="18"/>
                <w:color w:val="auto"/>
              </w:rPr>
            </w:pPr>
          </w:p>
        </w:tc>
      </w:tr>
      <w:tr>
        <w:trPr>
          <w:trHeight w:val="219"/>
        </w:trPr>
        <w:tc>
          <w:tcPr>
            <w:tcW w:w="4180" w:type="dxa"/>
            <w:vAlign w:val="bottom"/>
            <w:shd w:val="clear" w:color="auto" w:fill="CCEEFF"/>
          </w:tcPr>
          <w:p>
            <w:pPr>
              <w:spacing w:after="0"/>
              <w:rPr>
                <w:sz w:val="20"/>
                <w:szCs w:val="20"/>
                <w:color w:val="auto"/>
              </w:rPr>
            </w:pPr>
            <w:r>
              <w:rPr>
                <w:rFonts w:ascii="Arial" w:cs="Arial" w:eastAsia="Arial" w:hAnsi="Arial"/>
                <w:sz w:val="16"/>
                <w:szCs w:val="16"/>
                <w:color w:val="auto"/>
              </w:rPr>
              <w:t>Special Dividend Per Share</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60" w:type="dxa"/>
            <w:vAlign w:val="bottom"/>
            <w:gridSpan w:val="2"/>
            <w:shd w:val="clear" w:color="auto" w:fill="CCEEFF"/>
          </w:tcPr>
          <w:p>
            <w:pPr>
              <w:jc w:val="right"/>
              <w:ind w:right="6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0.50</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360" w:type="dxa"/>
            <w:vAlign w:val="bottom"/>
            <w:shd w:val="clear" w:color="auto" w:fill="CCEEFF"/>
          </w:tcPr>
          <w:p>
            <w:pPr>
              <w:spacing w:after="0"/>
              <w:rPr>
                <w:sz w:val="19"/>
                <w:szCs w:val="19"/>
                <w:color w:val="auto"/>
              </w:rPr>
            </w:pPr>
          </w:p>
        </w:tc>
      </w:tr>
      <w:tr>
        <w:trPr>
          <w:trHeight w:val="216"/>
        </w:trPr>
        <w:tc>
          <w:tcPr>
            <w:tcW w:w="4180" w:type="dxa"/>
            <w:vAlign w:val="bottom"/>
          </w:tcPr>
          <w:p>
            <w:pPr>
              <w:spacing w:after="0" w:line="216" w:lineRule="exact"/>
              <w:rPr>
                <w:sz w:val="20"/>
                <w:szCs w:val="20"/>
                <w:color w:val="auto"/>
              </w:rPr>
            </w:pPr>
            <w:r>
              <w:rPr>
                <w:rFonts w:ascii="Arial" w:cs="Arial" w:eastAsia="Arial" w:hAnsi="Arial"/>
                <w:sz w:val="15"/>
                <w:szCs w:val="15"/>
                <w:color w:val="auto"/>
              </w:rPr>
              <w:t xml:space="preserve">Pro Forma Net Asset Value Per Share </w:t>
            </w:r>
            <w:r>
              <w:rPr>
                <w:rFonts w:ascii="Arial" w:cs="Arial" w:eastAsia="Arial" w:hAnsi="Arial"/>
                <w:sz w:val="25"/>
                <w:szCs w:val="25"/>
                <w:color w:val="auto"/>
                <w:vertAlign w:val="superscript"/>
              </w:rPr>
              <w:t>(1)</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16.73</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16.61</w:t>
            </w:r>
          </w:p>
        </w:tc>
        <w:tc>
          <w:tcPr>
            <w:tcW w:w="60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15.86</w:t>
            </w:r>
          </w:p>
        </w:tc>
        <w:tc>
          <w:tcPr>
            <w:tcW w:w="36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Investment Income</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78.3</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71.2</w:t>
            </w:r>
          </w:p>
        </w:tc>
        <w:tc>
          <w:tcPr>
            <w:tcW w:w="60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62.2</w:t>
            </w:r>
          </w:p>
        </w:tc>
        <w:tc>
          <w:tcPr>
            <w:tcW w:w="360" w:type="dxa"/>
            <w:vAlign w:val="bottom"/>
          </w:tcPr>
          <w:p>
            <w:pPr>
              <w:spacing w:after="0"/>
              <w:rPr>
                <w:sz w:val="18"/>
                <w:szCs w:val="18"/>
                <w:color w:val="auto"/>
              </w:rPr>
            </w:pPr>
          </w:p>
        </w:tc>
      </w:tr>
      <w:tr>
        <w:trPr>
          <w:trHeight w:val="219"/>
        </w:trPr>
        <w:tc>
          <w:tcPr>
            <w:tcW w:w="4180" w:type="dxa"/>
            <w:vAlign w:val="bottom"/>
            <w:shd w:val="clear" w:color="auto" w:fill="CFF0FC"/>
          </w:tcPr>
          <w:p>
            <w:pPr>
              <w:spacing w:after="0" w:line="218" w:lineRule="exact"/>
              <w:rPr>
                <w:sz w:val="20"/>
                <w:szCs w:val="20"/>
                <w:color w:val="auto"/>
              </w:rPr>
            </w:pPr>
            <w:r>
              <w:rPr>
                <w:rFonts w:ascii="Arial" w:cs="Arial" w:eastAsia="Arial" w:hAnsi="Arial"/>
                <w:sz w:val="15"/>
                <w:szCs w:val="15"/>
                <w:color w:val="auto"/>
              </w:rPr>
              <w:t xml:space="preserve">Adjusted Net Investment Income </w:t>
            </w:r>
            <w:r>
              <w:rPr>
                <w:rFonts w:ascii="Arial" w:cs="Arial" w:eastAsia="Arial" w:hAnsi="Arial"/>
                <w:sz w:val="25"/>
                <w:szCs w:val="25"/>
                <w:color w:val="auto"/>
                <w:vertAlign w:val="superscript"/>
              </w:rPr>
              <w:t>(2)</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360" w:type="dxa"/>
            <w:vAlign w:val="bottom"/>
            <w:shd w:val="clear" w:color="auto" w:fill="CFF0FC"/>
          </w:tcPr>
          <w:p>
            <w:pPr>
              <w:spacing w:after="0"/>
              <w:rPr>
                <w:sz w:val="19"/>
                <w:szCs w:val="19"/>
                <w:color w:val="auto"/>
              </w:rPr>
            </w:pPr>
          </w:p>
        </w:tc>
      </w:tr>
      <w:tr>
        <w:trPr>
          <w:trHeight w:val="216"/>
        </w:trPr>
        <w:tc>
          <w:tcPr>
            <w:tcW w:w="4180" w:type="dxa"/>
            <w:vAlign w:val="bottom"/>
          </w:tcPr>
          <w:p>
            <w:pPr>
              <w:spacing w:after="0" w:line="216" w:lineRule="exact"/>
              <w:rPr>
                <w:sz w:val="20"/>
                <w:szCs w:val="20"/>
                <w:color w:val="auto"/>
              </w:rPr>
            </w:pPr>
            <w:r>
              <w:rPr>
                <w:rFonts w:ascii="Arial" w:cs="Arial" w:eastAsia="Arial" w:hAnsi="Arial"/>
                <w:sz w:val="15"/>
                <w:szCs w:val="15"/>
                <w:color w:val="auto"/>
              </w:rPr>
              <w:t xml:space="preserve">Adjusted Net Income </w:t>
            </w:r>
            <w:r>
              <w:rPr>
                <w:rFonts w:ascii="Arial" w:cs="Arial" w:eastAsia="Arial" w:hAnsi="Arial"/>
                <w:sz w:val="25"/>
                <w:szCs w:val="25"/>
                <w:color w:val="auto"/>
                <w:vertAlign w:val="superscript"/>
              </w:rPr>
              <w:t>(2)</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41.8</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58.4</w:t>
            </w:r>
          </w:p>
        </w:tc>
        <w:tc>
          <w:tcPr>
            <w:tcW w:w="60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54.9</w:t>
            </w:r>
          </w:p>
        </w:tc>
        <w:tc>
          <w:tcPr>
            <w:tcW w:w="36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Accrued Capital Gains Incentive Fee Expense</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2060" w:type="dxa"/>
            <w:vAlign w:val="bottom"/>
            <w:gridSpan w:val="2"/>
            <w:shd w:val="clear" w:color="auto" w:fill="CFF0FC"/>
          </w:tcPr>
          <w:p>
            <w:pPr>
              <w:jc w:val="right"/>
              <w:ind w:right="540"/>
              <w:spacing w:after="0"/>
              <w:rPr>
                <w:sz w:val="20"/>
                <w:szCs w:val="20"/>
                <w:color w:val="auto"/>
              </w:rPr>
            </w:pPr>
            <w:r>
              <w:rPr>
                <w:rFonts w:ascii="Arial" w:cs="Arial" w:eastAsia="Arial" w:hAnsi="Arial"/>
                <w:sz w:val="16"/>
                <w:szCs w:val="16"/>
                <w:color w:val="auto"/>
              </w:rPr>
              <w:t>(0.0)</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360" w:type="dxa"/>
            <w:vAlign w:val="bottom"/>
            <w:shd w:val="clear" w:color="auto" w:fill="CFF0FC"/>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Net Investment Income</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46.2</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36.5</w:t>
            </w:r>
          </w:p>
        </w:tc>
        <w:tc>
          <w:tcPr>
            <w:tcW w:w="60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32.8</w:t>
            </w:r>
          </w:p>
        </w:tc>
        <w:tc>
          <w:tcPr>
            <w:tcW w:w="360" w:type="dxa"/>
            <w:vAlign w:val="bottom"/>
          </w:tcPr>
          <w:p>
            <w:pPr>
              <w:spacing w:after="0"/>
              <w:rPr>
                <w:sz w:val="18"/>
                <w:szCs w:val="18"/>
                <w:color w:val="auto"/>
              </w:rPr>
            </w:pP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41.8</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55.0</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53.5</w:t>
            </w:r>
          </w:p>
        </w:tc>
        <w:tc>
          <w:tcPr>
            <w:tcW w:w="360" w:type="dxa"/>
            <w:vAlign w:val="bottom"/>
            <w:shd w:val="clear" w:color="auto" w:fill="CFF0FC"/>
          </w:tcPr>
          <w:p>
            <w:pPr>
              <w:spacing w:after="0"/>
              <w:rPr>
                <w:sz w:val="19"/>
                <w:szCs w:val="19"/>
                <w:color w:val="auto"/>
              </w:rPr>
            </w:pPr>
          </w:p>
        </w:tc>
      </w:tr>
      <w:tr>
        <w:trPr>
          <w:trHeight w:val="216"/>
        </w:trPr>
        <w:tc>
          <w:tcPr>
            <w:tcW w:w="4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line="216" w:lineRule="exact"/>
              <w:rPr>
                <w:sz w:val="20"/>
                <w:szCs w:val="20"/>
                <w:color w:val="auto"/>
              </w:rPr>
            </w:pPr>
            <w:r>
              <w:rPr>
                <w:rFonts w:ascii="Arial" w:cs="Arial" w:eastAsia="Arial" w:hAnsi="Arial"/>
                <w:sz w:val="15"/>
                <w:szCs w:val="15"/>
                <w:color w:val="auto"/>
              </w:rPr>
              <w:t xml:space="preserve">Adjusted Net Investment Income Per Share </w:t>
            </w:r>
            <w:r>
              <w:rPr>
                <w:rFonts w:ascii="Arial" w:cs="Arial" w:eastAsia="Arial" w:hAnsi="Arial"/>
                <w:sz w:val="25"/>
                <w:szCs w:val="25"/>
                <w:color w:val="auto"/>
                <w:vertAlign w:val="superscript"/>
              </w:rPr>
              <w:t>(2)</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0.63</w:t>
            </w: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0.55</w:t>
            </w: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0.50</w:t>
            </w:r>
          </w:p>
        </w:tc>
        <w:tc>
          <w:tcPr>
            <w:tcW w:w="360" w:type="dxa"/>
            <w:vAlign w:val="bottom"/>
            <w:shd w:val="clear" w:color="auto" w:fill="CFF0FC"/>
          </w:tcPr>
          <w:p>
            <w:pPr>
              <w:spacing w:after="0"/>
              <w:rPr>
                <w:sz w:val="18"/>
                <w:szCs w:val="18"/>
                <w:color w:val="auto"/>
              </w:rPr>
            </w:pPr>
          </w:p>
        </w:tc>
      </w:tr>
      <w:tr>
        <w:trPr>
          <w:trHeight w:val="216"/>
        </w:trPr>
        <w:tc>
          <w:tcPr>
            <w:tcW w:w="4180" w:type="dxa"/>
            <w:vAlign w:val="bottom"/>
          </w:tcPr>
          <w:p>
            <w:pPr>
              <w:spacing w:after="0" w:line="216" w:lineRule="exact"/>
              <w:rPr>
                <w:sz w:val="20"/>
                <w:szCs w:val="20"/>
                <w:color w:val="auto"/>
              </w:rPr>
            </w:pPr>
            <w:r>
              <w:rPr>
                <w:rFonts w:ascii="Arial" w:cs="Arial" w:eastAsia="Arial" w:hAnsi="Arial"/>
                <w:sz w:val="15"/>
                <w:szCs w:val="15"/>
                <w:color w:val="auto"/>
              </w:rPr>
              <w:t xml:space="preserve">Adjusted Net Income Per Share </w:t>
            </w:r>
            <w:r>
              <w:rPr>
                <w:rFonts w:ascii="Arial" w:cs="Arial" w:eastAsia="Arial" w:hAnsi="Arial"/>
                <w:sz w:val="25"/>
                <w:szCs w:val="25"/>
                <w:color w:val="auto"/>
                <w:vertAlign w:val="superscript"/>
              </w:rPr>
              <w:t>(2)</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0.57</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0.80</w:t>
            </w:r>
          </w:p>
        </w:tc>
        <w:tc>
          <w:tcPr>
            <w:tcW w:w="60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0.81</w:t>
            </w:r>
          </w:p>
        </w:tc>
        <w:tc>
          <w:tcPr>
            <w:tcW w:w="360" w:type="dxa"/>
            <w:vAlign w:val="bottom"/>
          </w:tcPr>
          <w:p>
            <w:pPr>
              <w:spacing w:after="0"/>
              <w:rPr>
                <w:sz w:val="18"/>
                <w:szCs w:val="18"/>
                <w:color w:val="auto"/>
              </w:rPr>
            </w:pPr>
          </w:p>
        </w:tc>
      </w:tr>
      <w:tr>
        <w:trPr>
          <w:trHeight w:val="216"/>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Accrued Capital Gains Incentive Fee Expense Per Share</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2060" w:type="dxa"/>
            <w:vAlign w:val="bottom"/>
            <w:gridSpan w:val="2"/>
            <w:shd w:val="clear" w:color="auto" w:fill="CFF0FC"/>
          </w:tcPr>
          <w:p>
            <w:pPr>
              <w:jc w:val="right"/>
              <w:ind w:right="540"/>
              <w:spacing w:after="0"/>
              <w:rPr>
                <w:sz w:val="20"/>
                <w:szCs w:val="20"/>
                <w:color w:val="auto"/>
              </w:rPr>
            </w:pPr>
            <w:r>
              <w:rPr>
                <w:rFonts w:ascii="Arial" w:cs="Arial" w:eastAsia="Arial" w:hAnsi="Arial"/>
                <w:sz w:val="16"/>
                <w:szCs w:val="16"/>
                <w:color w:val="auto"/>
              </w:rPr>
              <w:t>(0.0)</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0.05</w:t>
            </w:r>
          </w:p>
        </w:tc>
        <w:tc>
          <w:tcPr>
            <w:tcW w:w="60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360" w:type="dxa"/>
            <w:vAlign w:val="bottom"/>
            <w:shd w:val="clear" w:color="auto" w:fill="CFF0FC"/>
          </w:tcPr>
          <w:p>
            <w:pPr>
              <w:spacing w:after="0"/>
              <w:rPr>
                <w:sz w:val="18"/>
                <w:szCs w:val="18"/>
                <w:color w:val="auto"/>
              </w:rPr>
            </w:pPr>
          </w:p>
        </w:tc>
      </w:tr>
      <w:tr>
        <w:trPr>
          <w:trHeight w:val="213"/>
        </w:trPr>
        <w:tc>
          <w:tcPr>
            <w:tcW w:w="4180" w:type="dxa"/>
            <w:vAlign w:val="bottom"/>
          </w:tcPr>
          <w:p>
            <w:pPr>
              <w:spacing w:after="0"/>
              <w:rPr>
                <w:sz w:val="20"/>
                <w:szCs w:val="20"/>
                <w:color w:val="auto"/>
              </w:rPr>
            </w:pPr>
            <w:r>
              <w:rPr>
                <w:rFonts w:ascii="Arial" w:cs="Arial" w:eastAsia="Arial" w:hAnsi="Arial"/>
                <w:sz w:val="16"/>
                <w:szCs w:val="16"/>
                <w:color w:val="auto"/>
              </w:rPr>
              <w:t>Net Investment Income Per Share</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0.63</w:t>
            </w:r>
          </w:p>
        </w:tc>
        <w:tc>
          <w:tcPr>
            <w:tcW w:w="6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0.50</w:t>
            </w:r>
          </w:p>
        </w:tc>
        <w:tc>
          <w:tcPr>
            <w:tcW w:w="600" w:type="dxa"/>
            <w:vAlign w:val="bottom"/>
          </w:tcPr>
          <w:p>
            <w:pPr>
              <w:spacing w:after="0"/>
              <w:rPr>
                <w:sz w:val="18"/>
                <w:szCs w:val="18"/>
                <w:color w:val="auto"/>
              </w:rPr>
            </w:pP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0.48</w:t>
            </w:r>
          </w:p>
        </w:tc>
        <w:tc>
          <w:tcPr>
            <w:tcW w:w="360" w:type="dxa"/>
            <w:vAlign w:val="bottom"/>
          </w:tcPr>
          <w:p>
            <w:pPr>
              <w:spacing w:after="0"/>
              <w:rPr>
                <w:sz w:val="18"/>
                <w:szCs w:val="18"/>
                <w:color w:val="auto"/>
              </w:rPr>
            </w:pPr>
          </w:p>
        </w:tc>
      </w:tr>
      <w:tr>
        <w:trPr>
          <w:trHeight w:val="219"/>
        </w:trPr>
        <w:tc>
          <w:tcPr>
            <w:tcW w:w="4180" w:type="dxa"/>
            <w:vAlign w:val="bottom"/>
            <w:shd w:val="clear" w:color="auto" w:fill="CFF0FC"/>
          </w:tcPr>
          <w:p>
            <w:pPr>
              <w:spacing w:after="0"/>
              <w:rPr>
                <w:sz w:val="20"/>
                <w:szCs w:val="20"/>
                <w:color w:val="auto"/>
              </w:rPr>
            </w:pPr>
            <w:r>
              <w:rPr>
                <w:rFonts w:ascii="Arial" w:cs="Arial" w:eastAsia="Arial" w:hAnsi="Arial"/>
                <w:sz w:val="16"/>
                <w:szCs w:val="16"/>
                <w:color w:val="auto"/>
              </w:rPr>
              <w:t>Net Income Per Share</w:t>
            </w:r>
          </w:p>
        </w:tc>
        <w:tc>
          <w:tcPr>
            <w:tcW w:w="6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0.57</w:t>
            </w:r>
          </w:p>
        </w:tc>
        <w:tc>
          <w:tcPr>
            <w:tcW w:w="6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0.75</w:t>
            </w:r>
          </w:p>
        </w:tc>
        <w:tc>
          <w:tcPr>
            <w:tcW w:w="60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0.79</w:t>
            </w:r>
          </w:p>
        </w:tc>
        <w:tc>
          <w:tcPr>
            <w:tcW w:w="36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2654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p>
      <w:pPr>
        <w:spacing w:after="0" w:line="220" w:lineRule="exact"/>
        <w:rPr>
          <w:sz w:val="20"/>
          <w:szCs w:val="20"/>
          <w:color w:val="auto"/>
        </w:rPr>
      </w:pPr>
    </w:p>
    <w:p>
      <w:pPr>
        <w:ind w:right="1660"/>
        <w:spacing w:after="0" w:line="207" w:lineRule="auto"/>
        <w:rPr>
          <w:sz w:val="20"/>
          <w:szCs w:val="20"/>
          <w:color w:val="auto"/>
        </w:rPr>
      </w:pPr>
      <w:r>
        <w:rPr>
          <w:rFonts w:ascii="Arial" w:cs="Arial" w:eastAsia="Arial" w:hAnsi="Arial"/>
          <w:sz w:val="16"/>
          <w:szCs w:val="16"/>
          <w:color w:val="auto"/>
        </w:rPr>
        <w:t xml:space="preserve">Annualized Return on Equity (Adjusted Net Investment Income) </w:t>
      </w:r>
      <w:r>
        <w:rPr>
          <w:rFonts w:ascii="Arial" w:cs="Arial" w:eastAsia="Arial" w:hAnsi="Arial"/>
          <w:sz w:val="27"/>
          <w:szCs w:val="27"/>
          <w:color w:val="auto"/>
          <w:vertAlign w:val="superscript"/>
        </w:rPr>
        <w:t>(2)(3)</w:t>
      </w:r>
    </w:p>
    <w:p>
      <w:pPr>
        <w:spacing w:after="0" w:line="184" w:lineRule="auto"/>
        <w:rPr>
          <w:sz w:val="20"/>
          <w:szCs w:val="20"/>
          <w:color w:val="auto"/>
        </w:rPr>
      </w:pPr>
      <w:r>
        <w:rPr>
          <w:rFonts w:ascii="Arial" w:cs="Arial" w:eastAsia="Arial" w:hAnsi="Arial"/>
          <w:sz w:val="14"/>
          <w:szCs w:val="14"/>
          <w:color w:val="auto"/>
        </w:rPr>
        <w:t xml:space="preserve">Annualized Return on Equity (Adjusted Net Income) </w:t>
      </w:r>
      <w:r>
        <w:rPr>
          <w:rFonts w:ascii="Arial" w:cs="Arial" w:eastAsia="Arial" w:hAnsi="Arial"/>
          <w:sz w:val="23"/>
          <w:szCs w:val="23"/>
          <w:color w:val="auto"/>
          <w:vertAlign w:val="superscript"/>
        </w:rPr>
        <w:t>(2)</w:t>
      </w:r>
    </w:p>
    <w:p>
      <w:pP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Pr>
          <w:p>
            <w:pPr>
              <w:jc w:val="right"/>
              <w:spacing w:after="0"/>
              <w:rPr>
                <w:sz w:val="20"/>
                <w:szCs w:val="20"/>
                <w:color w:val="auto"/>
              </w:rPr>
            </w:pPr>
            <w:r>
              <w:rPr>
                <w:rFonts w:ascii="Arial" w:cs="Arial" w:eastAsia="Arial" w:hAnsi="Arial"/>
                <w:sz w:val="16"/>
                <w:szCs w:val="16"/>
                <w:color w:val="auto"/>
                <w:w w:val="83"/>
              </w:rPr>
              <w:t>14.6</w:t>
            </w:r>
          </w:p>
        </w:tc>
        <w:tc>
          <w:tcPr>
            <w:tcW w:w="110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13.0</w:t>
            </w:r>
          </w:p>
        </w:tc>
        <w:tc>
          <w:tcPr>
            <w:tcW w:w="106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05"/>
        </w:trPr>
        <w:tc>
          <w:tcPr>
            <w:tcW w:w="340" w:type="dxa"/>
            <w:vAlign w:val="bottom"/>
          </w:tcPr>
          <w:p>
            <w:pPr>
              <w:jc w:val="right"/>
              <w:spacing w:after="0"/>
              <w:rPr>
                <w:sz w:val="20"/>
                <w:szCs w:val="20"/>
                <w:color w:val="auto"/>
              </w:rPr>
            </w:pPr>
            <w:r>
              <w:rPr>
                <w:rFonts w:ascii="Arial" w:cs="Arial" w:eastAsia="Arial" w:hAnsi="Arial"/>
                <w:sz w:val="16"/>
                <w:szCs w:val="16"/>
                <w:color w:val="auto"/>
                <w:w w:val="83"/>
              </w:rPr>
              <w:t>13.2</w:t>
            </w:r>
          </w:p>
        </w:tc>
        <w:tc>
          <w:tcPr>
            <w:tcW w:w="110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19.0</w:t>
            </w:r>
          </w:p>
        </w:tc>
        <w:tc>
          <w:tcPr>
            <w:tcW w:w="106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55245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5" w:lineRule="exact"/>
        <w:rPr>
          <w:sz w:val="20"/>
          <w:szCs w:val="20"/>
          <w:color w:val="auto"/>
        </w:rPr>
      </w:pPr>
    </w:p>
    <w:p>
      <w:pPr>
        <w:sectPr>
          <w:pgSz w:w="11900" w:h="16838" w:orient="portrait"/>
          <w:cols w:equalWidth="0" w:num="2">
            <w:col w:w="5280" w:space="720"/>
            <w:col w:w="5240"/>
          </w:cols>
          <w:pgMar w:left="320" w:top="1192" w:right="339" w:bottom="1440" w:gutter="0" w:footer="0" w:header="0"/>
          <w:type w:val="continuous"/>
        </w:sectPr>
      </w:pPr>
    </w:p>
    <w:p>
      <w:pPr>
        <w:spacing w:after="0" w:line="209" w:lineRule="auto"/>
        <w:rPr>
          <w:sz w:val="20"/>
          <w:szCs w:val="20"/>
          <w:color w:val="auto"/>
        </w:rPr>
      </w:pPr>
      <w:r>
        <w:rPr>
          <w:rFonts w:ascii="Arial" w:cs="Arial" w:eastAsia="Arial" w:hAnsi="Arial"/>
          <w:sz w:val="14"/>
          <w:szCs w:val="14"/>
          <w:color w:val="auto"/>
        </w:rPr>
        <w:t xml:space="preserve">Annualized Return on Equity (Net Investment Income) </w:t>
      </w:r>
      <w:r>
        <w:rPr>
          <w:rFonts w:ascii="Arial" w:cs="Arial" w:eastAsia="Arial" w:hAnsi="Arial"/>
          <w:sz w:val="23"/>
          <w:szCs w:val="23"/>
          <w:color w:val="auto"/>
          <w:vertAlign w:val="superscript"/>
        </w:rPr>
        <w:t>(3)</w:t>
      </w:r>
    </w:p>
    <w:p>
      <w:pPr>
        <w:spacing w:after="0"/>
        <w:rPr>
          <w:sz w:val="20"/>
          <w:szCs w:val="20"/>
          <w:color w:val="auto"/>
        </w:rPr>
      </w:pPr>
      <w:r>
        <w:rPr>
          <w:rFonts w:ascii="Arial" w:cs="Arial" w:eastAsia="Arial" w:hAnsi="Arial"/>
          <w:sz w:val="16"/>
          <w:szCs w:val="16"/>
          <w:color w:val="auto"/>
        </w:rPr>
        <w:t xml:space="preserve">Annualized Return on Equity (Net Income) </w:t>
      </w:r>
      <w:r>
        <w:rPr>
          <w:rFonts w:ascii="Arial" w:cs="Arial" w:eastAsia="Arial" w:hAnsi="Arial"/>
          <w:sz w:val="27"/>
          <w:szCs w:val="27"/>
          <w:color w:val="auto"/>
          <w:vertAlign w:val="superscript"/>
        </w:rPr>
        <w:t>(3)</w:t>
      </w:r>
    </w:p>
    <w:p>
      <w:pPr>
        <w:spacing w:after="0" w:line="113" w:lineRule="exact"/>
        <w:rPr>
          <w:sz w:val="20"/>
          <w:szCs w:val="20"/>
          <w:color w:val="auto"/>
        </w:rPr>
      </w:pPr>
    </w:p>
    <w:p>
      <w:pPr>
        <w:ind w:right="1640"/>
        <w:spacing w:after="0" w:line="272" w:lineRule="auto"/>
        <w:rPr>
          <w:sz w:val="20"/>
          <w:szCs w:val="20"/>
          <w:color w:val="auto"/>
        </w:rPr>
      </w:pPr>
      <w:r>
        <w:rPr>
          <w:rFonts w:ascii="Arial" w:cs="Arial" w:eastAsia="Arial" w:hAnsi="Arial"/>
          <w:sz w:val="16"/>
          <w:szCs w:val="16"/>
          <w:color w:val="auto"/>
        </w:rPr>
        <w:t>Weighted Average Yield of Debt and Income Producing Securities at Fair Value</w:t>
      </w:r>
    </w:p>
    <w:p>
      <w:pPr>
        <w:spacing w:after="0" w:line="1" w:lineRule="exact"/>
        <w:rPr>
          <w:sz w:val="20"/>
          <w:szCs w:val="20"/>
          <w:color w:val="auto"/>
        </w:rPr>
      </w:pPr>
    </w:p>
    <w:p>
      <w:pPr>
        <w:ind w:right="1640"/>
        <w:spacing w:after="0" w:line="272" w:lineRule="auto"/>
        <w:rPr>
          <w:sz w:val="20"/>
          <w:szCs w:val="20"/>
          <w:color w:val="auto"/>
        </w:rPr>
      </w:pPr>
      <w:r>
        <w:rPr>
          <w:rFonts w:ascii="Arial" w:cs="Arial" w:eastAsia="Arial" w:hAnsi="Arial"/>
          <w:sz w:val="16"/>
          <w:szCs w:val="16"/>
          <w:color w:val="auto"/>
        </w:rPr>
        <w:t>Weighted Average Yield of Debt and Income Producing Securities at Amortized Cost</w:t>
      </w:r>
    </w:p>
    <w:p>
      <w:pPr>
        <w:spacing w:after="0" w:line="1" w:lineRule="exact"/>
        <w:rPr>
          <w:sz w:val="20"/>
          <w:szCs w:val="20"/>
          <w:color w:val="auto"/>
        </w:rPr>
      </w:pPr>
    </w:p>
    <w:p>
      <w:pPr>
        <w:ind w:right="1580"/>
        <w:spacing w:after="0" w:line="289" w:lineRule="auto"/>
        <w:rPr>
          <w:sz w:val="20"/>
          <w:szCs w:val="20"/>
          <w:color w:val="auto"/>
        </w:rPr>
      </w:pPr>
      <w:r>
        <w:rPr>
          <w:rFonts w:ascii="Arial" w:cs="Arial" w:eastAsia="Arial" w:hAnsi="Arial"/>
          <w:sz w:val="16"/>
          <w:szCs w:val="16"/>
          <w:color w:val="auto"/>
        </w:rPr>
        <w:t xml:space="preserve">Percentage of Debt Investment Commitments at Floating Rates </w:t>
      </w:r>
      <w:r>
        <w:rPr>
          <w:rFonts w:ascii="Arial" w:cs="Arial" w:eastAsia="Arial" w:hAnsi="Arial"/>
          <w:sz w:val="27"/>
          <w:szCs w:val="27"/>
          <w:color w:val="auto"/>
          <w:vertAlign w:val="superscript"/>
        </w:rPr>
        <w:t>(4)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Pr>
          <w:p>
            <w:pPr>
              <w:jc w:val="right"/>
              <w:spacing w:after="0"/>
              <w:rPr>
                <w:sz w:val="20"/>
                <w:szCs w:val="20"/>
                <w:color w:val="auto"/>
              </w:rPr>
            </w:pPr>
            <w:r>
              <w:rPr>
                <w:rFonts w:ascii="Arial" w:cs="Arial" w:eastAsia="Arial" w:hAnsi="Arial"/>
                <w:sz w:val="16"/>
                <w:szCs w:val="16"/>
                <w:color w:val="auto"/>
                <w:w w:val="83"/>
              </w:rPr>
              <w:t>14.6</w:t>
            </w:r>
          </w:p>
        </w:tc>
        <w:tc>
          <w:tcPr>
            <w:tcW w:w="110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11.9</w:t>
            </w:r>
          </w:p>
        </w:tc>
        <w:tc>
          <w:tcPr>
            <w:tcW w:w="106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340" w:type="dxa"/>
            <w:vAlign w:val="bottom"/>
          </w:tcPr>
          <w:p>
            <w:pPr>
              <w:jc w:val="right"/>
              <w:spacing w:after="0"/>
              <w:rPr>
                <w:sz w:val="20"/>
                <w:szCs w:val="20"/>
                <w:color w:val="auto"/>
              </w:rPr>
            </w:pPr>
            <w:r>
              <w:rPr>
                <w:rFonts w:ascii="Arial" w:cs="Arial" w:eastAsia="Arial" w:hAnsi="Arial"/>
                <w:sz w:val="16"/>
                <w:szCs w:val="16"/>
                <w:color w:val="auto"/>
                <w:w w:val="83"/>
              </w:rPr>
              <w:t>13.2</w:t>
            </w:r>
          </w:p>
        </w:tc>
        <w:tc>
          <w:tcPr>
            <w:tcW w:w="110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17.9</w:t>
            </w:r>
          </w:p>
        </w:tc>
        <w:tc>
          <w:tcPr>
            <w:tcW w:w="106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18.7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527"/>
        </w:trPr>
        <w:tc>
          <w:tcPr>
            <w:tcW w:w="340" w:type="dxa"/>
            <w:vAlign w:val="bottom"/>
          </w:tcPr>
          <w:p>
            <w:pPr>
              <w:jc w:val="right"/>
              <w:spacing w:after="0"/>
              <w:rPr>
                <w:sz w:val="20"/>
                <w:szCs w:val="20"/>
                <w:color w:val="auto"/>
              </w:rPr>
            </w:pPr>
            <w:r>
              <w:rPr>
                <w:rFonts w:ascii="Arial" w:cs="Arial" w:eastAsia="Arial" w:hAnsi="Arial"/>
                <w:sz w:val="16"/>
                <w:szCs w:val="16"/>
                <w:color w:val="auto"/>
                <w:w w:val="83"/>
              </w:rPr>
              <w:t>10.0</w:t>
            </w:r>
          </w:p>
        </w:tc>
        <w:tc>
          <w:tcPr>
            <w:tcW w:w="110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9.9</w:t>
            </w:r>
          </w:p>
        </w:tc>
        <w:tc>
          <w:tcPr>
            <w:tcW w:w="106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18"/>
        </w:trPr>
        <w:tc>
          <w:tcPr>
            <w:tcW w:w="340" w:type="dxa"/>
            <w:vAlign w:val="bottom"/>
          </w:tcPr>
          <w:p>
            <w:pPr>
              <w:jc w:val="right"/>
              <w:spacing w:after="0"/>
              <w:rPr>
                <w:sz w:val="20"/>
                <w:szCs w:val="20"/>
                <w:color w:val="auto"/>
              </w:rPr>
            </w:pPr>
            <w:r>
              <w:rPr>
                <w:rFonts w:ascii="Arial" w:cs="Arial" w:eastAsia="Arial" w:hAnsi="Arial"/>
                <w:sz w:val="16"/>
                <w:szCs w:val="16"/>
                <w:color w:val="auto"/>
                <w:w w:val="83"/>
              </w:rPr>
              <w:t>10.2</w:t>
            </w:r>
          </w:p>
        </w:tc>
        <w:tc>
          <w:tcPr>
            <w:tcW w:w="110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10.2</w:t>
            </w:r>
          </w:p>
        </w:tc>
        <w:tc>
          <w:tcPr>
            <w:tcW w:w="106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19"/>
        </w:trPr>
        <w:tc>
          <w:tcPr>
            <w:tcW w:w="340" w:type="dxa"/>
            <w:vAlign w:val="bottom"/>
          </w:tcPr>
          <w:p>
            <w:pPr>
              <w:jc w:val="right"/>
              <w:spacing w:after="0"/>
              <w:rPr>
                <w:sz w:val="20"/>
                <w:szCs w:val="20"/>
                <w:color w:val="auto"/>
              </w:rPr>
            </w:pPr>
            <w:r>
              <w:rPr>
                <w:rFonts w:ascii="Arial" w:cs="Arial" w:eastAsia="Arial" w:hAnsi="Arial"/>
                <w:sz w:val="16"/>
                <w:szCs w:val="16"/>
                <w:color w:val="auto"/>
                <w:w w:val="83"/>
              </w:rPr>
              <w:t>98.9</w:t>
            </w:r>
          </w:p>
        </w:tc>
        <w:tc>
          <w:tcPr>
            <w:tcW w:w="1100" w:type="dxa"/>
            <w:vAlign w:val="bottom"/>
          </w:tcPr>
          <w:p>
            <w:pPr>
              <w:jc w:val="right"/>
              <w:ind w:right="8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98.9</w:t>
            </w:r>
          </w:p>
        </w:tc>
        <w:tc>
          <w:tcPr>
            <w:tcW w:w="106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99.1</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-861695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-458470</wp:posOffset>
            </wp:positionV>
            <wp:extent cx="7132320" cy="2654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324" w:lineRule="exact"/>
        <w:rPr>
          <w:sz w:val="20"/>
          <w:szCs w:val="20"/>
          <w:color w:val="auto"/>
        </w:rPr>
      </w:pPr>
    </w:p>
    <w:p>
      <w:pPr>
        <w:sectPr>
          <w:pgSz w:w="11900" w:h="16838" w:orient="portrait"/>
          <w:cols w:equalWidth="0" w:num="2">
            <w:col w:w="5280" w:space="720"/>
            <w:col w:w="5240"/>
          </w:cols>
          <w:pgMar w:left="320" w:top="1192" w:right="339" w:bottom="1440" w:gutter="0" w:footer="0" w:header="0"/>
          <w:type w:val="continuous"/>
        </w:sectPr>
      </w:pPr>
    </w:p>
    <w:p>
      <w:pPr>
        <w:ind w:left="400" w:hanging="392"/>
        <w:spacing w:after="0"/>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Pro forma net asset value per share gives effect to the supplemental dividend declared related to earnings or special dividend in the applicable period.</w:t>
      </w:r>
    </w:p>
    <w:p>
      <w:pPr>
        <w:ind w:left="400" w:hanging="392"/>
        <w:spacing w:after="0" w:line="221" w:lineRule="auto"/>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Adjusted to exclude the capital gains incentive fee that was accrued, but not paid, related to cumulative unrealized capital gains in excess of cumulative net realized capital gains less any cumulative unrealized losses and capital gains incentive fees paid inception to date.</w:t>
      </w:r>
    </w:p>
    <w:p>
      <w:pPr>
        <w:ind w:left="400" w:hanging="392"/>
        <w:spacing w:after="0" w:line="221" w:lineRule="auto"/>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ind w:left="400" w:right="20" w:hanging="392"/>
        <w:spacing w:after="0" w:line="237" w:lineRule="auto"/>
        <w:tabs>
          <w:tab w:leader="none" w:pos="40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 Calculation includes income earning debt investments only.</w:t>
      </w:r>
    </w:p>
    <w:p>
      <w:pPr>
        <w:spacing w:after="0" w:line="200" w:lineRule="exact"/>
        <w:rPr>
          <w:sz w:val="20"/>
          <w:szCs w:val="20"/>
          <w:color w:val="auto"/>
        </w:rPr>
      </w:pPr>
    </w:p>
    <w:p>
      <w:pPr>
        <w:spacing w:after="0" w:line="3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1371600" cy="402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FINANCIAL STATEMENTS AND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Sixth Street Specialty Lending, Inc.</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Non-controlled, non-affiliated investments (amortized cost of $2,354,984 and $2,187,427,</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2,434,797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2,249,302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Non-controlled, affiliated investments (amortized cost of $12,666 and $12,892, respectively)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27,017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12,892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$64,362 and $58,709, respectively)</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59,779</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36,676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investments at fair value (amortized cost of $2,432,012 and $2,259,028, respectively)</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2,521,593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2,298,870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$14,399 and $10,815, respectively)</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15,967</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13,274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Interest receivable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10,775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8,583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3,522</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2,551,857</w:t>
            </w:r>
          </w:p>
        </w:tc>
        <w:tc>
          <w:tcPr>
            <w:tcW w:w="2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2,338,593</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Debt (net of deferred financing costs of $19,147 and $17,246, respectively)</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1,185,964</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1,110,363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Incentive fees on net investment income payable to affiliate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9,789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Incentive fees on net capital gains accrued to affiliate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14,928</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Dividends payable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30,926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27,728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payables to affiliate</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2,632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21,873</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19,447</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1,276,009</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1,177,278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Assets</w:t>
            </w:r>
          </w:p>
        </w:tc>
        <w:tc>
          <w:tcPr>
            <w:tcW w:w="2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issued and outstanding</w:t>
            </w:r>
          </w:p>
        </w:tc>
        <w:tc>
          <w:tcPr>
            <w:tcW w:w="240" w:type="dxa"/>
            <w:vAlign w:val="bottom"/>
          </w:tcPr>
          <w:p>
            <w:pPr>
              <w:spacing w:after="0"/>
              <w:rPr>
                <w:sz w:val="20"/>
                <w:szCs w:val="20"/>
                <w:color w:val="auto"/>
              </w:rPr>
            </w:pPr>
          </w:p>
        </w:tc>
        <w:tc>
          <w:tcPr>
            <w:tcW w:w="16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 400,000,000 shares authorized, 76,067,586</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and 67,980,253 shares issued, respectively; and 75,771,542 and 67,684,209</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7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shares outstanding, respectively</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1,189,275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1,025,676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 296,044 and 296,044 shares held, respectively</w:t>
            </w:r>
          </w:p>
        </w:tc>
        <w:tc>
          <w:tcPr>
            <w:tcW w:w="24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(4,291)</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(4,291)</w:t>
            </w:r>
          </w:p>
        </w:tc>
        <w:tc>
          <w:tcPr>
            <w:tcW w:w="20" w:type="dxa"/>
            <w:vAlign w:val="bottom"/>
          </w:tcPr>
          <w:p>
            <w:pPr>
              <w:spacing w:after="0"/>
              <w:rPr>
                <w:sz w:val="19"/>
                <w:szCs w:val="19"/>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Distributable earnings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90,103</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139,250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b w:val="1"/>
                <w:bCs w:val="1"/>
                <w:color w:val="auto"/>
              </w:rPr>
              <w:t>Total Net Assets</w:t>
            </w:r>
          </w:p>
        </w:tc>
        <w:tc>
          <w:tcPr>
            <w:tcW w:w="24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1,275,848</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1,161,315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6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2,551,857</w:t>
            </w:r>
          </w:p>
        </w:tc>
        <w:tc>
          <w:tcPr>
            <w:tcW w:w="280" w:type="dxa"/>
            <w:vAlign w:val="bottom"/>
            <w:tcBorders>
              <w:bottom w:val="single" w:sz="8" w:color="CFF0FC"/>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2,338,593</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r>
      <w:tr>
        <w:trPr>
          <w:trHeight w:val="210"/>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17.16</w:t>
            </w: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656"/>
        </w:trPr>
        <w:tc>
          <w:tcPr>
            <w:tcW w:w="7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r>
      <w:tr>
        <w:trPr>
          <w:trHeight w:val="115"/>
        </w:trPr>
        <w:tc>
          <w:tcPr>
            <w:tcW w:w="7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21" w:right="319" w:bottom="1440" w:gutter="0" w:footer="0" w:header="0"/>
        </w:sectPr>
      </w:pPr>
    </w:p>
    <w:bookmarkStart w:id="10" w:name="page11"/>
    <w:bookmarkEnd w:id="10"/>
    <w:p>
      <w:pPr>
        <w:ind w:left="4140"/>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t>Sixth Street Specialty Lending, Inc.</w:t>
      </w:r>
    </w:p>
    <w:p>
      <w:pPr>
        <w:spacing w:after="0" w:line="22"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tbl>
      <w:tblPr>
        <w:tblLayout w:type="fixed"/>
        <w:tblInd w:w="0" w:type="dxa"/>
        <w:tblCellMar>
          <w:top w:w="0" w:type="dxa"/>
          <w:left w:w="0" w:type="dxa"/>
          <w:bottom w:w="0" w:type="dxa"/>
          <w:right w:w="0" w:type="dxa"/>
        </w:tblCellMar>
      </w:tblPr>
      <w:tr>
        <w:trPr>
          <w:trHeight w:val="160"/>
        </w:trPr>
        <w:tc>
          <w:tcPr>
            <w:tcW w:w="5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4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3"/>
                <w:szCs w:val="13"/>
                <w:color w:val="auto"/>
              </w:rPr>
            </w:pPr>
          </w:p>
        </w:tc>
        <w:tc>
          <w:tcPr>
            <w:tcW w:w="15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5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6"/>
              </w:rPr>
              <w:t>December 31, 2020</w:t>
            </w:r>
          </w:p>
        </w:tc>
        <w:tc>
          <w:tcPr>
            <w:tcW w:w="140" w:type="dxa"/>
            <w:vAlign w:val="bottom"/>
          </w:tcPr>
          <w:p>
            <w:pPr>
              <w:spacing w:after="0"/>
              <w:rPr>
                <w:sz w:val="14"/>
                <w:szCs w:val="14"/>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155"/>
        </w:trPr>
        <w:tc>
          <w:tcPr>
            <w:tcW w:w="57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w:t>
            </w:r>
          </w:p>
        </w:tc>
        <w:tc>
          <w:tcPr>
            <w:tcW w:w="14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Investment income from non-controlled, non-affiliated investments:</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261,782</w:t>
            </w:r>
          </w:p>
        </w:tc>
        <w:tc>
          <w:tcPr>
            <w:tcW w:w="160" w:type="dxa"/>
            <w:vAlign w:val="bottom"/>
            <w:shd w:val="clear" w:color="auto" w:fill="CFF0FC"/>
          </w:tcPr>
          <w:p>
            <w:pPr>
              <w:spacing w:after="0"/>
              <w:rPr>
                <w:sz w:val="14"/>
                <w:szCs w:val="14"/>
                <w:color w:val="auto"/>
              </w:rPr>
            </w:pPr>
          </w:p>
        </w:tc>
        <w:tc>
          <w:tcPr>
            <w:tcW w:w="260" w:type="dxa"/>
            <w:vAlign w:val="bottom"/>
            <w:gridSpan w:val="2"/>
            <w:shd w:val="clear" w:color="auto" w:fill="CFF0FC"/>
          </w:tcPr>
          <w:p>
            <w:pPr>
              <w:jc w:val="right"/>
              <w:ind w:right="2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237,260</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224,810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Dividend income</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3,426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1,816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7,751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22,174</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13,838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760" w:type="dxa"/>
            <w:vAlign w:val="bottom"/>
          </w:tcPr>
          <w:p>
            <w:pPr>
              <w:ind w:left="500"/>
              <w:spacing w:after="0" w:line="137" w:lineRule="exact"/>
              <w:rPr>
                <w:sz w:val="20"/>
                <w:szCs w:val="20"/>
                <w:color w:val="auto"/>
              </w:rPr>
            </w:pPr>
            <w:r>
              <w:rPr>
                <w:rFonts w:ascii="Arial" w:cs="Arial" w:eastAsia="Arial" w:hAnsi="Arial"/>
                <w:sz w:val="14"/>
                <w:szCs w:val="14"/>
                <w:color w:val="auto"/>
              </w:rPr>
              <w:t>Total investment income from non-controlled, non-affiliated</w:t>
            </w:r>
          </w:p>
        </w:tc>
        <w:tc>
          <w:tcPr>
            <w:tcW w:w="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760" w:type="dxa"/>
            <w:vAlign w:val="bottom"/>
          </w:tcPr>
          <w:p>
            <w:pPr>
              <w:ind w:left="600"/>
              <w:spacing w:after="0"/>
              <w:rPr>
                <w:sz w:val="20"/>
                <w:szCs w:val="20"/>
                <w:color w:val="auto"/>
              </w:rPr>
            </w:pPr>
            <w:r>
              <w:rPr>
                <w:rFonts w:ascii="Arial" w:cs="Arial" w:eastAsia="Arial" w:hAnsi="Arial"/>
                <w:sz w:val="14"/>
                <w:szCs w:val="14"/>
                <w:color w:val="auto"/>
              </w:rPr>
              <w:t>investments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272,959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261,250</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239,068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non-controlled, affiliated investments: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838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4,606</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6,370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Dividend income</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Other income</w:t>
            </w:r>
          </w:p>
        </w:tc>
        <w:tc>
          <w:tcPr>
            <w:tcW w:w="140" w:type="dxa"/>
            <w:vAlign w:val="bottom"/>
          </w:tcPr>
          <w:p>
            <w:pPr>
              <w:spacing w:after="0"/>
              <w:rPr>
                <w:sz w:val="14"/>
                <w:szCs w:val="1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368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760" w:type="dxa"/>
            <w:vAlign w:val="bottom"/>
            <w:tcBorders>
              <w:top w:val="single" w:sz="8" w:color="CFF0FC"/>
            </w:tcBorders>
            <w:shd w:val="clear" w:color="auto" w:fill="CFF0FC"/>
          </w:tcPr>
          <w:p>
            <w:pPr>
              <w:ind w:left="500"/>
              <w:spacing w:after="0" w:line="137" w:lineRule="exact"/>
              <w:rPr>
                <w:sz w:val="20"/>
                <w:szCs w:val="20"/>
                <w:color w:val="auto"/>
              </w:rPr>
            </w:pPr>
            <w:r>
              <w:rPr>
                <w:rFonts w:ascii="Arial" w:cs="Arial" w:eastAsia="Arial" w:hAnsi="Arial"/>
                <w:sz w:val="14"/>
                <w:szCs w:val="14"/>
                <w:color w:val="auto"/>
              </w:rPr>
              <w:t>Total investment income from non-controlled, affiliated</w:t>
            </w:r>
          </w:p>
        </w:tc>
        <w:tc>
          <w:tcPr>
            <w:tcW w:w="140" w:type="dxa"/>
            <w:vAlign w:val="bottom"/>
            <w:tcBorders>
              <w:top w:val="single" w:sz="8" w:color="auto"/>
            </w:tcBorders>
            <w:shd w:val="clear" w:color="auto" w:fill="CFF0FC"/>
          </w:tcPr>
          <w:p>
            <w:pPr>
              <w:spacing w:after="0"/>
              <w:rPr>
                <w:sz w:val="11"/>
                <w:szCs w:val="11"/>
                <w:color w:val="auto"/>
              </w:rPr>
            </w:pPr>
          </w:p>
        </w:tc>
        <w:tc>
          <w:tcPr>
            <w:tcW w:w="1460" w:type="dxa"/>
            <w:vAlign w:val="bottom"/>
            <w:tcBorders>
              <w:top w:val="single" w:sz="8" w:color="auto"/>
            </w:tcBorders>
            <w:shd w:val="clear" w:color="auto" w:fill="CFF0FC"/>
          </w:tcPr>
          <w:p>
            <w:pPr>
              <w:spacing w:after="0"/>
              <w:rPr>
                <w:sz w:val="11"/>
                <w:szCs w:val="11"/>
                <w:color w:val="auto"/>
              </w:rPr>
            </w:pPr>
          </w:p>
        </w:tc>
        <w:tc>
          <w:tcPr>
            <w:tcW w:w="16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460" w:type="dxa"/>
            <w:vAlign w:val="bottom"/>
            <w:tcBorders>
              <w:top w:val="single" w:sz="8" w:color="auto"/>
            </w:tcBorders>
            <w:shd w:val="clear" w:color="auto" w:fill="CFF0FC"/>
          </w:tcPr>
          <w:p>
            <w:pPr>
              <w:spacing w:after="0"/>
              <w:rPr>
                <w:sz w:val="11"/>
                <w:szCs w:val="11"/>
                <w:color w:val="auto"/>
              </w:rPr>
            </w:pPr>
          </w:p>
        </w:tc>
        <w:tc>
          <w:tcPr>
            <w:tcW w:w="2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4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760" w:type="dxa"/>
            <w:vAlign w:val="bottom"/>
            <w:shd w:val="clear" w:color="auto" w:fill="CFF0FC"/>
          </w:tcPr>
          <w:p>
            <w:pPr>
              <w:ind w:left="600"/>
              <w:spacing w:after="0"/>
              <w:rPr>
                <w:sz w:val="20"/>
                <w:szCs w:val="20"/>
                <w:color w:val="auto"/>
              </w:rPr>
            </w:pPr>
            <w:r>
              <w:rPr>
                <w:rFonts w:ascii="Arial" w:cs="Arial" w:eastAsia="Arial" w:hAnsi="Arial"/>
                <w:sz w:val="14"/>
                <w:szCs w:val="14"/>
                <w:color w:val="auto"/>
              </w:rPr>
              <w:t>investments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1,578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4,974</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6,458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Investment income from controlled, affiliated investments:</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3,809</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5,958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Borders>
              <w:bottom w:val="single" w:sz="8" w:color="CFF0FC"/>
            </w:tcBorders>
          </w:tcPr>
          <w:p>
            <w:pPr>
              <w:ind w:left="260"/>
              <w:spacing w:after="0"/>
              <w:rPr>
                <w:sz w:val="20"/>
                <w:szCs w:val="20"/>
                <w:color w:val="auto"/>
              </w:rPr>
            </w:pPr>
            <w:r>
              <w:rPr>
                <w:rFonts w:ascii="Arial" w:cs="Arial" w:eastAsia="Arial" w:hAnsi="Arial"/>
                <w:sz w:val="14"/>
                <w:szCs w:val="14"/>
                <w:color w:val="auto"/>
              </w:rPr>
              <w:t>Other income</w:t>
            </w: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6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investment income from controlled, affiliated investments</w:t>
            </w:r>
          </w:p>
        </w:tc>
        <w:tc>
          <w:tcPr>
            <w:tcW w:w="14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4,056</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3,813</w:t>
            </w:r>
          </w:p>
        </w:tc>
        <w:tc>
          <w:tcPr>
            <w:tcW w:w="2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5,969</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6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278,593</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270,037</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251,495</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14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Interest</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38,825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39,402</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49,110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Management fees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37,081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32,105</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30,104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Incentive fees on net investment income</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33,062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31,483</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27,211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Incentive fees on net capital gains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13,507</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1,421</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Professional fees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6,586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6,775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6,530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Directors’ fees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743</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825</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general and administrative</w:t>
            </w: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6,236</w:t>
            </w:r>
          </w:p>
        </w:tc>
        <w:tc>
          <w:tcPr>
            <w:tcW w:w="16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5,262</w:t>
            </w:r>
          </w:p>
        </w:tc>
        <w:tc>
          <w:tcPr>
            <w:tcW w:w="2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5,912</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6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expenses</w:t>
            </w:r>
          </w:p>
        </w:tc>
        <w:tc>
          <w:tcPr>
            <w:tcW w:w="14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136,040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117,273</w:t>
            </w:r>
          </w:p>
        </w:tc>
        <w:tc>
          <w:tcPr>
            <w:tcW w:w="2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119,462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Management and incentive fees waived (Note 3)</w:t>
            </w: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(190)</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6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Expenses</w:t>
            </w:r>
          </w:p>
        </w:tc>
        <w:tc>
          <w:tcPr>
            <w:tcW w:w="14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135,850</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117,273</w:t>
            </w:r>
          </w:p>
        </w:tc>
        <w:tc>
          <w:tcPr>
            <w:tcW w:w="2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119,462</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6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 Before Income Taxes</w:t>
            </w:r>
          </w:p>
        </w:tc>
        <w:tc>
          <w:tcPr>
            <w:tcW w:w="14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142,743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152,764</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132,033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color w:val="auto"/>
              </w:rPr>
              <w:t>Income taxes, including excise taxes</w:t>
            </w: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384</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5,760</w:t>
            </w:r>
          </w:p>
        </w:tc>
        <w:tc>
          <w:tcPr>
            <w:tcW w:w="28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3,750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6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14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142,359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147,004</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jc w:val="right"/>
              <w:spacing w:after="0" w:line="155" w:lineRule="exact"/>
              <w:rPr>
                <w:sz w:val="20"/>
                <w:szCs w:val="20"/>
                <w:color w:val="auto"/>
              </w:rPr>
            </w:pPr>
            <w:r>
              <w:rPr>
                <w:rFonts w:ascii="Arial" w:cs="Arial" w:eastAsia="Arial" w:hAnsi="Arial"/>
                <w:sz w:val="14"/>
                <w:szCs w:val="14"/>
                <w:color w:val="auto"/>
              </w:rPr>
              <w:t>128,283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Unrealized and Realized Gains (Losses)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spacing w:after="0"/>
              <w:rPr>
                <w:sz w:val="20"/>
                <w:szCs w:val="20"/>
                <w:color w:val="auto"/>
              </w:rPr>
            </w:pPr>
            <w:r>
              <w:rPr>
                <w:rFonts w:ascii="Arial" w:cs="Arial" w:eastAsia="Arial" w:hAnsi="Arial"/>
                <w:sz w:val="14"/>
                <w:szCs w:val="14"/>
                <w:color w:val="auto"/>
              </w:rPr>
              <w:t>Net change in unrealized gains (losses):</w:t>
            </w: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17,938</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10,304</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29,432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14,350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2,785</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1,272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17,450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18,862</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(12,381)</w:t>
            </w:r>
          </w:p>
        </w:tc>
        <w:tc>
          <w:tcPr>
            <w:tcW w:w="0" w:type="dxa"/>
            <w:vAlign w:val="bottom"/>
          </w:tcPr>
          <w:p>
            <w:pPr>
              <w:spacing w:after="0"/>
              <w:rPr>
                <w:sz w:val="1"/>
                <w:szCs w:val="1"/>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140" w:type="dxa"/>
            <w:vAlign w:val="bottom"/>
          </w:tcPr>
          <w:p>
            <w:pPr>
              <w:spacing w:after="0"/>
              <w:rPr>
                <w:sz w:val="14"/>
                <w:szCs w:val="14"/>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4"/>
                <w:szCs w:val="14"/>
                <w:color w:val="auto"/>
              </w:rPr>
              <w:t>(591)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4"/>
                <w:szCs w:val="14"/>
                <w:color w:val="auto"/>
              </w:rPr>
              <w:t>(5,068)</w:t>
            </w:r>
          </w:p>
        </w:tc>
        <w:tc>
          <w:tcPr>
            <w:tcW w:w="140" w:type="dxa"/>
            <w:vAlign w:val="bottom"/>
          </w:tcPr>
          <w:p>
            <w:pPr>
              <w:spacing w:after="0"/>
              <w:rPr>
                <w:sz w:val="14"/>
                <w:szCs w:val="14"/>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4"/>
                <w:szCs w:val="14"/>
                <w:color w:val="auto"/>
              </w:rPr>
              <w:t>(3,255)</w:t>
            </w: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rate swaps</w:t>
            </w: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(6,699)</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6,812</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9,194</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Income tax provision</w:t>
            </w:r>
          </w:p>
        </w:tc>
        <w:tc>
          <w:tcPr>
            <w:tcW w:w="140" w:type="dxa"/>
            <w:vAlign w:val="bottom"/>
          </w:tcPr>
          <w:p>
            <w:pPr>
              <w:spacing w:after="0"/>
              <w:rPr>
                <w:sz w:val="14"/>
                <w:szCs w:val="14"/>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4"/>
                <w:szCs w:val="14"/>
                <w:color w:val="auto"/>
              </w:rPr>
              <w:t>(1,902)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76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40,546</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33,695</w:t>
            </w: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24,262</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60" w:type="dxa"/>
            <w:vAlign w:val="bottom"/>
          </w:tcPr>
          <w:p>
            <w:pPr>
              <w:spacing w:after="0" w:line="155" w:lineRule="exact"/>
              <w:rPr>
                <w:sz w:val="20"/>
                <w:szCs w:val="20"/>
                <w:color w:val="auto"/>
              </w:rPr>
            </w:pPr>
            <w:r>
              <w:rPr>
                <w:rFonts w:ascii="Arial" w:cs="Arial" w:eastAsia="Arial" w:hAnsi="Arial"/>
                <w:sz w:val="14"/>
                <w:szCs w:val="14"/>
                <w:color w:val="auto"/>
              </w:rPr>
              <w:t>Realized gains (losses):</w:t>
            </w: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28,849</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25,382</w:t>
            </w:r>
          </w:p>
        </w:tc>
        <w:tc>
          <w:tcPr>
            <w:tcW w:w="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5,482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140" w:type="dxa"/>
            <w:vAlign w:val="bottom"/>
          </w:tcPr>
          <w:p>
            <w:pPr>
              <w:spacing w:after="0"/>
              <w:rPr>
                <w:sz w:val="14"/>
                <w:szCs w:val="14"/>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7,854</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(36,352)</w:t>
            </w:r>
          </w:p>
        </w:tc>
        <w:tc>
          <w:tcPr>
            <w:tcW w:w="140" w:type="dxa"/>
            <w:vAlign w:val="bottom"/>
            <w:shd w:val="clear" w:color="auto" w:fill="CFF0FC"/>
          </w:tcPr>
          <w:p>
            <w:pPr>
              <w:spacing w:after="0"/>
              <w:rPr>
                <w:sz w:val="14"/>
                <w:szCs w:val="14"/>
                <w:color w:val="auto"/>
              </w:rPr>
            </w:pPr>
          </w:p>
        </w:tc>
        <w:tc>
          <w:tcPr>
            <w:tcW w:w="15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(3,594)</w:t>
            </w:r>
          </w:p>
        </w:tc>
        <w:tc>
          <w:tcPr>
            <w:tcW w:w="0" w:type="dxa"/>
            <w:vAlign w:val="bottom"/>
          </w:tcPr>
          <w:p>
            <w:pPr>
              <w:spacing w:after="0"/>
              <w:rPr>
                <w:sz w:val="1"/>
                <w:szCs w:val="1"/>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Extinguishment of debt</w:t>
            </w:r>
          </w:p>
        </w:tc>
        <w:tc>
          <w:tcPr>
            <w:tcW w:w="140" w:type="dxa"/>
            <w:vAlign w:val="bottom"/>
          </w:tcPr>
          <w:p>
            <w:pPr>
              <w:spacing w:after="0"/>
              <w:rPr>
                <w:sz w:val="14"/>
                <w:szCs w:val="14"/>
                <w:color w:val="auto"/>
              </w:rPr>
            </w:pPr>
          </w:p>
        </w:tc>
        <w:tc>
          <w:tcPr>
            <w:tcW w:w="1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739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576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rate swaps</w:t>
            </w:r>
          </w:p>
        </w:tc>
        <w:tc>
          <w:tcPr>
            <w:tcW w:w="140" w:type="dxa"/>
            <w:vAlign w:val="bottom"/>
            <w:shd w:val="clear" w:color="auto" w:fill="CFF0FC"/>
          </w:tcPr>
          <w:p>
            <w:pPr>
              <w:spacing w:after="0"/>
              <w:rPr>
                <w:sz w:val="14"/>
                <w:szCs w:val="14"/>
                <w:color w:val="auto"/>
              </w:rPr>
            </w:pPr>
          </w:p>
        </w:tc>
        <w:tc>
          <w:tcPr>
            <w:tcW w:w="16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(62)</w:t>
            </w:r>
          </w:p>
        </w:tc>
        <w:tc>
          <w:tcPr>
            <w:tcW w:w="140" w:type="dxa"/>
            <w:vAlign w:val="bottom"/>
            <w:shd w:val="clear" w:color="auto" w:fill="CFF0FC"/>
          </w:tcPr>
          <w:p>
            <w:pPr>
              <w:spacing w:after="0"/>
              <w:rPr>
                <w:sz w:val="14"/>
                <w:szCs w:val="14"/>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60" w:type="dxa"/>
            <w:vAlign w:val="bottom"/>
          </w:tcPr>
          <w:p>
            <w:pPr>
              <w:ind w:left="260"/>
              <w:spacing w:after="0"/>
              <w:rPr>
                <w:sz w:val="20"/>
                <w:szCs w:val="20"/>
                <w:color w:val="auto"/>
              </w:rPr>
            </w:pPr>
            <w:r>
              <w:rPr>
                <w:rFonts w:ascii="Arial" w:cs="Arial" w:eastAsia="Arial" w:hAnsi="Arial"/>
                <w:sz w:val="14"/>
                <w:szCs w:val="14"/>
                <w:color w:val="auto"/>
              </w:rPr>
              <w:t>Foreign currency transactions</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59</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4"/>
                <w:szCs w:val="14"/>
                <w:color w:val="auto"/>
              </w:rPr>
              <w:t>(152)</w:t>
            </w:r>
          </w:p>
        </w:tc>
        <w:tc>
          <w:tcPr>
            <w:tcW w:w="14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60" w:type="dxa"/>
            <w:vAlign w:val="bottom"/>
            <w:tcBorders>
              <w:top w:val="single" w:sz="8" w:color="CFF0FC"/>
            </w:tcBorders>
            <w:shd w:val="clear" w:color="auto" w:fill="CFF0FC"/>
          </w:tcPr>
          <w:p>
            <w:pPr>
              <w:ind w:left="740"/>
              <w:spacing w:after="0" w:line="155" w:lineRule="exact"/>
              <w:rPr>
                <w:sz w:val="20"/>
                <w:szCs w:val="20"/>
                <w:color w:val="auto"/>
              </w:rPr>
            </w:pPr>
            <w:r>
              <w:rPr>
                <w:rFonts w:ascii="Arial" w:cs="Arial" w:eastAsia="Arial" w:hAnsi="Arial"/>
                <w:sz w:val="14"/>
                <w:szCs w:val="14"/>
                <w:color w:val="auto"/>
              </w:rPr>
              <w:t>Total net realized gains (losses)</w:t>
            </w: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28,875</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(2,591)</w:t>
            </w:r>
          </w:p>
        </w:tc>
        <w:tc>
          <w:tcPr>
            <w:tcW w:w="2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1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2,038</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6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b w:val="1"/>
                <w:bCs w:val="1"/>
                <w:color w:val="auto"/>
              </w:rPr>
              <w:t>Total Unrealized and Realized Gains (Losses)</w:t>
            </w: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69,421</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31,104</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26,300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60" w:type="dxa"/>
            <w:vAlign w:val="bottom"/>
            <w:tcBorders>
              <w:bottom w:val="single" w:sz="8" w:color="CFF0FC"/>
            </w:tcBorders>
            <w:shd w:val="clear" w:color="auto" w:fill="CFF0FC"/>
          </w:tcPr>
          <w:p>
            <w:pPr>
              <w:ind w:left="1000"/>
              <w:spacing w:after="0" w:line="155" w:lineRule="exact"/>
              <w:rPr>
                <w:sz w:val="20"/>
                <w:szCs w:val="20"/>
                <w:color w:val="auto"/>
              </w:rPr>
            </w:pPr>
            <w:r>
              <w:rPr>
                <w:rFonts w:ascii="Arial" w:cs="Arial" w:eastAsia="Arial" w:hAnsi="Arial"/>
                <w:sz w:val="14"/>
                <w:szCs w:val="14"/>
                <w:b w:val="1"/>
                <w:bCs w:val="1"/>
                <w:color w:val="auto"/>
              </w:rPr>
              <w:t>Increase in Net Assets Resulting from Operations</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211,780</w:t>
            </w:r>
          </w:p>
        </w:tc>
        <w:tc>
          <w:tcPr>
            <w:tcW w:w="16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178,108</w:t>
            </w:r>
          </w:p>
        </w:tc>
        <w:tc>
          <w:tcPr>
            <w:tcW w:w="28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154,583</w:t>
            </w:r>
          </w:p>
        </w:tc>
        <w:tc>
          <w:tcPr>
            <w:tcW w:w="12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4"/>
                <w:szCs w:val="14"/>
                <w:color w:val="auto"/>
              </w:rPr>
              <w:t>Earnings per common share—basic</w:t>
            </w: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60" w:type="dxa"/>
            <w:vAlign w:val="bottom"/>
            <w:tcBorders>
              <w:bottom w:val="single" w:sz="8" w:color="CFF0FC"/>
            </w:tcBorders>
            <w:vMerge w:val="continue"/>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2.93</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2.65</w:t>
            </w:r>
          </w:p>
        </w:tc>
        <w:tc>
          <w:tcPr>
            <w:tcW w:w="280" w:type="dxa"/>
            <w:vAlign w:val="bottom"/>
            <w:tcBorders>
              <w:bottom w:val="single" w:sz="8" w:color="CFF0FC"/>
            </w:tcBorders>
          </w:tcPr>
          <w:p>
            <w:pPr>
              <w:spacing w:after="0"/>
              <w:rPr>
                <w:sz w:val="12"/>
                <w:szCs w:val="12"/>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2.34</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7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outstanding—basic</w:t>
            </w:r>
          </w:p>
        </w:tc>
        <w:tc>
          <w:tcPr>
            <w:tcW w:w="14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72,169,488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67,209,078</w:t>
            </w:r>
          </w:p>
        </w:tc>
        <w:tc>
          <w:tcPr>
            <w:tcW w:w="2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66,069,305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6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Earnings per common share—diluted</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2.79</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2.65</w:t>
            </w:r>
          </w:p>
        </w:tc>
        <w:tc>
          <w:tcPr>
            <w:tcW w:w="28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14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6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Weighted average shares of common stock outstanding—diluted</w:t>
            </w:r>
          </w:p>
        </w:tc>
        <w:tc>
          <w:tcPr>
            <w:tcW w:w="14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77,702,258</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67,209,078</w:t>
            </w:r>
          </w:p>
        </w:tc>
        <w:tc>
          <w:tcPr>
            <w:tcW w:w="280" w:type="dxa"/>
            <w:vAlign w:val="bottom"/>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4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66,069,305</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ind w:right="20"/>
        <w:spacing w:after="0" w:line="277" w:lineRule="auto"/>
        <w:rPr>
          <w:sz w:val="20"/>
          <w:szCs w:val="20"/>
          <w:color w:val="auto"/>
        </w:rPr>
      </w:pPr>
      <w:r>
        <w:rPr>
          <w:rFonts w:ascii="Arial" w:cs="Arial" w:eastAsia="Arial" w:hAnsi="Arial"/>
          <w:sz w:val="18"/>
          <w:szCs w:val="18"/>
          <w:color w:val="auto"/>
        </w:rPr>
        <w:t>The Company’s investment activity for the years ended December 31, 2021, 2020 and 2019 is presented below (information presented herein is at par value unless otherwise indicated).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30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jc w:val="right"/>
              <w:ind w:right="167"/>
              <w:spacing w:after="0"/>
              <w:rPr>
                <w:sz w:val="20"/>
                <w:szCs w:val="20"/>
                <w:color w:val="auto"/>
              </w:rPr>
            </w:pPr>
            <w:r>
              <w:rPr>
                <w:rFonts w:ascii="Arial" w:cs="Arial" w:eastAsia="Arial" w:hAnsi="Arial"/>
                <w:sz w:val="14"/>
                <w:szCs w:val="14"/>
                <w:b w:val="1"/>
                <w:bCs w:val="1"/>
                <w:color w:val="auto"/>
              </w:rPr>
              <w:t>For the Year Ended December 31,</w:t>
            </w:r>
          </w:p>
        </w:tc>
        <w:tc>
          <w:tcPr>
            <w:tcW w:w="10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480" w:type="dxa"/>
            <w:vAlign w:val="bottom"/>
            <w:tcBorders>
              <w:bottom w:val="single" w:sz="8" w:color="CFF0FC"/>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1"/>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4,269.9</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3,296.8</w:t>
            </w:r>
          </w:p>
        </w:tc>
        <w:tc>
          <w:tcPr>
            <w:tcW w:w="32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3,007.0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3,152.5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2,112.1</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1,117.4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1,184.7</w:t>
            </w:r>
          </w:p>
        </w:tc>
        <w:tc>
          <w:tcPr>
            <w:tcW w:w="32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1,233.5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1,022.1</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909.6</w:t>
            </w:r>
          </w:p>
        </w:tc>
        <w:tc>
          <w:tcPr>
            <w:tcW w:w="32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1,055.7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1,117.4</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939.0</w:t>
            </w:r>
          </w:p>
        </w:tc>
        <w:tc>
          <w:tcPr>
            <w:tcW w:w="32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1,087.6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962.6</w:t>
            </w:r>
          </w:p>
        </w:tc>
        <w:tc>
          <w:tcPr>
            <w:tcW w:w="2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922.1</w:t>
            </w:r>
          </w:p>
        </w:tc>
        <w:tc>
          <w:tcPr>
            <w:tcW w:w="32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567.1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30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4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1,004.5</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941.3</w:t>
            </w:r>
          </w:p>
        </w:tc>
        <w:tc>
          <w:tcPr>
            <w:tcW w:w="3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575.2</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 new portfolio</w:t>
            </w: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companies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48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 new portfolio</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140"/>
              <w:spacing w:after="0"/>
              <w:rPr>
                <w:sz w:val="20"/>
                <w:szCs w:val="20"/>
                <w:color w:val="auto"/>
              </w:rPr>
            </w:pPr>
            <w:r>
              <w:rPr>
                <w:rFonts w:ascii="Arial" w:cs="Arial" w:eastAsia="Arial" w:hAnsi="Arial"/>
                <w:sz w:val="18"/>
                <w:szCs w:val="18"/>
                <w:b w:val="1"/>
                <w:bCs w:val="1"/>
                <w:color w:val="auto"/>
              </w:rPr>
              <w:t>companies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47.5</w:t>
            </w:r>
          </w:p>
        </w:tc>
        <w:tc>
          <w:tcPr>
            <w:tcW w:w="240" w:type="dxa"/>
            <w:vAlign w:val="bottom"/>
          </w:tcPr>
          <w:p>
            <w:pPr>
              <w:spacing w:after="0"/>
              <w:rPr>
                <w:sz w:val="20"/>
                <w:szCs w:val="20"/>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30.9</w:t>
            </w:r>
          </w:p>
        </w:tc>
        <w:tc>
          <w:tcPr>
            <w:tcW w:w="320" w:type="dxa"/>
            <w:vAlign w:val="bottom"/>
          </w:tcPr>
          <w:p>
            <w:pPr>
              <w:spacing w:after="0"/>
              <w:rPr>
                <w:sz w:val="20"/>
                <w:szCs w:val="20"/>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 commitments in new</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portfolio companies (in years)</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48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 at floating</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tcPr>
          <w:p>
            <w:pPr>
              <w:ind w:left="140"/>
              <w:spacing w:after="0"/>
              <w:rPr>
                <w:sz w:val="20"/>
                <w:szCs w:val="20"/>
                <w:color w:val="auto"/>
              </w:rPr>
            </w:pPr>
            <w:r>
              <w:rPr>
                <w:rFonts w:ascii="Arial" w:cs="Arial" w:eastAsia="Arial" w:hAnsi="Arial"/>
                <w:sz w:val="18"/>
                <w:szCs w:val="18"/>
                <w:b w:val="1"/>
                <w:bCs w:val="1"/>
                <w:color w:val="auto"/>
              </w:rPr>
              <w:t xml:space="preserve">rates </w:t>
            </w:r>
            <w:r>
              <w:rPr>
                <w:rFonts w:ascii="Arial" w:cs="Arial" w:eastAsia="Arial" w:hAnsi="Arial"/>
                <w:sz w:val="15"/>
                <w:szCs w:val="15"/>
                <w:b w:val="1"/>
                <w:bCs w:val="1"/>
                <w:color w:val="auto"/>
              </w:rPr>
              <w:t>(1)</w:t>
            </w: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98.8%</w:t>
            </w: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30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0.5%</w:t>
            </w: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64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3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1"/>
        </w:trPr>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 floating rate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48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9.0%</w:t>
            </w: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4"/>
        </w:trPr>
        <w:tc>
          <w:tcPr>
            <w:tcW w:w="648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300" w:type="dxa"/>
            <w:vAlign w:val="bottom"/>
          </w:tcPr>
          <w:p>
            <w:pPr>
              <w:spacing w:after="0"/>
              <w:rPr>
                <w:sz w:val="20"/>
                <w:szCs w:val="20"/>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9.7%</w:t>
            </w:r>
          </w:p>
        </w:tc>
        <w:tc>
          <w:tcPr>
            <w:tcW w:w="30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400" w:right="20" w:hanging="392"/>
        <w:spacing w:after="0" w:line="253" w:lineRule="auto"/>
        <w:tabs>
          <w:tab w:leader="none" w:pos="4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Includes one fixed rate investment for the year ended December 31, 2020 and two fixed rate investments for the year ended December 31, 2019 for which we entered into interest rate swap agreements to swap to floating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234950</wp:posOffset>
            </wp:positionV>
            <wp:extent cx="1371600" cy="402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025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Sixth Street Specialty Lending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Sixth Street Specialty Lending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The Company is externally managed by Sixth Street Specialty Lending Advisers, LLC, an affiliate of Sixth Street and a Securities and Exchange Commission (“SEC”) registered investment adviser. The Company leverages the deep investment, sector, and operating resources of Sixth Street, a global investment firm with over $60 billion in assets under management and committed capital. For more information, visit the Company’s website at www.sixthstreetspecialtylending.com.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Sixth Street</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Sixth Street is a global investment firm with over $60 billion in assets under management and committed capital. The firm uses its long-term flexible capital, data-enabled capabilities, and One Team culture to develop themes and offer solutions to companies across all stages of growth. Founded in 2009, Sixth Street has more than 350 team members including over 180 investment professionals around the world. For more information, visit www.sixthstreet.com or follow Sixth Street on LinkedIn.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Statements included herein may constitute “forward-looking statements,” which relate to future events or the Company’s future performance or financial condition, including expectations with respect to the Company’s portfolio companies.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net investment income and adjusted net income are each non-GAAP financial measures, which represent net investment income and net income, respectively, in each case less the impact of accrued capital gains incentive fee expenses. The Company believes that adjusted net investment income and adjusted net income provide useful information to investors regarding the fundamental earnings power of the business, and these figures are used by the Company to measure its financial condition and results of operations. The presentation of this additional information is not meant to be considered in isolation or as a substitute for financial results prepared in accordance with GAAP.</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Cami VanHorn, 260-241-7837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 Specialty Lending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IRTSLX@sixthstreet.com</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Sixth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PClifford@sixthstreet.com</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2022-02-17T15:19:43Z</dcterms:created>
  <dcterms:modified xsi:type="dcterms:W3CDTF">2022-02-17T15:19:43Z</dcterms:modified>
</cp:coreProperties>
</file>